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81D4C" w14:textId="77777777" w:rsidR="00494B49" w:rsidRPr="00804D04" w:rsidRDefault="00494B49" w:rsidP="003B0773">
      <w:pPr>
        <w:pStyle w:val="BChapterName"/>
        <w:jc w:val="left"/>
      </w:pPr>
      <w:r w:rsidRPr="00804D04">
        <w:t>Section 1411 — Net Investment Income Tax</w:t>
      </w:r>
      <w:r>
        <w:t xml:space="preserve"> (511-1</w:t>
      </w:r>
      <w:r w:rsidRPr="00F45B2B">
        <w:rPr>
          <w:vertAlign w:val="superscript"/>
        </w:rPr>
        <w:t>st</w:t>
      </w:r>
      <w:r>
        <w:t xml:space="preserve"> T.M) </w:t>
      </w:r>
    </w:p>
    <w:p w14:paraId="4F78CE8A" w14:textId="77777777" w:rsidR="00494B49" w:rsidRDefault="00494B49" w:rsidP="00804D04">
      <w:pPr>
        <w:pStyle w:val="p"/>
        <w:ind w:firstLine="0"/>
      </w:pPr>
      <w:r>
        <w:t xml:space="preserve">by </w:t>
      </w:r>
    </w:p>
    <w:p w14:paraId="68986D7B" w14:textId="77777777" w:rsidR="00494B49" w:rsidRDefault="00494B49">
      <w:pPr>
        <w:pStyle w:val="author"/>
      </w:pPr>
      <w:r>
        <w:t>David H. Kirk</w:t>
      </w:r>
    </w:p>
    <w:p w14:paraId="3AACF05C" w14:textId="77777777" w:rsidR="00494B49" w:rsidRDefault="00494B49">
      <w:pPr>
        <w:pStyle w:val="organization"/>
      </w:pPr>
      <w:r>
        <w:t xml:space="preserve">Ernst &amp; Young LLP Washington, DC </w:t>
      </w:r>
    </w:p>
    <w:p w14:paraId="178DC9BF" w14:textId="77777777" w:rsidR="00494B49" w:rsidRDefault="00494B49">
      <w:pPr>
        <w:pStyle w:val="p"/>
      </w:pPr>
      <w:r>
        <w:t xml:space="preserve">David H. Kirk CFP, CPA, Esq., B.S., Syracuse University; J.D., University of Pittsburgh; LL.M. in Taxation, Georgetown University Law Center; partner, National Tax Department, Ernst &amp; Young LLP, Washington, DC, 2014–present; adjunct professor, Georgetown University Law Center, 2009–present; member, AICPA Journal of Accountancy Advisory Board; formerly attorney, Passthroughs and Special Industries division of Office of Chief Counsel, Internal Revenue Service, 2008–2014; principal author of the income tax regulations under Section 1411 of the Internal Revenue Code (Net Investment Income Tax) and of Revenue Procedure 2013-30 (Unified Late S Corporation Elections); associate, Arnold &amp; Porter LLP, Washington, DC, 2007–2008; Private Client Advisor, Deloitte Tax LLP, 1998–2007. </w:t>
      </w:r>
    </w:p>
    <w:p w14:paraId="35817370" w14:textId="77777777" w:rsidR="00494B49" w:rsidRDefault="00494B49">
      <w:pPr>
        <w:pStyle w:val="p"/>
      </w:pPr>
      <w:r>
        <w:t>Acknowledgments</w:t>
      </w:r>
    </w:p>
    <w:p w14:paraId="42365B5E" w14:textId="77777777" w:rsidR="00494B49" w:rsidRDefault="00494B49">
      <w:pPr>
        <w:pStyle w:val="p"/>
      </w:pPr>
      <w:r>
        <w:t>For Maribeth, Jack and Sasha.</w:t>
      </w:r>
    </w:p>
    <w:p w14:paraId="3A5BEA28" w14:textId="77777777" w:rsidR="00494B49" w:rsidRDefault="00494B49">
      <w:pPr>
        <w:pStyle w:val="p"/>
      </w:pPr>
      <w:r>
        <w:t>The author would like to thank the following members of Ernst &amp; Young LLP for their technical and editorial assistance with this portfolio: Carolyn Lafon, Justin Ransome, David Chan, Laura MacDonough, Sean Ford, Maureen Sanelli, Robert Schachat, Seda Livian, Ashley Weyenberg, Justin Lynch, and Caryn Friedman. The author would also like to acknowledge following individuals for providing valuable insight, support, and counsel on matters that are discussed in the portfolio: Michael Grace, Aen Webster, Anthony Nitti, Robert Keebler, Thomas Nichols, Wells Hall, Jerald August, Craig Delucia, Laura Howell-Smith, Jerome Hesch, Laura Peebles, Eddie Gershman, Christopher Hesse, Roy Berg, Mark Bryan, and the late Alvin Lurie.</w:t>
      </w:r>
    </w:p>
    <w:p w14:paraId="7332E588" w14:textId="77777777" w:rsidR="00494B49" w:rsidRDefault="00494B49">
      <w:pPr>
        <w:rPr>
          <w:rFonts w:ascii="Times New Roman" w:eastAsiaTheme="minorEastAsia" w:hAnsi="Times New Roman" w:cs="Times New Roman"/>
          <w:b/>
          <w:bCs/>
          <w:kern w:val="0"/>
          <w:sz w:val="26"/>
          <w:szCs w:val="26"/>
        </w:rPr>
      </w:pPr>
      <w:r>
        <w:rPr>
          <w:b/>
          <w:bCs/>
          <w:sz w:val="26"/>
          <w:szCs w:val="26"/>
        </w:rPr>
        <w:br w:type="page"/>
      </w:r>
    </w:p>
    <w:p w14:paraId="029C8CEB" w14:textId="77777777" w:rsidR="00494B49" w:rsidRDefault="00494B49" w:rsidP="00F45B2B">
      <w:pPr>
        <w:pStyle w:val="p"/>
        <w:ind w:firstLine="0"/>
        <w:rPr>
          <w:b/>
          <w:bCs/>
          <w:sz w:val="26"/>
          <w:szCs w:val="26"/>
        </w:rPr>
      </w:pPr>
      <w:r>
        <w:rPr>
          <w:b/>
          <w:bCs/>
          <w:sz w:val="26"/>
          <w:szCs w:val="26"/>
        </w:rPr>
        <w:lastRenderedPageBreak/>
        <w:t>Section 1411 — Net Investment Income Tax</w:t>
      </w:r>
    </w:p>
    <w:p w14:paraId="4AD6C63F" w14:textId="77777777" w:rsidR="00494B49" w:rsidRDefault="00494B49" w:rsidP="003B0773">
      <w:pPr>
        <w:pStyle w:val="BChapterName"/>
        <w:jc w:val="left"/>
      </w:pPr>
      <w:r>
        <w:t>PORTFOLIO DESCRIPTION</w:t>
      </w:r>
    </w:p>
    <w:p w14:paraId="2C80458B" w14:textId="77777777" w:rsidR="00494B49" w:rsidRDefault="00494B49">
      <w:pPr>
        <w:pStyle w:val="p"/>
      </w:pPr>
      <w:r>
        <w:t>Tax Management Portfolio, 511 T.M.,</w:t>
      </w:r>
      <w:r>
        <w:rPr>
          <w:i/>
          <w:iCs/>
        </w:rPr>
        <w:t xml:space="preserve"> Section 1411 — Net Investment Income Tax</w:t>
      </w:r>
      <w:r>
        <w:t xml:space="preserve">, analyzes the net investment income tax (NIIT) applicable to individuals, estates, and trusts. The NIIT is imposed by §1411 of the Internal Revenue Code. The NIIT applies at a rate of 3.8% to certain net investment income of individuals, estates and trusts that have income above the statutory threshold amounts. Section 1402(a)(1) of the Health Care and Education Reconciliation Act of 2010 added §1411 to a new Chapter 2A of Subtitle A (Income Taxes) of the Code effective for tax years beginning after December 31, 2012. </w:t>
      </w:r>
    </w:p>
    <w:p w14:paraId="4FF8AA21" w14:textId="77777777" w:rsidR="00494B49" w:rsidRDefault="00494B49">
      <w:pPr>
        <w:pStyle w:val="p"/>
      </w:pPr>
      <w:r>
        <w:t xml:space="preserve">In the case of an individual, §1411(a)(1) imposes a tax (in addition to any other tax imposed by subtitle A, such as AMT or self-employment tax) for each tax year equal to 3.8% of the lesser of: (A) the individual's net investment income for such tax year, or (B) the excess (if any) of: (i) the individual's modified adjusted gross income for such tax year, over (ii) the threshold amount. In the case of an estate or trust, §1411(a)(2) imposes a tax for each tax year equal to 3.8% of the lesser of: (A) the estate's or trust's undistributed net investment income, or (B) the excess (if any) of: (i) the estate's or trust's adjusted gross income (as defined in §67(e)) for such tax year, over (ii) the dollar amount at which the highest tax bracket in §1(e) begins for such tax year. </w:t>
      </w:r>
    </w:p>
    <w:p w14:paraId="11A39C84" w14:textId="77777777" w:rsidR="00494B49" w:rsidRDefault="00494B49">
      <w:pPr>
        <w:pStyle w:val="p"/>
      </w:pPr>
      <w:r>
        <w:t xml:space="preserve">This Portfolio discusses the general applicability of the NIIT. The Portfolio analyzes the computation of net investment income; the computation of NIIT liability (including special computational provisions for estates and trusts); the interaction of the NIIT with the passive activity rules and the self-employment tax system; the special rules unique to the NIIT for taxpayers with investments in controlled foreign corporations and passive foreign investment companies; special rules unique to the NIIT for dispositions of interests in partnerships and S corporations; and collateral tax issues that arise due to the interaction with the regular federal income tax system. </w:t>
      </w:r>
    </w:p>
    <w:p w14:paraId="4CB83657" w14:textId="77777777" w:rsidR="00494B49" w:rsidRDefault="00494B49">
      <w:pPr>
        <w:pStyle w:val="p"/>
      </w:pPr>
      <w:r>
        <w:t xml:space="preserve">This Portfolio may be cited as Kirk, 511 T.M., </w:t>
      </w:r>
      <w:r>
        <w:rPr>
          <w:i/>
          <w:iCs/>
        </w:rPr>
        <w:t>Section 1411 — Net Investment Income Tax</w:t>
      </w:r>
      <w:r>
        <w:t>.</w:t>
      </w:r>
    </w:p>
    <w:p w14:paraId="52097EE5" w14:textId="77777777" w:rsidR="00494B49" w:rsidRDefault="00494B49"/>
    <w:tbl>
      <w:tblPr>
        <w:tblW w:w="0" w:type="auto"/>
        <w:tblInd w:w="1" w:type="dxa"/>
        <w:tblLayout w:type="fixed"/>
        <w:tblCellMar>
          <w:left w:w="1" w:type="dxa"/>
          <w:right w:w="1" w:type="dxa"/>
        </w:tblCellMar>
        <w:tblLook w:val="0000" w:firstRow="0" w:lastRow="0" w:firstColumn="0" w:lastColumn="0" w:noHBand="0" w:noVBand="0"/>
      </w:tblPr>
      <w:tblGrid>
        <w:gridCol w:w="8499"/>
      </w:tblGrid>
      <w:tr w:rsidR="00494B49" w14:paraId="6C904919" w14:textId="77777777">
        <w:tc>
          <w:tcPr>
            <w:tcW w:w="8499" w:type="dxa"/>
            <w:tcBorders>
              <w:top w:val="nil"/>
              <w:left w:val="nil"/>
              <w:bottom w:val="nil"/>
              <w:right w:val="nil"/>
            </w:tcBorders>
          </w:tcPr>
          <w:p w14:paraId="5156087B" w14:textId="77777777" w:rsidR="00494B49" w:rsidRDefault="00494B49">
            <w:pPr>
              <w:rPr>
                <w:sz w:val="18"/>
                <w:szCs w:val="18"/>
              </w:rPr>
            </w:pPr>
            <w:r>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76512BEE" w14:textId="77777777" w:rsidR="00494B49" w:rsidRDefault="00494B49">
      <w:pPr>
        <w:rPr>
          <w:sz w:val="18"/>
          <w:szCs w:val="18"/>
        </w:rPr>
      </w:pPr>
    </w:p>
    <w:p w14:paraId="230F4060" w14:textId="77777777" w:rsidR="00494B49" w:rsidRDefault="00494B49">
      <w:pPr>
        <w:rPr>
          <w:rFonts w:ascii="Times New Roman" w:eastAsiaTheme="minorEastAsia" w:hAnsi="Times New Roman" w:cs="Times New Roman"/>
          <w:b/>
          <w:bCs/>
          <w:kern w:val="0"/>
          <w:sz w:val="26"/>
          <w:szCs w:val="26"/>
        </w:rPr>
      </w:pPr>
      <w:r>
        <w:rPr>
          <w:b/>
          <w:bCs/>
          <w:sz w:val="26"/>
          <w:szCs w:val="26"/>
        </w:rPr>
        <w:br w:type="page"/>
      </w:r>
    </w:p>
    <w:p w14:paraId="1B25608B" w14:textId="77777777" w:rsidR="00494B49" w:rsidRDefault="00494B49" w:rsidP="003B0773">
      <w:pPr>
        <w:pStyle w:val="BChapterName"/>
      </w:pPr>
      <w:r>
        <w:lastRenderedPageBreak/>
        <w:t xml:space="preserve">TABLE OF CONTENTS </w:t>
      </w:r>
    </w:p>
    <w:p w14:paraId="03F57AC8" w14:textId="77777777" w:rsidR="00494B49" w:rsidRDefault="00494B49">
      <w:pPr>
        <w:rPr>
          <w:b/>
          <w:bCs/>
          <w:sz w:val="26"/>
          <w:szCs w:val="26"/>
        </w:rPr>
      </w:pPr>
      <w:r>
        <w:rPr>
          <w:b/>
          <w:bCs/>
          <w:sz w:val="26"/>
          <w:szCs w:val="26"/>
        </w:rPr>
        <w:t xml:space="preserve">DETAILED ANALYSIS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94B49" w:rsidRPr="003B0773" w14:paraId="2E16D6F0" w14:textId="77777777" w:rsidTr="003B0773">
        <w:tc>
          <w:tcPr>
            <w:tcW w:w="9606" w:type="dxa"/>
          </w:tcPr>
          <w:p w14:paraId="7B740CAA"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I. Introduction</w:t>
            </w:r>
          </w:p>
        </w:tc>
      </w:tr>
      <w:tr w:rsidR="00494B49" w:rsidRPr="003B0773" w14:paraId="6BD68999" w14:textId="77777777" w:rsidTr="003B0773">
        <w:tc>
          <w:tcPr>
            <w:tcW w:w="9606" w:type="dxa"/>
          </w:tcPr>
          <w:p w14:paraId="3D406E5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Statutory Overview</w:t>
            </w:r>
          </w:p>
        </w:tc>
      </w:tr>
      <w:tr w:rsidR="00494B49" w:rsidRPr="003B0773" w14:paraId="10F9E669" w14:textId="77777777" w:rsidTr="003B0773">
        <w:tc>
          <w:tcPr>
            <w:tcW w:w="9606" w:type="dxa"/>
          </w:tcPr>
          <w:p w14:paraId="2069AC0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1411 Generally</w:t>
            </w:r>
          </w:p>
        </w:tc>
      </w:tr>
      <w:tr w:rsidR="00494B49" w:rsidRPr="003B0773" w14:paraId="1907F92C" w14:textId="77777777" w:rsidTr="003B0773">
        <w:tc>
          <w:tcPr>
            <w:tcW w:w="9606" w:type="dxa"/>
          </w:tcPr>
          <w:p w14:paraId="5E08F76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The Section 1411 Tax Base</w:t>
            </w:r>
          </w:p>
        </w:tc>
      </w:tr>
      <w:tr w:rsidR="00494B49" w:rsidRPr="003B0773" w14:paraId="1ECD66E1" w14:textId="77777777" w:rsidTr="003B0773">
        <w:tc>
          <w:tcPr>
            <w:tcW w:w="9606" w:type="dxa"/>
          </w:tcPr>
          <w:p w14:paraId="61EEBCC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Application to Individuals</w:t>
            </w:r>
          </w:p>
        </w:tc>
      </w:tr>
      <w:tr w:rsidR="00494B49" w:rsidRPr="003B0773" w14:paraId="4DD9D3F8" w14:textId="77777777" w:rsidTr="003B0773">
        <w:tc>
          <w:tcPr>
            <w:tcW w:w="9606" w:type="dxa"/>
          </w:tcPr>
          <w:p w14:paraId="48F082E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Application to Estates and Trusts</w:t>
            </w:r>
          </w:p>
        </w:tc>
      </w:tr>
      <w:tr w:rsidR="00494B49" w:rsidRPr="003B0773" w14:paraId="475BFBD5" w14:textId="77777777" w:rsidTr="003B0773">
        <w:tc>
          <w:tcPr>
            <w:tcW w:w="9606" w:type="dxa"/>
          </w:tcPr>
          <w:p w14:paraId="38A5AFF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Calculation of Net Investment Income</w:t>
            </w:r>
          </w:p>
        </w:tc>
      </w:tr>
      <w:tr w:rsidR="00494B49" w:rsidRPr="003B0773" w14:paraId="52EA47DA" w14:textId="77777777" w:rsidTr="003B0773">
        <w:tc>
          <w:tcPr>
            <w:tcW w:w="9606" w:type="dxa"/>
          </w:tcPr>
          <w:p w14:paraId="2ED8EC34"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Legislative History</w:t>
            </w:r>
          </w:p>
        </w:tc>
      </w:tr>
      <w:tr w:rsidR="00494B49" w:rsidRPr="003B0773" w14:paraId="48783AFF" w14:textId="77777777" w:rsidTr="003B0773">
        <w:tc>
          <w:tcPr>
            <w:tcW w:w="9606" w:type="dxa"/>
          </w:tcPr>
          <w:p w14:paraId="00D3628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IRS Guidance and Regulations</w:t>
            </w:r>
          </w:p>
        </w:tc>
      </w:tr>
      <w:tr w:rsidR="00494B49" w:rsidRPr="003B0773" w14:paraId="02E14154" w14:textId="77777777" w:rsidTr="003B0773">
        <w:tc>
          <w:tcPr>
            <w:tcW w:w="9606" w:type="dxa"/>
          </w:tcPr>
          <w:p w14:paraId="477C33E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2013 Final Regulations</w:t>
            </w:r>
          </w:p>
        </w:tc>
      </w:tr>
      <w:tr w:rsidR="00494B49" w:rsidRPr="003B0773" w14:paraId="41A18080" w14:textId="77777777" w:rsidTr="003B0773">
        <w:tc>
          <w:tcPr>
            <w:tcW w:w="9606" w:type="dxa"/>
          </w:tcPr>
          <w:p w14:paraId="1693DD6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2013 Proposed Regulations</w:t>
            </w:r>
          </w:p>
        </w:tc>
      </w:tr>
      <w:tr w:rsidR="00494B49" w:rsidRPr="003B0773" w14:paraId="7C2B8CE7" w14:textId="77777777" w:rsidTr="003B0773">
        <w:tc>
          <w:tcPr>
            <w:tcW w:w="9606" w:type="dxa"/>
          </w:tcPr>
          <w:p w14:paraId="6BCB954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IRS.gov Frequently Asked Questions</w:t>
            </w:r>
          </w:p>
        </w:tc>
      </w:tr>
      <w:tr w:rsidR="00494B49" w:rsidRPr="003B0773" w14:paraId="21F4F053" w14:textId="77777777" w:rsidTr="003B0773">
        <w:tc>
          <w:tcPr>
            <w:tcW w:w="9606" w:type="dxa"/>
          </w:tcPr>
          <w:p w14:paraId="2DC9635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Effective Dates and Taxpayer Reliance</w:t>
            </w:r>
          </w:p>
        </w:tc>
      </w:tr>
      <w:tr w:rsidR="00494B49" w:rsidRPr="003B0773" w14:paraId="41B90275" w14:textId="77777777" w:rsidTr="003B0773">
        <w:tc>
          <w:tcPr>
            <w:tcW w:w="9606" w:type="dxa"/>
          </w:tcPr>
          <w:p w14:paraId="4CB47353"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II. General Operating Principles</w:t>
            </w:r>
          </w:p>
        </w:tc>
      </w:tr>
      <w:tr w:rsidR="00494B49" w:rsidRPr="003B0773" w14:paraId="23D42B84" w14:textId="77777777" w:rsidTr="003B0773">
        <w:tc>
          <w:tcPr>
            <w:tcW w:w="9606" w:type="dxa"/>
          </w:tcPr>
          <w:p w14:paraId="71A00B0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Chapter 1 Principles in Chapter 2A</w:t>
            </w:r>
          </w:p>
        </w:tc>
      </w:tr>
      <w:tr w:rsidR="00494B49" w:rsidRPr="003B0773" w14:paraId="27210A5A" w14:textId="77777777" w:rsidTr="003B0773">
        <w:tc>
          <w:tcPr>
            <w:tcW w:w="9606" w:type="dxa"/>
          </w:tcPr>
          <w:p w14:paraId="1D96394D"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Tax Credits</w:t>
            </w:r>
          </w:p>
        </w:tc>
      </w:tr>
      <w:tr w:rsidR="00494B49" w:rsidRPr="003B0773" w14:paraId="6E3CC349" w14:textId="77777777" w:rsidTr="003B0773">
        <w:tc>
          <w:tcPr>
            <w:tcW w:w="9606" w:type="dxa"/>
          </w:tcPr>
          <w:p w14:paraId="3996EE32"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Definitions</w:t>
            </w:r>
          </w:p>
        </w:tc>
      </w:tr>
      <w:tr w:rsidR="00494B49" w:rsidRPr="003B0773" w14:paraId="6612E25E" w14:textId="77777777" w:rsidTr="003B0773">
        <w:tc>
          <w:tcPr>
            <w:tcW w:w="9606" w:type="dxa"/>
          </w:tcPr>
          <w:p w14:paraId="2C1CC08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Net Investment Income </w:t>
            </w:r>
          </w:p>
        </w:tc>
      </w:tr>
      <w:tr w:rsidR="00494B49" w:rsidRPr="003B0773" w14:paraId="29E900A4" w14:textId="77777777" w:rsidTr="003B0773">
        <w:tc>
          <w:tcPr>
            <w:tcW w:w="9606" w:type="dxa"/>
          </w:tcPr>
          <w:p w14:paraId="7D831C7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Excluded Income </w:t>
            </w:r>
          </w:p>
        </w:tc>
      </w:tr>
      <w:tr w:rsidR="00494B49" w:rsidRPr="003B0773" w14:paraId="6FB5577E" w14:textId="77777777" w:rsidTr="003B0773">
        <w:tc>
          <w:tcPr>
            <w:tcW w:w="9606" w:type="dxa"/>
          </w:tcPr>
          <w:p w14:paraId="6ACA589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Trades or Businesses to Which the NIIT Applies</w:t>
            </w:r>
          </w:p>
        </w:tc>
      </w:tr>
      <w:tr w:rsidR="00494B49" w:rsidRPr="003B0773" w14:paraId="2FEEDE66" w14:textId="77777777" w:rsidTr="003B0773">
        <w:tc>
          <w:tcPr>
            <w:tcW w:w="9606" w:type="dxa"/>
          </w:tcPr>
          <w:p w14:paraId="1AEA774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Trade or Business That Is a Passive Activity — §1411(c)(2)(A)</w:t>
            </w:r>
          </w:p>
        </w:tc>
      </w:tr>
      <w:tr w:rsidR="00494B49" w:rsidRPr="003B0773" w14:paraId="3C1196F7" w14:textId="77777777" w:rsidTr="003B0773">
        <w:tc>
          <w:tcPr>
            <w:tcW w:w="9606" w:type="dxa"/>
          </w:tcPr>
          <w:p w14:paraId="79D6AF5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Passive Activities Under Section 469 </w:t>
            </w:r>
          </w:p>
        </w:tc>
      </w:tr>
      <w:tr w:rsidR="00494B49" w:rsidRPr="003B0773" w14:paraId="706D1ACC" w14:textId="77777777" w:rsidTr="003B0773">
        <w:tc>
          <w:tcPr>
            <w:tcW w:w="9606" w:type="dxa"/>
          </w:tcPr>
          <w:p w14:paraId="09D94D0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Effect of Section 469 Recharacterization Rules</w:t>
            </w:r>
          </w:p>
        </w:tc>
      </w:tr>
      <w:tr w:rsidR="00494B49" w:rsidRPr="003B0773" w14:paraId="28774E31" w14:textId="77777777" w:rsidTr="003B0773">
        <w:tc>
          <w:tcPr>
            <w:tcW w:w="9606" w:type="dxa"/>
          </w:tcPr>
          <w:p w14:paraId="24A9FDB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Net Income Recharacterization Rules</w:t>
            </w:r>
          </w:p>
        </w:tc>
      </w:tr>
      <w:tr w:rsidR="00494B49" w:rsidRPr="003B0773" w14:paraId="7AD8A935" w14:textId="77777777" w:rsidTr="003B0773">
        <w:tc>
          <w:tcPr>
            <w:tcW w:w="9606" w:type="dxa"/>
          </w:tcPr>
          <w:p w14:paraId="03FF792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Substantially Appreciated Property</w:t>
            </w:r>
          </w:p>
        </w:tc>
      </w:tr>
      <w:tr w:rsidR="00494B49" w:rsidRPr="003B0773" w14:paraId="0BC68AAC" w14:textId="77777777" w:rsidTr="003B0773">
        <w:tc>
          <w:tcPr>
            <w:tcW w:w="9606" w:type="dxa"/>
          </w:tcPr>
          <w:p w14:paraId="64E04BB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Activity Recharacterization Rules</w:t>
            </w:r>
          </w:p>
        </w:tc>
      </w:tr>
      <w:tr w:rsidR="00494B49" w:rsidRPr="003B0773" w14:paraId="78E886E3" w14:textId="77777777" w:rsidTr="003B0773">
        <w:tc>
          <w:tcPr>
            <w:tcW w:w="9606" w:type="dxa"/>
          </w:tcPr>
          <w:p w14:paraId="5AC2A95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Regrouping</w:t>
            </w:r>
          </w:p>
        </w:tc>
      </w:tr>
      <w:tr w:rsidR="00494B49" w:rsidRPr="003B0773" w14:paraId="07F08BB4" w14:textId="77777777" w:rsidTr="003B0773">
        <w:tc>
          <w:tcPr>
            <w:tcW w:w="9606" w:type="dxa"/>
          </w:tcPr>
          <w:p w14:paraId="0B8BA97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Trade or Business of Rental Real Estate</w:t>
            </w:r>
          </w:p>
        </w:tc>
      </w:tr>
      <w:tr w:rsidR="00494B49" w:rsidRPr="003B0773" w14:paraId="64C3C7FF" w14:textId="77777777" w:rsidTr="003B0773">
        <w:tc>
          <w:tcPr>
            <w:tcW w:w="9606" w:type="dxa"/>
          </w:tcPr>
          <w:p w14:paraId="322C3396" w14:textId="77777777" w:rsidR="00494B49" w:rsidRPr="003B0773" w:rsidRDefault="00494B49" w:rsidP="000463E5">
            <w:pPr>
              <w:tabs>
                <w:tab w:val="left" w:pos="4185"/>
              </w:tabs>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e. Farming Operations</w:t>
            </w:r>
            <w:r w:rsidRPr="003B0773">
              <w:rPr>
                <w:rFonts w:ascii="Times New Roman" w:hAnsi="Times New Roman" w:cs="Times New Roman"/>
                <w:snapToGrid w:val="0"/>
                <w:sz w:val="18"/>
                <w:szCs w:val="18"/>
              </w:rPr>
              <w:tab/>
            </w:r>
          </w:p>
        </w:tc>
      </w:tr>
      <w:tr w:rsidR="00494B49" w:rsidRPr="003B0773" w14:paraId="36FDCBD2" w14:textId="77777777" w:rsidTr="003B0773">
        <w:tc>
          <w:tcPr>
            <w:tcW w:w="9606" w:type="dxa"/>
          </w:tcPr>
          <w:p w14:paraId="45DC7EE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Trade or Business of Trading in Financial Instruments or Commodities — §1411(c)(2)(B)</w:t>
            </w:r>
          </w:p>
        </w:tc>
      </w:tr>
      <w:tr w:rsidR="00494B49" w:rsidRPr="003B0773" w14:paraId="108084E5" w14:textId="77777777" w:rsidTr="003B0773">
        <w:tc>
          <w:tcPr>
            <w:tcW w:w="9606" w:type="dxa"/>
          </w:tcPr>
          <w:p w14:paraId="418117F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Financial Instruments and Commodities</w:t>
            </w:r>
          </w:p>
        </w:tc>
      </w:tr>
      <w:tr w:rsidR="00494B49" w:rsidRPr="003B0773" w14:paraId="4967DBB2" w14:textId="77777777" w:rsidTr="003B0773">
        <w:tc>
          <w:tcPr>
            <w:tcW w:w="9606" w:type="dxa"/>
          </w:tcPr>
          <w:p w14:paraId="2D7700D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Interaction with Passive Activities</w:t>
            </w:r>
          </w:p>
        </w:tc>
      </w:tr>
      <w:tr w:rsidR="00494B49" w:rsidRPr="003B0773" w14:paraId="0C34D50C" w14:textId="77777777" w:rsidTr="003B0773">
        <w:tc>
          <w:tcPr>
            <w:tcW w:w="9606" w:type="dxa"/>
          </w:tcPr>
          <w:p w14:paraId="30642038"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III. "Gross" Net Investment Income — §1411(c)(1)(A) </w:t>
            </w:r>
          </w:p>
        </w:tc>
      </w:tr>
      <w:tr w:rsidR="00494B49" w:rsidRPr="003B0773" w14:paraId="15E23C1E" w14:textId="77777777" w:rsidTr="003B0773">
        <w:tc>
          <w:tcPr>
            <w:tcW w:w="9606" w:type="dxa"/>
          </w:tcPr>
          <w:p w14:paraId="61DDD28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w:t>
            </w:r>
          </w:p>
        </w:tc>
      </w:tr>
      <w:tr w:rsidR="00494B49" w:rsidRPr="003B0773" w14:paraId="799BF90C" w14:textId="77777777" w:rsidTr="003B0773">
        <w:tc>
          <w:tcPr>
            <w:tcW w:w="9606" w:type="dxa"/>
          </w:tcPr>
          <w:p w14:paraId="232911C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Interest, Dividends, Annuities, Royalties and Rents — §1411(c)(1)(A)(i)</w:t>
            </w:r>
          </w:p>
        </w:tc>
      </w:tr>
      <w:tr w:rsidR="00494B49" w:rsidRPr="003B0773" w14:paraId="0C0A57FF" w14:textId="77777777" w:rsidTr="003B0773">
        <w:tc>
          <w:tcPr>
            <w:tcW w:w="9606" w:type="dxa"/>
          </w:tcPr>
          <w:p w14:paraId="6FAE47E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Income from Investment of Working Capital</w:t>
            </w:r>
          </w:p>
        </w:tc>
      </w:tr>
      <w:tr w:rsidR="00494B49" w:rsidRPr="003B0773" w14:paraId="09D68486" w14:textId="77777777" w:rsidTr="003B0773">
        <w:tc>
          <w:tcPr>
            <w:tcW w:w="9606" w:type="dxa"/>
          </w:tcPr>
          <w:p w14:paraId="03DE7FB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`Derived in the Ordinary Course of a Trade or Business' Exception</w:t>
            </w:r>
          </w:p>
        </w:tc>
      </w:tr>
      <w:tr w:rsidR="00494B49" w:rsidRPr="003B0773" w14:paraId="66F4EE91" w14:textId="77777777" w:rsidTr="003B0773">
        <w:tc>
          <w:tcPr>
            <w:tcW w:w="9606" w:type="dxa"/>
          </w:tcPr>
          <w:p w14:paraId="05A6B18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Testing for a Trade or Business</w:t>
            </w:r>
          </w:p>
        </w:tc>
      </w:tr>
      <w:tr w:rsidR="00494B49" w:rsidRPr="003B0773" w14:paraId="5611AB96" w14:textId="77777777" w:rsidTr="003B0773">
        <w:tc>
          <w:tcPr>
            <w:tcW w:w="9606" w:type="dxa"/>
          </w:tcPr>
          <w:p w14:paraId="5D7113C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Derived in the Ordinary Course</w:t>
            </w:r>
          </w:p>
        </w:tc>
      </w:tr>
      <w:tr w:rsidR="00494B49" w:rsidRPr="003B0773" w14:paraId="6D5C6952" w14:textId="77777777" w:rsidTr="003B0773">
        <w:tc>
          <w:tcPr>
            <w:tcW w:w="9606" w:type="dxa"/>
          </w:tcPr>
          <w:p w14:paraId="7EF08CF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Role of §1411(c)(3) — Treatment of Working Capital</w:t>
            </w:r>
          </w:p>
        </w:tc>
      </w:tr>
      <w:tr w:rsidR="00494B49" w:rsidRPr="003B0773" w14:paraId="1DFC09AF" w14:textId="77777777" w:rsidTr="003B0773">
        <w:tc>
          <w:tcPr>
            <w:tcW w:w="9606" w:type="dxa"/>
          </w:tcPr>
          <w:p w14:paraId="0D41523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Interest</w:t>
            </w:r>
          </w:p>
        </w:tc>
      </w:tr>
      <w:tr w:rsidR="00494B49" w:rsidRPr="003B0773" w14:paraId="1652F298" w14:textId="77777777" w:rsidTr="003B0773">
        <w:tc>
          <w:tcPr>
            <w:tcW w:w="9606" w:type="dxa"/>
          </w:tcPr>
          <w:p w14:paraId="690C422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Interest and Interest-Equivalents</w:t>
            </w:r>
          </w:p>
        </w:tc>
      </w:tr>
      <w:tr w:rsidR="00494B49" w:rsidRPr="003B0773" w14:paraId="0C52B974" w14:textId="77777777" w:rsidTr="003B0773">
        <w:tc>
          <w:tcPr>
            <w:tcW w:w="9606" w:type="dxa"/>
          </w:tcPr>
          <w:p w14:paraId="0731609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Common Interest Income</w:t>
            </w:r>
          </w:p>
        </w:tc>
      </w:tr>
      <w:tr w:rsidR="00494B49" w:rsidRPr="003B0773" w14:paraId="322007ED" w14:textId="77777777" w:rsidTr="003B0773">
        <w:tc>
          <w:tcPr>
            <w:tcW w:w="9606" w:type="dxa"/>
          </w:tcPr>
          <w:p w14:paraId="5CA146A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Specific Items Treated as Interest for NIIT Purposes</w:t>
            </w:r>
          </w:p>
        </w:tc>
      </w:tr>
      <w:tr w:rsidR="00494B49" w:rsidRPr="003B0773" w14:paraId="610C85F0" w14:textId="77777777" w:rsidTr="003B0773">
        <w:tc>
          <w:tcPr>
            <w:tcW w:w="9606" w:type="dxa"/>
          </w:tcPr>
          <w:p w14:paraId="11DCDCB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Items Not Treated as Interest</w:t>
            </w:r>
          </w:p>
        </w:tc>
      </w:tr>
      <w:tr w:rsidR="00494B49" w:rsidRPr="003B0773" w14:paraId="69B2373C" w14:textId="77777777" w:rsidTr="003B0773">
        <w:tc>
          <w:tcPr>
            <w:tcW w:w="9606" w:type="dxa"/>
          </w:tcPr>
          <w:p w14:paraId="387B352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Interest Derived in the Ordinary Course of a Trade or Business </w:t>
            </w:r>
          </w:p>
        </w:tc>
      </w:tr>
      <w:tr w:rsidR="00494B49" w:rsidRPr="003B0773" w14:paraId="4BF34171" w14:textId="77777777" w:rsidTr="003B0773">
        <w:tc>
          <w:tcPr>
            <w:tcW w:w="9606" w:type="dxa"/>
          </w:tcPr>
          <w:p w14:paraId="74FDE97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Self-Charged Interest</w:t>
            </w:r>
          </w:p>
        </w:tc>
      </w:tr>
      <w:tr w:rsidR="00494B49" w:rsidRPr="003B0773" w14:paraId="19F91E80" w14:textId="77777777" w:rsidTr="003B0773">
        <w:tc>
          <w:tcPr>
            <w:tcW w:w="9606" w:type="dxa"/>
          </w:tcPr>
          <w:p w14:paraId="4E226E9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Existing Passive Loss Self-Charged Interest Rules </w:t>
            </w:r>
          </w:p>
        </w:tc>
      </w:tr>
      <w:tr w:rsidR="00494B49" w:rsidRPr="003B0773" w14:paraId="65F3B092" w14:textId="77777777" w:rsidTr="003B0773">
        <w:tc>
          <w:tcPr>
            <w:tcW w:w="9606" w:type="dxa"/>
          </w:tcPr>
          <w:p w14:paraId="0513DC3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Self-Charged Interest Rules Under NIIT</w:t>
            </w:r>
          </w:p>
        </w:tc>
      </w:tr>
      <w:tr w:rsidR="00494B49" w:rsidRPr="003B0773" w14:paraId="69560A3A" w14:textId="77777777" w:rsidTr="003B0773">
        <w:tc>
          <w:tcPr>
            <w:tcW w:w="9606" w:type="dxa"/>
          </w:tcPr>
          <w:p w14:paraId="50C9D0A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Interest Included in Net Earnings from Self-Employment</w:t>
            </w:r>
          </w:p>
        </w:tc>
      </w:tr>
      <w:tr w:rsidR="00494B49" w:rsidRPr="003B0773" w14:paraId="594E4030" w14:textId="77777777" w:rsidTr="003B0773">
        <w:tc>
          <w:tcPr>
            <w:tcW w:w="9606" w:type="dxa"/>
          </w:tcPr>
          <w:p w14:paraId="24D34D6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Dividends</w:t>
            </w:r>
          </w:p>
        </w:tc>
      </w:tr>
      <w:tr w:rsidR="00494B49" w:rsidRPr="003B0773" w14:paraId="10CE1C28" w14:textId="77777777" w:rsidTr="003B0773">
        <w:tc>
          <w:tcPr>
            <w:tcW w:w="9606" w:type="dxa"/>
          </w:tcPr>
          <w:p w14:paraId="2A01595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Dividends and Dividend-Equivalents</w:t>
            </w:r>
          </w:p>
        </w:tc>
      </w:tr>
      <w:tr w:rsidR="00494B49" w:rsidRPr="003B0773" w14:paraId="7693121B" w14:textId="77777777" w:rsidTr="003B0773">
        <w:tc>
          <w:tcPr>
            <w:tcW w:w="9606" w:type="dxa"/>
          </w:tcPr>
          <w:p w14:paraId="4E1AD61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Dividends Derived in the Ordinary Course of a Trade or Business </w:t>
            </w:r>
          </w:p>
        </w:tc>
      </w:tr>
      <w:tr w:rsidR="00494B49" w:rsidRPr="003B0773" w14:paraId="1031EC39" w14:textId="77777777" w:rsidTr="003B0773">
        <w:tc>
          <w:tcPr>
            <w:tcW w:w="9606" w:type="dxa"/>
          </w:tcPr>
          <w:p w14:paraId="032A7E0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Income from CFCs and PFICs</w:t>
            </w:r>
          </w:p>
        </w:tc>
      </w:tr>
      <w:tr w:rsidR="00494B49" w:rsidRPr="003B0773" w14:paraId="428FC1AB" w14:textId="77777777" w:rsidTr="003B0773">
        <w:tc>
          <w:tcPr>
            <w:tcW w:w="9606" w:type="dxa"/>
          </w:tcPr>
          <w:p w14:paraId="66400F1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Dividends Included in Net Earnings from Self-Employment</w:t>
            </w:r>
          </w:p>
        </w:tc>
      </w:tr>
      <w:tr w:rsidR="00494B49" w:rsidRPr="003B0773" w14:paraId="103B3B87" w14:textId="77777777" w:rsidTr="003B0773">
        <w:tc>
          <w:tcPr>
            <w:tcW w:w="9606" w:type="dxa"/>
          </w:tcPr>
          <w:p w14:paraId="20058E9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5. Annuities</w:t>
            </w:r>
          </w:p>
        </w:tc>
      </w:tr>
      <w:tr w:rsidR="00494B49" w:rsidRPr="003B0773" w14:paraId="579847B2" w14:textId="77777777" w:rsidTr="003B0773">
        <w:tc>
          <w:tcPr>
            <w:tcW w:w="9606" w:type="dxa"/>
          </w:tcPr>
          <w:p w14:paraId="4B675E4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Annuities</w:t>
            </w:r>
          </w:p>
        </w:tc>
      </w:tr>
      <w:tr w:rsidR="00494B49" w:rsidRPr="003B0773" w14:paraId="01DC193B" w14:textId="77777777" w:rsidTr="003B0773">
        <w:tc>
          <w:tcPr>
            <w:tcW w:w="9606" w:type="dxa"/>
          </w:tcPr>
          <w:p w14:paraId="08034E3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Foreign Pensions</w:t>
            </w:r>
          </w:p>
        </w:tc>
      </w:tr>
      <w:tr w:rsidR="00494B49" w:rsidRPr="003B0773" w14:paraId="3E1FD233" w14:textId="77777777" w:rsidTr="003B0773">
        <w:tc>
          <w:tcPr>
            <w:tcW w:w="9606" w:type="dxa"/>
          </w:tcPr>
          <w:p w14:paraId="73C094F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Lottery Winnings</w:t>
            </w:r>
          </w:p>
        </w:tc>
      </w:tr>
      <w:tr w:rsidR="00494B49" w:rsidRPr="003B0773" w14:paraId="70D8FDB6" w14:textId="77777777" w:rsidTr="003B0773">
        <w:tc>
          <w:tcPr>
            <w:tcW w:w="9606" w:type="dxa"/>
          </w:tcPr>
          <w:p w14:paraId="65CFD2D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Sales of Annuities, Endowment, and Life Insurance Contracts</w:t>
            </w:r>
          </w:p>
        </w:tc>
      </w:tr>
      <w:tr w:rsidR="00494B49" w:rsidRPr="003B0773" w14:paraId="02FB71E7" w14:textId="77777777" w:rsidTr="003B0773">
        <w:tc>
          <w:tcPr>
            <w:tcW w:w="9606" w:type="dxa"/>
          </w:tcPr>
          <w:p w14:paraId="4F8A2D5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Foreign Life Insurance Contacts</w:t>
            </w:r>
          </w:p>
        </w:tc>
      </w:tr>
      <w:tr w:rsidR="00494B49" w:rsidRPr="003B0773" w14:paraId="49F47CD3" w14:textId="77777777" w:rsidTr="003B0773">
        <w:tc>
          <w:tcPr>
            <w:tcW w:w="9606" w:type="dxa"/>
          </w:tcPr>
          <w:p w14:paraId="034D5CF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Annuities Derived in the Ordinary Course of a Trade or Business </w:t>
            </w:r>
          </w:p>
        </w:tc>
      </w:tr>
      <w:tr w:rsidR="00494B49" w:rsidRPr="003B0773" w14:paraId="26765203" w14:textId="77777777" w:rsidTr="003B0773">
        <w:tc>
          <w:tcPr>
            <w:tcW w:w="9606" w:type="dxa"/>
          </w:tcPr>
          <w:p w14:paraId="4365764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Information Reporting</w:t>
            </w:r>
          </w:p>
        </w:tc>
      </w:tr>
      <w:tr w:rsidR="00494B49" w:rsidRPr="003B0773" w14:paraId="22FFC2AC" w14:textId="77777777" w:rsidTr="003B0773">
        <w:tc>
          <w:tcPr>
            <w:tcW w:w="9606" w:type="dxa"/>
          </w:tcPr>
          <w:p w14:paraId="243511F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Royalties</w:t>
            </w:r>
          </w:p>
        </w:tc>
      </w:tr>
      <w:tr w:rsidR="00494B49" w:rsidRPr="003B0773" w14:paraId="399DF0DE" w14:textId="77777777" w:rsidTr="003B0773">
        <w:tc>
          <w:tcPr>
            <w:tcW w:w="9606" w:type="dxa"/>
          </w:tcPr>
          <w:p w14:paraId="48DBF6F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Royalties</w:t>
            </w:r>
          </w:p>
        </w:tc>
      </w:tr>
      <w:tr w:rsidR="00494B49" w:rsidRPr="003B0773" w14:paraId="38BFB784" w14:textId="77777777" w:rsidTr="003B0773">
        <w:tc>
          <w:tcPr>
            <w:tcW w:w="9606" w:type="dxa"/>
          </w:tcPr>
          <w:p w14:paraId="7B2E42A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Royalties Derived in the Ordinary Course of a Trade or Business</w:t>
            </w:r>
          </w:p>
        </w:tc>
      </w:tr>
      <w:tr w:rsidR="00494B49" w:rsidRPr="003B0773" w14:paraId="6F53EC00" w14:textId="77777777" w:rsidTr="003B0773">
        <w:tc>
          <w:tcPr>
            <w:tcW w:w="9606" w:type="dxa"/>
          </w:tcPr>
          <w:p w14:paraId="2DF01B4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Royalties from Intangibles Licensing</w:t>
            </w:r>
          </w:p>
        </w:tc>
      </w:tr>
      <w:tr w:rsidR="00494B49" w:rsidRPr="003B0773" w14:paraId="4FB71F95" w14:textId="77777777" w:rsidTr="003B0773">
        <w:tc>
          <w:tcPr>
            <w:tcW w:w="9606" w:type="dxa"/>
          </w:tcPr>
          <w:p w14:paraId="0191C17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Mineral Royalties</w:t>
            </w:r>
          </w:p>
        </w:tc>
      </w:tr>
      <w:tr w:rsidR="00494B49" w:rsidRPr="003B0773" w14:paraId="1D0EEC2B" w14:textId="77777777" w:rsidTr="003B0773">
        <w:tc>
          <w:tcPr>
            <w:tcW w:w="9606" w:type="dxa"/>
          </w:tcPr>
          <w:p w14:paraId="3F4389E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Self-Charged Royalties</w:t>
            </w:r>
          </w:p>
        </w:tc>
      </w:tr>
      <w:tr w:rsidR="00494B49" w:rsidRPr="003B0773" w14:paraId="3181CD3D" w14:textId="77777777" w:rsidTr="003B0773">
        <w:tc>
          <w:tcPr>
            <w:tcW w:w="9606" w:type="dxa"/>
          </w:tcPr>
          <w:p w14:paraId="6086E16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Existing Passive Loss Self-Charged Royalty Rules </w:t>
            </w:r>
          </w:p>
        </w:tc>
      </w:tr>
      <w:tr w:rsidR="00494B49" w:rsidRPr="003B0773" w14:paraId="597769E6" w14:textId="77777777" w:rsidTr="003B0773">
        <w:tc>
          <w:tcPr>
            <w:tcW w:w="9606" w:type="dxa"/>
          </w:tcPr>
          <w:p w14:paraId="5BAB661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Self-Charged Royalty Rules Under NIIT</w:t>
            </w:r>
          </w:p>
        </w:tc>
      </w:tr>
      <w:tr w:rsidR="00494B49" w:rsidRPr="003B0773" w14:paraId="411FC0C6" w14:textId="77777777" w:rsidTr="003B0773">
        <w:tc>
          <w:tcPr>
            <w:tcW w:w="9606" w:type="dxa"/>
          </w:tcPr>
          <w:p w14:paraId="5526809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Royalty Income Included in Net Earnings from Self-Employment</w:t>
            </w:r>
          </w:p>
        </w:tc>
      </w:tr>
      <w:tr w:rsidR="00494B49" w:rsidRPr="003B0773" w14:paraId="1E360F27" w14:textId="77777777" w:rsidTr="003B0773">
        <w:tc>
          <w:tcPr>
            <w:tcW w:w="9606" w:type="dxa"/>
          </w:tcPr>
          <w:p w14:paraId="7A33544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7. Rents</w:t>
            </w:r>
          </w:p>
        </w:tc>
      </w:tr>
      <w:tr w:rsidR="00494B49" w:rsidRPr="003B0773" w14:paraId="04E347CA" w14:textId="77777777" w:rsidTr="003B0773">
        <w:tc>
          <w:tcPr>
            <w:tcW w:w="9606" w:type="dxa"/>
          </w:tcPr>
          <w:p w14:paraId="1AF0045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Rents</w:t>
            </w:r>
          </w:p>
        </w:tc>
      </w:tr>
      <w:tr w:rsidR="00494B49" w:rsidRPr="003B0773" w14:paraId="7474EC3B" w14:textId="77777777" w:rsidTr="003B0773">
        <w:tc>
          <w:tcPr>
            <w:tcW w:w="9606" w:type="dxa"/>
          </w:tcPr>
          <w:p w14:paraId="1E45BD1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Rents Derived in the Ordinary Course of a Trade or Business </w:t>
            </w:r>
          </w:p>
        </w:tc>
      </w:tr>
      <w:tr w:rsidR="00494B49" w:rsidRPr="003B0773" w14:paraId="040DBCBA" w14:textId="77777777" w:rsidTr="003B0773">
        <w:tc>
          <w:tcPr>
            <w:tcW w:w="9606" w:type="dxa"/>
          </w:tcPr>
          <w:p w14:paraId="4497867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Self-Charged Rents</w:t>
            </w:r>
          </w:p>
        </w:tc>
      </w:tr>
      <w:tr w:rsidR="00494B49" w:rsidRPr="003B0773" w14:paraId="15A2BBFE" w14:textId="77777777" w:rsidTr="003B0773">
        <w:tc>
          <w:tcPr>
            <w:tcW w:w="9606" w:type="dxa"/>
          </w:tcPr>
          <w:p w14:paraId="1E0DE1F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Existing Passive Loss Self-Charged Rent Rules </w:t>
            </w:r>
          </w:p>
        </w:tc>
      </w:tr>
      <w:tr w:rsidR="00494B49" w:rsidRPr="003B0773" w14:paraId="2A382EBE" w14:textId="77777777" w:rsidTr="003B0773">
        <w:tc>
          <w:tcPr>
            <w:tcW w:w="9606" w:type="dxa"/>
          </w:tcPr>
          <w:p w14:paraId="1F12AB0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Self-Charged Rent Rules for NIIT Purposes</w:t>
            </w:r>
          </w:p>
        </w:tc>
      </w:tr>
      <w:tr w:rsidR="00494B49" w:rsidRPr="003B0773" w14:paraId="0DBC7478" w14:textId="77777777" w:rsidTr="003B0773">
        <w:tc>
          <w:tcPr>
            <w:tcW w:w="9606" w:type="dxa"/>
          </w:tcPr>
          <w:p w14:paraId="48660AE3"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Excluded Rental Income</w:t>
            </w:r>
          </w:p>
        </w:tc>
      </w:tr>
      <w:tr w:rsidR="00494B49" w:rsidRPr="003B0773" w14:paraId="7A4B8563" w14:textId="77777777" w:rsidTr="003B0773">
        <w:tc>
          <w:tcPr>
            <w:tcW w:w="9606" w:type="dxa"/>
          </w:tcPr>
          <w:p w14:paraId="11CCD672"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(b) Exclusion of Gain on Disposition of Self-Rented Property</w:t>
            </w:r>
          </w:p>
        </w:tc>
      </w:tr>
      <w:tr w:rsidR="00494B49" w:rsidRPr="003B0773" w14:paraId="1853843B" w14:textId="77777777" w:rsidTr="003B0773">
        <w:tc>
          <w:tcPr>
            <w:tcW w:w="9606" w:type="dxa"/>
          </w:tcPr>
          <w:p w14:paraId="3E492D1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Rents Received by Real Estate Professionals</w:t>
            </w:r>
          </w:p>
        </w:tc>
      </w:tr>
      <w:tr w:rsidR="00494B49" w:rsidRPr="003B0773" w14:paraId="61BF2B3D" w14:textId="77777777" w:rsidTr="003B0773">
        <w:tc>
          <w:tcPr>
            <w:tcW w:w="9606" w:type="dxa"/>
          </w:tcPr>
          <w:p w14:paraId="570479B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of Section 469 Treatment of Real Estate Professionals</w:t>
            </w:r>
          </w:p>
        </w:tc>
      </w:tr>
      <w:tr w:rsidR="00494B49" w:rsidRPr="003B0773" w14:paraId="2EE32029" w14:textId="77777777" w:rsidTr="003B0773">
        <w:tc>
          <w:tcPr>
            <w:tcW w:w="9606" w:type="dxa"/>
          </w:tcPr>
          <w:p w14:paraId="7DEAAC5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Disconnects Between Sections 469 and 1411 </w:t>
            </w:r>
          </w:p>
        </w:tc>
      </w:tr>
      <w:tr w:rsidR="00494B49" w:rsidRPr="003B0773" w14:paraId="2189660A" w14:textId="77777777" w:rsidTr="003B0773">
        <w:tc>
          <w:tcPr>
            <w:tcW w:w="9606" w:type="dxa"/>
          </w:tcPr>
          <w:p w14:paraId="5A559D8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Treatment of Real Estate Professionals Who Meet NIIT Safe Harbor</w:t>
            </w:r>
          </w:p>
        </w:tc>
      </w:tr>
      <w:tr w:rsidR="00494B49" w:rsidRPr="003B0773" w14:paraId="6E0B3206" w14:textId="77777777" w:rsidTr="003B0773">
        <w:tc>
          <w:tcPr>
            <w:tcW w:w="9606" w:type="dxa"/>
          </w:tcPr>
          <w:p w14:paraId="2F1C5C3C"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Safe Harbor Requirements</w:t>
            </w:r>
          </w:p>
        </w:tc>
      </w:tr>
      <w:tr w:rsidR="00494B49" w:rsidRPr="003B0773" w14:paraId="7895CA9F" w14:textId="77777777" w:rsidTr="003B0773">
        <w:tc>
          <w:tcPr>
            <w:tcW w:w="9606" w:type="dxa"/>
          </w:tcPr>
          <w:p w14:paraId="3E8B1447"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Consequences of Meeting Safe Harbor </w:t>
            </w:r>
          </w:p>
        </w:tc>
      </w:tr>
      <w:tr w:rsidR="00494B49" w:rsidRPr="003B0773" w14:paraId="663DD219" w14:textId="77777777" w:rsidTr="003B0773">
        <w:tc>
          <w:tcPr>
            <w:tcW w:w="9606" w:type="dxa"/>
          </w:tcPr>
          <w:p w14:paraId="258B260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Treatment of Real Estate Professionals Who Do Not Meet NIIT Safe Harbor</w:t>
            </w:r>
          </w:p>
        </w:tc>
      </w:tr>
      <w:tr w:rsidR="00494B49" w:rsidRPr="003B0773" w14:paraId="00B15A05" w14:textId="77777777" w:rsidTr="003B0773">
        <w:tc>
          <w:tcPr>
            <w:tcW w:w="9606" w:type="dxa"/>
          </w:tcPr>
          <w:p w14:paraId="6CB1EBD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e. Rental of Farm Land </w:t>
            </w:r>
          </w:p>
        </w:tc>
      </w:tr>
      <w:tr w:rsidR="00494B49" w:rsidRPr="003B0773" w14:paraId="0FEF3237" w14:textId="77777777" w:rsidTr="003B0773">
        <w:tc>
          <w:tcPr>
            <w:tcW w:w="9606" w:type="dxa"/>
          </w:tcPr>
          <w:p w14:paraId="2ED72D3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f. Difference Between `Rents' and Income from a §469 `Rental Activity'</w:t>
            </w:r>
          </w:p>
        </w:tc>
      </w:tr>
      <w:tr w:rsidR="00494B49" w:rsidRPr="003B0773" w14:paraId="75A6FFB4" w14:textId="77777777" w:rsidTr="003B0773">
        <w:tc>
          <w:tcPr>
            <w:tcW w:w="9606" w:type="dxa"/>
          </w:tcPr>
          <w:p w14:paraId="666617A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Other Income Items Derived from §1411(c)(2) Trades or Businesses — §1411(c)(1)(A)(ii)</w:t>
            </w:r>
          </w:p>
        </w:tc>
      </w:tr>
      <w:tr w:rsidR="00494B49" w:rsidRPr="003B0773" w14:paraId="527EEADC" w14:textId="77777777" w:rsidTr="003B0773">
        <w:tc>
          <w:tcPr>
            <w:tcW w:w="9606" w:type="dxa"/>
          </w:tcPr>
          <w:p w14:paraId="22AC993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Scope of Category II</w:t>
            </w:r>
          </w:p>
        </w:tc>
      </w:tr>
      <w:tr w:rsidR="00494B49" w:rsidRPr="003B0773" w14:paraId="574DC53A" w14:textId="77777777" w:rsidTr="003B0773">
        <w:tc>
          <w:tcPr>
            <w:tcW w:w="9606" w:type="dxa"/>
          </w:tcPr>
          <w:p w14:paraId="6A04DAE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Income from CFCs and PFICs as Category II Income</w:t>
            </w:r>
          </w:p>
        </w:tc>
      </w:tr>
      <w:tr w:rsidR="00494B49" w:rsidRPr="003B0773" w14:paraId="14C079AD" w14:textId="77777777" w:rsidTr="003B0773">
        <w:tc>
          <w:tcPr>
            <w:tcW w:w="9606" w:type="dxa"/>
          </w:tcPr>
          <w:p w14:paraId="5D94139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Net Gain from Disposition of Property — §1411(c)(1)(A)(iii)</w:t>
            </w:r>
          </w:p>
        </w:tc>
      </w:tr>
      <w:tr w:rsidR="00494B49" w:rsidRPr="003B0773" w14:paraId="5ED408A4" w14:textId="77777777" w:rsidTr="003B0773">
        <w:tc>
          <w:tcPr>
            <w:tcW w:w="9606" w:type="dxa"/>
          </w:tcPr>
          <w:p w14:paraId="370891F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Scope of Category III Income</w:t>
            </w:r>
          </w:p>
        </w:tc>
      </w:tr>
      <w:tr w:rsidR="00494B49" w:rsidRPr="003B0773" w14:paraId="00FFE51A" w14:textId="77777777" w:rsidTr="003B0773">
        <w:tc>
          <w:tcPr>
            <w:tcW w:w="9606" w:type="dxa"/>
          </w:tcPr>
          <w:p w14:paraId="075C74F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Gains and Losses Excluded from Taxable Income</w:t>
            </w:r>
          </w:p>
        </w:tc>
      </w:tr>
      <w:tr w:rsidR="00494B49" w:rsidRPr="003B0773" w14:paraId="7567640E" w14:textId="77777777" w:rsidTr="003B0773">
        <w:tc>
          <w:tcPr>
            <w:tcW w:w="9606" w:type="dxa"/>
          </w:tcPr>
          <w:p w14:paraId="7404C0D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Deferred Gain or Loss </w:t>
            </w:r>
          </w:p>
        </w:tc>
      </w:tr>
      <w:tr w:rsidR="00494B49" w:rsidRPr="003B0773" w14:paraId="483530B4" w14:textId="77777777" w:rsidTr="003B0773">
        <w:tc>
          <w:tcPr>
            <w:tcW w:w="9606" w:type="dxa"/>
          </w:tcPr>
          <w:p w14:paraId="1A76520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General Rule</w:t>
            </w:r>
          </w:p>
        </w:tc>
      </w:tr>
      <w:tr w:rsidR="00494B49" w:rsidRPr="003B0773" w14:paraId="29A18E21" w14:textId="77777777" w:rsidTr="003B0773">
        <w:tc>
          <w:tcPr>
            <w:tcW w:w="9606" w:type="dxa"/>
          </w:tcPr>
          <w:p w14:paraId="3B9A4DA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Opportunity Zone Funds</w:t>
            </w:r>
          </w:p>
        </w:tc>
      </w:tr>
      <w:tr w:rsidR="00494B49" w:rsidRPr="003B0773" w14:paraId="7CC72FEF" w14:textId="77777777" w:rsidTr="003B0773">
        <w:tc>
          <w:tcPr>
            <w:tcW w:w="9606" w:type="dxa"/>
          </w:tcPr>
          <w:p w14:paraId="35D6640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Installment Sales and Private Annuities </w:t>
            </w:r>
          </w:p>
        </w:tc>
      </w:tr>
      <w:tr w:rsidR="00494B49" w:rsidRPr="003B0773" w14:paraId="512BDAC5" w14:textId="77777777" w:rsidTr="003B0773">
        <w:tc>
          <w:tcPr>
            <w:tcW w:w="9606" w:type="dxa"/>
          </w:tcPr>
          <w:p w14:paraId="0086DF2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Gains and Losses from Entities </w:t>
            </w:r>
          </w:p>
        </w:tc>
      </w:tr>
      <w:tr w:rsidR="00494B49" w:rsidRPr="003B0773" w14:paraId="06E6A9CE" w14:textId="77777777" w:rsidTr="003B0773">
        <w:tc>
          <w:tcPr>
            <w:tcW w:w="9606" w:type="dxa"/>
          </w:tcPr>
          <w:p w14:paraId="1A749E3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e. Pre-2013 Capital Loss Carryforwards</w:t>
            </w:r>
          </w:p>
        </w:tc>
      </w:tr>
      <w:tr w:rsidR="00494B49" w:rsidRPr="003B0773" w14:paraId="40D42E94" w14:textId="77777777" w:rsidTr="003B0773">
        <w:tc>
          <w:tcPr>
            <w:tcW w:w="9606" w:type="dxa"/>
          </w:tcPr>
          <w:p w14:paraId="5A0D070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Net Gain Attributable to Investment of Working Capital</w:t>
            </w:r>
          </w:p>
        </w:tc>
      </w:tr>
      <w:tr w:rsidR="00494B49" w:rsidRPr="003B0773" w14:paraId="052E5ABF" w14:textId="77777777" w:rsidTr="003B0773">
        <w:tc>
          <w:tcPr>
            <w:tcW w:w="9606" w:type="dxa"/>
          </w:tcPr>
          <w:p w14:paraId="270BA7B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Sale of Partnership Interest or S Corporation Stock</w:t>
            </w:r>
          </w:p>
        </w:tc>
      </w:tr>
      <w:tr w:rsidR="00494B49" w:rsidRPr="003B0773" w14:paraId="0D3E8C6C" w14:textId="77777777" w:rsidTr="003B0773">
        <w:tc>
          <w:tcPr>
            <w:tcW w:w="9606" w:type="dxa"/>
          </w:tcPr>
          <w:p w14:paraId="5E5C127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`Dispositions'</w:t>
            </w:r>
          </w:p>
        </w:tc>
      </w:tr>
      <w:tr w:rsidR="00494B49" w:rsidRPr="003B0773" w14:paraId="482E00D2" w14:textId="77777777" w:rsidTr="003B0773">
        <w:tc>
          <w:tcPr>
            <w:tcW w:w="9606" w:type="dxa"/>
          </w:tcPr>
          <w:p w14:paraId="339DCF7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Interaction with Properly Allocable Deductions </w:t>
            </w:r>
          </w:p>
        </w:tc>
      </w:tr>
      <w:tr w:rsidR="00494B49" w:rsidRPr="003B0773" w14:paraId="30085293" w14:textId="77777777" w:rsidTr="003B0773">
        <w:tc>
          <w:tcPr>
            <w:tcW w:w="9606" w:type="dxa"/>
          </w:tcPr>
          <w:p w14:paraId="27E24F4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Capital vs. Ordinary Gains and Losses</w:t>
            </w:r>
          </w:p>
        </w:tc>
      </w:tr>
      <w:tr w:rsidR="00494B49" w:rsidRPr="003B0773" w14:paraId="2DA1B68A" w14:textId="77777777" w:rsidTr="003B0773">
        <w:tc>
          <w:tcPr>
            <w:tcW w:w="9606" w:type="dxa"/>
          </w:tcPr>
          <w:p w14:paraId="4A54ADF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7. Exception for Gain or Loss Attributable to Property Held in a Non-§1411(c)(2) Trade or Business</w:t>
            </w:r>
          </w:p>
        </w:tc>
      </w:tr>
      <w:tr w:rsidR="00494B49" w:rsidRPr="003B0773" w14:paraId="72724B1C" w14:textId="77777777" w:rsidTr="003B0773">
        <w:tc>
          <w:tcPr>
            <w:tcW w:w="9606" w:type="dxa"/>
          </w:tcPr>
          <w:p w14:paraId="2FE4AA9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Held for Use in a Non-§1411(c)(2) Trade or Business</w:t>
            </w:r>
          </w:p>
        </w:tc>
      </w:tr>
      <w:tr w:rsidR="00494B49" w:rsidRPr="003B0773" w14:paraId="2C056E1D" w14:textId="77777777" w:rsidTr="003B0773">
        <w:tc>
          <w:tcPr>
            <w:tcW w:w="9606" w:type="dxa"/>
          </w:tcPr>
          <w:p w14:paraId="25B8579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`Held' vs. `Used' vs. `Held for Use'</w:t>
            </w:r>
          </w:p>
        </w:tc>
      </w:tr>
      <w:tr w:rsidR="00494B49" w:rsidRPr="003B0773" w14:paraId="1D35169E" w14:textId="77777777" w:rsidTr="003B0773">
        <w:tc>
          <w:tcPr>
            <w:tcW w:w="9606" w:type="dxa"/>
          </w:tcPr>
          <w:p w14:paraId="675E06B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1231 Classification as a Proxy?</w:t>
            </w:r>
          </w:p>
        </w:tc>
      </w:tr>
      <w:tr w:rsidR="00494B49" w:rsidRPr="003B0773" w14:paraId="68D65A6E" w14:textId="77777777" w:rsidTr="003B0773">
        <w:tc>
          <w:tcPr>
            <w:tcW w:w="9606" w:type="dxa"/>
          </w:tcPr>
          <w:p w14:paraId="18B1675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Section 167 as a Proxy?</w:t>
            </w:r>
          </w:p>
        </w:tc>
      </w:tr>
      <w:tr w:rsidR="00494B49" w:rsidRPr="003B0773" w14:paraId="0B127CE4" w14:textId="77777777" w:rsidTr="003B0773">
        <w:tc>
          <w:tcPr>
            <w:tcW w:w="9606" w:type="dxa"/>
          </w:tcPr>
          <w:p w14:paraId="0258286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Section 1221(a)(2) as a Proxy?</w:t>
            </w:r>
          </w:p>
        </w:tc>
      </w:tr>
      <w:tr w:rsidR="00494B49" w:rsidRPr="003B0773" w14:paraId="4CA0E9CD" w14:textId="77777777" w:rsidTr="003B0773">
        <w:tc>
          <w:tcPr>
            <w:tcW w:w="9606" w:type="dxa"/>
          </w:tcPr>
          <w:p w14:paraId="5F4DF44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Working Capital</w:t>
            </w:r>
          </w:p>
        </w:tc>
      </w:tr>
      <w:tr w:rsidR="00494B49" w:rsidRPr="003B0773" w14:paraId="3F568556" w14:textId="77777777" w:rsidTr="003B0773">
        <w:tc>
          <w:tcPr>
            <w:tcW w:w="9606" w:type="dxa"/>
          </w:tcPr>
          <w:p w14:paraId="543639D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Application to Certain Nonpassive Activities Arising from §469 Recharacterizations </w:t>
            </w:r>
          </w:p>
        </w:tc>
      </w:tr>
      <w:tr w:rsidR="00494B49" w:rsidRPr="003B0773" w14:paraId="1D85770F" w14:textId="77777777" w:rsidTr="003B0773">
        <w:tc>
          <w:tcPr>
            <w:tcW w:w="9606" w:type="dxa"/>
          </w:tcPr>
          <w:p w14:paraId="75461AF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(1) Income Recharacterizations — Under Reg. §1.469-2(f)(10)</w:t>
            </w:r>
          </w:p>
        </w:tc>
      </w:tr>
      <w:tr w:rsidR="00494B49" w:rsidRPr="003B0773" w14:paraId="2A268CA1" w14:textId="77777777" w:rsidTr="003B0773">
        <w:tc>
          <w:tcPr>
            <w:tcW w:w="9606" w:type="dxa"/>
          </w:tcPr>
          <w:p w14:paraId="243541B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Income Recharacterizations Beyond/Apart from Reg. §1.469-2(f)(10)</w:t>
            </w:r>
          </w:p>
        </w:tc>
      </w:tr>
      <w:tr w:rsidR="00494B49" w:rsidRPr="003B0773" w14:paraId="7421FEC2" w14:textId="77777777" w:rsidTr="003B0773">
        <w:tc>
          <w:tcPr>
            <w:tcW w:w="9606" w:type="dxa"/>
          </w:tcPr>
          <w:p w14:paraId="23EDC81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Activity Recharacterizations</w:t>
            </w:r>
          </w:p>
        </w:tc>
      </w:tr>
      <w:tr w:rsidR="00494B49" w:rsidRPr="003B0773" w14:paraId="7DDC84C9" w14:textId="77777777" w:rsidTr="003B0773">
        <w:tc>
          <w:tcPr>
            <w:tcW w:w="9606" w:type="dxa"/>
          </w:tcPr>
          <w:p w14:paraId="5737419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Gains and Losses Taken into Account in Computing Net Earnings from Self-Employment </w:t>
            </w:r>
          </w:p>
        </w:tc>
      </w:tr>
      <w:tr w:rsidR="00494B49" w:rsidRPr="003B0773" w14:paraId="7D69D295" w14:textId="77777777" w:rsidTr="003B0773">
        <w:tc>
          <w:tcPr>
            <w:tcW w:w="9606" w:type="dxa"/>
          </w:tcPr>
          <w:p w14:paraId="0FDF1D0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8. Special Treatment of Carryover Capital Losses </w:t>
            </w:r>
          </w:p>
        </w:tc>
      </w:tr>
      <w:tr w:rsidR="00494B49" w:rsidRPr="003B0773" w14:paraId="7D220234" w14:textId="77777777" w:rsidTr="003B0773">
        <w:tc>
          <w:tcPr>
            <w:tcW w:w="9606" w:type="dxa"/>
          </w:tcPr>
          <w:p w14:paraId="5FC0A90B"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E. Special Rules</w:t>
            </w:r>
          </w:p>
        </w:tc>
      </w:tr>
      <w:tr w:rsidR="00494B49" w:rsidRPr="003B0773" w14:paraId="60DF5C2F" w14:textId="77777777" w:rsidTr="003B0773">
        <w:tc>
          <w:tcPr>
            <w:tcW w:w="9606" w:type="dxa"/>
          </w:tcPr>
          <w:p w14:paraId="1CBB84B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Treatment of Receipts and Payments on Notional Principal Contracts </w:t>
            </w:r>
          </w:p>
        </w:tc>
      </w:tr>
      <w:tr w:rsidR="00494B49" w:rsidRPr="003B0773" w14:paraId="04A8D7D7" w14:textId="77777777" w:rsidTr="003B0773">
        <w:tc>
          <w:tcPr>
            <w:tcW w:w="9606" w:type="dxa"/>
          </w:tcPr>
          <w:p w14:paraId="73E0730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Notional Principal Contracts Held in a §1411 Trade or Business</w:t>
            </w:r>
          </w:p>
        </w:tc>
      </w:tr>
      <w:tr w:rsidR="00494B49" w:rsidRPr="003B0773" w14:paraId="5E490C4C" w14:textId="77777777" w:rsidTr="003B0773">
        <w:tc>
          <w:tcPr>
            <w:tcW w:w="9606" w:type="dxa"/>
          </w:tcPr>
          <w:p w14:paraId="5C6D0AE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Notional Principal Contracts Held for Investment </w:t>
            </w:r>
          </w:p>
        </w:tc>
      </w:tr>
      <w:tr w:rsidR="00494B49" w:rsidRPr="003B0773" w14:paraId="798BF044" w14:textId="77777777" w:rsidTr="003B0773">
        <w:tc>
          <w:tcPr>
            <w:tcW w:w="9606" w:type="dxa"/>
          </w:tcPr>
          <w:p w14:paraId="3369B68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Treatment of Income and Deductions</w:t>
            </w:r>
          </w:p>
        </w:tc>
      </w:tr>
      <w:tr w:rsidR="00494B49" w:rsidRPr="003B0773" w14:paraId="3491A198" w14:textId="77777777" w:rsidTr="003B0773">
        <w:tc>
          <w:tcPr>
            <w:tcW w:w="9606" w:type="dxa"/>
          </w:tcPr>
          <w:p w14:paraId="088D6CB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Limited Scope of NPCs</w:t>
            </w:r>
          </w:p>
        </w:tc>
      </w:tr>
      <w:tr w:rsidR="00494B49" w:rsidRPr="003B0773" w14:paraId="2B3D4A10" w14:textId="77777777" w:rsidTr="003B0773">
        <w:tc>
          <w:tcPr>
            <w:tcW w:w="9606" w:type="dxa"/>
          </w:tcPr>
          <w:p w14:paraId="51F125A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Treatment of Income or Loss Attributable to Residual Interests in REMICs </w:t>
            </w:r>
          </w:p>
        </w:tc>
      </w:tr>
      <w:tr w:rsidR="00494B49" w:rsidRPr="003B0773" w14:paraId="16D72E60" w14:textId="77777777" w:rsidTr="003B0773">
        <w:tc>
          <w:tcPr>
            <w:tcW w:w="9606" w:type="dxa"/>
          </w:tcPr>
          <w:p w14:paraId="694F009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Treatment of Participants in Common Trust Funds </w:t>
            </w:r>
          </w:p>
        </w:tc>
      </w:tr>
      <w:tr w:rsidR="00494B49" w:rsidRPr="003B0773" w14:paraId="19323272" w14:textId="77777777" w:rsidTr="003B0773">
        <w:tc>
          <w:tcPr>
            <w:tcW w:w="9606" w:type="dxa"/>
          </w:tcPr>
          <w:p w14:paraId="581ADA3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Treatment of §707(c) Guaranteed Payments </w:t>
            </w:r>
          </w:p>
        </w:tc>
      </w:tr>
      <w:tr w:rsidR="00494B49" w:rsidRPr="003B0773" w14:paraId="06AD7EE0" w14:textId="77777777" w:rsidTr="003B0773">
        <w:tc>
          <w:tcPr>
            <w:tcW w:w="9606" w:type="dxa"/>
          </w:tcPr>
          <w:p w14:paraId="35C5F75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Subchapter K Treatment</w:t>
            </w:r>
          </w:p>
        </w:tc>
      </w:tr>
      <w:tr w:rsidR="00494B49" w:rsidRPr="003B0773" w14:paraId="2D4F9605" w14:textId="77777777" w:rsidTr="003B0773">
        <w:tc>
          <w:tcPr>
            <w:tcW w:w="9606" w:type="dxa"/>
          </w:tcPr>
          <w:p w14:paraId="48E8FD7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Passive Loss Treatment</w:t>
            </w:r>
          </w:p>
        </w:tc>
      </w:tr>
      <w:tr w:rsidR="00494B49" w:rsidRPr="003B0773" w14:paraId="2E86AD90" w14:textId="77777777" w:rsidTr="003B0773">
        <w:tc>
          <w:tcPr>
            <w:tcW w:w="9606" w:type="dxa"/>
          </w:tcPr>
          <w:p w14:paraId="613AF99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NIIT Treatment</w:t>
            </w:r>
          </w:p>
        </w:tc>
      </w:tr>
      <w:tr w:rsidR="00494B49" w:rsidRPr="003B0773" w14:paraId="1BBE5093" w14:textId="77777777" w:rsidTr="003B0773">
        <w:tc>
          <w:tcPr>
            <w:tcW w:w="9606" w:type="dxa"/>
          </w:tcPr>
          <w:p w14:paraId="7FBD499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Treatment of §736 Payments </w:t>
            </w:r>
          </w:p>
        </w:tc>
      </w:tr>
      <w:tr w:rsidR="00494B49" w:rsidRPr="003B0773" w14:paraId="1A744DED" w14:textId="77777777" w:rsidTr="003B0773">
        <w:tc>
          <w:tcPr>
            <w:tcW w:w="9606" w:type="dxa"/>
          </w:tcPr>
          <w:p w14:paraId="6F25DBF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Subchapter K Treatment</w:t>
            </w:r>
          </w:p>
        </w:tc>
      </w:tr>
      <w:tr w:rsidR="00494B49" w:rsidRPr="003B0773" w14:paraId="3BDA27F8" w14:textId="77777777" w:rsidTr="003B0773">
        <w:tc>
          <w:tcPr>
            <w:tcW w:w="9606" w:type="dxa"/>
          </w:tcPr>
          <w:p w14:paraId="7ADE43C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736(b) Payments</w:t>
            </w:r>
          </w:p>
        </w:tc>
      </w:tr>
      <w:tr w:rsidR="00494B49" w:rsidRPr="003B0773" w14:paraId="0BF5FA20" w14:textId="77777777" w:rsidTr="003B0773">
        <w:tc>
          <w:tcPr>
            <w:tcW w:w="9606" w:type="dxa"/>
          </w:tcPr>
          <w:p w14:paraId="3B3C1B7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736(a) Payments</w:t>
            </w:r>
          </w:p>
        </w:tc>
      </w:tr>
      <w:tr w:rsidR="00494B49" w:rsidRPr="003B0773" w14:paraId="0C80698D" w14:textId="77777777" w:rsidTr="003B0773">
        <w:tc>
          <w:tcPr>
            <w:tcW w:w="9606" w:type="dxa"/>
          </w:tcPr>
          <w:p w14:paraId="76894DF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Passive Loss Treatment</w:t>
            </w:r>
          </w:p>
        </w:tc>
      </w:tr>
      <w:tr w:rsidR="00494B49" w:rsidRPr="003B0773" w14:paraId="7420F897" w14:textId="77777777" w:rsidTr="003B0773">
        <w:tc>
          <w:tcPr>
            <w:tcW w:w="9606" w:type="dxa"/>
          </w:tcPr>
          <w:p w14:paraId="355E0CE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Passive Loss Treatment of §736(b) Payments</w:t>
            </w:r>
          </w:p>
        </w:tc>
      </w:tr>
      <w:tr w:rsidR="00494B49" w:rsidRPr="003B0773" w14:paraId="4AF02814" w14:textId="77777777" w:rsidTr="003B0773">
        <w:tc>
          <w:tcPr>
            <w:tcW w:w="9606" w:type="dxa"/>
          </w:tcPr>
          <w:p w14:paraId="2FEDA56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Passive Loss Treatment of §736(a) Payments</w:t>
            </w:r>
          </w:p>
        </w:tc>
      </w:tr>
      <w:tr w:rsidR="00494B49" w:rsidRPr="003B0773" w14:paraId="47EEE5A9" w14:textId="77777777" w:rsidTr="003B0773">
        <w:tc>
          <w:tcPr>
            <w:tcW w:w="9606" w:type="dxa"/>
          </w:tcPr>
          <w:p w14:paraId="7A3E6D2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NIIT Treatment</w:t>
            </w:r>
          </w:p>
        </w:tc>
      </w:tr>
      <w:tr w:rsidR="00494B49" w:rsidRPr="003B0773" w14:paraId="558489A4" w14:textId="77777777" w:rsidTr="003B0773">
        <w:tc>
          <w:tcPr>
            <w:tcW w:w="9606" w:type="dxa"/>
          </w:tcPr>
          <w:p w14:paraId="32ED528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NIIT Treatment of Payments</w:t>
            </w:r>
          </w:p>
        </w:tc>
      </w:tr>
      <w:tr w:rsidR="00494B49" w:rsidRPr="003B0773" w14:paraId="3F621324" w14:textId="77777777" w:rsidTr="003B0773">
        <w:tc>
          <w:tcPr>
            <w:tcW w:w="9606" w:type="dxa"/>
          </w:tcPr>
          <w:p w14:paraId="58A14F0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NIIT Treatment of §736(a) Payments</w:t>
            </w:r>
          </w:p>
        </w:tc>
      </w:tr>
      <w:tr w:rsidR="00494B49" w:rsidRPr="003B0773" w14:paraId="7EC77D25" w14:textId="77777777" w:rsidTr="003B0773">
        <w:tc>
          <w:tcPr>
            <w:tcW w:w="9606" w:type="dxa"/>
          </w:tcPr>
          <w:p w14:paraId="3085241F"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NIIT Treatment of §736(a)(1) Payments</w:t>
            </w:r>
          </w:p>
        </w:tc>
      </w:tr>
      <w:tr w:rsidR="00494B49" w:rsidRPr="003B0773" w14:paraId="43F00C66" w14:textId="77777777" w:rsidTr="003B0773">
        <w:tc>
          <w:tcPr>
            <w:tcW w:w="9606" w:type="dxa"/>
          </w:tcPr>
          <w:p w14:paraId="4618E402"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NIIT Treatment of §736(a)(2) Payments </w:t>
            </w:r>
          </w:p>
        </w:tc>
      </w:tr>
      <w:tr w:rsidR="00494B49" w:rsidRPr="003B0773" w14:paraId="25E2C7B4" w14:textId="77777777" w:rsidTr="003B0773">
        <w:tc>
          <w:tcPr>
            <w:tcW w:w="9606" w:type="dxa"/>
          </w:tcPr>
          <w:p w14:paraId="6B187F91"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IV. Excluded Income </w:t>
            </w:r>
          </w:p>
        </w:tc>
      </w:tr>
      <w:tr w:rsidR="00494B49" w:rsidRPr="003B0773" w14:paraId="013B4FC6" w14:textId="77777777" w:rsidTr="003B0773">
        <w:tc>
          <w:tcPr>
            <w:tcW w:w="9606" w:type="dxa"/>
          </w:tcPr>
          <w:p w14:paraId="0813F8C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General Categories </w:t>
            </w:r>
          </w:p>
        </w:tc>
      </w:tr>
      <w:tr w:rsidR="00494B49" w:rsidRPr="003B0773" w14:paraId="73C4455E" w14:textId="77777777" w:rsidTr="003B0773">
        <w:tc>
          <w:tcPr>
            <w:tcW w:w="9606" w:type="dxa"/>
          </w:tcPr>
          <w:p w14:paraId="5B7006DD"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Type 1 — Items Excluded from Gross Income </w:t>
            </w:r>
          </w:p>
        </w:tc>
      </w:tr>
      <w:tr w:rsidR="00494B49" w:rsidRPr="003B0773" w14:paraId="3F46649E" w14:textId="77777777" w:rsidTr="003B0773">
        <w:tc>
          <w:tcPr>
            <w:tcW w:w="9606" w:type="dxa"/>
          </w:tcPr>
          <w:p w14:paraId="4BA620D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Type 2 — Items Not Included in Net Investment Income </w:t>
            </w:r>
          </w:p>
        </w:tc>
      </w:tr>
      <w:tr w:rsidR="00494B49" w:rsidRPr="003B0773" w14:paraId="27690EB8" w14:textId="77777777" w:rsidTr="003B0773">
        <w:tc>
          <w:tcPr>
            <w:tcW w:w="9606" w:type="dxa"/>
          </w:tcPr>
          <w:p w14:paraId="0A8EE80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Wages and Other Employee Payments </w:t>
            </w:r>
          </w:p>
        </w:tc>
      </w:tr>
      <w:tr w:rsidR="00494B49" w:rsidRPr="003B0773" w14:paraId="697FBE76" w14:textId="77777777" w:rsidTr="003B0773">
        <w:tc>
          <w:tcPr>
            <w:tcW w:w="9606" w:type="dxa"/>
          </w:tcPr>
          <w:p w14:paraId="0466741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Unemployment Compensation and Social Security Benefits</w:t>
            </w:r>
          </w:p>
        </w:tc>
      </w:tr>
      <w:tr w:rsidR="00494B49" w:rsidRPr="003B0773" w14:paraId="6962697A" w14:textId="77777777" w:rsidTr="003B0773">
        <w:tc>
          <w:tcPr>
            <w:tcW w:w="9606" w:type="dxa"/>
          </w:tcPr>
          <w:p w14:paraId="64BAB29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Alimony </w:t>
            </w:r>
          </w:p>
        </w:tc>
      </w:tr>
      <w:tr w:rsidR="00494B49" w:rsidRPr="003B0773" w14:paraId="54487E42" w14:textId="77777777" w:rsidTr="003B0773">
        <w:tc>
          <w:tcPr>
            <w:tcW w:w="9606" w:type="dxa"/>
          </w:tcPr>
          <w:p w14:paraId="7F755B9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Alaska Permanent Fund Dividends</w:t>
            </w:r>
          </w:p>
        </w:tc>
      </w:tr>
      <w:tr w:rsidR="00494B49" w:rsidRPr="003B0773" w14:paraId="0A3F0EA1" w14:textId="77777777" w:rsidTr="003B0773">
        <w:tc>
          <w:tcPr>
            <w:tcW w:w="9606" w:type="dxa"/>
          </w:tcPr>
          <w:p w14:paraId="7C209D4A"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Type 3 — Items Specifically Excluded by §1411 and §1411 Regulations</w:t>
            </w:r>
          </w:p>
        </w:tc>
      </w:tr>
      <w:tr w:rsidR="00494B49" w:rsidRPr="003B0773" w14:paraId="7C6E5B5C" w14:textId="77777777" w:rsidTr="003B0773">
        <w:tc>
          <w:tcPr>
            <w:tcW w:w="9606" w:type="dxa"/>
          </w:tcPr>
          <w:p w14:paraId="3020FBF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Distributions from Qualified Plans — §1411(c)(5) </w:t>
            </w:r>
          </w:p>
        </w:tc>
      </w:tr>
      <w:tr w:rsidR="00494B49" w:rsidRPr="003B0773" w14:paraId="7FBAF629" w14:textId="77777777" w:rsidTr="003B0773">
        <w:tc>
          <w:tcPr>
            <w:tcW w:w="9606" w:type="dxa"/>
          </w:tcPr>
          <w:p w14:paraId="30B3E09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1411(c)(6) — Earnings Subject to Self-Employment Tax</w:t>
            </w:r>
          </w:p>
        </w:tc>
      </w:tr>
      <w:tr w:rsidR="00494B49" w:rsidRPr="003B0773" w14:paraId="22AD161C" w14:textId="77777777" w:rsidTr="003B0773">
        <w:tc>
          <w:tcPr>
            <w:tcW w:w="9606" w:type="dxa"/>
          </w:tcPr>
          <w:p w14:paraId="42827AC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General Rule — Excluded Income</w:t>
            </w:r>
          </w:p>
        </w:tc>
      </w:tr>
      <w:tr w:rsidR="00494B49" w:rsidRPr="003B0773" w14:paraId="64A98C94" w14:textId="77777777" w:rsidTr="003B0773">
        <w:tc>
          <w:tcPr>
            <w:tcW w:w="9606" w:type="dxa"/>
          </w:tcPr>
          <w:p w14:paraId="653606A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Investors in a Limited Partnership Investor Fund</w:t>
            </w:r>
          </w:p>
        </w:tc>
      </w:tr>
      <w:tr w:rsidR="00494B49" w:rsidRPr="003B0773" w14:paraId="581CAC88" w14:textId="77777777" w:rsidTr="003B0773">
        <w:tc>
          <w:tcPr>
            <w:tcW w:w="9606" w:type="dxa"/>
          </w:tcPr>
          <w:p w14:paraId="5783032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Investors in a Trading Fund</w:t>
            </w:r>
          </w:p>
        </w:tc>
      </w:tr>
      <w:tr w:rsidR="00494B49" w:rsidRPr="003B0773" w14:paraId="16CDAAFF" w14:textId="77777777" w:rsidTr="003B0773">
        <w:tc>
          <w:tcPr>
            <w:tcW w:w="9606" w:type="dxa"/>
          </w:tcPr>
          <w:p w14:paraId="5F13D48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Treatment of Managers</w:t>
            </w:r>
          </w:p>
        </w:tc>
      </w:tr>
      <w:tr w:rsidR="00494B49" w:rsidRPr="003B0773" w14:paraId="1F34871D" w14:textId="77777777" w:rsidTr="003B0773">
        <w:tc>
          <w:tcPr>
            <w:tcW w:w="9606" w:type="dxa"/>
          </w:tcPr>
          <w:p w14:paraId="6B25AB96"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V. Properly Allocable Deductions — §1411(c)(1)(B)</w:t>
            </w:r>
          </w:p>
        </w:tc>
      </w:tr>
      <w:tr w:rsidR="00494B49" w:rsidRPr="003B0773" w14:paraId="7D33EE9D" w14:textId="77777777" w:rsidTr="003B0773">
        <w:tc>
          <w:tcPr>
            <w:tcW w:w="9606" w:type="dxa"/>
          </w:tcPr>
          <w:p w14:paraId="3D30337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Overview </w:t>
            </w:r>
          </w:p>
        </w:tc>
      </w:tr>
      <w:tr w:rsidR="00494B49" w:rsidRPr="003B0773" w14:paraId="1AD813CA" w14:textId="77777777" w:rsidTr="003B0773">
        <w:tc>
          <w:tcPr>
            <w:tcW w:w="9606" w:type="dxa"/>
          </w:tcPr>
          <w:p w14:paraId="4C5603A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Nondeductible Items</w:t>
            </w:r>
          </w:p>
        </w:tc>
      </w:tr>
      <w:tr w:rsidR="00494B49" w:rsidRPr="003B0773" w14:paraId="20E3311F" w14:textId="77777777" w:rsidTr="003B0773">
        <w:tc>
          <w:tcPr>
            <w:tcW w:w="9606" w:type="dxa"/>
          </w:tcPr>
          <w:p w14:paraId="6E7BDD3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Properly Allocable Deductions in Excess of Gross Income </w:t>
            </w:r>
          </w:p>
        </w:tc>
      </w:tr>
      <w:tr w:rsidR="00494B49" w:rsidRPr="003B0773" w14:paraId="246463AC" w14:textId="77777777" w:rsidTr="003B0773">
        <w:tc>
          <w:tcPr>
            <w:tcW w:w="9606" w:type="dxa"/>
          </w:tcPr>
          <w:p w14:paraId="46E04283"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Properly Allocable Deductions Allowed Under Reg. §1.1411-4(f) </w:t>
            </w:r>
          </w:p>
        </w:tc>
      </w:tr>
      <w:tr w:rsidR="00494B49" w:rsidRPr="003B0773" w14:paraId="3F48EE27" w14:textId="77777777" w:rsidTr="003B0773">
        <w:tc>
          <w:tcPr>
            <w:tcW w:w="9606" w:type="dxa"/>
          </w:tcPr>
          <w:p w14:paraId="3A508D4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62 — Above-the-Line Deductions</w:t>
            </w:r>
          </w:p>
        </w:tc>
      </w:tr>
      <w:tr w:rsidR="00494B49" w:rsidRPr="003B0773" w14:paraId="53700D0D" w14:textId="77777777" w:rsidTr="003B0773">
        <w:tc>
          <w:tcPr>
            <w:tcW w:w="9606" w:type="dxa"/>
          </w:tcPr>
          <w:p w14:paraId="6BE536B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Deductions Allocable to Gross Income from Rents and Royalties</w:t>
            </w:r>
          </w:p>
        </w:tc>
      </w:tr>
      <w:tr w:rsidR="00494B49" w:rsidRPr="003B0773" w14:paraId="1101BB20" w14:textId="77777777" w:rsidTr="003B0773">
        <w:tc>
          <w:tcPr>
            <w:tcW w:w="9606" w:type="dxa"/>
          </w:tcPr>
          <w:p w14:paraId="0CB1832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62(a)(4) Requirements</w:t>
            </w:r>
          </w:p>
        </w:tc>
      </w:tr>
      <w:tr w:rsidR="00494B49" w:rsidRPr="003B0773" w14:paraId="322350ED" w14:textId="77777777" w:rsidTr="003B0773">
        <w:tc>
          <w:tcPr>
            <w:tcW w:w="9606" w:type="dxa"/>
          </w:tcPr>
          <w:p w14:paraId="0A747E7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Allocable to Rents and Royalties Included in Net Investment Income </w:t>
            </w:r>
          </w:p>
        </w:tc>
      </w:tr>
      <w:tr w:rsidR="00494B49" w:rsidRPr="003B0773" w14:paraId="46E1FE50" w14:textId="77777777" w:rsidTr="003B0773">
        <w:tc>
          <w:tcPr>
            <w:tcW w:w="9606" w:type="dxa"/>
          </w:tcPr>
          <w:p w14:paraId="0FE45D7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Trade or Business Deductions Allocable to §1411(c)(2) Trades or Businesses</w:t>
            </w:r>
          </w:p>
        </w:tc>
      </w:tr>
      <w:tr w:rsidR="00494B49" w:rsidRPr="003B0773" w14:paraId="22C1F4AE" w14:textId="77777777" w:rsidTr="003B0773">
        <w:tc>
          <w:tcPr>
            <w:tcW w:w="9606" w:type="dxa"/>
          </w:tcPr>
          <w:p w14:paraId="66E60E5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62(a)(1) Requirements</w:t>
            </w:r>
          </w:p>
        </w:tc>
      </w:tr>
      <w:tr w:rsidR="00494B49" w:rsidRPr="003B0773" w14:paraId="45D07CC6" w14:textId="77777777" w:rsidTr="003B0773">
        <w:tc>
          <w:tcPr>
            <w:tcW w:w="9606" w:type="dxa"/>
          </w:tcPr>
          <w:p w14:paraId="05D48A7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Properly Allocable to Income from a §1411(c)(2) Trade or Business </w:t>
            </w:r>
          </w:p>
        </w:tc>
      </w:tr>
      <w:tr w:rsidR="00494B49" w:rsidRPr="003B0773" w14:paraId="0C21A704" w14:textId="77777777" w:rsidTr="003B0773">
        <w:tc>
          <w:tcPr>
            <w:tcW w:w="9606" w:type="dxa"/>
          </w:tcPr>
          <w:p w14:paraId="6A4FA2B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Not Taken into Account in Determining Self-Employment Income</w:t>
            </w:r>
          </w:p>
        </w:tc>
      </w:tr>
      <w:tr w:rsidR="00494B49" w:rsidRPr="003B0773" w14:paraId="5E5ACA45" w14:textId="77777777" w:rsidTr="003B0773">
        <w:tc>
          <w:tcPr>
            <w:tcW w:w="9606" w:type="dxa"/>
          </w:tcPr>
          <w:p w14:paraId="0210ECD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Special Rules for Traders in Financial Instruments or Commodities </w:t>
            </w:r>
          </w:p>
        </w:tc>
      </w:tr>
      <w:tr w:rsidR="00494B49" w:rsidRPr="003B0773" w14:paraId="3B3FBC3E" w14:textId="77777777" w:rsidTr="003B0773">
        <w:tc>
          <w:tcPr>
            <w:tcW w:w="9606" w:type="dxa"/>
          </w:tcPr>
          <w:p w14:paraId="5C0EB4E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Deductions for Early Withdrawal from Savings</w:t>
            </w:r>
          </w:p>
        </w:tc>
      </w:tr>
      <w:tr w:rsidR="00494B49" w:rsidRPr="003B0773" w14:paraId="123A92A0" w14:textId="77777777" w:rsidTr="003B0773">
        <w:tc>
          <w:tcPr>
            <w:tcW w:w="9606" w:type="dxa"/>
          </w:tcPr>
          <w:p w14:paraId="17256FB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 xml:space="preserve">d. Net Operating Losses </w:t>
            </w:r>
          </w:p>
        </w:tc>
      </w:tr>
      <w:tr w:rsidR="00494B49" w:rsidRPr="003B0773" w14:paraId="64A94397" w14:textId="77777777" w:rsidTr="003B0773">
        <w:tc>
          <w:tcPr>
            <w:tcW w:w="9606" w:type="dxa"/>
          </w:tcPr>
          <w:p w14:paraId="6C17B5E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63 — Itemized Deductions</w:t>
            </w:r>
          </w:p>
        </w:tc>
      </w:tr>
      <w:tr w:rsidR="00494B49" w:rsidRPr="003B0773" w14:paraId="3A29CCD1" w14:textId="77777777" w:rsidTr="003B0773">
        <w:tc>
          <w:tcPr>
            <w:tcW w:w="9606" w:type="dxa"/>
          </w:tcPr>
          <w:p w14:paraId="4C92E36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Investment Interest Expense</w:t>
            </w:r>
          </w:p>
        </w:tc>
      </w:tr>
      <w:tr w:rsidR="00494B49" w:rsidRPr="003B0773" w14:paraId="40EE53EE" w14:textId="77777777" w:rsidTr="003B0773">
        <w:tc>
          <w:tcPr>
            <w:tcW w:w="9606" w:type="dxa"/>
          </w:tcPr>
          <w:p w14:paraId="70A339D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General Rule </w:t>
            </w:r>
          </w:p>
        </w:tc>
      </w:tr>
      <w:tr w:rsidR="00494B49" w:rsidRPr="003B0773" w14:paraId="0A887CB8" w14:textId="77777777" w:rsidTr="003B0773">
        <w:tc>
          <w:tcPr>
            <w:tcW w:w="9606" w:type="dxa"/>
          </w:tcPr>
          <w:p w14:paraId="1216AA1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Optional Investment Interest Expense Calculation for CFC/PFIC Related Items</w:t>
            </w:r>
          </w:p>
        </w:tc>
      </w:tr>
      <w:tr w:rsidR="00494B49" w:rsidRPr="003B0773" w14:paraId="7E24B8DB" w14:textId="77777777" w:rsidTr="003B0773">
        <w:tc>
          <w:tcPr>
            <w:tcW w:w="9606" w:type="dxa"/>
          </w:tcPr>
          <w:p w14:paraId="3125471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Investment Expenses</w:t>
            </w:r>
          </w:p>
        </w:tc>
      </w:tr>
      <w:tr w:rsidR="00494B49" w:rsidRPr="003B0773" w14:paraId="3716E8DD" w14:textId="77777777" w:rsidTr="003B0773">
        <w:tc>
          <w:tcPr>
            <w:tcW w:w="9606" w:type="dxa"/>
          </w:tcPr>
          <w:p w14:paraId="61D4ADA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Section 164(a)(3) — State, Local, and Foreign Taxes</w:t>
            </w:r>
          </w:p>
        </w:tc>
      </w:tr>
      <w:tr w:rsidR="00494B49" w:rsidRPr="003B0773" w14:paraId="0D7498D9" w14:textId="77777777" w:rsidTr="003B0773">
        <w:tc>
          <w:tcPr>
            <w:tcW w:w="9606" w:type="dxa"/>
          </w:tcPr>
          <w:p w14:paraId="04F0302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State and Local Income Taxes (Other Than Those Deductible in Tax Years Beginning in 2018–2025)</w:t>
            </w:r>
          </w:p>
        </w:tc>
      </w:tr>
      <w:tr w:rsidR="00494B49" w:rsidRPr="003B0773" w14:paraId="3CD8C109" w14:textId="77777777" w:rsidTr="003B0773">
        <w:tc>
          <w:tcPr>
            <w:tcW w:w="9606" w:type="dxa"/>
          </w:tcPr>
          <w:p w14:paraId="4D186B4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State and Local Income Taxes Deductible in Tax Years Beginning in 2018-2025</w:t>
            </w:r>
          </w:p>
        </w:tc>
      </w:tr>
      <w:tr w:rsidR="00494B49" w:rsidRPr="003B0773" w14:paraId="5789278F" w14:textId="77777777" w:rsidTr="003B0773">
        <w:tc>
          <w:tcPr>
            <w:tcW w:w="9606" w:type="dxa"/>
          </w:tcPr>
          <w:p w14:paraId="6272573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Foreign Income Taxes</w:t>
            </w:r>
          </w:p>
        </w:tc>
      </w:tr>
      <w:tr w:rsidR="00494B49" w:rsidRPr="003B0773" w14:paraId="21646F69" w14:textId="77777777" w:rsidTr="003B0773">
        <w:tc>
          <w:tcPr>
            <w:tcW w:w="9606" w:type="dxa"/>
          </w:tcPr>
          <w:p w14:paraId="43BF6A7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Section 72(b)(3) — Annuity Basis </w:t>
            </w:r>
          </w:p>
        </w:tc>
      </w:tr>
      <w:tr w:rsidR="00494B49" w:rsidRPr="003B0773" w14:paraId="60FF8309" w14:textId="77777777" w:rsidTr="003B0773">
        <w:tc>
          <w:tcPr>
            <w:tcW w:w="9606" w:type="dxa"/>
          </w:tcPr>
          <w:p w14:paraId="2512E59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e. Section 691(c) — Deductions for Estate Taxes</w:t>
            </w:r>
          </w:p>
        </w:tc>
      </w:tr>
      <w:tr w:rsidR="00494B49" w:rsidRPr="003B0773" w14:paraId="18DA8F66" w14:textId="77777777" w:rsidTr="003B0773">
        <w:tc>
          <w:tcPr>
            <w:tcW w:w="9606" w:type="dxa"/>
          </w:tcPr>
          <w:p w14:paraId="4552E9A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f. Section 212(3) and Reg. §1.212-1(l) — Tax Expenses</w:t>
            </w:r>
          </w:p>
        </w:tc>
      </w:tr>
      <w:tr w:rsidR="00494B49" w:rsidRPr="003B0773" w14:paraId="3044F383" w14:textId="77777777" w:rsidTr="003B0773">
        <w:tc>
          <w:tcPr>
            <w:tcW w:w="9606" w:type="dxa"/>
          </w:tcPr>
          <w:p w14:paraId="13BC0CD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g. Amortizable Bond Premium</w:t>
            </w:r>
          </w:p>
        </w:tc>
      </w:tr>
      <w:tr w:rsidR="00494B49" w:rsidRPr="003B0773" w14:paraId="62A1A889" w14:textId="77777777" w:rsidTr="003B0773">
        <w:tc>
          <w:tcPr>
            <w:tcW w:w="9606" w:type="dxa"/>
          </w:tcPr>
          <w:p w14:paraId="603EC1E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h. Fiduciary Expenses</w:t>
            </w:r>
          </w:p>
        </w:tc>
      </w:tr>
      <w:tr w:rsidR="00494B49" w:rsidRPr="003B0773" w14:paraId="10E0C655" w14:textId="77777777" w:rsidTr="003B0773">
        <w:tc>
          <w:tcPr>
            <w:tcW w:w="9606" w:type="dxa"/>
          </w:tcPr>
          <w:p w14:paraId="6ECB860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Section 165 — Loss Deductions</w:t>
            </w:r>
          </w:p>
        </w:tc>
      </w:tr>
      <w:tr w:rsidR="00494B49" w:rsidRPr="003B0773" w14:paraId="2839C85E" w14:textId="77777777" w:rsidTr="003B0773">
        <w:tc>
          <w:tcPr>
            <w:tcW w:w="9606" w:type="dxa"/>
          </w:tcPr>
          <w:p w14:paraId="1A2568F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Ordinary Loss Deductions on Contingent Payment Debt Instruments and Inflation-Indexed Debt Instruments</w:t>
            </w:r>
          </w:p>
        </w:tc>
      </w:tr>
      <w:tr w:rsidR="00494B49" w:rsidRPr="003B0773" w14:paraId="67F4A82B" w14:textId="77777777" w:rsidTr="003B0773">
        <w:tc>
          <w:tcPr>
            <w:tcW w:w="9606" w:type="dxa"/>
          </w:tcPr>
          <w:p w14:paraId="4BC88DC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Allocation Between Net Investment Income and Excluded Income</w:t>
            </w:r>
          </w:p>
        </w:tc>
      </w:tr>
      <w:tr w:rsidR="00494B49" w:rsidRPr="003B0773" w14:paraId="68D23FF7" w14:textId="77777777" w:rsidTr="003B0773">
        <w:tc>
          <w:tcPr>
            <w:tcW w:w="9606" w:type="dxa"/>
          </w:tcPr>
          <w:p w14:paraId="2FE46A6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Reasonable Methods Specifically Listed in the Regulations</w:t>
            </w:r>
          </w:p>
        </w:tc>
      </w:tr>
      <w:tr w:rsidR="00494B49" w:rsidRPr="003B0773" w14:paraId="6A50EAF3" w14:textId="77777777" w:rsidTr="003B0773">
        <w:tc>
          <w:tcPr>
            <w:tcW w:w="9606" w:type="dxa"/>
          </w:tcPr>
          <w:p w14:paraId="64ECC51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Other Possible Reasonable Allocation Methods </w:t>
            </w:r>
          </w:p>
        </w:tc>
      </w:tr>
      <w:tr w:rsidR="00494B49" w:rsidRPr="003B0773" w14:paraId="1B77DA9F" w14:textId="77777777" w:rsidTr="003B0773">
        <w:tc>
          <w:tcPr>
            <w:tcW w:w="9606" w:type="dxa"/>
          </w:tcPr>
          <w:p w14:paraId="3D525AF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Specific Identification</w:t>
            </w:r>
          </w:p>
        </w:tc>
      </w:tr>
      <w:tr w:rsidR="00494B49" w:rsidRPr="003B0773" w14:paraId="1729228F" w14:textId="77777777" w:rsidTr="003B0773">
        <w:tc>
          <w:tcPr>
            <w:tcW w:w="9606" w:type="dxa"/>
          </w:tcPr>
          <w:p w14:paraId="600ABE0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Specific Identification with Residual Apportionment</w:t>
            </w:r>
          </w:p>
        </w:tc>
      </w:tr>
      <w:tr w:rsidR="00494B49" w:rsidRPr="003B0773" w14:paraId="73758EC4" w14:textId="77777777" w:rsidTr="003B0773">
        <w:tc>
          <w:tcPr>
            <w:tcW w:w="9606" w:type="dxa"/>
          </w:tcPr>
          <w:p w14:paraId="201F7FC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Simple Apportionment Using Different Bases</w:t>
            </w:r>
          </w:p>
        </w:tc>
      </w:tr>
      <w:tr w:rsidR="00494B49" w:rsidRPr="003B0773" w14:paraId="2558F891" w14:textId="77777777" w:rsidTr="003B0773">
        <w:tc>
          <w:tcPr>
            <w:tcW w:w="9606" w:type="dxa"/>
          </w:tcPr>
          <w:p w14:paraId="7FF2EC1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Accrual Method </w:t>
            </w:r>
          </w:p>
        </w:tc>
      </w:tr>
      <w:tr w:rsidR="00494B49" w:rsidRPr="003B0773" w14:paraId="1FAFB741" w14:textId="77777777" w:rsidTr="003B0773">
        <w:tc>
          <w:tcPr>
            <w:tcW w:w="9606" w:type="dxa"/>
          </w:tcPr>
          <w:p w14:paraId="6144990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Unreasonable Allocation Methods</w:t>
            </w:r>
          </w:p>
        </w:tc>
      </w:tr>
      <w:tr w:rsidR="00494B49" w:rsidRPr="003B0773" w14:paraId="6A964575" w14:textId="77777777" w:rsidTr="003B0773">
        <w:tc>
          <w:tcPr>
            <w:tcW w:w="9606" w:type="dxa"/>
          </w:tcPr>
          <w:p w14:paraId="3315E8F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Allocations of Deductions Pertaining to Pre-2013 Tax Years</w:t>
            </w:r>
          </w:p>
        </w:tc>
      </w:tr>
      <w:tr w:rsidR="00494B49" w:rsidRPr="003B0773" w14:paraId="167CA789" w14:textId="77777777" w:rsidTr="003B0773">
        <w:tc>
          <w:tcPr>
            <w:tcW w:w="9606" w:type="dxa"/>
          </w:tcPr>
          <w:p w14:paraId="21F3868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Unreasonable Reliance on Regulations </w:t>
            </w:r>
          </w:p>
        </w:tc>
      </w:tr>
      <w:tr w:rsidR="00494B49" w:rsidRPr="003B0773" w14:paraId="2FE3703A" w14:textId="77777777" w:rsidTr="003B0773">
        <w:tc>
          <w:tcPr>
            <w:tcW w:w="9606" w:type="dxa"/>
          </w:tcPr>
          <w:p w14:paraId="4733F8F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Unreasonable Toggling Between Methods </w:t>
            </w:r>
          </w:p>
        </w:tc>
      </w:tr>
      <w:tr w:rsidR="00494B49" w:rsidRPr="003B0773" w14:paraId="38854586" w14:textId="77777777" w:rsidTr="003B0773">
        <w:tc>
          <w:tcPr>
            <w:tcW w:w="9606" w:type="dxa"/>
          </w:tcPr>
          <w:p w14:paraId="4355400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Estates and Trusts </w:t>
            </w:r>
          </w:p>
        </w:tc>
      </w:tr>
      <w:tr w:rsidR="00494B49" w:rsidRPr="003B0773" w14:paraId="172DB7F1" w14:textId="77777777" w:rsidTr="003B0773">
        <w:tc>
          <w:tcPr>
            <w:tcW w:w="9606" w:type="dxa"/>
          </w:tcPr>
          <w:p w14:paraId="6BC8F361"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Application of §67 and §68 Limitations</w:t>
            </w:r>
          </w:p>
        </w:tc>
      </w:tr>
      <w:tr w:rsidR="00494B49" w:rsidRPr="003B0773" w14:paraId="390E605A" w14:textId="77777777" w:rsidTr="003B0773">
        <w:tc>
          <w:tcPr>
            <w:tcW w:w="9606" w:type="dxa"/>
          </w:tcPr>
          <w:p w14:paraId="4FF65B0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Step 1 — Application of the §67 Limitation </w:t>
            </w:r>
          </w:p>
        </w:tc>
      </w:tr>
      <w:tr w:rsidR="00494B49" w:rsidRPr="003B0773" w14:paraId="62C5D84A" w14:textId="77777777" w:rsidTr="003B0773">
        <w:tc>
          <w:tcPr>
            <w:tcW w:w="9606" w:type="dxa"/>
          </w:tcPr>
          <w:p w14:paraId="7793238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Step 2 — Application of the §68 Limitation</w:t>
            </w:r>
          </w:p>
        </w:tc>
      </w:tr>
      <w:tr w:rsidR="00494B49" w:rsidRPr="003B0773" w14:paraId="47DBC0C6" w14:textId="77777777" w:rsidTr="003B0773">
        <w:tc>
          <w:tcPr>
            <w:tcW w:w="9606" w:type="dxa"/>
          </w:tcPr>
          <w:p w14:paraId="5B07733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Planning and Compliance</w:t>
            </w:r>
          </w:p>
        </w:tc>
      </w:tr>
      <w:tr w:rsidR="00494B49" w:rsidRPr="003B0773" w14:paraId="3159AB9A" w14:textId="77777777" w:rsidTr="003B0773">
        <w:tc>
          <w:tcPr>
            <w:tcW w:w="9606" w:type="dxa"/>
          </w:tcPr>
          <w:p w14:paraId="547F43D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Application of Form 8960 to Regulation Example</w:t>
            </w:r>
          </w:p>
        </w:tc>
      </w:tr>
      <w:tr w:rsidR="00494B49" w:rsidRPr="003B0773" w14:paraId="52CA5B2D" w14:textId="77777777" w:rsidTr="003B0773">
        <w:tc>
          <w:tcPr>
            <w:tcW w:w="9606" w:type="dxa"/>
          </w:tcPr>
          <w:p w14:paraId="5819046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Example — Allocations Within Deduction Classes </w:t>
            </w:r>
          </w:p>
        </w:tc>
      </w:tr>
      <w:tr w:rsidR="00494B49" w:rsidRPr="003B0773" w14:paraId="24EF6CD1" w14:textId="77777777" w:rsidTr="003B0773">
        <w:tc>
          <w:tcPr>
            <w:tcW w:w="9606" w:type="dxa"/>
          </w:tcPr>
          <w:p w14:paraId="3818A7F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Example — Benefits of Stacking</w:t>
            </w:r>
          </w:p>
        </w:tc>
      </w:tr>
      <w:tr w:rsidR="00494B49" w:rsidRPr="003B0773" w14:paraId="5ED12190" w14:textId="77777777" w:rsidTr="003B0773">
        <w:tc>
          <w:tcPr>
            <w:tcW w:w="9606" w:type="dxa"/>
          </w:tcPr>
          <w:p w14:paraId="102E6479"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E. Unique Deductions for Decedents, Estates, and Trusts</w:t>
            </w:r>
          </w:p>
        </w:tc>
      </w:tr>
      <w:tr w:rsidR="00494B49" w:rsidRPr="003B0773" w14:paraId="0D949983" w14:textId="77777777" w:rsidTr="003B0773">
        <w:tc>
          <w:tcPr>
            <w:tcW w:w="9606" w:type="dxa"/>
          </w:tcPr>
          <w:p w14:paraId="1801869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691(b) — Deductions in Respect of a Decedent</w:t>
            </w:r>
          </w:p>
        </w:tc>
      </w:tr>
      <w:tr w:rsidR="00494B49" w:rsidRPr="003B0773" w14:paraId="462A7593" w14:textId="77777777" w:rsidTr="003B0773">
        <w:tc>
          <w:tcPr>
            <w:tcW w:w="9606" w:type="dxa"/>
          </w:tcPr>
          <w:p w14:paraId="18D1DD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691(c) — Deductions for Estate Taxes</w:t>
            </w:r>
          </w:p>
        </w:tc>
      </w:tr>
      <w:tr w:rsidR="00494B49" w:rsidRPr="003B0773" w14:paraId="5F1273DE" w14:textId="77777777" w:rsidTr="003B0773">
        <w:tc>
          <w:tcPr>
            <w:tcW w:w="9606" w:type="dxa"/>
          </w:tcPr>
          <w:p w14:paraId="65ED639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Section 642(h) — Excess Deductions upon Termination</w:t>
            </w:r>
          </w:p>
        </w:tc>
      </w:tr>
      <w:tr w:rsidR="00494B49" w:rsidRPr="003B0773" w14:paraId="65083A75" w14:textId="77777777" w:rsidTr="003B0773">
        <w:tc>
          <w:tcPr>
            <w:tcW w:w="9606" w:type="dxa"/>
          </w:tcPr>
          <w:p w14:paraId="61F3E79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Treatment of Capital Losses</w:t>
            </w:r>
          </w:p>
        </w:tc>
      </w:tr>
      <w:tr w:rsidR="00494B49" w:rsidRPr="003B0773" w14:paraId="299A24B8" w14:textId="77777777" w:rsidTr="003B0773">
        <w:tc>
          <w:tcPr>
            <w:tcW w:w="9606" w:type="dxa"/>
          </w:tcPr>
          <w:p w14:paraId="07B799F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Net Operating Losses</w:t>
            </w:r>
          </w:p>
        </w:tc>
      </w:tr>
      <w:tr w:rsidR="00494B49" w:rsidRPr="003B0773" w14:paraId="4BD4871B" w14:textId="77777777" w:rsidTr="003B0773">
        <w:tc>
          <w:tcPr>
            <w:tcW w:w="9606" w:type="dxa"/>
          </w:tcPr>
          <w:p w14:paraId="197F831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Treatment of Excess Properly Allocable Deductions</w:t>
            </w:r>
          </w:p>
        </w:tc>
      </w:tr>
      <w:tr w:rsidR="00494B49" w:rsidRPr="003B0773" w14:paraId="1FFA7D82" w14:textId="77777777" w:rsidTr="003B0773">
        <w:tc>
          <w:tcPr>
            <w:tcW w:w="9606" w:type="dxa"/>
          </w:tcPr>
          <w:p w14:paraId="335005C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Tax Years Beginning in 2013 Through 2017</w:t>
            </w:r>
          </w:p>
        </w:tc>
      </w:tr>
      <w:tr w:rsidR="00494B49" w:rsidRPr="003B0773" w14:paraId="0DA0F807" w14:textId="77777777" w:rsidTr="003B0773">
        <w:tc>
          <w:tcPr>
            <w:tcW w:w="9606" w:type="dxa"/>
          </w:tcPr>
          <w:p w14:paraId="67ADB26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Tax Years Beginning After 2017</w:t>
            </w:r>
          </w:p>
        </w:tc>
      </w:tr>
      <w:tr w:rsidR="00494B49" w:rsidRPr="003B0773" w14:paraId="0A915A4E" w14:textId="77777777" w:rsidTr="003B0773">
        <w:tc>
          <w:tcPr>
            <w:tcW w:w="9606" w:type="dxa"/>
          </w:tcPr>
          <w:p w14:paraId="7357CE4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F. Suspended Deductions</w:t>
            </w:r>
          </w:p>
        </w:tc>
      </w:tr>
      <w:tr w:rsidR="00494B49" w:rsidRPr="003B0773" w14:paraId="5306A156" w14:textId="77777777" w:rsidTr="003B0773">
        <w:tc>
          <w:tcPr>
            <w:tcW w:w="9606" w:type="dxa"/>
          </w:tcPr>
          <w:p w14:paraId="0542140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Treatment of Suspended Losses Other Than Passive Losses</w:t>
            </w:r>
          </w:p>
        </w:tc>
      </w:tr>
      <w:tr w:rsidR="00494B49" w:rsidRPr="003B0773" w14:paraId="7CCAA3CB" w14:textId="77777777" w:rsidTr="003B0773">
        <w:tc>
          <w:tcPr>
            <w:tcW w:w="9606" w:type="dxa"/>
          </w:tcPr>
          <w:p w14:paraId="40684FD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Treatment of Losses Suspended Due to Tax Basis Limitation</w:t>
            </w:r>
          </w:p>
        </w:tc>
      </w:tr>
      <w:tr w:rsidR="00494B49" w:rsidRPr="003B0773" w14:paraId="1D58A0E4" w14:textId="77777777" w:rsidTr="003B0773">
        <w:tc>
          <w:tcPr>
            <w:tcW w:w="9606" w:type="dxa"/>
          </w:tcPr>
          <w:p w14:paraId="04FA9CA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Losses Suspended Under the At-Risk Rules</w:t>
            </w:r>
          </w:p>
        </w:tc>
      </w:tr>
      <w:tr w:rsidR="00494B49" w:rsidRPr="003B0773" w14:paraId="49E55B34" w14:textId="77777777" w:rsidTr="003B0773">
        <w:tc>
          <w:tcPr>
            <w:tcW w:w="9606" w:type="dxa"/>
          </w:tcPr>
          <w:p w14:paraId="6C2105B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Other Types of Suspended Losses </w:t>
            </w:r>
          </w:p>
        </w:tc>
      </w:tr>
      <w:tr w:rsidR="00494B49" w:rsidRPr="003B0773" w14:paraId="424F0711" w14:textId="77777777" w:rsidTr="003B0773">
        <w:tc>
          <w:tcPr>
            <w:tcW w:w="9606" w:type="dxa"/>
          </w:tcPr>
          <w:p w14:paraId="7EE8C15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Treatment of Suspended Passive Losses</w:t>
            </w:r>
          </w:p>
        </w:tc>
      </w:tr>
      <w:tr w:rsidR="00494B49" w:rsidRPr="003B0773" w14:paraId="5C84DB28" w14:textId="77777777" w:rsidTr="003B0773">
        <w:tc>
          <w:tcPr>
            <w:tcW w:w="9606" w:type="dxa"/>
          </w:tcPr>
          <w:p w14:paraId="6CCF01C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 General</w:t>
            </w:r>
          </w:p>
        </w:tc>
      </w:tr>
      <w:tr w:rsidR="00494B49" w:rsidRPr="003B0773" w14:paraId="5B9AFDD7" w14:textId="77777777" w:rsidTr="003B0773">
        <w:tc>
          <w:tcPr>
            <w:tcW w:w="9606" w:type="dxa"/>
          </w:tcPr>
          <w:p w14:paraId="6FD864A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General Treatment of Suspended Passive Losses for NIIT Purposes </w:t>
            </w:r>
          </w:p>
        </w:tc>
      </w:tr>
      <w:tr w:rsidR="00494B49" w:rsidRPr="003B0773" w14:paraId="46C0F0E6" w14:textId="77777777" w:rsidTr="003B0773">
        <w:tc>
          <w:tcPr>
            <w:tcW w:w="9606" w:type="dxa"/>
          </w:tcPr>
          <w:p w14:paraId="6408F58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Year of Suspension</w:t>
            </w:r>
          </w:p>
        </w:tc>
      </w:tr>
      <w:tr w:rsidR="00494B49" w:rsidRPr="003B0773" w14:paraId="0E66A3BB" w14:textId="77777777" w:rsidTr="003B0773">
        <w:tc>
          <w:tcPr>
            <w:tcW w:w="9606" w:type="dxa"/>
          </w:tcPr>
          <w:p w14:paraId="72E676C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Year of Allowance</w:t>
            </w:r>
          </w:p>
        </w:tc>
      </w:tr>
      <w:tr w:rsidR="00494B49" w:rsidRPr="003B0773" w14:paraId="37AF2DC8" w14:textId="77777777" w:rsidTr="003B0773">
        <w:tc>
          <w:tcPr>
            <w:tcW w:w="9606" w:type="dxa"/>
          </w:tcPr>
          <w:p w14:paraId="12A3F9B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Examples</w:t>
            </w:r>
          </w:p>
        </w:tc>
      </w:tr>
      <w:tr w:rsidR="00494B49" w:rsidRPr="003B0773" w14:paraId="72B4CECB" w14:textId="77777777" w:rsidTr="003B0773">
        <w:tc>
          <w:tcPr>
            <w:tcW w:w="9606" w:type="dxa"/>
          </w:tcPr>
          <w:p w14:paraId="567C1EC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for Losses Attributable to Former Passive Activities (FPAs)</w:t>
            </w:r>
          </w:p>
        </w:tc>
      </w:tr>
      <w:tr w:rsidR="00494B49" w:rsidRPr="003B0773" w14:paraId="25950AB0" w14:textId="77777777" w:rsidTr="003B0773">
        <w:tc>
          <w:tcPr>
            <w:tcW w:w="9606" w:type="dxa"/>
          </w:tcPr>
          <w:p w14:paraId="1D6E252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Section 469(g) — Deductions on Final Disposition </w:t>
            </w:r>
          </w:p>
        </w:tc>
      </w:tr>
      <w:tr w:rsidR="00494B49" w:rsidRPr="003B0773" w14:paraId="47F17960" w14:textId="77777777" w:rsidTr="003B0773">
        <w:tc>
          <w:tcPr>
            <w:tcW w:w="9606" w:type="dxa"/>
          </w:tcPr>
          <w:p w14:paraId="61C7C58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Excess Business Losses Disallowed by §461(l)</w:t>
            </w:r>
          </w:p>
        </w:tc>
      </w:tr>
      <w:tr w:rsidR="00494B49" w:rsidRPr="003B0773" w14:paraId="0843F245" w14:textId="77777777" w:rsidTr="003B0773">
        <w:tc>
          <w:tcPr>
            <w:tcW w:w="9606" w:type="dxa"/>
          </w:tcPr>
          <w:p w14:paraId="15CA2D99"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G. Recoveries of Prior Year Deductions</w:t>
            </w:r>
          </w:p>
        </w:tc>
      </w:tr>
      <w:tr w:rsidR="00494B49" w:rsidRPr="003B0773" w14:paraId="1266F106" w14:textId="77777777" w:rsidTr="003B0773">
        <w:tc>
          <w:tcPr>
            <w:tcW w:w="9606" w:type="dxa"/>
          </w:tcPr>
          <w:p w14:paraId="31B1F09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General Rule on Recoveries</w:t>
            </w:r>
          </w:p>
        </w:tc>
      </w:tr>
      <w:tr w:rsidR="00494B49" w:rsidRPr="003B0773" w14:paraId="3977FF92" w14:textId="77777777" w:rsidTr="003B0773">
        <w:tc>
          <w:tcPr>
            <w:tcW w:w="9606" w:type="dxa"/>
          </w:tcPr>
          <w:p w14:paraId="123940C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Overall Limitation on Amount of Recovery</w:t>
            </w:r>
          </w:p>
        </w:tc>
      </w:tr>
      <w:tr w:rsidR="00494B49" w:rsidRPr="003B0773" w14:paraId="12FF93A6" w14:textId="77777777" w:rsidTr="003B0773">
        <w:tc>
          <w:tcPr>
            <w:tcW w:w="9606" w:type="dxa"/>
          </w:tcPr>
          <w:p w14:paraId="4B944A9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Exceptions to Recovery Inclusions</w:t>
            </w:r>
          </w:p>
        </w:tc>
      </w:tr>
      <w:tr w:rsidR="00494B49" w:rsidRPr="003B0773" w14:paraId="564154E2" w14:textId="77777777" w:rsidTr="003B0773">
        <w:tc>
          <w:tcPr>
            <w:tcW w:w="9606" w:type="dxa"/>
          </w:tcPr>
          <w:p w14:paraId="71D011A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No §1411 Tax Benefit </w:t>
            </w:r>
          </w:p>
        </w:tc>
      </w:tr>
      <w:tr w:rsidR="00494B49" w:rsidRPr="003B0773" w14:paraId="0BEFCF39" w14:textId="77777777" w:rsidTr="003B0773">
        <w:tc>
          <w:tcPr>
            <w:tcW w:w="9606" w:type="dxa"/>
          </w:tcPr>
          <w:p w14:paraId="236244A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Amounts Already Included in §1411(c)(1)(A) </w:t>
            </w:r>
          </w:p>
        </w:tc>
      </w:tr>
      <w:tr w:rsidR="00494B49" w:rsidRPr="003B0773" w14:paraId="782406D3" w14:textId="77777777" w:rsidTr="003B0773">
        <w:tc>
          <w:tcPr>
            <w:tcW w:w="9606" w:type="dxa"/>
          </w:tcPr>
          <w:p w14:paraId="09ED856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Recovery of Reasonably Allocated Deductions</w:t>
            </w:r>
          </w:p>
        </w:tc>
      </w:tr>
      <w:tr w:rsidR="00494B49" w:rsidRPr="003B0773" w14:paraId="0076C058" w14:textId="77777777" w:rsidTr="003B0773">
        <w:tc>
          <w:tcPr>
            <w:tcW w:w="9606" w:type="dxa"/>
          </w:tcPr>
          <w:p w14:paraId="1926CC42"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H. Net Operating Losses</w:t>
            </w:r>
          </w:p>
        </w:tc>
      </w:tr>
      <w:tr w:rsidR="00494B49" w:rsidRPr="003B0773" w14:paraId="145F3C26" w14:textId="77777777" w:rsidTr="003B0773">
        <w:tc>
          <w:tcPr>
            <w:tcW w:w="9606" w:type="dxa"/>
          </w:tcPr>
          <w:p w14:paraId="66BDA49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Step One — Calculation of Applicable Portion of NOL for Each Loss Year</w:t>
            </w:r>
          </w:p>
        </w:tc>
      </w:tr>
      <w:tr w:rsidR="00494B49" w:rsidRPr="003B0773" w14:paraId="41B8FC15" w14:textId="77777777" w:rsidTr="003B0773">
        <w:tc>
          <w:tcPr>
            <w:tcW w:w="9606" w:type="dxa"/>
          </w:tcPr>
          <w:p w14:paraId="24934B3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Step Two — Calculation of Total §1411 NOL </w:t>
            </w:r>
          </w:p>
        </w:tc>
      </w:tr>
      <w:tr w:rsidR="00494B49" w:rsidRPr="003B0773" w14:paraId="7F09D829" w14:textId="77777777" w:rsidTr="003B0773">
        <w:tc>
          <w:tcPr>
            <w:tcW w:w="9606" w:type="dxa"/>
          </w:tcPr>
          <w:p w14:paraId="70AB849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The §1411 NOL for Each Loss Year</w:t>
            </w:r>
          </w:p>
        </w:tc>
      </w:tr>
      <w:tr w:rsidR="00494B49" w:rsidRPr="003B0773" w14:paraId="72FDA21A" w14:textId="77777777" w:rsidTr="003B0773">
        <w:tc>
          <w:tcPr>
            <w:tcW w:w="9606" w:type="dxa"/>
          </w:tcPr>
          <w:p w14:paraId="37B6984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The Total §1411 NOL </w:t>
            </w:r>
          </w:p>
        </w:tc>
      </w:tr>
      <w:tr w:rsidR="00494B49" w:rsidRPr="003B0773" w14:paraId="5A473227" w14:textId="77777777" w:rsidTr="003B0773">
        <w:tc>
          <w:tcPr>
            <w:tcW w:w="9606" w:type="dxa"/>
          </w:tcPr>
          <w:p w14:paraId="0740C16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Example</w:t>
            </w:r>
          </w:p>
        </w:tc>
      </w:tr>
      <w:tr w:rsidR="00494B49" w:rsidRPr="003B0773" w14:paraId="7664B249" w14:textId="77777777" w:rsidTr="003B0773">
        <w:tc>
          <w:tcPr>
            <w:tcW w:w="9606" w:type="dxa"/>
          </w:tcPr>
          <w:p w14:paraId="785BD76F"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VI. Dispositions of Interests in Partnerships and S Corporations</w:t>
            </w:r>
          </w:p>
        </w:tc>
      </w:tr>
      <w:tr w:rsidR="00494B49" w:rsidRPr="003B0773" w14:paraId="1853DB38" w14:textId="77777777" w:rsidTr="003B0773">
        <w:tc>
          <w:tcPr>
            <w:tcW w:w="9606" w:type="dxa"/>
          </w:tcPr>
          <w:p w14:paraId="10188931"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Introduction </w:t>
            </w:r>
          </w:p>
        </w:tc>
      </w:tr>
      <w:tr w:rsidR="00494B49" w:rsidRPr="003B0773" w14:paraId="7C88E3A7" w14:textId="77777777" w:rsidTr="003B0773">
        <w:tc>
          <w:tcPr>
            <w:tcW w:w="9606" w:type="dxa"/>
          </w:tcPr>
          <w:p w14:paraId="640DB29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2013 Proposed Regulations </w:t>
            </w:r>
          </w:p>
        </w:tc>
      </w:tr>
      <w:tr w:rsidR="00494B49" w:rsidRPr="003B0773" w14:paraId="51A8BDAF" w14:textId="77777777" w:rsidTr="003B0773">
        <w:tc>
          <w:tcPr>
            <w:tcW w:w="9606" w:type="dxa"/>
          </w:tcPr>
          <w:p w14:paraId="2A92829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Interests Subject to §1411(c)(4)</w:t>
            </w:r>
          </w:p>
        </w:tc>
      </w:tr>
      <w:tr w:rsidR="00494B49" w:rsidRPr="003B0773" w14:paraId="7C817982" w14:textId="77777777" w:rsidTr="003B0773">
        <w:tc>
          <w:tcPr>
            <w:tcW w:w="9606" w:type="dxa"/>
          </w:tcPr>
          <w:p w14:paraId="5181D2D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Passthrough Entity</w:t>
            </w:r>
          </w:p>
        </w:tc>
      </w:tr>
      <w:tr w:rsidR="00494B49" w:rsidRPr="003B0773" w14:paraId="6668664C" w14:textId="77777777" w:rsidTr="003B0773">
        <w:tc>
          <w:tcPr>
            <w:tcW w:w="9606" w:type="dxa"/>
          </w:tcPr>
          <w:p w14:paraId="0E1F6B6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Definition of Subsidiary Passthrough Entity</w:t>
            </w:r>
          </w:p>
        </w:tc>
      </w:tr>
      <w:tr w:rsidR="00494B49" w:rsidRPr="003B0773" w14:paraId="2251602A" w14:textId="77777777" w:rsidTr="003B0773">
        <w:tc>
          <w:tcPr>
            <w:tcW w:w="9606" w:type="dxa"/>
          </w:tcPr>
          <w:p w14:paraId="4E29529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Definition of `Section 1411(c)(4) Disposition'</w:t>
            </w:r>
          </w:p>
        </w:tc>
      </w:tr>
      <w:tr w:rsidR="00494B49" w:rsidRPr="003B0773" w14:paraId="6D08501B" w14:textId="77777777" w:rsidTr="003B0773">
        <w:tc>
          <w:tcPr>
            <w:tcW w:w="9606" w:type="dxa"/>
          </w:tcPr>
          <w:p w14:paraId="26E2FCC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Passive and Nonpassive Activities </w:t>
            </w:r>
          </w:p>
        </w:tc>
      </w:tr>
      <w:tr w:rsidR="00494B49" w:rsidRPr="003B0773" w14:paraId="661C16BB" w14:textId="77777777" w:rsidTr="003B0773">
        <w:tc>
          <w:tcPr>
            <w:tcW w:w="9606" w:type="dxa"/>
          </w:tcPr>
          <w:p w14:paraId="72F618A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Dispositions </w:t>
            </w:r>
          </w:p>
        </w:tc>
      </w:tr>
      <w:tr w:rsidR="00494B49" w:rsidRPr="003B0773" w14:paraId="5D7CBA2F" w14:textId="77777777" w:rsidTr="003B0773">
        <w:tc>
          <w:tcPr>
            <w:tcW w:w="9606" w:type="dxa"/>
          </w:tcPr>
          <w:p w14:paraId="5EA0E4F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Definition of `Section 1411 Property'</w:t>
            </w:r>
          </w:p>
        </w:tc>
      </w:tr>
      <w:tr w:rsidR="00494B49" w:rsidRPr="003B0773" w14:paraId="2B6453EF" w14:textId="77777777" w:rsidTr="003B0773">
        <w:tc>
          <w:tcPr>
            <w:tcW w:w="9606" w:type="dxa"/>
          </w:tcPr>
          <w:p w14:paraId="14FF90D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Calculation of Gain or Loss Taken into Account in Computing Net Investment Income</w:t>
            </w:r>
          </w:p>
        </w:tc>
      </w:tr>
      <w:tr w:rsidR="00494B49" w:rsidRPr="003B0773" w14:paraId="4413C454" w14:textId="77777777" w:rsidTr="003B0773">
        <w:tc>
          <w:tcPr>
            <w:tcW w:w="9606" w:type="dxa"/>
          </w:tcPr>
          <w:p w14:paraId="42F4CAC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Primary Method </w:t>
            </w:r>
          </w:p>
        </w:tc>
      </w:tr>
      <w:tr w:rsidR="00494B49" w:rsidRPr="003B0773" w14:paraId="00735145" w14:textId="77777777" w:rsidTr="003B0773">
        <w:tc>
          <w:tcPr>
            <w:tcW w:w="9606" w:type="dxa"/>
          </w:tcPr>
          <w:p w14:paraId="455F9F6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Transferor's Allocable Share of Net Gain or Loss</w:t>
            </w:r>
          </w:p>
        </w:tc>
      </w:tr>
      <w:tr w:rsidR="00494B49" w:rsidRPr="003B0773" w14:paraId="4AC6DBFF" w14:textId="77777777" w:rsidTr="003B0773">
        <w:tc>
          <w:tcPr>
            <w:tcW w:w="9606" w:type="dxa"/>
          </w:tcPr>
          <w:p w14:paraId="63017A8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Timing of Calculation</w:t>
            </w:r>
          </w:p>
        </w:tc>
      </w:tr>
      <w:tr w:rsidR="00494B49" w:rsidRPr="003B0773" w14:paraId="7BCE7DA3" w14:textId="77777777" w:rsidTr="003B0773">
        <w:tc>
          <w:tcPr>
            <w:tcW w:w="9606" w:type="dxa"/>
          </w:tcPr>
          <w:p w14:paraId="49F29F1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Treatment of Losses Suspended by §704(d)(1) and §1366(d)</w:t>
            </w:r>
          </w:p>
        </w:tc>
      </w:tr>
      <w:tr w:rsidR="00494B49" w:rsidRPr="003B0773" w14:paraId="6D9217F7" w14:textId="77777777" w:rsidTr="003B0773">
        <w:tc>
          <w:tcPr>
            <w:tcW w:w="9606" w:type="dxa"/>
          </w:tcPr>
          <w:p w14:paraId="3BB6C43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Examples</w:t>
            </w:r>
          </w:p>
        </w:tc>
      </w:tr>
      <w:tr w:rsidR="00494B49" w:rsidRPr="003B0773" w14:paraId="7503E291" w14:textId="77777777" w:rsidTr="003B0773">
        <w:tc>
          <w:tcPr>
            <w:tcW w:w="9606" w:type="dxa"/>
          </w:tcPr>
          <w:p w14:paraId="18AE627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Optional Simplified Method</w:t>
            </w:r>
          </w:p>
        </w:tc>
      </w:tr>
      <w:tr w:rsidR="00494B49" w:rsidRPr="003B0773" w14:paraId="764C5BBA" w14:textId="77777777" w:rsidTr="003B0773">
        <w:tc>
          <w:tcPr>
            <w:tcW w:w="9606" w:type="dxa"/>
          </w:tcPr>
          <w:p w14:paraId="3117BA21"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Section 1411 Holding Period </w:t>
            </w:r>
          </w:p>
        </w:tc>
      </w:tr>
      <w:tr w:rsidR="00494B49" w:rsidRPr="003B0773" w14:paraId="2E88278A" w14:textId="77777777" w:rsidTr="003B0773">
        <w:tc>
          <w:tcPr>
            <w:tcW w:w="9606" w:type="dxa"/>
          </w:tcPr>
          <w:p w14:paraId="6A67E34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Dispositions Eligible for the Optional Simplified Method</w:t>
            </w:r>
          </w:p>
        </w:tc>
      </w:tr>
      <w:tr w:rsidR="00494B49" w:rsidRPr="003B0773" w14:paraId="15E27A3A" w14:textId="77777777" w:rsidTr="003B0773">
        <w:tc>
          <w:tcPr>
            <w:tcW w:w="9606" w:type="dxa"/>
          </w:tcPr>
          <w:p w14:paraId="3861AAC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Dispositions Not Eligible for the Optional Simplified Method</w:t>
            </w:r>
          </w:p>
        </w:tc>
      </w:tr>
      <w:tr w:rsidR="00494B49" w:rsidRPr="003B0773" w14:paraId="0BA51C5E" w14:textId="77777777" w:rsidTr="003B0773">
        <w:tc>
          <w:tcPr>
            <w:tcW w:w="9606" w:type="dxa"/>
          </w:tcPr>
          <w:p w14:paraId="2C77D14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Calculation of §1411(c)(4) Adjustment Under the Optional Simplified Method</w:t>
            </w:r>
          </w:p>
        </w:tc>
      </w:tr>
      <w:tr w:rsidR="00494B49" w:rsidRPr="003B0773" w14:paraId="59F104B9" w14:textId="77777777" w:rsidTr="003B0773">
        <w:tc>
          <w:tcPr>
            <w:tcW w:w="9606" w:type="dxa"/>
          </w:tcPr>
          <w:p w14:paraId="583DE7C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(5) Examples of the Optional Simplified Method</w:t>
            </w:r>
          </w:p>
        </w:tc>
      </w:tr>
      <w:tr w:rsidR="00494B49" w:rsidRPr="003B0773" w14:paraId="08021238" w14:textId="77777777" w:rsidTr="003B0773">
        <w:tc>
          <w:tcPr>
            <w:tcW w:w="9606" w:type="dxa"/>
          </w:tcPr>
          <w:p w14:paraId="0E4F01B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Information Reporting</w:t>
            </w:r>
          </w:p>
        </w:tc>
      </w:tr>
      <w:tr w:rsidR="00494B49" w:rsidRPr="003B0773" w14:paraId="4FF38070" w14:textId="77777777" w:rsidTr="003B0773">
        <w:tc>
          <w:tcPr>
            <w:tcW w:w="9606" w:type="dxa"/>
          </w:tcPr>
          <w:p w14:paraId="5281930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Information Reporting by the Passthrough Entity to the Transferor</w:t>
            </w:r>
          </w:p>
        </w:tc>
      </w:tr>
      <w:tr w:rsidR="00494B49" w:rsidRPr="003B0773" w14:paraId="677DBCC1" w14:textId="77777777" w:rsidTr="003B0773">
        <w:tc>
          <w:tcPr>
            <w:tcW w:w="9606" w:type="dxa"/>
          </w:tcPr>
          <w:p w14:paraId="4B93284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Information Reporting by the Transferor </w:t>
            </w:r>
          </w:p>
        </w:tc>
      </w:tr>
      <w:tr w:rsidR="00494B49" w:rsidRPr="003B0773" w14:paraId="0A3F7FDA" w14:textId="77777777" w:rsidTr="003B0773">
        <w:tc>
          <w:tcPr>
            <w:tcW w:w="9606" w:type="dxa"/>
          </w:tcPr>
          <w:p w14:paraId="5DBF2D7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Special Operating Rules</w:t>
            </w:r>
          </w:p>
        </w:tc>
      </w:tr>
      <w:tr w:rsidR="00494B49" w:rsidRPr="003B0773" w14:paraId="67722FC7" w14:textId="77777777" w:rsidTr="003B0773">
        <w:tc>
          <w:tcPr>
            <w:tcW w:w="9606" w:type="dxa"/>
          </w:tcPr>
          <w:p w14:paraId="4118975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Certain Liquidations</w:t>
            </w:r>
          </w:p>
        </w:tc>
      </w:tr>
      <w:tr w:rsidR="00494B49" w:rsidRPr="003B0773" w14:paraId="6AE0AE8F" w14:textId="77777777" w:rsidTr="003B0773">
        <w:tc>
          <w:tcPr>
            <w:tcW w:w="9606" w:type="dxa"/>
          </w:tcPr>
          <w:p w14:paraId="229FE35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Coordinating Rules for S Corporations</w:t>
            </w:r>
          </w:p>
        </w:tc>
      </w:tr>
      <w:tr w:rsidR="00494B49" w:rsidRPr="003B0773" w14:paraId="2A9FD934" w14:textId="77777777" w:rsidTr="003B0773">
        <w:tc>
          <w:tcPr>
            <w:tcW w:w="9606" w:type="dxa"/>
          </w:tcPr>
          <w:p w14:paraId="489581C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Sales That Terminate the Passthrough Entity's S Corporation Election</w:t>
            </w:r>
          </w:p>
        </w:tc>
      </w:tr>
      <w:tr w:rsidR="00494B49" w:rsidRPr="003B0773" w14:paraId="5FA91B4A" w14:textId="77777777" w:rsidTr="003B0773">
        <w:tc>
          <w:tcPr>
            <w:tcW w:w="9606" w:type="dxa"/>
          </w:tcPr>
          <w:p w14:paraId="515C5EA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Treatment of Hypothetical §1374 Built-In Gain Taxes </w:t>
            </w:r>
          </w:p>
        </w:tc>
      </w:tr>
      <w:tr w:rsidR="00494B49" w:rsidRPr="003B0773" w14:paraId="1E999B0E" w14:textId="77777777" w:rsidTr="003B0773">
        <w:tc>
          <w:tcPr>
            <w:tcW w:w="9606" w:type="dxa"/>
          </w:tcPr>
          <w:p w14:paraId="7588DD2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Treatment of Section 1411 Dispositions by QualifiedSubchapter S Trusts (QSSTs)</w:t>
            </w:r>
          </w:p>
        </w:tc>
      </w:tr>
      <w:tr w:rsidR="00494B49" w:rsidRPr="003B0773" w14:paraId="394681C6" w14:textId="77777777" w:rsidTr="003B0773">
        <w:tc>
          <w:tcPr>
            <w:tcW w:w="9606" w:type="dxa"/>
          </w:tcPr>
          <w:p w14:paraId="05DE393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Sales Involving Installment Sales and Private Annuities </w:t>
            </w:r>
          </w:p>
        </w:tc>
      </w:tr>
      <w:tr w:rsidR="00494B49" w:rsidRPr="003B0773" w14:paraId="0AC855B6" w14:textId="77777777" w:rsidTr="003B0773">
        <w:tc>
          <w:tcPr>
            <w:tcW w:w="9606" w:type="dxa"/>
          </w:tcPr>
          <w:p w14:paraId="60ED4DA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General Rule </w:t>
            </w:r>
          </w:p>
        </w:tc>
      </w:tr>
      <w:tr w:rsidR="00494B49" w:rsidRPr="003B0773" w14:paraId="3248B845" w14:textId="77777777" w:rsidTr="003B0773">
        <w:tc>
          <w:tcPr>
            <w:tcW w:w="9606" w:type="dxa"/>
          </w:tcPr>
          <w:p w14:paraId="428CE56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Treatment of Contingent Payment Installment Sales and Private Annuities Based on Life Expectancy</w:t>
            </w:r>
          </w:p>
        </w:tc>
      </w:tr>
      <w:tr w:rsidR="00494B49" w:rsidRPr="003B0773" w14:paraId="53E95DC4" w14:textId="77777777" w:rsidTr="003B0773">
        <w:tc>
          <w:tcPr>
            <w:tcW w:w="9606" w:type="dxa"/>
          </w:tcPr>
          <w:p w14:paraId="2AD1F67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5. Tiered Passthrough Dispositions</w:t>
            </w:r>
          </w:p>
        </w:tc>
      </w:tr>
      <w:tr w:rsidR="00494B49" w:rsidRPr="003B0773" w14:paraId="4F1F9640" w14:textId="77777777" w:rsidTr="003B0773">
        <w:tc>
          <w:tcPr>
            <w:tcW w:w="9606" w:type="dxa"/>
          </w:tcPr>
          <w:p w14:paraId="3ABF11E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Computational Issues</w:t>
            </w:r>
          </w:p>
        </w:tc>
      </w:tr>
      <w:tr w:rsidR="00494B49" w:rsidRPr="003B0773" w14:paraId="23C448CE" w14:textId="77777777" w:rsidTr="003B0773">
        <w:tc>
          <w:tcPr>
            <w:tcW w:w="9606" w:type="dxa"/>
          </w:tcPr>
          <w:p w14:paraId="09D3F75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Reporting in Tiered Structures</w:t>
            </w:r>
          </w:p>
        </w:tc>
      </w:tr>
      <w:tr w:rsidR="00494B49" w:rsidRPr="003B0773" w14:paraId="28DA555B" w14:textId="77777777" w:rsidTr="003B0773">
        <w:tc>
          <w:tcPr>
            <w:tcW w:w="9606" w:type="dxa"/>
          </w:tcPr>
          <w:p w14:paraId="3C29C0E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Short Year Sales: A Trap for the Unwary</w:t>
            </w:r>
          </w:p>
        </w:tc>
      </w:tr>
      <w:tr w:rsidR="00494B49" w:rsidRPr="003B0773" w14:paraId="0EB7F102" w14:textId="77777777" w:rsidTr="003B0773">
        <w:tc>
          <w:tcPr>
            <w:tcW w:w="9606" w:type="dxa"/>
          </w:tcPr>
          <w:p w14:paraId="5B094C10"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2012 Proposed Regulations</w:t>
            </w:r>
          </w:p>
        </w:tc>
      </w:tr>
      <w:tr w:rsidR="00494B49" w:rsidRPr="003B0773" w14:paraId="0A5730D6" w14:textId="77777777" w:rsidTr="003B0773">
        <w:tc>
          <w:tcPr>
            <w:tcW w:w="9606" w:type="dxa"/>
          </w:tcPr>
          <w:p w14:paraId="41A5A2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Deemed Sale Approach</w:t>
            </w:r>
          </w:p>
        </w:tc>
      </w:tr>
      <w:tr w:rsidR="00494B49" w:rsidRPr="003B0773" w14:paraId="6F3E9733" w14:textId="77777777" w:rsidTr="003B0773">
        <w:tc>
          <w:tcPr>
            <w:tcW w:w="9606" w:type="dxa"/>
          </w:tcPr>
          <w:p w14:paraId="4DF947A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Taxpayer Reliance on 2012 Proposed Regulations — 2013 Tax Year</w:t>
            </w:r>
          </w:p>
        </w:tc>
      </w:tr>
      <w:tr w:rsidR="00494B49" w:rsidRPr="003B0773" w14:paraId="361C17A6" w14:textId="77777777" w:rsidTr="003B0773">
        <w:tc>
          <w:tcPr>
            <w:tcW w:w="9606" w:type="dxa"/>
          </w:tcPr>
          <w:p w14:paraId="4F3B6EF2"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VII. Income from Controlled Foreign Corporations and Passive Foreign Investment Companies </w:t>
            </w:r>
          </w:p>
        </w:tc>
      </w:tr>
      <w:tr w:rsidR="00494B49" w:rsidRPr="003B0773" w14:paraId="74C20EB8" w14:textId="77777777" w:rsidTr="003B0773">
        <w:tc>
          <w:tcPr>
            <w:tcW w:w="9606" w:type="dxa"/>
          </w:tcPr>
          <w:p w14:paraId="6EC41E0F"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 of Regular Income Taxation of Controlled Foreign Corporations and Passive Foreign Investment Companies</w:t>
            </w:r>
          </w:p>
        </w:tc>
      </w:tr>
      <w:tr w:rsidR="00494B49" w:rsidRPr="003B0773" w14:paraId="6281B565" w14:textId="77777777" w:rsidTr="003B0773">
        <w:tc>
          <w:tcPr>
            <w:tcW w:w="9606" w:type="dxa"/>
          </w:tcPr>
          <w:p w14:paraId="53BBB0F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Controlled Foreign Corporations (CFCs) </w:t>
            </w:r>
          </w:p>
        </w:tc>
      </w:tr>
      <w:tr w:rsidR="00494B49" w:rsidRPr="003B0773" w14:paraId="45AC8838" w14:textId="77777777" w:rsidTr="003B0773">
        <w:tc>
          <w:tcPr>
            <w:tcW w:w="9606" w:type="dxa"/>
          </w:tcPr>
          <w:p w14:paraId="2518DB9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Passive Foreign Investment Companies (PFICs) </w:t>
            </w:r>
          </w:p>
        </w:tc>
      </w:tr>
      <w:tr w:rsidR="00494B49" w:rsidRPr="003B0773" w14:paraId="255CD091" w14:textId="77777777" w:rsidTr="003B0773">
        <w:tc>
          <w:tcPr>
            <w:tcW w:w="9606" w:type="dxa"/>
          </w:tcPr>
          <w:p w14:paraId="06F2A2D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Section 1291 Funds</w:t>
            </w:r>
          </w:p>
        </w:tc>
      </w:tr>
      <w:tr w:rsidR="00494B49" w:rsidRPr="003B0773" w14:paraId="23121965" w14:textId="77777777" w:rsidTr="003B0773">
        <w:tc>
          <w:tcPr>
            <w:tcW w:w="9606" w:type="dxa"/>
          </w:tcPr>
          <w:p w14:paraId="74BA1DB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b. QEFs</w:t>
            </w:r>
          </w:p>
        </w:tc>
      </w:tr>
      <w:tr w:rsidR="00494B49" w:rsidRPr="003B0773" w14:paraId="27056F99" w14:textId="77777777" w:rsidTr="003B0773">
        <w:tc>
          <w:tcPr>
            <w:tcW w:w="9606" w:type="dxa"/>
          </w:tcPr>
          <w:p w14:paraId="0865088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Mark-to-Market Funds</w:t>
            </w:r>
          </w:p>
        </w:tc>
      </w:tr>
      <w:tr w:rsidR="00494B49" w:rsidRPr="003B0773" w14:paraId="3D2B3AED" w14:textId="77777777" w:rsidTr="003B0773">
        <w:tc>
          <w:tcPr>
            <w:tcW w:w="9606" w:type="dxa"/>
          </w:tcPr>
          <w:p w14:paraId="169715C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Application of NIIT to §1296 Mark-to-Market Funds</w:t>
            </w:r>
          </w:p>
        </w:tc>
      </w:tr>
      <w:tr w:rsidR="00494B49" w:rsidRPr="003B0773" w14:paraId="5E4DB323" w14:textId="77777777" w:rsidTr="003B0773">
        <w:tc>
          <w:tcPr>
            <w:tcW w:w="9606" w:type="dxa"/>
          </w:tcPr>
          <w:p w14:paraId="3E806273"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Application of NIIT to §1291 Funds</w:t>
            </w:r>
          </w:p>
        </w:tc>
      </w:tr>
      <w:tr w:rsidR="00494B49" w:rsidRPr="003B0773" w14:paraId="174A86CB" w14:textId="77777777" w:rsidTr="003B0773">
        <w:tc>
          <w:tcPr>
            <w:tcW w:w="9606" w:type="dxa"/>
          </w:tcPr>
          <w:p w14:paraId="65DE2BF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Net Investment Income Inclusion</w:t>
            </w:r>
          </w:p>
        </w:tc>
      </w:tr>
      <w:tr w:rsidR="00494B49" w:rsidRPr="003B0773" w14:paraId="29B0CB09" w14:textId="77777777" w:rsidTr="003B0773">
        <w:tc>
          <w:tcPr>
            <w:tcW w:w="9606" w:type="dxa"/>
          </w:tcPr>
          <w:p w14:paraId="2121D33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Required Adjustment to MAGI </w:t>
            </w:r>
          </w:p>
        </w:tc>
      </w:tr>
      <w:tr w:rsidR="00494B49" w:rsidRPr="003B0773" w14:paraId="3DFED5EF" w14:textId="77777777" w:rsidTr="003B0773">
        <w:tc>
          <w:tcPr>
            <w:tcW w:w="9606" w:type="dxa"/>
          </w:tcPr>
          <w:p w14:paraId="7E69DAE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Compliance Considerations for §1291 Funds</w:t>
            </w:r>
          </w:p>
        </w:tc>
      </w:tr>
      <w:tr w:rsidR="00494B49" w:rsidRPr="003B0773" w14:paraId="720FB749" w14:textId="77777777" w:rsidTr="003B0773">
        <w:tc>
          <w:tcPr>
            <w:tcW w:w="9606" w:type="dxa"/>
          </w:tcPr>
          <w:p w14:paraId="746216C0"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Application of NIIT to CFCs and QEFs Without a Reg. §1.1411-10(g) Election</w:t>
            </w:r>
          </w:p>
        </w:tc>
      </w:tr>
      <w:tr w:rsidR="00494B49" w:rsidRPr="003B0773" w14:paraId="327663BF" w14:textId="77777777" w:rsidTr="003B0773">
        <w:tc>
          <w:tcPr>
            <w:tcW w:w="9606" w:type="dxa"/>
          </w:tcPr>
          <w:p w14:paraId="5FF76F5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and Reasoning for Rules</w:t>
            </w:r>
          </w:p>
        </w:tc>
      </w:tr>
      <w:tr w:rsidR="00494B49" w:rsidRPr="003B0773" w14:paraId="043B51D7" w14:textId="77777777" w:rsidTr="003B0773">
        <w:tc>
          <w:tcPr>
            <w:tcW w:w="9606" w:type="dxa"/>
          </w:tcPr>
          <w:p w14:paraId="02DD70C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Timing of Net Investment Income Inclusion</w:t>
            </w:r>
          </w:p>
        </w:tc>
      </w:tr>
      <w:tr w:rsidR="00494B49" w:rsidRPr="003B0773" w14:paraId="33120526" w14:textId="77777777" w:rsidTr="003B0773">
        <w:tc>
          <w:tcPr>
            <w:tcW w:w="9606" w:type="dxa"/>
          </w:tcPr>
          <w:p w14:paraId="72BF61A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Imputed Items Included in Gross Income but Excluded from Investment Income</w:t>
            </w:r>
          </w:p>
        </w:tc>
      </w:tr>
      <w:tr w:rsidR="00494B49" w:rsidRPr="003B0773" w14:paraId="4FAC2208" w14:textId="77777777" w:rsidTr="003B0773">
        <w:tc>
          <w:tcPr>
            <w:tcW w:w="9606" w:type="dxa"/>
          </w:tcPr>
          <w:p w14:paraId="555C441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Items Excluded from Gross Income but Included in Investment Income</w:t>
            </w:r>
          </w:p>
        </w:tc>
      </w:tr>
      <w:tr w:rsidR="00494B49" w:rsidRPr="003B0773" w14:paraId="07943052" w14:textId="77777777" w:rsidTr="003B0773">
        <w:tc>
          <w:tcPr>
            <w:tcW w:w="9606" w:type="dxa"/>
          </w:tcPr>
          <w:p w14:paraId="19A26F4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Resulting Basis Adjustments and Differences in Gains and Losses</w:t>
            </w:r>
          </w:p>
        </w:tc>
      </w:tr>
      <w:tr w:rsidR="00494B49" w:rsidRPr="003B0773" w14:paraId="52072C72" w14:textId="77777777" w:rsidTr="003B0773">
        <w:tc>
          <w:tcPr>
            <w:tcW w:w="9606" w:type="dxa"/>
          </w:tcPr>
          <w:p w14:paraId="5B0E635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Required Adjustment to MAGI</w:t>
            </w:r>
          </w:p>
        </w:tc>
      </w:tr>
      <w:tr w:rsidR="00494B49" w:rsidRPr="003B0773" w14:paraId="6E852329" w14:textId="77777777" w:rsidTr="003B0773">
        <w:tc>
          <w:tcPr>
            <w:tcW w:w="9606" w:type="dxa"/>
          </w:tcPr>
          <w:p w14:paraId="7840F1B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Situations That Require a Decrease to MAGI</w:t>
            </w:r>
          </w:p>
        </w:tc>
      </w:tr>
      <w:tr w:rsidR="00494B49" w:rsidRPr="003B0773" w14:paraId="75728D61" w14:textId="77777777" w:rsidTr="003B0773">
        <w:tc>
          <w:tcPr>
            <w:tcW w:w="9606" w:type="dxa"/>
          </w:tcPr>
          <w:p w14:paraId="04A2D28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Situations That Require an Increase to MAGI</w:t>
            </w:r>
          </w:p>
        </w:tc>
      </w:tr>
      <w:tr w:rsidR="00494B49" w:rsidRPr="003B0773" w14:paraId="0608602E" w14:textId="77777777" w:rsidTr="003B0773">
        <w:tc>
          <w:tcPr>
            <w:tcW w:w="9606" w:type="dxa"/>
          </w:tcPr>
          <w:p w14:paraId="46A6BF5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Situations That May Result in an Increase or Decrease in MAGI</w:t>
            </w:r>
          </w:p>
        </w:tc>
      </w:tr>
      <w:tr w:rsidR="00494B49" w:rsidRPr="003B0773" w14:paraId="63CE4B46" w14:textId="77777777" w:rsidTr="003B0773">
        <w:tc>
          <w:tcPr>
            <w:tcW w:w="9606" w:type="dxa"/>
          </w:tcPr>
          <w:p w14:paraId="0A5E6ED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Example</w:t>
            </w:r>
          </w:p>
        </w:tc>
      </w:tr>
      <w:tr w:rsidR="00494B49" w:rsidRPr="003B0773" w14:paraId="0B37EB32" w14:textId="77777777" w:rsidTr="003B0773">
        <w:tc>
          <w:tcPr>
            <w:tcW w:w="9606" w:type="dxa"/>
          </w:tcPr>
          <w:p w14:paraId="7C2AA63A"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E. The 10(g) Election</w:t>
            </w:r>
          </w:p>
        </w:tc>
      </w:tr>
      <w:tr w:rsidR="00494B49" w:rsidRPr="003B0773" w14:paraId="5DC8AE02" w14:textId="77777777" w:rsidTr="003B0773">
        <w:tc>
          <w:tcPr>
            <w:tcW w:w="9606" w:type="dxa"/>
          </w:tcPr>
          <w:p w14:paraId="7B4694D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Consequences of Election </w:t>
            </w:r>
          </w:p>
        </w:tc>
      </w:tr>
      <w:tr w:rsidR="00494B49" w:rsidRPr="003B0773" w14:paraId="7F7179E5" w14:textId="77777777" w:rsidTr="003B0773">
        <w:tc>
          <w:tcPr>
            <w:tcW w:w="9606" w:type="dxa"/>
          </w:tcPr>
          <w:p w14:paraId="76C85BA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Election Requirements </w:t>
            </w:r>
          </w:p>
        </w:tc>
      </w:tr>
      <w:tr w:rsidR="00494B49" w:rsidRPr="003B0773" w14:paraId="205D4FD1" w14:textId="77777777" w:rsidTr="003B0773">
        <w:tc>
          <w:tcPr>
            <w:tcW w:w="9606" w:type="dxa"/>
          </w:tcPr>
          <w:p w14:paraId="3F5E512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Elections by Individuals, Estates and Trusts</w:t>
            </w:r>
          </w:p>
        </w:tc>
      </w:tr>
      <w:tr w:rsidR="00494B49" w:rsidRPr="003B0773" w14:paraId="44760AA9" w14:textId="77777777" w:rsidTr="003B0773">
        <w:tc>
          <w:tcPr>
            <w:tcW w:w="9606" w:type="dxa"/>
          </w:tcPr>
          <w:p w14:paraId="36CBD34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Timing of Election </w:t>
            </w:r>
          </w:p>
        </w:tc>
      </w:tr>
      <w:tr w:rsidR="00494B49" w:rsidRPr="003B0773" w14:paraId="0121C669" w14:textId="77777777" w:rsidTr="003B0773">
        <w:tc>
          <w:tcPr>
            <w:tcW w:w="9606" w:type="dxa"/>
          </w:tcPr>
          <w:p w14:paraId="7F83DF7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Tax Compliance </w:t>
            </w:r>
          </w:p>
        </w:tc>
      </w:tr>
      <w:tr w:rsidR="00494B49" w:rsidRPr="003B0773" w14:paraId="37CE03A5" w14:textId="77777777" w:rsidTr="003B0773">
        <w:tc>
          <w:tcPr>
            <w:tcW w:w="9606" w:type="dxa"/>
          </w:tcPr>
          <w:p w14:paraId="07C5515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for Charitable Remainder Trusts</w:t>
            </w:r>
          </w:p>
        </w:tc>
      </w:tr>
      <w:tr w:rsidR="00494B49" w:rsidRPr="003B0773" w14:paraId="310F22A4" w14:textId="77777777" w:rsidTr="003B0773">
        <w:tc>
          <w:tcPr>
            <w:tcW w:w="9606" w:type="dxa"/>
          </w:tcPr>
          <w:p w14:paraId="756EA72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Elections by Domestic Partnerships, S Corporations, or Common Trust Funds</w:t>
            </w:r>
          </w:p>
        </w:tc>
      </w:tr>
      <w:tr w:rsidR="00494B49" w:rsidRPr="003B0773" w14:paraId="10C8D49F" w14:textId="77777777" w:rsidTr="003B0773">
        <w:tc>
          <w:tcPr>
            <w:tcW w:w="9606" w:type="dxa"/>
          </w:tcPr>
          <w:p w14:paraId="2CB0AC2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Timing of Election </w:t>
            </w:r>
          </w:p>
        </w:tc>
      </w:tr>
      <w:tr w:rsidR="00494B49" w:rsidRPr="003B0773" w14:paraId="021BAEE3" w14:textId="77777777" w:rsidTr="003B0773">
        <w:tc>
          <w:tcPr>
            <w:tcW w:w="9606" w:type="dxa"/>
          </w:tcPr>
          <w:p w14:paraId="03918EB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Tax Compliance </w:t>
            </w:r>
          </w:p>
        </w:tc>
      </w:tr>
      <w:tr w:rsidR="00494B49" w:rsidRPr="003B0773" w14:paraId="53CA051F" w14:textId="77777777" w:rsidTr="003B0773">
        <w:tc>
          <w:tcPr>
            <w:tcW w:w="9606" w:type="dxa"/>
          </w:tcPr>
          <w:p w14:paraId="7B10EFB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Applicable to 2013 Taxable Year</w:t>
            </w:r>
          </w:p>
        </w:tc>
      </w:tr>
      <w:tr w:rsidR="00494B49" w:rsidRPr="003B0773" w14:paraId="33A60658" w14:textId="77777777" w:rsidTr="003B0773">
        <w:tc>
          <w:tcPr>
            <w:tcW w:w="9606" w:type="dxa"/>
          </w:tcPr>
          <w:p w14:paraId="0833508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Protective `Blanket 10(g) Elections' </w:t>
            </w:r>
          </w:p>
        </w:tc>
      </w:tr>
      <w:tr w:rsidR="00494B49" w:rsidRPr="003B0773" w14:paraId="66F9FD53" w14:textId="77777777" w:rsidTr="003B0773">
        <w:tc>
          <w:tcPr>
            <w:tcW w:w="9606" w:type="dxa"/>
          </w:tcPr>
          <w:p w14:paraId="034E1EA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Intentionally Not Making the 10(g) Election</w:t>
            </w:r>
          </w:p>
        </w:tc>
      </w:tr>
      <w:tr w:rsidR="00494B49" w:rsidRPr="003B0773" w14:paraId="61C1DD84" w14:textId="77777777" w:rsidTr="003B0773">
        <w:tc>
          <w:tcPr>
            <w:tcW w:w="9606" w:type="dxa"/>
          </w:tcPr>
          <w:p w14:paraId="1F78362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F. Special Consideration for Estates and Trusts </w:t>
            </w:r>
          </w:p>
        </w:tc>
      </w:tr>
      <w:tr w:rsidR="00494B49" w:rsidRPr="003B0773" w14:paraId="13ACCF84" w14:textId="77777777" w:rsidTr="003B0773">
        <w:tc>
          <w:tcPr>
            <w:tcW w:w="9606" w:type="dxa"/>
          </w:tcPr>
          <w:p w14:paraId="655BF402"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G. Application of §965 Transition Tax to a Taxpayer Subject to NIIT</w:t>
            </w:r>
          </w:p>
        </w:tc>
      </w:tr>
      <w:tr w:rsidR="00494B49" w:rsidRPr="003B0773" w14:paraId="3F62F281" w14:textId="77777777" w:rsidTr="003B0773">
        <w:tc>
          <w:tcPr>
            <w:tcW w:w="9606" w:type="dxa"/>
          </w:tcPr>
          <w:p w14:paraId="67A1A5C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of §965</w:t>
            </w:r>
          </w:p>
        </w:tc>
      </w:tr>
      <w:tr w:rsidR="00494B49" w:rsidRPr="003B0773" w14:paraId="1DFD8C6F" w14:textId="77777777" w:rsidTr="003B0773">
        <w:tc>
          <w:tcPr>
            <w:tcW w:w="9606" w:type="dxa"/>
          </w:tcPr>
          <w:p w14:paraId="51FE25D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Treatment of the §965(a) Inclusion</w:t>
            </w:r>
          </w:p>
        </w:tc>
      </w:tr>
      <w:tr w:rsidR="00494B49" w:rsidRPr="003B0773" w14:paraId="00F72A9B" w14:textId="77777777" w:rsidTr="003B0773">
        <w:tc>
          <w:tcPr>
            <w:tcW w:w="9606" w:type="dxa"/>
          </w:tcPr>
          <w:p w14:paraId="2301391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Treatment of the §965(c) Deduction</w:t>
            </w:r>
          </w:p>
        </w:tc>
      </w:tr>
      <w:tr w:rsidR="00494B49" w:rsidRPr="003B0773" w14:paraId="5BFCC046" w14:textId="77777777" w:rsidTr="003B0773">
        <w:tc>
          <w:tcPr>
            <w:tcW w:w="9606" w:type="dxa"/>
          </w:tcPr>
          <w:p w14:paraId="252A1F3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NIIT Treatment of Installments Payable Over Eight Years (§965(h))</w:t>
            </w:r>
          </w:p>
        </w:tc>
      </w:tr>
      <w:tr w:rsidR="00494B49" w:rsidRPr="003B0773" w14:paraId="7CD831D2" w14:textId="77777777" w:rsidTr="003B0773">
        <w:tc>
          <w:tcPr>
            <w:tcW w:w="9606" w:type="dxa"/>
          </w:tcPr>
          <w:p w14:paraId="0A69185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H. NIIT Treatment of Taxpayers Making a §962 Election</w:t>
            </w:r>
          </w:p>
        </w:tc>
      </w:tr>
      <w:tr w:rsidR="00494B49" w:rsidRPr="003B0773" w14:paraId="46F6EE04" w14:textId="77777777" w:rsidTr="003B0773">
        <w:tc>
          <w:tcPr>
            <w:tcW w:w="9606" w:type="dxa"/>
          </w:tcPr>
          <w:p w14:paraId="0CFC5288"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VIII. Application to Individuals</w:t>
            </w:r>
          </w:p>
        </w:tc>
      </w:tr>
      <w:tr w:rsidR="00494B49" w:rsidRPr="003B0773" w14:paraId="0863F43D" w14:textId="77777777" w:rsidTr="003B0773">
        <w:tc>
          <w:tcPr>
            <w:tcW w:w="9606" w:type="dxa"/>
          </w:tcPr>
          <w:p w14:paraId="0A15FBA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Modified Adjusted Gross Income</w:t>
            </w:r>
          </w:p>
        </w:tc>
      </w:tr>
      <w:tr w:rsidR="00494B49" w:rsidRPr="003B0773" w14:paraId="1BB723BF" w14:textId="77777777" w:rsidTr="003B0773">
        <w:tc>
          <w:tcPr>
            <w:tcW w:w="9606" w:type="dxa"/>
          </w:tcPr>
          <w:p w14:paraId="7D9D6EF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Threshold Amounts</w:t>
            </w:r>
          </w:p>
        </w:tc>
      </w:tr>
      <w:tr w:rsidR="00494B49" w:rsidRPr="003B0773" w14:paraId="30D2EB63" w14:textId="77777777" w:rsidTr="003B0773">
        <w:tc>
          <w:tcPr>
            <w:tcW w:w="9606" w:type="dxa"/>
          </w:tcPr>
          <w:p w14:paraId="5BE30F6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Applicable to Individuals</w:t>
            </w:r>
          </w:p>
        </w:tc>
      </w:tr>
      <w:tr w:rsidR="00494B49" w:rsidRPr="003B0773" w14:paraId="728743EB" w14:textId="77777777" w:rsidTr="003B0773">
        <w:tc>
          <w:tcPr>
            <w:tcW w:w="9606" w:type="dxa"/>
          </w:tcPr>
          <w:p w14:paraId="269D104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Application to Nonresident Aliens</w:t>
            </w:r>
          </w:p>
        </w:tc>
      </w:tr>
      <w:tr w:rsidR="00494B49" w:rsidRPr="003B0773" w14:paraId="688FB9C0" w14:textId="77777777" w:rsidTr="003B0773">
        <w:tc>
          <w:tcPr>
            <w:tcW w:w="9606" w:type="dxa"/>
          </w:tcPr>
          <w:p w14:paraId="4A45886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Nonresidents Aliens Married to U.S. Residents or Citizens</w:t>
            </w:r>
          </w:p>
        </w:tc>
      </w:tr>
      <w:tr w:rsidR="00494B49" w:rsidRPr="003B0773" w14:paraId="67E995BC" w14:textId="77777777" w:rsidTr="003B0773">
        <w:tc>
          <w:tcPr>
            <w:tcW w:w="9606" w:type="dxa"/>
          </w:tcPr>
          <w:p w14:paraId="6CD5FA2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6013(h) Election</w:t>
            </w:r>
          </w:p>
        </w:tc>
      </w:tr>
      <w:tr w:rsidR="00494B49" w:rsidRPr="003B0773" w14:paraId="45413002" w14:textId="77777777" w:rsidTr="003B0773">
        <w:tc>
          <w:tcPr>
            <w:tcW w:w="9606" w:type="dxa"/>
          </w:tcPr>
          <w:p w14:paraId="07222DB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6013(g) Election</w:t>
            </w:r>
          </w:p>
        </w:tc>
      </w:tr>
      <w:tr w:rsidR="00494B49" w:rsidRPr="003B0773" w14:paraId="307FE921" w14:textId="77777777" w:rsidTr="003B0773">
        <w:tc>
          <w:tcPr>
            <w:tcW w:w="9606" w:type="dxa"/>
          </w:tcPr>
          <w:p w14:paraId="70DB84B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Part-Year Nonresident Aliens</w:t>
            </w:r>
          </w:p>
        </w:tc>
      </w:tr>
      <w:tr w:rsidR="00494B49" w:rsidRPr="003B0773" w14:paraId="6CA8E42C" w14:textId="77777777" w:rsidTr="003B0773">
        <w:tc>
          <w:tcPr>
            <w:tcW w:w="9606" w:type="dxa"/>
          </w:tcPr>
          <w:p w14:paraId="361F5FB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Application of Bona Fide Residents of Territories and Possessions</w:t>
            </w:r>
          </w:p>
        </w:tc>
      </w:tr>
      <w:tr w:rsidR="00494B49" w:rsidRPr="003B0773" w14:paraId="73B4A195" w14:textId="77777777" w:rsidTr="003B0773">
        <w:tc>
          <w:tcPr>
            <w:tcW w:w="9606" w:type="dxa"/>
          </w:tcPr>
          <w:p w14:paraId="2646584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Mirror Code Jurisdictions</w:t>
            </w:r>
          </w:p>
        </w:tc>
      </w:tr>
      <w:tr w:rsidR="00494B49" w:rsidRPr="003B0773" w14:paraId="069DEC7F" w14:textId="77777777" w:rsidTr="003B0773">
        <w:tc>
          <w:tcPr>
            <w:tcW w:w="9606" w:type="dxa"/>
          </w:tcPr>
          <w:p w14:paraId="73A7C78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Non-Mirror-Code Jurisdictions</w:t>
            </w:r>
          </w:p>
        </w:tc>
      </w:tr>
      <w:tr w:rsidR="00494B49" w:rsidRPr="003B0773" w14:paraId="09038F92" w14:textId="77777777" w:rsidTr="003B0773">
        <w:tc>
          <w:tcPr>
            <w:tcW w:w="9606" w:type="dxa"/>
          </w:tcPr>
          <w:p w14:paraId="73867A0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Interaction Between Section 1411 and the `Kiddie Tax' </w:t>
            </w:r>
          </w:p>
        </w:tc>
      </w:tr>
      <w:tr w:rsidR="00494B49" w:rsidRPr="003B0773" w14:paraId="0136FFE7" w14:textId="77777777" w:rsidTr="003B0773">
        <w:tc>
          <w:tcPr>
            <w:tcW w:w="9606" w:type="dxa"/>
          </w:tcPr>
          <w:p w14:paraId="68A79CCB"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IX. Application to Estates and Trusts</w:t>
            </w:r>
          </w:p>
        </w:tc>
      </w:tr>
      <w:tr w:rsidR="00494B49" w:rsidRPr="003B0773" w14:paraId="4DC6FAC4" w14:textId="77777777" w:rsidTr="003B0773">
        <w:tc>
          <w:tcPr>
            <w:tcW w:w="9606" w:type="dxa"/>
          </w:tcPr>
          <w:p w14:paraId="3603E07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Excluded Trusts and Estates</w:t>
            </w:r>
          </w:p>
        </w:tc>
      </w:tr>
      <w:tr w:rsidR="00494B49" w:rsidRPr="003B0773" w14:paraId="3ADB5FDA" w14:textId="77777777" w:rsidTr="003B0773">
        <w:tc>
          <w:tcPr>
            <w:tcW w:w="9606" w:type="dxa"/>
          </w:tcPr>
          <w:p w14:paraId="658F05B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Nongrantor Trusts and Estates</w:t>
            </w:r>
          </w:p>
        </w:tc>
      </w:tr>
      <w:tr w:rsidR="00494B49" w:rsidRPr="003B0773" w14:paraId="467FCC6B" w14:textId="77777777" w:rsidTr="003B0773">
        <w:tc>
          <w:tcPr>
            <w:tcW w:w="9606" w:type="dxa"/>
          </w:tcPr>
          <w:p w14:paraId="0CF8F94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w:t>
            </w:r>
          </w:p>
        </w:tc>
      </w:tr>
      <w:tr w:rsidR="00494B49" w:rsidRPr="003B0773" w14:paraId="2702B3D5" w14:textId="77777777" w:rsidTr="003B0773">
        <w:tc>
          <w:tcPr>
            <w:tcW w:w="9606" w:type="dxa"/>
          </w:tcPr>
          <w:p w14:paraId="2FD204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Undistributed Net Investment Income </w:t>
            </w:r>
          </w:p>
        </w:tc>
      </w:tr>
      <w:tr w:rsidR="00494B49" w:rsidRPr="003B0773" w14:paraId="4A3B84C4" w14:textId="77777777" w:rsidTr="003B0773">
        <w:tc>
          <w:tcPr>
            <w:tcW w:w="9606" w:type="dxa"/>
          </w:tcPr>
          <w:p w14:paraId="2DB9C15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Income Distribution Deduction</w:t>
            </w:r>
          </w:p>
        </w:tc>
      </w:tr>
      <w:tr w:rsidR="00494B49" w:rsidRPr="003B0773" w14:paraId="76488B4A" w14:textId="77777777" w:rsidTr="003B0773">
        <w:tc>
          <w:tcPr>
            <w:tcW w:w="9606" w:type="dxa"/>
          </w:tcPr>
          <w:p w14:paraId="686142B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Deduction to the Estate or Trust</w:t>
            </w:r>
          </w:p>
        </w:tc>
      </w:tr>
      <w:tr w:rsidR="00494B49" w:rsidRPr="003B0773" w14:paraId="287B3F91" w14:textId="77777777" w:rsidTr="003B0773">
        <w:tc>
          <w:tcPr>
            <w:tcW w:w="9606" w:type="dxa"/>
          </w:tcPr>
          <w:p w14:paraId="581493E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Net Investment Income to the Beneficiary</w:t>
            </w:r>
          </w:p>
        </w:tc>
      </w:tr>
      <w:tr w:rsidR="00494B49" w:rsidRPr="003B0773" w14:paraId="5CDF17EE" w14:textId="77777777" w:rsidTr="003B0773">
        <w:tc>
          <w:tcPr>
            <w:tcW w:w="9606" w:type="dxa"/>
          </w:tcPr>
          <w:p w14:paraId="1B42631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b. Section 642(c) Deductions</w:t>
            </w:r>
          </w:p>
        </w:tc>
      </w:tr>
      <w:tr w:rsidR="00494B49" w:rsidRPr="003B0773" w14:paraId="794329D2" w14:textId="77777777" w:rsidTr="003B0773">
        <w:tc>
          <w:tcPr>
            <w:tcW w:w="9606" w:type="dxa"/>
          </w:tcPr>
          <w:p w14:paraId="75A5EB5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Compliance Considerations</w:t>
            </w:r>
          </w:p>
        </w:tc>
      </w:tr>
      <w:tr w:rsidR="00494B49" w:rsidRPr="003B0773" w14:paraId="745710B1" w14:textId="77777777" w:rsidTr="003B0773">
        <w:tc>
          <w:tcPr>
            <w:tcW w:w="9606" w:type="dxa"/>
          </w:tcPr>
          <w:p w14:paraId="20A851C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Estate and Trust</w:t>
            </w:r>
          </w:p>
        </w:tc>
      </w:tr>
      <w:tr w:rsidR="00494B49" w:rsidRPr="003B0773" w14:paraId="65210978" w14:textId="77777777" w:rsidTr="003B0773">
        <w:tc>
          <w:tcPr>
            <w:tcW w:w="9606" w:type="dxa"/>
          </w:tcPr>
          <w:p w14:paraId="4B2853B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Beneficiary</w:t>
            </w:r>
          </w:p>
        </w:tc>
      </w:tr>
      <w:tr w:rsidR="00494B49" w:rsidRPr="003B0773" w14:paraId="0C63F067" w14:textId="77777777" w:rsidTr="003B0773">
        <w:tc>
          <w:tcPr>
            <w:tcW w:w="9606" w:type="dxa"/>
          </w:tcPr>
          <w:p w14:paraId="3F7526F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Importance of Material Participation of Estates and Trusts in the net investment income tax Regime</w:t>
            </w:r>
          </w:p>
        </w:tc>
      </w:tr>
      <w:tr w:rsidR="00494B49" w:rsidRPr="003B0773" w14:paraId="3462C9A2" w14:textId="77777777" w:rsidTr="003B0773">
        <w:tc>
          <w:tcPr>
            <w:tcW w:w="9606" w:type="dxa"/>
          </w:tcPr>
          <w:p w14:paraId="710A54C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5. Estates and Trusts that Own Interests in Certain CFCs or Certain PFICs</w:t>
            </w:r>
          </w:p>
        </w:tc>
      </w:tr>
      <w:tr w:rsidR="00494B49" w:rsidRPr="003B0773" w14:paraId="7D597702" w14:textId="77777777" w:rsidTr="003B0773">
        <w:tc>
          <w:tcPr>
            <w:tcW w:w="9606" w:type="dxa"/>
          </w:tcPr>
          <w:p w14:paraId="4CDE0B0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Reg. §1.1411-10(f): Aligning net investment income tax Timing with Subchapter J</w:t>
            </w:r>
          </w:p>
        </w:tc>
      </w:tr>
      <w:tr w:rsidR="00494B49" w:rsidRPr="003B0773" w14:paraId="2AB9B7F3" w14:textId="77777777" w:rsidTr="003B0773">
        <w:tc>
          <w:tcPr>
            <w:tcW w:w="9606" w:type="dxa"/>
          </w:tcPr>
          <w:p w14:paraId="6C3790C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Examples of the Application of Reg. §1.1411-10(f)</w:t>
            </w:r>
          </w:p>
        </w:tc>
      </w:tr>
      <w:tr w:rsidR="00494B49" w:rsidRPr="003B0773" w14:paraId="7A1514EF" w14:textId="77777777" w:rsidTr="003B0773">
        <w:tc>
          <w:tcPr>
            <w:tcW w:w="9606" w:type="dxa"/>
          </w:tcPr>
          <w:p w14:paraId="31D2ABC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Special Nongrantor Trusts and Estates</w:t>
            </w:r>
          </w:p>
        </w:tc>
      </w:tr>
      <w:tr w:rsidR="00494B49" w:rsidRPr="003B0773" w14:paraId="0F6B92F3" w14:textId="77777777" w:rsidTr="003B0773">
        <w:tc>
          <w:tcPr>
            <w:tcW w:w="9606" w:type="dxa"/>
          </w:tcPr>
          <w:p w14:paraId="15D109A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Qualified Funeral Trusts (QFTs)</w:t>
            </w:r>
          </w:p>
        </w:tc>
      </w:tr>
      <w:tr w:rsidR="00494B49" w:rsidRPr="003B0773" w14:paraId="3D6BE7CF" w14:textId="77777777" w:rsidTr="003B0773">
        <w:tc>
          <w:tcPr>
            <w:tcW w:w="9606" w:type="dxa"/>
          </w:tcPr>
          <w:p w14:paraId="2CF13AD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Bankruptcy Estates</w:t>
            </w:r>
          </w:p>
        </w:tc>
      </w:tr>
      <w:tr w:rsidR="00494B49" w:rsidRPr="003B0773" w14:paraId="3708AE13" w14:textId="77777777" w:rsidTr="003B0773">
        <w:tc>
          <w:tcPr>
            <w:tcW w:w="9606" w:type="dxa"/>
          </w:tcPr>
          <w:p w14:paraId="6FA8BA8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Foreign Trusts and Estates</w:t>
            </w:r>
          </w:p>
        </w:tc>
      </w:tr>
      <w:tr w:rsidR="00494B49" w:rsidRPr="003B0773" w14:paraId="35DD03B2" w14:textId="77777777" w:rsidTr="003B0773">
        <w:tc>
          <w:tcPr>
            <w:tcW w:w="9606" w:type="dxa"/>
          </w:tcPr>
          <w:p w14:paraId="630AF16E"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for Electing Small Business Trusts</w:t>
            </w:r>
          </w:p>
        </w:tc>
      </w:tr>
      <w:tr w:rsidR="00494B49" w:rsidRPr="003B0773" w14:paraId="06668ED6" w14:textId="77777777" w:rsidTr="003B0773">
        <w:tc>
          <w:tcPr>
            <w:tcW w:w="9606" w:type="dxa"/>
          </w:tcPr>
          <w:p w14:paraId="7AE38B5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Calculation of Undistributed Net Investment Income</w:t>
            </w:r>
          </w:p>
        </w:tc>
      </w:tr>
      <w:tr w:rsidR="00494B49" w:rsidRPr="003B0773" w14:paraId="4EDB460D" w14:textId="77777777" w:rsidTr="003B0773">
        <w:tc>
          <w:tcPr>
            <w:tcW w:w="9606" w:type="dxa"/>
          </w:tcPr>
          <w:p w14:paraId="27825A9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Calculation of Adjusted Gross Income </w:t>
            </w:r>
          </w:p>
        </w:tc>
      </w:tr>
      <w:tr w:rsidR="00494B49" w:rsidRPr="003B0773" w14:paraId="27C24213" w14:textId="77777777" w:rsidTr="003B0773">
        <w:tc>
          <w:tcPr>
            <w:tcW w:w="9606" w:type="dxa"/>
          </w:tcPr>
          <w:p w14:paraId="4D1B34B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Section 469 Regrouping </w:t>
            </w:r>
          </w:p>
        </w:tc>
      </w:tr>
      <w:tr w:rsidR="00494B49" w:rsidRPr="003B0773" w14:paraId="20E57099" w14:textId="77777777" w:rsidTr="003B0773">
        <w:tc>
          <w:tcPr>
            <w:tcW w:w="9606" w:type="dxa"/>
          </w:tcPr>
          <w:p w14:paraId="626D947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Special Rules for Charitable Remainder Trusts</w:t>
            </w:r>
          </w:p>
        </w:tc>
      </w:tr>
      <w:tr w:rsidR="00494B49" w:rsidRPr="003B0773" w14:paraId="0D4A899E" w14:textId="77777777" w:rsidTr="003B0773">
        <w:tc>
          <w:tcPr>
            <w:tcW w:w="9606" w:type="dxa"/>
          </w:tcPr>
          <w:p w14:paraId="1D1D6F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 Final 2013 Regulations</w:t>
            </w:r>
          </w:p>
        </w:tc>
      </w:tr>
      <w:tr w:rsidR="00494B49" w:rsidRPr="003B0773" w14:paraId="0D77BB38" w14:textId="77777777" w:rsidTr="003B0773">
        <w:tc>
          <w:tcPr>
            <w:tcW w:w="9606" w:type="dxa"/>
          </w:tcPr>
          <w:p w14:paraId="7F8E344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2012 Proposed Regulations</w:t>
            </w:r>
          </w:p>
        </w:tc>
      </w:tr>
      <w:tr w:rsidR="00494B49" w:rsidRPr="003B0773" w14:paraId="126CDFA7" w14:textId="77777777" w:rsidTr="003B0773">
        <w:tc>
          <w:tcPr>
            <w:tcW w:w="9606" w:type="dxa"/>
          </w:tcPr>
          <w:p w14:paraId="455614E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Operational Rules for CRTs </w:t>
            </w:r>
          </w:p>
        </w:tc>
      </w:tr>
      <w:tr w:rsidR="00494B49" w:rsidRPr="003B0773" w14:paraId="495053D2" w14:textId="77777777" w:rsidTr="003B0773">
        <w:tc>
          <w:tcPr>
            <w:tcW w:w="9606" w:type="dxa"/>
          </w:tcPr>
          <w:p w14:paraId="75CCB53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net investment income tax Definitions</w:t>
            </w:r>
          </w:p>
        </w:tc>
      </w:tr>
      <w:tr w:rsidR="00494B49" w:rsidRPr="003B0773" w14:paraId="5AD79FD4" w14:textId="77777777" w:rsidTr="003B0773">
        <w:tc>
          <w:tcPr>
            <w:tcW w:w="9606" w:type="dxa"/>
          </w:tcPr>
          <w:p w14:paraId="29AC878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Section 469 Regrouping</w:t>
            </w:r>
          </w:p>
        </w:tc>
      </w:tr>
      <w:tr w:rsidR="00494B49" w:rsidRPr="003B0773" w14:paraId="409C882D" w14:textId="77777777" w:rsidTr="003B0773">
        <w:tc>
          <w:tcPr>
            <w:tcW w:w="9606" w:type="dxa"/>
          </w:tcPr>
          <w:p w14:paraId="1D1B6FC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Interaction with Section 664 Category and Class System</w:t>
            </w:r>
          </w:p>
        </w:tc>
      </w:tr>
      <w:tr w:rsidR="00494B49" w:rsidRPr="003B0773" w14:paraId="1D1C8298" w14:textId="77777777" w:rsidTr="003B0773">
        <w:tc>
          <w:tcPr>
            <w:tcW w:w="9606" w:type="dxa"/>
          </w:tcPr>
          <w:p w14:paraId="5021007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Additional Rate</w:t>
            </w:r>
          </w:p>
        </w:tc>
      </w:tr>
      <w:tr w:rsidR="00494B49" w:rsidRPr="003B0773" w14:paraId="23B8FD5A" w14:textId="77777777" w:rsidTr="003B0773">
        <w:tc>
          <w:tcPr>
            <w:tcW w:w="9606" w:type="dxa"/>
          </w:tcPr>
          <w:p w14:paraId="69CACA1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Special Rules for CRTs with Income from Certain CFCs and Certain PFICs </w:t>
            </w:r>
          </w:p>
        </w:tc>
      </w:tr>
      <w:tr w:rsidR="00494B49" w:rsidRPr="003B0773" w14:paraId="3A456D12" w14:textId="77777777" w:rsidTr="003B0773">
        <w:tc>
          <w:tcPr>
            <w:tcW w:w="9606" w:type="dxa"/>
          </w:tcPr>
          <w:p w14:paraId="0ADC235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Rule One: Regular Tax, but No Net Investment Income </w:t>
            </w:r>
          </w:p>
        </w:tc>
      </w:tr>
      <w:tr w:rsidR="00494B49" w:rsidRPr="003B0773" w14:paraId="0FF2B50A" w14:textId="77777777" w:rsidTr="003B0773">
        <w:tc>
          <w:tcPr>
            <w:tcW w:w="9606" w:type="dxa"/>
          </w:tcPr>
          <w:p w14:paraId="14760D8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Rule Two: Net Investment Income, but No Regular Tax</w:t>
            </w:r>
          </w:p>
        </w:tc>
      </w:tr>
      <w:tr w:rsidR="00494B49" w:rsidRPr="003B0773" w14:paraId="4BD71E04" w14:textId="77777777" w:rsidTr="003B0773">
        <w:tc>
          <w:tcPr>
            <w:tcW w:w="9606" w:type="dxa"/>
          </w:tcPr>
          <w:p w14:paraId="6D17F9C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Rule Three: Treatment of Gains and Losses Attributable to Basis Differences</w:t>
            </w:r>
          </w:p>
        </w:tc>
      </w:tr>
      <w:tr w:rsidR="00494B49" w:rsidRPr="003B0773" w14:paraId="2C1C6F4D" w14:textId="77777777" w:rsidTr="003B0773">
        <w:tc>
          <w:tcPr>
            <w:tcW w:w="9606" w:type="dxa"/>
          </w:tcPr>
          <w:p w14:paraId="16A752B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5. Optional Simplified Method</w:t>
            </w:r>
          </w:p>
        </w:tc>
      </w:tr>
      <w:tr w:rsidR="00494B49" w:rsidRPr="003B0773" w14:paraId="7FCA0038" w14:textId="77777777" w:rsidTr="003B0773">
        <w:tc>
          <w:tcPr>
            <w:tcW w:w="9606" w:type="dxa"/>
          </w:tcPr>
          <w:p w14:paraId="59E6A16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Comparison Between Section 664 Method and Simplified Method</w:t>
            </w:r>
          </w:p>
        </w:tc>
      </w:tr>
      <w:tr w:rsidR="00494B49" w:rsidRPr="003B0773" w14:paraId="14AFB3C0" w14:textId="77777777" w:rsidTr="003B0773">
        <w:tc>
          <w:tcPr>
            <w:tcW w:w="9606" w:type="dxa"/>
          </w:tcPr>
          <w:p w14:paraId="0377597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Pure Netting</w:t>
            </w:r>
          </w:p>
        </w:tc>
      </w:tr>
      <w:tr w:rsidR="00494B49" w:rsidRPr="003B0773" w14:paraId="239B9E38" w14:textId="77777777" w:rsidTr="003B0773">
        <w:tc>
          <w:tcPr>
            <w:tcW w:w="9606" w:type="dxa"/>
          </w:tcPr>
          <w:p w14:paraId="338F82D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Differences in Distribution Ordering Rules and Loss Netting Rules</w:t>
            </w:r>
          </w:p>
        </w:tc>
      </w:tr>
      <w:tr w:rsidR="00494B49" w:rsidRPr="003B0773" w14:paraId="4F6503D4" w14:textId="77777777" w:rsidTr="003B0773">
        <w:tc>
          <w:tcPr>
            <w:tcW w:w="9606" w:type="dxa"/>
          </w:tcPr>
          <w:p w14:paraId="2411869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Ordering of Distributions from Ordinary Income </w:t>
            </w:r>
          </w:p>
        </w:tc>
      </w:tr>
      <w:tr w:rsidR="00494B49" w:rsidRPr="003B0773" w14:paraId="42C7686D" w14:textId="77777777" w:rsidTr="003B0773">
        <w:tc>
          <w:tcPr>
            <w:tcW w:w="9606" w:type="dxa"/>
          </w:tcPr>
          <w:p w14:paraId="7150C5F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Ordering of Distributions from Capital Gains </w:t>
            </w:r>
          </w:p>
        </w:tc>
      </w:tr>
      <w:tr w:rsidR="00494B49" w:rsidRPr="003B0773" w14:paraId="076F1C59" w14:textId="77777777" w:rsidTr="003B0773">
        <w:tc>
          <w:tcPr>
            <w:tcW w:w="9606" w:type="dxa"/>
          </w:tcPr>
          <w:p w14:paraId="76FDF36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Capital Gain and Loss Netting Rules </w:t>
            </w:r>
          </w:p>
        </w:tc>
      </w:tr>
      <w:tr w:rsidR="00494B49" w:rsidRPr="003B0773" w14:paraId="11A9A5D7" w14:textId="77777777" w:rsidTr="003B0773">
        <w:tc>
          <w:tcPr>
            <w:tcW w:w="9606" w:type="dxa"/>
          </w:tcPr>
          <w:p w14:paraId="4C9F2DB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Application of the Loss Carryover Rules</w:t>
            </w:r>
          </w:p>
        </w:tc>
      </w:tr>
      <w:tr w:rsidR="00494B49" w:rsidRPr="003B0773" w14:paraId="60BE2ABE" w14:textId="77777777" w:rsidTr="003B0773">
        <w:tc>
          <w:tcPr>
            <w:tcW w:w="9606" w:type="dxa"/>
          </w:tcPr>
          <w:p w14:paraId="344BF33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Decision Factors for Simplified Method</w:t>
            </w:r>
          </w:p>
        </w:tc>
      </w:tr>
      <w:tr w:rsidR="00494B49" w:rsidRPr="003B0773" w14:paraId="4ED28FBF" w14:textId="77777777" w:rsidTr="003B0773">
        <w:tc>
          <w:tcPr>
            <w:tcW w:w="9606" w:type="dxa"/>
          </w:tcPr>
          <w:p w14:paraId="7A7AA9D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New CRTs — Current and Future Income Likely to Be Net Investment Income</w:t>
            </w:r>
          </w:p>
        </w:tc>
      </w:tr>
      <w:tr w:rsidR="00494B49" w:rsidRPr="003B0773" w14:paraId="2883446F" w14:textId="77777777" w:rsidTr="003B0773">
        <w:tc>
          <w:tcPr>
            <w:tcW w:w="9606" w:type="dxa"/>
          </w:tcPr>
          <w:p w14:paraId="7EE168E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CRTs with Unrealized Losses</w:t>
            </w:r>
          </w:p>
        </w:tc>
      </w:tr>
      <w:tr w:rsidR="00494B49" w:rsidRPr="003B0773" w14:paraId="47D79F8D" w14:textId="77777777" w:rsidTr="003B0773">
        <w:tc>
          <w:tcPr>
            <w:tcW w:w="9606" w:type="dxa"/>
          </w:tcPr>
          <w:p w14:paraId="4EE5255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CRTs with Direct or Indirect Ownership in CFCs/PFICs</w:t>
            </w:r>
          </w:p>
        </w:tc>
      </w:tr>
      <w:tr w:rsidR="00494B49" w:rsidRPr="003B0773" w14:paraId="3DF8DF39" w14:textId="77777777" w:rsidTr="003B0773">
        <w:tc>
          <w:tcPr>
            <w:tcW w:w="9606" w:type="dxa"/>
          </w:tcPr>
          <w:p w14:paraId="3610CF9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NIMCRUTs Nearing End of Stated Term </w:t>
            </w:r>
          </w:p>
        </w:tc>
      </w:tr>
      <w:tr w:rsidR="00494B49" w:rsidRPr="003B0773" w14:paraId="63EEC15C" w14:textId="77777777" w:rsidTr="003B0773">
        <w:tc>
          <w:tcPr>
            <w:tcW w:w="9606" w:type="dxa"/>
          </w:tcPr>
          <w:p w14:paraId="0F9861D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(5) CRTs with No Undistributed Income</w:t>
            </w:r>
          </w:p>
        </w:tc>
      </w:tr>
      <w:tr w:rsidR="00494B49" w:rsidRPr="003B0773" w14:paraId="22C8D1ED" w14:textId="77777777" w:rsidTr="003B0773">
        <w:tc>
          <w:tcPr>
            <w:tcW w:w="9606" w:type="dxa"/>
          </w:tcPr>
          <w:p w14:paraId="597CC61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(6) CRTs with Non-Net-Investment Income Deductible Expenses and No Excluded Income </w:t>
            </w:r>
          </w:p>
        </w:tc>
      </w:tr>
      <w:tr w:rsidR="00494B49" w:rsidRPr="003B0773" w14:paraId="284AC4BA" w14:textId="77777777" w:rsidTr="003B0773">
        <w:tc>
          <w:tcPr>
            <w:tcW w:w="9606" w:type="dxa"/>
          </w:tcPr>
          <w:p w14:paraId="0D2A3BF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7. Compliance Considerations</w:t>
            </w:r>
          </w:p>
        </w:tc>
      </w:tr>
      <w:tr w:rsidR="00494B49" w:rsidRPr="003B0773" w14:paraId="12BD89BD" w14:textId="77777777" w:rsidTr="003B0773">
        <w:tc>
          <w:tcPr>
            <w:tcW w:w="9606" w:type="dxa"/>
          </w:tcPr>
          <w:p w14:paraId="5769D92D"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X. Application of §1411 Outside of Chapter 2A</w:t>
            </w:r>
          </w:p>
        </w:tc>
      </w:tr>
      <w:tr w:rsidR="00494B49" w:rsidRPr="003B0773" w14:paraId="6BC74FE7" w14:textId="77777777" w:rsidTr="003B0773">
        <w:tc>
          <w:tcPr>
            <w:tcW w:w="9606" w:type="dxa"/>
          </w:tcPr>
          <w:p w14:paraId="0C59CAD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Tax Penalties, Interest and Estimated Taxes</w:t>
            </w:r>
          </w:p>
        </w:tc>
      </w:tr>
      <w:tr w:rsidR="00494B49" w:rsidRPr="003B0773" w14:paraId="3F494A8C" w14:textId="77777777" w:rsidTr="003B0773">
        <w:tc>
          <w:tcPr>
            <w:tcW w:w="9606" w:type="dxa"/>
          </w:tcPr>
          <w:p w14:paraId="58513AC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Interest and Estimated Taxes</w:t>
            </w:r>
          </w:p>
        </w:tc>
      </w:tr>
      <w:tr w:rsidR="00494B49" w:rsidRPr="003B0773" w14:paraId="7F2216AB" w14:textId="77777777" w:rsidTr="003B0773">
        <w:tc>
          <w:tcPr>
            <w:tcW w:w="9606" w:type="dxa"/>
          </w:tcPr>
          <w:p w14:paraId="79BDBDA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Estimated Taxes </w:t>
            </w:r>
          </w:p>
        </w:tc>
      </w:tr>
      <w:tr w:rsidR="00494B49" w:rsidRPr="003B0773" w14:paraId="19E2A7E7" w14:textId="77777777" w:rsidTr="003B0773">
        <w:tc>
          <w:tcPr>
            <w:tcW w:w="9606" w:type="dxa"/>
          </w:tcPr>
          <w:p w14:paraId="59CC9E5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Interest on Underpayments</w:t>
            </w:r>
          </w:p>
        </w:tc>
      </w:tr>
      <w:tr w:rsidR="00494B49" w:rsidRPr="003B0773" w14:paraId="438C951D" w14:textId="77777777" w:rsidTr="003B0773">
        <w:tc>
          <w:tcPr>
            <w:tcW w:w="9606" w:type="dxa"/>
          </w:tcPr>
          <w:p w14:paraId="275002E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Interest on Overpayments</w:t>
            </w:r>
          </w:p>
        </w:tc>
      </w:tr>
      <w:tr w:rsidR="00494B49" w:rsidRPr="003B0773" w14:paraId="7A1A5336" w14:textId="77777777" w:rsidTr="003B0773">
        <w:tc>
          <w:tcPr>
            <w:tcW w:w="9606" w:type="dxa"/>
          </w:tcPr>
          <w:p w14:paraId="034145A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Penalties</w:t>
            </w:r>
          </w:p>
        </w:tc>
      </w:tr>
      <w:tr w:rsidR="00494B49" w:rsidRPr="003B0773" w14:paraId="4C299E72" w14:textId="77777777" w:rsidTr="003B0773">
        <w:tc>
          <w:tcPr>
            <w:tcW w:w="9606" w:type="dxa"/>
          </w:tcPr>
          <w:p w14:paraId="5EF7314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Section 6662 Accuracy-Related Penalty </w:t>
            </w:r>
          </w:p>
        </w:tc>
      </w:tr>
      <w:tr w:rsidR="00494B49" w:rsidRPr="003B0773" w14:paraId="50EE3753" w14:textId="77777777" w:rsidTr="003B0773">
        <w:tc>
          <w:tcPr>
            <w:tcW w:w="9606" w:type="dxa"/>
          </w:tcPr>
          <w:p w14:paraId="73B063B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Tax Return Preparer Penalty Under Section 6694</w:t>
            </w:r>
          </w:p>
        </w:tc>
      </w:tr>
      <w:tr w:rsidR="00494B49" w:rsidRPr="003B0773" w14:paraId="285804E0" w14:textId="77777777" w:rsidTr="003B0773">
        <w:tc>
          <w:tcPr>
            <w:tcW w:w="9606" w:type="dxa"/>
          </w:tcPr>
          <w:p w14:paraId="5DCD4EE1"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Deferred Interest Charge Regimes</w:t>
            </w:r>
          </w:p>
        </w:tc>
      </w:tr>
      <w:tr w:rsidR="00494B49" w:rsidRPr="003B0773" w14:paraId="01C95F55" w14:textId="77777777" w:rsidTr="003B0773">
        <w:tc>
          <w:tcPr>
            <w:tcW w:w="9606" w:type="dxa"/>
          </w:tcPr>
          <w:p w14:paraId="53BFD7D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Interest Charge — Domestic International Sales Corporations (IC-DISCs) </w:t>
            </w:r>
          </w:p>
        </w:tc>
      </w:tr>
      <w:tr w:rsidR="00494B49" w:rsidRPr="003B0773" w14:paraId="2A6DDBCF" w14:textId="77777777" w:rsidTr="003B0773">
        <w:tc>
          <w:tcPr>
            <w:tcW w:w="9606" w:type="dxa"/>
          </w:tcPr>
          <w:p w14:paraId="255AE0C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Nondealer Installment Sales Under Section 453A</w:t>
            </w:r>
          </w:p>
        </w:tc>
      </w:tr>
      <w:tr w:rsidR="00494B49" w:rsidRPr="003B0773" w14:paraId="4898DA63" w14:textId="77777777" w:rsidTr="003B0773">
        <w:tc>
          <w:tcPr>
            <w:tcW w:w="9606" w:type="dxa"/>
          </w:tcPr>
          <w:p w14:paraId="5396507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Section 1291 Funds </w:t>
            </w:r>
          </w:p>
        </w:tc>
      </w:tr>
      <w:tr w:rsidR="00494B49" w:rsidRPr="003B0773" w14:paraId="119371B5" w14:textId="77777777" w:rsidTr="003B0773">
        <w:tc>
          <w:tcPr>
            <w:tcW w:w="9606" w:type="dxa"/>
          </w:tcPr>
          <w:p w14:paraId="2AFEF1E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Accumulation Distributions from Foreign Trusts</w:t>
            </w:r>
          </w:p>
        </w:tc>
      </w:tr>
      <w:tr w:rsidR="00494B49" w:rsidRPr="003B0773" w14:paraId="5771F038" w14:textId="77777777" w:rsidTr="003B0773">
        <w:tc>
          <w:tcPr>
            <w:tcW w:w="9606" w:type="dxa"/>
          </w:tcPr>
          <w:p w14:paraId="607DDC1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Look-Back Rules — Sections 460(b) and 167(g) </w:t>
            </w:r>
          </w:p>
        </w:tc>
      </w:tr>
      <w:tr w:rsidR="00494B49" w:rsidRPr="003B0773" w14:paraId="6F0C7999" w14:textId="77777777" w:rsidTr="003B0773">
        <w:tc>
          <w:tcPr>
            <w:tcW w:w="9606" w:type="dxa"/>
          </w:tcPr>
          <w:p w14:paraId="49196A3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a. Section 460(b) — Long-Term Contracts</w:t>
            </w:r>
          </w:p>
        </w:tc>
      </w:tr>
      <w:tr w:rsidR="00494B49" w:rsidRPr="003B0773" w14:paraId="77B17FC5" w14:textId="77777777" w:rsidTr="003B0773">
        <w:tc>
          <w:tcPr>
            <w:tcW w:w="9606" w:type="dxa"/>
          </w:tcPr>
          <w:p w14:paraId="4CA1D69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Inclusion of NIIT in Section 460(b) Look-Back Calculation</w:t>
            </w:r>
          </w:p>
        </w:tc>
      </w:tr>
      <w:tr w:rsidR="00494B49" w:rsidRPr="003B0773" w14:paraId="0C97A0A1" w14:textId="77777777" w:rsidTr="003B0773">
        <w:tc>
          <w:tcPr>
            <w:tcW w:w="9606" w:type="dxa"/>
          </w:tcPr>
          <w:p w14:paraId="6F7F9582"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Traditional Method</w:t>
            </w:r>
          </w:p>
        </w:tc>
      </w:tr>
      <w:tr w:rsidR="00494B49" w:rsidRPr="003B0773" w14:paraId="22D79EFE" w14:textId="77777777" w:rsidTr="003B0773">
        <w:tc>
          <w:tcPr>
            <w:tcW w:w="9606" w:type="dxa"/>
          </w:tcPr>
          <w:p w14:paraId="2FF9F277"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(b) Simplified Marginal Impact Method</w:t>
            </w:r>
          </w:p>
        </w:tc>
      </w:tr>
      <w:tr w:rsidR="00494B49" w:rsidRPr="003B0773" w14:paraId="7346B35E" w14:textId="77777777" w:rsidTr="003B0773">
        <w:tc>
          <w:tcPr>
            <w:tcW w:w="9606" w:type="dxa"/>
          </w:tcPr>
          <w:p w14:paraId="44FB2EF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Interest Received and Interest Paid </w:t>
            </w:r>
          </w:p>
        </w:tc>
      </w:tr>
      <w:tr w:rsidR="00494B49" w:rsidRPr="003B0773" w14:paraId="37D0FA9F" w14:textId="77777777" w:rsidTr="003B0773">
        <w:tc>
          <w:tcPr>
            <w:tcW w:w="9606" w:type="dxa"/>
          </w:tcPr>
          <w:p w14:paraId="7A5C08F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Section 167(g) Income Forecast Method of Depreciation</w:t>
            </w:r>
          </w:p>
        </w:tc>
      </w:tr>
      <w:tr w:rsidR="00494B49" w:rsidRPr="003B0773" w14:paraId="074A30F8" w14:textId="77777777" w:rsidTr="003B0773">
        <w:tc>
          <w:tcPr>
            <w:tcW w:w="9606" w:type="dxa"/>
          </w:tcPr>
          <w:p w14:paraId="672B683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Inclusion of NIIT in Section 167(g)(2) Look-Back Calculation</w:t>
            </w:r>
          </w:p>
        </w:tc>
      </w:tr>
      <w:tr w:rsidR="00494B49" w:rsidRPr="003B0773" w14:paraId="34A34A59" w14:textId="77777777" w:rsidTr="003B0773">
        <w:tc>
          <w:tcPr>
            <w:tcW w:w="9606" w:type="dxa"/>
          </w:tcPr>
          <w:p w14:paraId="444560E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Interest Received and Interest Paid </w:t>
            </w:r>
          </w:p>
        </w:tc>
      </w:tr>
      <w:tr w:rsidR="00494B49" w:rsidRPr="003B0773" w14:paraId="6A60A3C3" w14:textId="77777777" w:rsidTr="003B0773">
        <w:tc>
          <w:tcPr>
            <w:tcW w:w="9606" w:type="dxa"/>
          </w:tcPr>
          <w:p w14:paraId="7767F64B"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Application of Income Tax Treaties and Totalization Agreements </w:t>
            </w:r>
          </w:p>
        </w:tc>
      </w:tr>
      <w:tr w:rsidR="00494B49" w:rsidRPr="003B0773" w14:paraId="38CD2AC6" w14:textId="77777777" w:rsidTr="003B0773">
        <w:tc>
          <w:tcPr>
            <w:tcW w:w="9606" w:type="dxa"/>
          </w:tcPr>
          <w:p w14:paraId="18776E3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Application of Income Tax Treaties </w:t>
            </w:r>
          </w:p>
        </w:tc>
      </w:tr>
      <w:tr w:rsidR="00494B49" w:rsidRPr="003B0773" w14:paraId="2DF47EF3" w14:textId="77777777" w:rsidTr="003B0773">
        <w:tc>
          <w:tcPr>
            <w:tcW w:w="9606" w:type="dxa"/>
          </w:tcPr>
          <w:p w14:paraId="31EEB72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 of Income Tax Treaties and Tax Return Disclosures</w:t>
            </w:r>
          </w:p>
        </w:tc>
      </w:tr>
      <w:tr w:rsidR="00494B49" w:rsidRPr="003B0773" w14:paraId="631A7D6F" w14:textId="77777777" w:rsidTr="003B0773">
        <w:tc>
          <w:tcPr>
            <w:tcW w:w="9606" w:type="dxa"/>
          </w:tcPr>
          <w:p w14:paraId="17B703D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Foreign Tax Credit</w:t>
            </w:r>
          </w:p>
        </w:tc>
      </w:tr>
      <w:tr w:rsidR="00494B49" w:rsidRPr="003B0773" w14:paraId="76578D27" w14:textId="77777777" w:rsidTr="003B0773">
        <w:tc>
          <w:tcPr>
            <w:tcW w:w="9606" w:type="dxa"/>
          </w:tcPr>
          <w:p w14:paraId="0A4AE59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Preamble Statement Regarding U.S. Model Treaty</w:t>
            </w:r>
          </w:p>
        </w:tc>
      </w:tr>
      <w:tr w:rsidR="00494B49" w:rsidRPr="003B0773" w14:paraId="7A1466B5" w14:textId="77777777" w:rsidTr="003B0773">
        <w:tc>
          <w:tcPr>
            <w:tcW w:w="9606" w:type="dxa"/>
          </w:tcPr>
          <w:p w14:paraId="17CEF83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Specific Model Treaty Language and Technical Explanation</w:t>
            </w:r>
          </w:p>
        </w:tc>
      </w:tr>
      <w:tr w:rsidR="00494B49" w:rsidRPr="003B0773" w14:paraId="7234F05D" w14:textId="77777777" w:rsidTr="003B0773">
        <w:tc>
          <w:tcPr>
            <w:tcW w:w="9606" w:type="dxa"/>
          </w:tcPr>
          <w:p w14:paraId="7BB53811"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Covered Tax</w:t>
            </w:r>
          </w:p>
        </w:tc>
      </w:tr>
      <w:tr w:rsidR="00494B49" w:rsidRPr="003B0773" w14:paraId="435B887C" w14:textId="77777777" w:rsidTr="003B0773">
        <w:tc>
          <w:tcPr>
            <w:tcW w:w="9606" w:type="dxa"/>
          </w:tcPr>
          <w:p w14:paraId="73F61A4A"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(b) Article 23</w:t>
            </w:r>
          </w:p>
        </w:tc>
      </w:tr>
      <w:tr w:rsidR="00494B49" w:rsidRPr="003B0773" w14:paraId="1021FDE5" w14:textId="77777777" w:rsidTr="003B0773">
        <w:tc>
          <w:tcPr>
            <w:tcW w:w="9606" w:type="dxa"/>
          </w:tcPr>
          <w:p w14:paraId="298FE3C6"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(c) Article 24</w:t>
            </w:r>
          </w:p>
        </w:tc>
      </w:tr>
      <w:tr w:rsidR="00494B49" w:rsidRPr="003B0773" w14:paraId="7E3CA8E8" w14:textId="77777777" w:rsidTr="003B0773">
        <w:tc>
          <w:tcPr>
            <w:tcW w:w="9606" w:type="dxa"/>
          </w:tcPr>
          <w:p w14:paraId="0316014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Sample Analysis of Income Tax Treaty Without Model Language </w:t>
            </w:r>
          </w:p>
        </w:tc>
      </w:tr>
      <w:tr w:rsidR="00494B49" w:rsidRPr="003B0773" w14:paraId="4F53A411" w14:textId="77777777" w:rsidTr="003B0773">
        <w:tc>
          <w:tcPr>
            <w:tcW w:w="9606" w:type="dxa"/>
          </w:tcPr>
          <w:p w14:paraId="7828C67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Reporting the Treaty Position </w:t>
            </w:r>
          </w:p>
        </w:tc>
      </w:tr>
      <w:tr w:rsidR="00494B49" w:rsidRPr="003B0773" w14:paraId="1F88E61B" w14:textId="77777777" w:rsidTr="003B0773">
        <w:tc>
          <w:tcPr>
            <w:tcW w:w="9606" w:type="dxa"/>
          </w:tcPr>
          <w:p w14:paraId="56CA075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w:t>
            </w:r>
            <w:r w:rsidRPr="003B0773">
              <w:rPr>
                <w:rFonts w:ascii="Times New Roman" w:hAnsi="Times New Roman" w:cs="Times New Roman"/>
                <w:i/>
                <w:snapToGrid w:val="0"/>
                <w:sz w:val="18"/>
                <w:szCs w:val="18"/>
              </w:rPr>
              <w:t>Toulouse v. Commissioner</w:t>
            </w:r>
            <w:r w:rsidRPr="003B0773">
              <w:rPr>
                <w:rFonts w:ascii="Times New Roman" w:hAnsi="Times New Roman" w:cs="Times New Roman"/>
                <w:snapToGrid w:val="0"/>
                <w:sz w:val="18"/>
                <w:szCs w:val="18"/>
              </w:rPr>
              <w:t xml:space="preserve"> </w:t>
            </w:r>
          </w:p>
        </w:tc>
      </w:tr>
      <w:tr w:rsidR="00494B49" w:rsidRPr="003B0773" w14:paraId="5FCE01C5" w14:textId="77777777" w:rsidTr="003B0773">
        <w:tc>
          <w:tcPr>
            <w:tcW w:w="9606" w:type="dxa"/>
          </w:tcPr>
          <w:p w14:paraId="61F06E8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(6)  </w:t>
            </w:r>
            <w:r w:rsidRPr="003B0773">
              <w:rPr>
                <w:rFonts w:ascii="Times New Roman" w:hAnsi="Times New Roman" w:cs="Times New Roman"/>
                <w:i/>
                <w:snapToGrid w:val="0"/>
                <w:sz w:val="18"/>
                <w:szCs w:val="18"/>
              </w:rPr>
              <w:t>Christensen v. Untied States</w:t>
            </w:r>
            <w:r w:rsidRPr="003B0773">
              <w:rPr>
                <w:rFonts w:ascii="Times New Roman" w:hAnsi="Times New Roman" w:cs="Times New Roman"/>
                <w:snapToGrid w:val="0"/>
                <w:sz w:val="18"/>
                <w:szCs w:val="18"/>
              </w:rPr>
              <w:t xml:space="preserve"> </w:t>
            </w:r>
          </w:p>
        </w:tc>
      </w:tr>
      <w:tr w:rsidR="00494B49" w:rsidRPr="003B0773" w14:paraId="53C5E00E" w14:textId="77777777" w:rsidTr="003B0773">
        <w:tc>
          <w:tcPr>
            <w:tcW w:w="9606" w:type="dxa"/>
          </w:tcPr>
          <w:p w14:paraId="7D26C7A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Residency Treaty Tiebreakers </w:t>
            </w:r>
          </w:p>
        </w:tc>
      </w:tr>
      <w:tr w:rsidR="00494B49" w:rsidRPr="003B0773" w14:paraId="238F280C" w14:textId="77777777" w:rsidTr="003B0773">
        <w:tc>
          <w:tcPr>
            <w:tcW w:w="9606" w:type="dxa"/>
          </w:tcPr>
          <w:p w14:paraId="69314E21"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General Rule — Nonresidents</w:t>
            </w:r>
          </w:p>
        </w:tc>
      </w:tr>
      <w:tr w:rsidR="00494B49" w:rsidRPr="003B0773" w14:paraId="0F2FF541" w14:textId="77777777" w:rsidTr="003B0773">
        <w:tc>
          <w:tcPr>
            <w:tcW w:w="9606" w:type="dxa"/>
          </w:tcPr>
          <w:p w14:paraId="460028F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General Residency Tiebreaker in Income Tax Treaties</w:t>
            </w:r>
          </w:p>
        </w:tc>
      </w:tr>
      <w:tr w:rsidR="00494B49" w:rsidRPr="003B0773" w14:paraId="69710C66" w14:textId="77777777" w:rsidTr="003B0773">
        <w:tc>
          <w:tcPr>
            <w:tcW w:w="9606" w:type="dxa"/>
          </w:tcPr>
          <w:p w14:paraId="3DE0859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Income Exclusions</w:t>
            </w:r>
          </w:p>
        </w:tc>
      </w:tr>
      <w:tr w:rsidR="00494B49" w:rsidRPr="003B0773" w14:paraId="5B27E2C4" w14:textId="77777777" w:rsidTr="003B0773">
        <w:tc>
          <w:tcPr>
            <w:tcW w:w="9606" w:type="dxa"/>
          </w:tcPr>
          <w:p w14:paraId="30F5A78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Totalization Agreements</w:t>
            </w:r>
          </w:p>
        </w:tc>
      </w:tr>
      <w:tr w:rsidR="00494B49" w:rsidRPr="003B0773" w14:paraId="646C6BF8" w14:textId="77777777" w:rsidTr="003B0773">
        <w:tc>
          <w:tcPr>
            <w:tcW w:w="9606" w:type="dxa"/>
          </w:tcPr>
          <w:p w14:paraId="2433706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w:t>
            </w:r>
          </w:p>
        </w:tc>
      </w:tr>
      <w:tr w:rsidR="00494B49" w:rsidRPr="003B0773" w14:paraId="26FA424D" w14:textId="77777777" w:rsidTr="003B0773">
        <w:tc>
          <w:tcPr>
            <w:tcW w:w="9606" w:type="dxa"/>
          </w:tcPr>
          <w:p w14:paraId="2E7704A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Medicare Tax?</w:t>
            </w:r>
          </w:p>
        </w:tc>
      </w:tr>
      <w:tr w:rsidR="00494B49" w:rsidRPr="003B0773" w14:paraId="2AEC5D84" w14:textId="77777777" w:rsidTr="003B0773">
        <w:tc>
          <w:tcPr>
            <w:tcW w:w="9606" w:type="dxa"/>
          </w:tcPr>
          <w:p w14:paraId="69CE505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Revenue Not Included in Medicare Trust Fund</w:t>
            </w:r>
          </w:p>
        </w:tc>
      </w:tr>
      <w:tr w:rsidR="00494B49" w:rsidRPr="003B0773" w14:paraId="61472C2A" w14:textId="77777777" w:rsidTr="003B0773">
        <w:tc>
          <w:tcPr>
            <w:tcW w:w="9606" w:type="dxa"/>
          </w:tcPr>
          <w:p w14:paraId="48CC50D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Analysis of Reading Title of Chapter 2A Into Statute</w:t>
            </w:r>
          </w:p>
        </w:tc>
      </w:tr>
      <w:tr w:rsidR="00494B49" w:rsidRPr="003B0773" w14:paraId="09C68369" w14:textId="77777777" w:rsidTr="003B0773">
        <w:tc>
          <w:tcPr>
            <w:tcW w:w="9606" w:type="dxa"/>
          </w:tcPr>
          <w:p w14:paraId="0276271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Green Book Proposal</w:t>
            </w:r>
          </w:p>
        </w:tc>
      </w:tr>
      <w:tr w:rsidR="00494B49" w:rsidRPr="003B0773" w14:paraId="27CB904E" w14:textId="77777777" w:rsidTr="003B0773">
        <w:tc>
          <w:tcPr>
            <w:tcW w:w="9606" w:type="dxa"/>
          </w:tcPr>
          <w:p w14:paraId="1FAC15C3"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TABLE OF WORKSHEETS</w:t>
            </w:r>
          </w:p>
        </w:tc>
      </w:tr>
    </w:tbl>
    <w:p w14:paraId="476BCCF3" w14:textId="115D8E06" w:rsidR="00494B49" w:rsidRDefault="00494B49">
      <w:pPr>
        <w:rPr>
          <w:b/>
          <w:bCs/>
          <w:sz w:val="26"/>
          <w:szCs w:val="26"/>
        </w:rPr>
      </w:pPr>
    </w:p>
    <w:p w14:paraId="0DA268D9" w14:textId="77777777" w:rsidR="00494B49" w:rsidRDefault="00494B49">
      <w:pPr>
        <w:rPr>
          <w:b/>
          <w:bCs/>
          <w:sz w:val="26"/>
          <w:szCs w:val="26"/>
        </w:rPr>
      </w:pPr>
      <w:r>
        <w:rPr>
          <w:b/>
          <w:bCs/>
          <w:sz w:val="26"/>
          <w:szCs w:val="26"/>
        </w:rPr>
        <w:br w:type="page"/>
      </w:r>
    </w:p>
    <w:p w14:paraId="2A9D1178" w14:textId="77777777" w:rsidR="00494B49" w:rsidRDefault="00494B49">
      <w:pPr>
        <w:pStyle w:val="BChapterName"/>
      </w:pPr>
      <w:r>
        <w:lastRenderedPageBreak/>
        <w:t>I. Introduction</w:t>
      </w:r>
    </w:p>
    <w:p w14:paraId="66B3EAC1" w14:textId="77777777" w:rsidR="00494B49" w:rsidRDefault="00494B49">
      <w:pPr>
        <w:pStyle w:val="BHead1"/>
      </w:pPr>
      <w:r>
        <w:t>A. Statutory Overview</w:t>
      </w:r>
    </w:p>
    <w:p w14:paraId="1F41D6DE" w14:textId="77777777" w:rsidR="00494B49" w:rsidRDefault="00494B49">
      <w:pPr>
        <w:pStyle w:val="BHead2"/>
      </w:pPr>
      <w:r>
        <w:t>1. Section 1411 Generally</w:t>
      </w:r>
    </w:p>
    <w:p w14:paraId="3BDCB394" w14:textId="77777777" w:rsidR="00494B49" w:rsidRDefault="00494B49">
      <w:pPr>
        <w:pStyle w:val="BNormal"/>
      </w:pPr>
      <w:smartTag w:uri="http://www.bna.com/sgml2word/cite" w:element="cite.pl">
        <w:smartTagPr>
          <w:attr w:name="ref" w:val="PL\111-152\1402(a)(1)"/>
        </w:smartTagPr>
        <w:r>
          <w:t>Section 1402(a)(1) of the Health Care and Education Reconciliation Act of 2010</w:t>
        </w:r>
      </w:smartTag>
      <w:r>
        <w:rPr>
          <w:rStyle w:val="FootnoteReference"/>
        </w:rPr>
        <w:footnoteReference w:id="1"/>
      </w:r>
      <w:r>
        <w:t xml:space="preserve"> (HCERA) added </w:t>
      </w:r>
      <w:smartTag w:uri="http://www.bna.com/sgml2word/cite" w:element="cite.usc">
        <w:smartTagPr>
          <w:attr w:name="ref" w:val="USC\26\1411"/>
        </w:smartTagPr>
        <w:r>
          <w:t>26 U.S.C. §1411</w:t>
        </w:r>
      </w:smartTag>
      <w:r>
        <w:t xml:space="preserve"> to a new Chapter 2A of Subtitle A (Income Taxes) of the Internal Revenue Code (the Code), effective for tax years beginning after December 31, 2012. </w:t>
      </w:r>
      <w:smartTag w:uri="http://www.bna.com/sgml2word/cite" w:element="cite.usc">
        <w:smartTagPr>
          <w:attr w:name="ref" w:val="USC\26\1411"/>
        </w:smartTagPr>
        <w:r>
          <w:t>Section 1411</w:t>
        </w:r>
      </w:smartTag>
      <w:r>
        <w:rPr>
          <w:rStyle w:val="FootnoteReference"/>
        </w:rPr>
        <w:footnoteReference w:id="2"/>
      </w:r>
      <w:r>
        <w:t xml:space="preserve"> is the only Code section within new Chapter 2A. During the development of the </w:t>
      </w:r>
      <w:smartTag w:uri="http://www.bna.com/sgml2word/cite" w:element="cite.usc">
        <w:smartTagPr>
          <w:attr w:name="ref" w:val="USC\26\1411"/>
        </w:smartTagPr>
        <w:r>
          <w:t>§1411</w:t>
        </w:r>
      </w:smartTag>
      <w:r>
        <w:t xml:space="preserve"> regulations, the Treasury Department and the IRS termed this tax the “Net Investment Income Tax” or NIIT.</w:t>
      </w:r>
      <w:r>
        <w:rPr>
          <w:rStyle w:val="FootnoteReference"/>
        </w:rPr>
        <w:footnoteReference w:id="3"/>
      </w:r>
    </w:p>
    <w:p w14:paraId="1CE1FFB2" w14:textId="77777777" w:rsidR="00494B49" w:rsidRDefault="00494B49">
      <w:pPr>
        <w:pStyle w:val="BNormal"/>
      </w:pPr>
      <w:smartTag w:uri="http://www.bna.com/sgml2word/cite" w:element="cite.usc">
        <w:smartTagPr>
          <w:attr w:name="ref" w:val="USC\26\1411"/>
        </w:smartTagPr>
        <w:r>
          <w:t>Section 1411</w:t>
        </w:r>
      </w:smartTag>
      <w:r>
        <w:t xml:space="preserve"> imposes a 3.8% tax on the net investment income of individuals, estates, and trusts.</w:t>
      </w:r>
      <w:r>
        <w:rPr>
          <w:rStyle w:val="FootnoteReference"/>
        </w:rPr>
        <w:footnoteReference w:id="4"/>
      </w:r>
      <w:r>
        <w:t xml:space="preserve"> The NIIT is not deductible in computing any tax imposed by Subtitle A of the Code,</w:t>
      </w:r>
      <w:r>
        <w:rPr>
          <w:rStyle w:val="FootnoteReference"/>
        </w:rPr>
        <w:footnoteReference w:id="5"/>
      </w:r>
      <w:r>
        <w:t xml:space="preserve"> and the NIIT does not apply to nonresident aliens or to a trust if all of the unexpired interests in the trust are devoted to religious, charitable, scientific, literary, or educational purposes, or to fostering national or international amateur sports competition (but only if none of its activities involve the provision of athletic facilities or equipment), or for the prevention of cruelty to children or animals.</w:t>
      </w:r>
      <w:r>
        <w:rPr>
          <w:rStyle w:val="FootnoteReference"/>
        </w:rPr>
        <w:footnoteReference w:id="6"/>
      </w:r>
    </w:p>
    <w:p w14:paraId="251B1BB8" w14:textId="77777777" w:rsidR="00494B49" w:rsidRDefault="00494B49">
      <w:pPr>
        <w:pStyle w:val="BNormal"/>
      </w:pPr>
      <w:smartTag w:uri="http://www.bna.com/sgml2word/cite" w:element="cite.usc">
        <w:smartTagPr>
          <w:attr w:name="ref" w:val="USC\26\1402(a)(2)"/>
        </w:smartTagPr>
        <w:r>
          <w:t>Section 1402(a)(2)</w:t>
        </w:r>
      </w:smartTag>
      <w:r>
        <w:t xml:space="preserve"> of HCERA also amended </w:t>
      </w:r>
      <w:smartTag w:uri="http://www.bna.com/sgml2word/cite" w:element="cite.usc">
        <w:smartTagPr>
          <w:attr w:name="ref" w:val="USC\26\6654"/>
        </w:smartTagPr>
        <w:r>
          <w:t>§6654</w:t>
        </w:r>
      </w:smartTag>
      <w:r>
        <w:t xml:space="preserve"> to provide that the tax imposed under Chapter 2A (</w:t>
      </w:r>
      <w:smartTag w:uri="http://www.bna.com/sgml2word/cite" w:element="cite.usc">
        <w:smartTagPr>
          <w:attr w:name="ref" w:val="USC\26\1411"/>
        </w:smartTagPr>
        <w:r>
          <w:t>§1411</w:t>
        </w:r>
      </w:smartTag>
      <w:r>
        <w:t>) is subject to the estimated tax provisions.</w:t>
      </w:r>
    </w:p>
    <w:p w14:paraId="1C032355" w14:textId="77777777" w:rsidR="00494B49" w:rsidRDefault="00494B49">
      <w:pPr>
        <w:pStyle w:val="BNormal"/>
      </w:pPr>
      <w:r>
        <w:t>Although Chapter 2A of Subtitle A (Income Taxes) is titled “Unearned Income Medicare Contribution,” amounts collected under the NIIT are not designated for the Medicare Trust Fund.</w:t>
      </w:r>
      <w:r>
        <w:rPr>
          <w:rStyle w:val="FootnoteReference"/>
        </w:rPr>
        <w:footnoteReference w:id="7"/>
      </w:r>
    </w:p>
    <w:p w14:paraId="3F6F4447" w14:textId="77777777" w:rsidR="00494B49" w:rsidRDefault="00494B49">
      <w:pPr>
        <w:pStyle w:val="BHead2"/>
      </w:pPr>
      <w:r>
        <w:t>2. The Section 1411 Tax Base</w:t>
      </w:r>
    </w:p>
    <w:p w14:paraId="2A9B2DD0" w14:textId="77777777" w:rsidR="00494B49" w:rsidRDefault="00494B49">
      <w:pPr>
        <w:pStyle w:val="BHead3"/>
      </w:pPr>
      <w:r>
        <w:t>a. Application to Individuals</w:t>
      </w:r>
    </w:p>
    <w:p w14:paraId="1E394C1F" w14:textId="77777777" w:rsidR="00494B49" w:rsidRDefault="00494B49">
      <w:pPr>
        <w:pStyle w:val="BNormal"/>
      </w:pPr>
      <w:smartTag w:uri="http://www.bna.com/sgml2word/cite" w:element="cite.usc">
        <w:smartTagPr>
          <w:attr w:name="ref" w:val="USC\26\1411(a)(1)"/>
        </w:smartTagPr>
        <w:r>
          <w:t>Section 1411(a)(1)</w:t>
        </w:r>
      </w:smartTag>
      <w:r>
        <w:t xml:space="preserve"> imposes a tax on individuals for each tax year equal to 3.8% of the lesser of (A) the individual’s net investment income for such tax year, or (B) the excess (if any) of the individual’s modified adjusted gross income (MAGI) for the tax year over the threshold amount. </w:t>
      </w:r>
    </w:p>
    <w:p w14:paraId="172A06A6" w14:textId="77777777" w:rsidR="00494B49" w:rsidRDefault="00494B49">
      <w:pPr>
        <w:pStyle w:val="BNormal"/>
      </w:pPr>
      <w:smartTag w:uri="http://www.bna.com/sgml2word/cite" w:element="cite.usc">
        <w:smartTagPr>
          <w:attr w:name="ref" w:val="USC\26\1411(b)"/>
        </w:smartTagPr>
        <w:r>
          <w:t>Section 1411(b)</w:t>
        </w:r>
      </w:smartTag>
      <w:r>
        <w:t xml:space="preserve"> provides that the threshold amount is: </w:t>
      </w:r>
    </w:p>
    <w:p w14:paraId="424DC96C" w14:textId="77777777" w:rsidR="00494B49" w:rsidRDefault="00494B49">
      <w:pPr>
        <w:pStyle w:val="BListitembul"/>
      </w:pPr>
      <w:r>
        <w:lastRenderedPageBreak/>
        <w:t>$250,000 for a taxpayer filing a joint return under §6013 or a surviving spouse;</w:t>
      </w:r>
      <w:r>
        <w:rPr>
          <w:rStyle w:val="FootnoteReference"/>
        </w:rPr>
        <w:footnoteReference w:id="8"/>
      </w:r>
    </w:p>
    <w:p w14:paraId="3D351A23" w14:textId="77777777" w:rsidR="00494B49" w:rsidRDefault="00494B49">
      <w:pPr>
        <w:pStyle w:val="BListitembul"/>
      </w:pPr>
      <w:r>
        <w:t xml:space="preserve">$125,000 for a married taxpayer (as defined in §7703) filing a separate return; and </w:t>
      </w:r>
    </w:p>
    <w:p w14:paraId="39388BC1" w14:textId="77777777" w:rsidR="00494B49" w:rsidRDefault="00494B49">
      <w:pPr>
        <w:pStyle w:val="BListitembul"/>
      </w:pPr>
      <w:r>
        <w:t xml:space="preserve">$200,000 for a single taxpayer or a taxpayer filing as head of household. </w:t>
      </w:r>
    </w:p>
    <w:p w14:paraId="49563930" w14:textId="77777777" w:rsidR="00494B49" w:rsidRDefault="00494B49">
      <w:pPr>
        <w:pStyle w:val="BNormal"/>
      </w:pPr>
      <w:r>
        <w:t>Although these threshold amounts are substantially similar to the threshold amounts for the additional 0.9% Medicare tax imposed on wages and self-employment tax,</w:t>
      </w:r>
      <w:r>
        <w:rPr>
          <w:rStyle w:val="FootnoteReference"/>
        </w:rPr>
        <w:footnoteReference w:id="9"/>
      </w:r>
      <w:r>
        <w:t xml:space="preserve"> the NIIT threshold for a surviving spouse is $250,000, but the additional Medicare tax threshold is only $200,000. </w:t>
      </w:r>
    </w:p>
    <w:p w14:paraId="0BDCCA9F" w14:textId="77777777" w:rsidR="00494B49" w:rsidRDefault="00494B49">
      <w:pPr>
        <w:pStyle w:val="BNormal"/>
      </w:pPr>
      <w:r>
        <w:t>The threshold amounts for individuals are not indexed for inflation. The same is true for the thresholds associated with the additional Medicare tax. The lack of indexing, which became an annual problem with the individual alternative minimum tax (AMT) until 2013, is the primary reason that estimated revenue from both NIIT and the additional Medicare tax was projected to steadily increase from $20.5 billion in 2013 to $38.5 billion in 2019.</w:t>
      </w:r>
      <w:r>
        <w:rPr>
          <w:rStyle w:val="FootnoteReference"/>
        </w:rPr>
        <w:footnoteReference w:id="10"/>
      </w:r>
    </w:p>
    <w:p w14:paraId="3055E39E" w14:textId="77777777" w:rsidR="00494B49" w:rsidRDefault="00494B49">
      <w:pPr>
        <w:pStyle w:val="BNormal"/>
      </w:pPr>
      <w:smartTag w:uri="http://www.bna.com/sgml2word/cite" w:element="cite.usc">
        <w:smartTagPr>
          <w:attr w:name="ref" w:val="USC\26\1411(d)"/>
        </w:smartTagPr>
        <w:r>
          <w:t>Section 1411(d)</w:t>
        </w:r>
      </w:smartTag>
      <w:r>
        <w:t xml:space="preserve"> defines MAGI as adjusted gross income increased by the excess of (1) the amount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with respect to the amount excluded from gross income under </w:t>
      </w:r>
      <w:smartTag w:uri="http://www.bna.com/sgml2word/cite" w:element="cite.usc">
        <w:smartTagPr>
          <w:attr w:name="ref" w:val="USC\26\911(a)(1)"/>
        </w:smartTagPr>
        <w:r>
          <w:t>§911(a)(1)</w:t>
        </w:r>
      </w:smartTag>
      <w:r>
        <w:t>.</w:t>
      </w:r>
      <w:r>
        <w:rPr>
          <w:rStyle w:val="FootnoteReference"/>
        </w:rPr>
        <w:footnoteReference w:id="11"/>
      </w:r>
      <w:r>
        <w:t xml:space="preserve"> The regulations under </w:t>
      </w:r>
      <w:smartTag w:uri="http://www.bna.com/sgml2word/cite" w:element="cite.usc">
        <w:smartTagPr>
          <w:attr w:name="ref" w:val="USC\26\1411"/>
        </w:smartTagPr>
        <w:r>
          <w:t>§1411</w:t>
        </w:r>
      </w:smartTag>
      <w:r>
        <w:t xml:space="preserve"> expand the </w:t>
      </w:r>
      <w:smartTag w:uri="http://www.bna.com/sgml2word/cite" w:element="cite.usc">
        <w:smartTagPr>
          <w:attr w:name="ref" w:val="USC\26\1411"/>
        </w:smartTagPr>
        <w:r>
          <w:t>§1411</w:t>
        </w:r>
      </w:smartTag>
      <w:r>
        <w:t xml:space="preserve"> statutory definition of MAGI by including certain increases and decreases from certain types of income attributable to Controlled Foreign Corporations (CFCs) and Passive Foreign Investment Companies (PFICs).</w:t>
      </w:r>
      <w:r>
        <w:rPr>
          <w:rStyle w:val="FootnoteReference"/>
        </w:rPr>
        <w:footnoteReference w:id="12"/>
      </w:r>
    </w:p>
    <w:p w14:paraId="6A0A0487" w14:textId="77777777" w:rsidR="00494B49" w:rsidRDefault="00494B49">
      <w:pPr>
        <w:pStyle w:val="BNormal"/>
      </w:pPr>
      <w:r>
        <w:t xml:space="preserve">The application of the NIIT to individuals is discussed in detail in </w:t>
      </w:r>
      <w:smartTag w:uri="http://www.bna.com/sgml2word/cite" w:element="cite.bna.reference">
        <w:smartTagPr>
          <w:attr w:name="bna.id.ref" w:val="TM\511.VIII"/>
        </w:smartTagPr>
        <w:r>
          <w:t>VIII.</w:t>
        </w:r>
      </w:smartTag>
      <w:smartTag w:uri="http://www.bna.com/sgml2word/cite" w:element="cite.bna.reference">
        <w:smartTagPr>
          <w:attr w:name="bna.id.ref" w:val="TM\873.VIII"/>
        </w:smartTagPr>
        <w:r>
          <w:t>VIII.</w:t>
        </w:r>
      </w:smartTag>
      <w:r>
        <w:t>, below.</w:t>
      </w:r>
    </w:p>
    <w:p w14:paraId="1D5CB0F9" w14:textId="77777777" w:rsidR="00494B49" w:rsidRDefault="00494B49">
      <w:pPr>
        <w:pStyle w:val="BHead3"/>
      </w:pPr>
      <w:r>
        <w:t>b. Application to Estates and Trusts</w:t>
      </w:r>
    </w:p>
    <w:p w14:paraId="07FDF296" w14:textId="77777777" w:rsidR="00494B49" w:rsidRDefault="00494B49">
      <w:pPr>
        <w:pStyle w:val="BNormal"/>
      </w:pPr>
      <w:r>
        <w:t xml:space="preserve">In the case of an estate or trust, </w:t>
      </w:r>
      <w:smartTag w:uri="http://www.bna.com/sgml2word/cite" w:element="cite.usc">
        <w:smartTagPr>
          <w:attr w:name="ref" w:val="USC\26\1411(a)(2)"/>
        </w:smartTagPr>
        <w:r>
          <w:t>§1411(a)(2)</w:t>
        </w:r>
      </w:smartTag>
      <w:r>
        <w:t xml:space="preserve"> imposes a tax for each tax year equal to 3.8% of the lesser of (A) the estate’s or trust’s undistributed net investment income for that tax year,</w:t>
      </w:r>
      <w:r>
        <w:rPr>
          <w:rStyle w:val="FootnoteReference"/>
        </w:rPr>
        <w:footnoteReference w:id="13"/>
      </w:r>
      <w:r>
        <w:t xml:space="preserve"> or (B) the excess (if any) of (i) the estate’s or trust’s adjusted gross income</w:t>
      </w:r>
      <w:r>
        <w:rPr>
          <w:rStyle w:val="FootnoteReference"/>
        </w:rPr>
        <w:footnoteReference w:id="14"/>
      </w:r>
      <w:r>
        <w:t xml:space="preserve"> for the tax year, over (ii) the dollar amount at which the highest tax bracket under </w:t>
      </w:r>
      <w:smartTag w:uri="http://www.bna.com/sgml2word/cite" w:element="cite.usc">
        <w:smartTagPr>
          <w:attr w:name="ref" w:val="USC\26\1(e)"/>
        </w:smartTagPr>
        <w:r>
          <w:t>§1(e)</w:t>
        </w:r>
      </w:smartTag>
      <w:r>
        <w:t xml:space="preserve"> begins for the tax year. </w:t>
      </w:r>
    </w:p>
    <w:p w14:paraId="34502BD3" w14:textId="77777777" w:rsidR="00494B49" w:rsidRDefault="00494B49">
      <w:pPr>
        <w:pStyle w:val="BNormal"/>
      </w:pPr>
      <w:r>
        <w:t xml:space="preserve">The application of the NIIT to estates and trusts is discussed in detail in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p w14:paraId="02AE1480" w14:textId="77777777" w:rsidR="00494B49" w:rsidRDefault="00494B49">
      <w:pPr>
        <w:pStyle w:val="BHead3"/>
      </w:pPr>
      <w:r>
        <w:t>c. Calculation of Net Investment Income</w:t>
      </w:r>
    </w:p>
    <w:p w14:paraId="6B55139E" w14:textId="77777777" w:rsidR="00494B49" w:rsidRDefault="00494B49">
      <w:pPr>
        <w:pStyle w:val="BNormal"/>
      </w:pPr>
      <w:smartTag w:uri="http://www.bna.com/sgml2word/cite" w:element="cite.usc">
        <w:smartTagPr>
          <w:attr w:name="ref" w:val="USC\26\1411(c)"/>
        </w:smartTagPr>
        <w:r>
          <w:t>Section 1411(c)</w:t>
        </w:r>
      </w:smartTag>
      <w:r>
        <w:t xml:space="preserve"> and Reg. </w:t>
      </w:r>
      <w:smartTag w:uri="http://www.bna.com/sgml2word/cite" w:element="cite.cfr">
        <w:smartTagPr>
          <w:attr w:name="ref" w:val="cfr\26\1.1411-4"/>
        </w:smartTagPr>
        <w:r>
          <w:t>§1.1411-4</w:t>
        </w:r>
      </w:smartTag>
      <w:r>
        <w:t xml:space="preserve"> provide rules for computing net investment income. Essentially, a taxpayer must compute gross investment income (which includes certain types of gross income and net gain) and subtract properly allocable deductions to arrive at net investment income. </w:t>
      </w:r>
      <w:smartTag w:uri="http://www.bna.com/sgml2word/cite" w:element="cite.usc">
        <w:smartTagPr>
          <w:attr w:name="ref" w:val="USC\26\1411(c)(1)"/>
        </w:smartTagPr>
        <w:r>
          <w:t>Section 1411(c)(1)</w:t>
        </w:r>
      </w:smartTag>
      <w:r>
        <w:t xml:space="preserve"> provides that net investment income means the excess (if any) of:</w:t>
      </w:r>
    </w:p>
    <w:p w14:paraId="39DE792E" w14:textId="77777777" w:rsidR="00494B49" w:rsidRDefault="00494B49">
      <w:pPr>
        <w:pStyle w:val="BListitemorig"/>
      </w:pPr>
      <w:r>
        <w:lastRenderedPageBreak/>
        <w:t xml:space="preserve">(A) the sum of </w:t>
      </w:r>
    </w:p>
    <w:p w14:paraId="26DBAFF5" w14:textId="77777777" w:rsidR="00494B49" w:rsidRDefault="00494B49">
      <w:pPr>
        <w:pStyle w:val="BListitemorig"/>
      </w:pPr>
      <w:r>
        <w:t>i. gross income from interest, dividends, annuities, royalties, and rents, other than income derived in the ordinary course of a trade or business not described in §1411(c)(2)</w:t>
      </w:r>
      <w:r>
        <w:rPr>
          <w:rStyle w:val="FootnoteReference"/>
        </w:rPr>
        <w:footnoteReference w:id="15"/>
      </w:r>
      <w:r>
        <w:t xml:space="preserve"> (referred to in this Portfolio as “Category I” income); </w:t>
      </w:r>
    </w:p>
    <w:p w14:paraId="54FA001A" w14:textId="77777777" w:rsidR="00494B49" w:rsidRDefault="00494B49">
      <w:pPr>
        <w:pStyle w:val="BListitemorig"/>
      </w:pPr>
      <w:r>
        <w:t>ii. other gross income derived from a trade or business described in §1411(c)(2)</w:t>
      </w:r>
      <w:r>
        <w:rPr>
          <w:rStyle w:val="FootnoteReference"/>
        </w:rPr>
        <w:footnoteReference w:id="16"/>
      </w:r>
      <w:r>
        <w:t xml:space="preserve"> (referred to in this Portfolio as “Category II” income); and </w:t>
      </w:r>
    </w:p>
    <w:p w14:paraId="15E2C4D5" w14:textId="77777777" w:rsidR="00494B49" w:rsidRDefault="00494B49">
      <w:pPr>
        <w:pStyle w:val="BListitemorig"/>
      </w:pPr>
      <w:r>
        <w:t>iii. net gain (to the extent taken into account in computing taxable income) attributable to the disposition of property other than property held in a trade or business not described in §1411(c)(2)</w:t>
      </w:r>
      <w:r>
        <w:rPr>
          <w:rStyle w:val="FootnoteReference"/>
        </w:rPr>
        <w:footnoteReference w:id="17"/>
      </w:r>
      <w:r>
        <w:t xml:space="preserve"> (referred to in this Portfolio as “Category III” income); </w:t>
      </w:r>
    </w:p>
    <w:p w14:paraId="37A5DB9F" w14:textId="77777777" w:rsidR="00494B49" w:rsidRDefault="00494B49" w:rsidP="006951DA">
      <w:pPr>
        <w:pStyle w:val="BListitemorig"/>
      </w:pPr>
      <w:r>
        <w:t xml:space="preserve"> over </w:t>
      </w:r>
    </w:p>
    <w:p w14:paraId="70E73E19" w14:textId="77777777" w:rsidR="00494B49" w:rsidRDefault="00494B49">
      <w:pPr>
        <w:pStyle w:val="BListitemorig"/>
      </w:pPr>
      <w:r>
        <w:t>(B) the deductions allowed by Subtitle A that are allocable to such gross income or net gain.</w:t>
      </w:r>
      <w:r>
        <w:rPr>
          <w:rStyle w:val="FootnoteReference"/>
        </w:rPr>
        <w:footnoteReference w:id="18"/>
      </w:r>
      <w:r>
        <w:t xml:space="preserve"> </w:t>
      </w:r>
    </w:p>
    <w:p w14:paraId="72462F07" w14:textId="77777777" w:rsidR="00494B49" w:rsidRDefault="00494B49">
      <w:pPr>
        <w:pStyle w:val="BNormal"/>
      </w:pPr>
      <w:r>
        <w:t xml:space="preserve">The </w:t>
      </w:r>
      <w:smartTag w:uri="http://www.bna.com/sgml2word/cite" w:element="cite.usc">
        <w:smartTagPr>
          <w:attr w:name="ref" w:val="USC\26\1411(c)(1)(A)"/>
        </w:smartTagPr>
        <w:r>
          <w:t>§1411(c)(1)(A)</w:t>
        </w:r>
      </w:smartTag>
      <w:r>
        <w:t xml:space="preserve"> definition of the categories of </w:t>
      </w:r>
      <w:smartTag w:uri="http://www.bna.com/sgml2word/cite" w:element="cite.usc">
        <w:smartTagPr>
          <w:attr w:name="ref" w:val="USC\26\1411"/>
        </w:smartTagPr>
        <w:r>
          <w:t>§1411</w:t>
        </w:r>
      </w:smartTag>
      <w:r>
        <w:t xml:space="preserve"> investment income is difficult to read or apply because it includes two double negatives. The best way to understand it is to unpack it and re-write it. The Code describes the first category of </w:t>
      </w:r>
      <w:smartTag w:uri="http://www.bna.com/sgml2word/cite" w:element="cite.usc">
        <w:smartTagPr>
          <w:attr w:name="ref" w:val="USC\26\1411"/>
        </w:smartTagPr>
        <w:r>
          <w:t>§1411</w:t>
        </w:r>
      </w:smartTag>
      <w:r>
        <w:t xml:space="preserve"> investment income as gross income from interest, dividends, annuities, royalties, and rents, </w:t>
      </w:r>
      <w:r>
        <w:rPr>
          <w:i/>
        </w:rPr>
        <w:t>other than</w:t>
      </w:r>
      <w:r>
        <w:t xml:space="preserve"> income derived in the ordinary course of a trade or business </w:t>
      </w:r>
      <w:r>
        <w:rPr>
          <w:i/>
        </w:rPr>
        <w:t xml:space="preserve">not </w:t>
      </w:r>
      <w:r>
        <w:t xml:space="preserve">described in </w:t>
      </w:r>
      <w:smartTag w:uri="http://www.bna.com/sgml2word/cite" w:element="cite.usc">
        <w:smartTagPr>
          <w:attr w:name="ref" w:val="USC\26\1411(c)(2)"/>
        </w:smartTagPr>
        <w:r>
          <w:t>§1411(c)(2)</w:t>
        </w:r>
      </w:smartTag>
      <w:r>
        <w:t>.</w:t>
      </w:r>
      <w:r>
        <w:rPr>
          <w:rStyle w:val="FootnoteReference"/>
        </w:rPr>
        <w:footnoteReference w:id="19"/>
      </w:r>
      <w:r>
        <w:t xml:space="preserve"> What this essentially means is that there are two types of income included in the first category of </w:t>
      </w:r>
      <w:smartTag w:uri="http://www.bna.com/sgml2word/cite" w:element="cite.usc">
        <w:smartTagPr>
          <w:attr w:name="ref" w:val="USC\26\1411"/>
        </w:smartTagPr>
        <w:r>
          <w:t>§1411</w:t>
        </w:r>
      </w:smartTag>
      <w:r>
        <w:t xml:space="preserve"> investment income:</w:t>
      </w:r>
    </w:p>
    <w:p w14:paraId="098719C1" w14:textId="77777777" w:rsidR="00494B49" w:rsidRDefault="00494B49">
      <w:pPr>
        <w:pStyle w:val="BListitembul"/>
      </w:pPr>
      <w:r>
        <w:t>interest, dividends, annuities, royalties and rents derived in the ordinary course of a §1411(c)(2) trade or business; and</w:t>
      </w:r>
    </w:p>
    <w:p w14:paraId="1EF3BE7B" w14:textId="77777777" w:rsidR="00494B49" w:rsidRDefault="00494B49">
      <w:pPr>
        <w:pStyle w:val="BListitembul"/>
      </w:pPr>
      <w:r>
        <w:t>interest, dividends, annuities, royalties and rents derived from a for-profit activity that is not a trade or business.</w:t>
      </w:r>
    </w:p>
    <w:p w14:paraId="07DF4576" w14:textId="77777777" w:rsidR="00494B49" w:rsidRDefault="00494B49">
      <w:pPr>
        <w:pStyle w:val="BNormal"/>
      </w:pPr>
      <w:r>
        <w:t xml:space="preserve">The second category of investment income includes any </w:t>
      </w:r>
      <w:r>
        <w:rPr>
          <w:i/>
        </w:rPr>
        <w:t>other</w:t>
      </w:r>
      <w:r>
        <w:t xml:space="preserve"> type of income derived from a </w:t>
      </w:r>
      <w:smartTag w:uri="http://www.bna.com/sgml2word/cite" w:element="cite.usc">
        <w:smartTagPr>
          <w:attr w:name="ref" w:val="USC\26\1411(c)(2)"/>
        </w:smartTagPr>
        <w:r>
          <w:t>§1411(c)(2)</w:t>
        </w:r>
      </w:smartTag>
      <w:r>
        <w:t xml:space="preserve"> trade or business. </w:t>
      </w:r>
    </w:p>
    <w:p w14:paraId="1B786C01" w14:textId="77777777" w:rsidR="00494B49" w:rsidRDefault="00494B49">
      <w:pPr>
        <w:pStyle w:val="BNormal"/>
      </w:pPr>
      <w:r>
        <w:t xml:space="preserve">With respect to the third category of </w:t>
      </w:r>
      <w:smartTag w:uri="http://www.bna.com/sgml2word/cite" w:element="cite.usc">
        <w:smartTagPr>
          <w:attr w:name="ref" w:val="USC\26\1411"/>
        </w:smartTagPr>
        <w:r>
          <w:t>§1411</w:t>
        </w:r>
      </w:smartTag>
      <w:r>
        <w:t xml:space="preserve"> investment income, again the statutory language is troublesome. The Code describes the third category of </w:t>
      </w:r>
      <w:smartTag w:uri="http://www.bna.com/sgml2word/cite" w:element="cite.usc">
        <w:smartTagPr>
          <w:attr w:name="ref" w:val="USC\26\1411"/>
        </w:smartTagPr>
        <w:r>
          <w:t>§1411</w:t>
        </w:r>
      </w:smartTag>
      <w:r>
        <w:t xml:space="preserve"> investment income as net gain attributable to the disposition of property </w:t>
      </w:r>
      <w:r>
        <w:rPr>
          <w:i/>
        </w:rPr>
        <w:t>other than</w:t>
      </w:r>
      <w:r>
        <w:t xml:space="preserve"> property held in a trade or business </w:t>
      </w:r>
      <w:r>
        <w:rPr>
          <w:i/>
        </w:rPr>
        <w:t>not</w:t>
      </w:r>
      <w:r>
        <w:t xml:space="preserve"> described in </w:t>
      </w:r>
      <w:smartTag w:uri="http://www.bna.com/sgml2word/cite" w:element="cite.usc">
        <w:smartTagPr>
          <w:attr w:name="ref" w:val="USC\26\1411(c)(2)"/>
        </w:smartTagPr>
        <w:r>
          <w:t>§1411(c)(2)</w:t>
        </w:r>
      </w:smartTag>
      <w:r>
        <w:rPr>
          <w:rStyle w:val="FootnoteReference"/>
        </w:rPr>
        <w:footnoteReference w:id="20"/>
      </w:r>
      <w:r>
        <w:t xml:space="preserve"> — another double negative. What this means is that there are two types of net gain from the disposition of property that are included in the third category of </w:t>
      </w:r>
      <w:smartTag w:uri="http://www.bna.com/sgml2word/cite" w:element="cite.usc">
        <w:smartTagPr>
          <w:attr w:name="ref" w:val="USC\26\1411"/>
        </w:smartTagPr>
        <w:r>
          <w:t>§1411</w:t>
        </w:r>
      </w:smartTag>
      <w:r>
        <w:t xml:space="preserve"> investment income:</w:t>
      </w:r>
    </w:p>
    <w:p w14:paraId="75D41550" w14:textId="77777777" w:rsidR="00494B49" w:rsidRDefault="00494B49">
      <w:pPr>
        <w:pStyle w:val="BListitembul"/>
      </w:pPr>
      <w:r>
        <w:t>net gain from the disposition of property held in a §1411(c)(2) trade or business; and</w:t>
      </w:r>
    </w:p>
    <w:p w14:paraId="64428BAE" w14:textId="77777777" w:rsidR="00494B49" w:rsidRDefault="00494B49">
      <w:pPr>
        <w:pStyle w:val="BListitembul"/>
      </w:pPr>
      <w:r>
        <w:t>net gain from the disposition of property held in a for-profit activity that is not a trade or business.</w:t>
      </w:r>
    </w:p>
    <w:p w14:paraId="67F58885" w14:textId="77777777" w:rsidR="00494B49" w:rsidRDefault="00494B49">
      <w:pPr>
        <w:pStyle w:val="BNormal"/>
      </w:pPr>
      <w:r>
        <w:t xml:space="preserve">A trade or business is a </w:t>
      </w:r>
      <w:smartTag w:uri="http://www.bna.com/sgml2word/cite" w:element="cite.usc">
        <w:smartTagPr>
          <w:attr w:name="ref" w:val="USC\26\1411(c)(2)"/>
        </w:smartTagPr>
        <w:r>
          <w:t>§1411(c)(2)</w:t>
        </w:r>
      </w:smartTag>
      <w:r>
        <w:t xml:space="preserve"> trade or business if it is either:</w:t>
      </w:r>
    </w:p>
    <w:p w14:paraId="51834F40" w14:textId="77777777" w:rsidR="00494B49" w:rsidRDefault="00494B49">
      <w:pPr>
        <w:pStyle w:val="BListitembul"/>
      </w:pPr>
      <w:r>
        <w:t>a passive activity (within the meaning of §469) with respect to the taxpayer;</w:t>
      </w:r>
      <w:r>
        <w:rPr>
          <w:rStyle w:val="FootnoteReference"/>
        </w:rPr>
        <w:footnoteReference w:id="21"/>
      </w:r>
      <w:r>
        <w:t xml:space="preserve"> or</w:t>
      </w:r>
    </w:p>
    <w:p w14:paraId="35842A89" w14:textId="77777777" w:rsidR="00494B49" w:rsidRDefault="00494B49">
      <w:pPr>
        <w:pStyle w:val="BListitembul"/>
      </w:pPr>
      <w:r>
        <w:lastRenderedPageBreak/>
        <w:t>a trade or business of trading in financial instruments or commodities (as described in §475(e)(2)).</w:t>
      </w:r>
      <w:r>
        <w:rPr>
          <w:rStyle w:val="FootnoteReference"/>
        </w:rPr>
        <w:footnoteReference w:id="22"/>
      </w:r>
    </w:p>
    <w:p w14:paraId="2A608CE8" w14:textId="77777777" w:rsidR="00494B49" w:rsidRDefault="00494B49">
      <w:pPr>
        <w:pStyle w:val="BNormal"/>
      </w:pPr>
      <w:r>
        <w:t xml:space="preserve">The definition of a </w:t>
      </w:r>
      <w:smartTag w:uri="http://www.bna.com/sgml2word/cite" w:element="cite.usc">
        <w:smartTagPr>
          <w:attr w:name="ref" w:val="USC\26\1411(c)(2)"/>
        </w:smartTagPr>
        <w:r>
          <w:t>§1411(c)(2)</w:t>
        </w:r>
      </w:smartTag>
      <w:r>
        <w:t xml:space="preserve"> trade or business is discussed in detail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below. </w:t>
      </w:r>
    </w:p>
    <w:p w14:paraId="550A7087" w14:textId="77777777" w:rsidR="00494B49" w:rsidRDefault="00494B49">
      <w:pPr>
        <w:pStyle w:val="BNormal"/>
      </w:pPr>
      <w:r>
        <w:t xml:space="preserve">Thus, “gross” investment income generally equals: </w:t>
      </w:r>
    </w:p>
    <w:p w14:paraId="0C8BD97E" w14:textId="77777777" w:rsidR="00494B49" w:rsidRDefault="00494B49" w:rsidP="006951DA">
      <w:pPr>
        <w:pStyle w:val="BQuotelong"/>
      </w:pPr>
      <w:r>
        <w:t>(1) (a) gross income from interest, dividends, annuities, royalties, and rents derived in the ordinary course of a trade or business if that trade or business is either a passive activity with respect to the taxpayer or a trade or business of trading in financial instruments or commodities; and (b) gross income from interest, dividends, annuities, royalties, and rents derived from a for-profit activity that is not a trade or business;</w:t>
      </w:r>
      <w:r>
        <w:rPr>
          <w:rStyle w:val="FootnoteReference"/>
        </w:rPr>
        <w:footnoteReference w:id="23"/>
      </w:r>
      <w:r>
        <w:t xml:space="preserve"> </w:t>
      </w:r>
    </w:p>
    <w:p w14:paraId="6C236035" w14:textId="77777777" w:rsidR="00494B49" w:rsidRDefault="00494B49" w:rsidP="006951DA">
      <w:pPr>
        <w:pStyle w:val="BQuotelon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24"/>
      </w:r>
      <w:r>
        <w:t xml:space="preserve"> and </w:t>
      </w:r>
    </w:p>
    <w:p w14:paraId="242EBC41" w14:textId="77777777" w:rsidR="00494B49" w:rsidRDefault="00494B49">
      <w:pPr>
        <w:pStyle w:val="BQuotelong"/>
      </w:pPr>
      <w:r>
        <w:t>(3) (a) net gain (to the extent taken into account in computing taxable income) from the disposition of property held in a trade or business if that trade or business is either a passive activity with respect to the taxpayer or a trade or business of trading in financial instruments or commodities; and (b) net gain (to the extent taken into account in computing taxable income) from the disposition of property held in a for-profit activity that is not a trade or business.</w:t>
      </w:r>
      <w:r>
        <w:rPr>
          <w:rStyle w:val="FootnoteReference"/>
        </w:rPr>
        <w:footnoteReference w:id="25"/>
      </w:r>
      <w:r>
        <w:t xml:space="preserve"> </w:t>
      </w:r>
    </w:p>
    <w:p w14:paraId="2FF8CBC7" w14:textId="77777777" w:rsidR="00494B49" w:rsidRDefault="00494B49">
      <w:pPr>
        <w:pStyle w:val="BNormal"/>
      </w:pPr>
      <w:r>
        <w:rPr>
          <w:i/>
        </w:rPr>
        <w:t>Comment:</w:t>
      </w:r>
      <w:r>
        <w:t xml:space="preserve"> The term “gross investment income” is not found in </w:t>
      </w:r>
      <w:smartTag w:uri="http://www.bna.com/sgml2word/cite" w:element="cite.usc">
        <w:smartTagPr>
          <w:attr w:name="ref" w:val="USC\26\1411"/>
        </w:smartTagPr>
        <w:r>
          <w:t>§1411</w:t>
        </w:r>
      </w:smartTag>
      <w:r>
        <w:t xml:space="preserve">. However, the amount computed under </w:t>
      </w:r>
      <w:smartTag w:uri="http://www.bna.com/sgml2word/cite" w:element="cite.usc">
        <w:smartTagPr>
          <w:attr w:name="ref" w:val="USC\26\1411(c)(1)(A)"/>
        </w:smartTagPr>
        <w:r>
          <w:t>§1411(c)(1)(A)</w:t>
        </w:r>
      </w:smartTag>
      <w:r>
        <w:t xml:space="preserve"> is essentially a computation of gross investment income. Once a taxpayer computes gross investment income under </w:t>
      </w:r>
      <w:smartTag w:uri="http://www.bna.com/sgml2word/cite" w:element="cite.usc">
        <w:smartTagPr>
          <w:attr w:name="ref" w:val="USC\26\1411(c)(1)(A)"/>
        </w:smartTagPr>
        <w:r>
          <w:t>§1411(c)(1)(A)</w:t>
        </w:r>
      </w:smartTag>
      <w:r>
        <w:t xml:space="preserve">, the taxpayer subtracts properly allocable deductions under </w:t>
      </w:r>
      <w:smartTag w:uri="http://www.bna.com/sgml2word/cite" w:element="cite.usc">
        <w:smartTagPr>
          <w:attr w:name="ref" w:val="USC\26\1411(c)(1)(B)"/>
        </w:smartTagPr>
        <w:r>
          <w:t>§1411(c)(1)(B)</w:t>
        </w:r>
      </w:smartTag>
      <w:r>
        <w:t xml:space="preserve"> to arrive at net investment income. </w:t>
      </w:r>
    </w:p>
    <w:p w14:paraId="76AE53AD" w14:textId="77777777" w:rsidR="00494B49" w:rsidRDefault="00494B49">
      <w:pPr>
        <w:pStyle w:val="BNormal"/>
      </w:pPr>
      <w:r>
        <w:t xml:space="preserve">The computation of gross investment income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The computation of properly allocable deductions is discussed in detail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p w14:paraId="18CD1181" w14:textId="77777777" w:rsidR="00494B49" w:rsidRDefault="00494B49">
      <w:pPr>
        <w:pStyle w:val="BNormal"/>
      </w:pPr>
      <w:r>
        <w:t xml:space="preserve"> In addition to the general rules discussed above, </w:t>
      </w:r>
      <w:smartTag w:uri="http://www.bna.com/sgml2word/cite" w:element="cite.usc">
        <w:smartTagPr>
          <w:attr w:name="ref" w:val="USC\26\1411"/>
        </w:smartTagPr>
        <w:r>
          <w:t>§1411</w:t>
        </w:r>
      </w:smartTag>
      <w:r>
        <w:t xml:space="preserve"> provides several special rules for the computation of net investment income. </w:t>
      </w:r>
      <w:smartTag w:uri="http://www.bna.com/sgml2word/cite" w:element="cite.usc">
        <w:smartTagPr>
          <w:attr w:name="ref" w:val="USC\26\1411(c)(3)"/>
        </w:smartTagPr>
        <w:r>
          <w:t>Section 1411(c)(3)</w:t>
        </w:r>
      </w:smartTag>
      <w:r>
        <w:t xml:space="preserve"> provides that income on the investment of working capital is not treated as derived from a trade or business for purposes of </w:t>
      </w:r>
      <w:smartTag w:uri="http://www.bna.com/sgml2word/cite" w:element="cite.usc">
        <w:smartTagPr>
          <w:attr w:name="ref" w:val="USC\26\1411(c)(1)"/>
        </w:smartTagPr>
        <w:r>
          <w:t>§1411(c)(1)</w:t>
        </w:r>
      </w:smartTag>
      <w:r>
        <w:t xml:space="preserve"> and is subject to tax under </w:t>
      </w:r>
      <w:smartTag w:uri="http://www.bna.com/sgml2word/cite" w:element="cite.usc">
        <w:smartTagPr>
          <w:attr w:name="ref" w:val="USC\26\1411"/>
        </w:smartTagPr>
        <w:r>
          <w:t>§1411</w:t>
        </w:r>
      </w:smartTag>
      <w:r>
        <w:t xml:space="preserve">. Thus, </w:t>
      </w:r>
      <w:r>
        <w:rPr>
          <w:i/>
        </w:rPr>
        <w:t xml:space="preserve">any </w:t>
      </w:r>
      <w:r>
        <w:t>item of gross income from the investment of working capital and any net gain attributable to the investment of working capital is included in the computation of net investment income.</w:t>
      </w:r>
      <w:r>
        <w:rPr>
          <w:rStyle w:val="FootnoteReference"/>
        </w:rPr>
        <w:footnoteReference w:id="26"/>
      </w:r>
      <w:r>
        <w:t xml:space="preserve"> These rules are discussed in detail in </w:t>
      </w:r>
      <w:smartTag w:uri="http://www.bna.com/sgml2word/cite" w:element="cite.bna.reference">
        <w:smartTagPr>
          <w:attr w:name="bna.id.ref" w:val="TM\511.III.B.1"/>
        </w:smartTagPr>
        <w:r>
          <w:t>III.B.1.</w:t>
        </w:r>
      </w:smartTag>
      <w:smartTag w:uri="http://www.bna.com/sgml2word/cite" w:element="cite.bna.reference">
        <w:smartTagPr>
          <w:attr w:name="bna.id.ref" w:val="TM\873.III.B.1"/>
        </w:smartTagPr>
        <w:r>
          <w:t>III.B.1.</w:t>
        </w:r>
      </w:smartTag>
      <w:r>
        <w:t xml:space="preserve"> and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below.</w:t>
      </w:r>
    </w:p>
    <w:p w14:paraId="0E254CDF" w14:textId="77777777" w:rsidR="00494B49" w:rsidRDefault="00494B49">
      <w:pPr>
        <w:pStyle w:val="BNormal"/>
      </w:pPr>
      <w:r>
        <w:t xml:space="preserve">Under </w:t>
      </w:r>
      <w:smartTag w:uri="http://www.bna.com/sgml2word/cite" w:element="cite.usc">
        <w:smartTagPr>
          <w:attr w:name="ref" w:val="USC\26\1411(c)(4)"/>
        </w:smartTagPr>
        <w:r>
          <w:t>§1411(c)(4)</w:t>
        </w:r>
      </w:smartTag>
      <w:r>
        <w:t xml:space="preserve">, gain or loss from the disposition of an interest in a partnership or an S corporation is included in gross investment income only to the extent of the net gain or net loss that the transferor would include if the partnership or S corporation sold all of its assets at fair </w:t>
      </w:r>
      <w:r>
        <w:lastRenderedPageBreak/>
        <w:t xml:space="preserve">market value immediately before the disposition of the interest. This provision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p w14:paraId="4802B3AB" w14:textId="77777777" w:rsidR="00494B49" w:rsidRDefault="00494B49">
      <w:pPr>
        <w:pStyle w:val="BNormal"/>
      </w:pPr>
      <w:smartTag w:uri="http://www.bna.com/sgml2word/cite" w:element="cite.usc">
        <w:smartTagPr>
          <w:attr w:name="ref" w:val="USC\26\1411(c)(5)"/>
        </w:smartTagPr>
        <w:r>
          <w:t>Section 1411(c)(5)</w:t>
        </w:r>
      </w:smartTag>
      <w:r>
        <w:t xml:space="preserve"> provides that net investment income does not include distributions from a plan or arrangement described in </w:t>
      </w:r>
      <w:smartTag w:uri="http://www.bna.com/sgml2word/cite" w:element="cite.usc">
        <w:smartTagPr>
          <w:attr w:name="ref" w:val="USC\26\401(a)"/>
        </w:smartTagPr>
        <w:r>
          <w:t>§401(a)</w:t>
        </w:r>
      </w:smartTag>
      <w:r>
        <w:t xml:space="preserve">, </w:t>
      </w:r>
      <w:smartTag w:uri="http://www.bna.com/sgml2word/cite" w:element="cite.usc">
        <w:smartTagPr>
          <w:attr w:name="ref" w:val="USC\26\403(a)"/>
        </w:smartTagPr>
        <w:r>
          <w:t>§403(a)</w:t>
        </w:r>
      </w:smartTag>
      <w:r>
        <w:t xml:space="preserve">, </w:t>
      </w:r>
      <w:smartTag w:uri="http://www.bna.com/sgml2word/cite" w:element="cite.usc">
        <w:smartTagPr>
          <w:attr w:name="ref" w:val="USC\26\403(b)"/>
        </w:smartTagPr>
        <w:r>
          <w:t>§403(b)</w:t>
        </w:r>
      </w:smartTag>
      <w:r>
        <w:t xml:space="preserve">, </w:t>
      </w:r>
      <w:smartTag w:uri="http://www.bna.com/sgml2word/cite" w:element="cite.usc">
        <w:smartTagPr>
          <w:attr w:name="ref" w:val="USC\26\408"/>
        </w:smartTagPr>
        <w:r>
          <w:t>§408</w:t>
        </w:r>
      </w:smartTag>
      <w:r>
        <w:t xml:space="preserve">, </w:t>
      </w:r>
      <w:smartTag w:uri="http://www.bna.com/sgml2word/cite" w:element="cite.usc">
        <w:smartTagPr>
          <w:attr w:name="ref" w:val="USC\26\408A"/>
        </w:smartTagPr>
        <w:r>
          <w:t>§408A</w:t>
        </w:r>
      </w:smartTag>
      <w:r>
        <w:t xml:space="preserve">, or </w:t>
      </w:r>
      <w:smartTag w:uri="http://www.bna.com/sgml2word/cite" w:element="cite.usc">
        <w:smartTagPr>
          <w:attr w:name="ref" w:val="USC\26\457(b)"/>
        </w:smartTagPr>
        <w:r>
          <w:t>§457(b)</w:t>
        </w:r>
      </w:smartTag>
      <w:r>
        <w:t xml:space="preserve">. </w:t>
      </w:r>
      <w:smartTag w:uri="http://www.bna.com/sgml2word/cite" w:element="cite.usc">
        <w:smartTagPr>
          <w:attr w:name="ref" w:val="USC\26\1411(c)(6)"/>
        </w:smartTagPr>
        <w:r>
          <w:t>Section 1411(c)(6)</w:t>
        </w:r>
      </w:smartTag>
      <w:r>
        <w:t xml:space="preserve"> provides that net investment income also does not include any item taken into account in determining self-employment income for a tax year on which a tax is imposed under </w:t>
      </w:r>
      <w:smartTag w:uri="http://www.bna.com/sgml2word/cite" w:element="cite.usc">
        <w:smartTagPr>
          <w:attr w:name="ref" w:val="USC\26\1401(b)"/>
        </w:smartTagPr>
        <w:r>
          <w:t>§1401(b)</w:t>
        </w:r>
      </w:smartTag>
      <w:r>
        <w:t xml:space="preserve">. These provisions are discussed in detail in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xml:space="preserve"> and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below.</w:t>
      </w:r>
    </w:p>
    <w:p w14:paraId="2AB38ADA" w14:textId="77777777" w:rsidR="00494B49" w:rsidRDefault="00494B49">
      <w:pPr>
        <w:pStyle w:val="BNormal"/>
      </w:pPr>
      <w:r>
        <w:t xml:space="preserve">In addition, Reg. </w:t>
      </w:r>
      <w:smartTag w:uri="http://www.bna.com/sgml2word/cite" w:element="cite.cfr">
        <w:smartTagPr>
          <w:attr w:name="ref" w:val="cfr\26\1.1411-1(d)(4)"/>
        </w:smartTagPr>
        <w:r>
          <w:t>§1.1411-1(d)(4)</w:t>
        </w:r>
      </w:smartTag>
      <w:r>
        <w:t xml:space="preserve"> provides guidance on excluded income — items of income or gain that are not included in gross investment income. 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44E29DF8" w14:textId="77777777" w:rsidR="00494B49" w:rsidRDefault="00494B49">
      <w:pPr>
        <w:pStyle w:val="BHead1"/>
      </w:pPr>
      <w:r>
        <w:t>B. Legislative History</w:t>
      </w:r>
    </w:p>
    <w:p w14:paraId="44D30597" w14:textId="77777777" w:rsidR="00494B49" w:rsidRDefault="00494B49">
      <w:pPr>
        <w:pStyle w:val="BNormal"/>
      </w:pPr>
      <w:r>
        <w:t>Although the net investment income tax (NIIT) was enacted as part of the Health Care and Education Reconciliation Act of 2010,</w:t>
      </w:r>
      <w:r>
        <w:rPr>
          <w:rStyle w:val="FootnoteReference"/>
        </w:rPr>
        <w:footnoteReference w:id="27"/>
      </w:r>
      <w:r>
        <w:t xml:space="preserve"> there is virtually no useful legislative history publically available.</w:t>
      </w:r>
      <w:r>
        <w:rPr>
          <w:rStyle w:val="FootnoteReference"/>
        </w:rPr>
        <w:footnoteReference w:id="28"/>
      </w:r>
      <w:r>
        <w:t xml:space="preserve"> The rumors in late 2009 and early 2010 indicated that to-be </w:t>
      </w:r>
      <w:smartTag w:uri="http://www.bna.com/sgml2word/cite" w:element="cite.usc">
        <w:smartTagPr>
          <w:attr w:name="ref" w:val="USC\26\1411"/>
        </w:smartTagPr>
        <w:r>
          <w:t>§1411</w:t>
        </w:r>
      </w:smartTag>
      <w:r>
        <w:t xml:space="preserve"> was being developed in the Senate after a </w:t>
      </w:r>
      <w:smartTag w:uri="http://www.bna.com/sgml2word/cite" w:element="cite.usc">
        <w:smartTagPr>
          <w:attr w:name="ref" w:val="USC\26\1"/>
        </w:smartTagPr>
        <w:r>
          <w:t>§1</w:t>
        </w:r>
      </w:smartTag>
      <w:r>
        <w:t xml:space="preserve"> rate increase was defeated in the fall of 2010. However, the first publicly available document that outlines the concepts included in </w:t>
      </w:r>
      <w:smartTag w:uri="http://www.bna.com/sgml2word/cite" w:element="cite.usc">
        <w:smartTagPr>
          <w:attr w:name="ref" w:val="USC\26\1411"/>
        </w:smartTagPr>
        <w:r>
          <w:t>§1411</w:t>
        </w:r>
      </w:smartTag>
      <w:r>
        <w:t xml:space="preserve"> (and its sister provision, the 0.9% Medicare tax increase for wages and self-employment income) is a February 22, 2010 web posting by the White House.</w:t>
      </w:r>
      <w:r>
        <w:rPr>
          <w:rStyle w:val="FootnoteReference"/>
        </w:rPr>
        <w:footnoteReference w:id="29"/>
      </w:r>
      <w:r>
        <w:t xml:space="preserve"> </w:t>
      </w:r>
      <w:smartTag w:uri="http://www.bna.com/sgml2word/cite" w:element="cite.usc">
        <w:smartTagPr>
          <w:attr w:name="ref" w:val="USC\26\1411"/>
        </w:smartTagPr>
        <w:r>
          <w:t>Section 1411</w:t>
        </w:r>
      </w:smartTag>
      <w:r>
        <w:t xml:space="preserve"> was not present in the bill first introduced into the U.S. House of Representatives on March 17, 2010, which was potentially a placeholder intended to be completely replaced by an amendment in the nature of a substitute to be passed by the House Rules Committee. Rather, </w:t>
      </w:r>
      <w:smartTag w:uri="http://www.bna.com/sgml2word/cite" w:element="cite.usc">
        <w:smartTagPr>
          <w:attr w:name="ref" w:val="USC\26\1411"/>
        </w:smartTagPr>
        <w:r>
          <w:t>§1411</w:t>
        </w:r>
      </w:smartTag>
      <w:r>
        <w:t xml:space="preserve"> was first proposed in the version of the bill reported out of the House Rules Committee under the reconciliation process.</w:t>
      </w:r>
      <w:r>
        <w:rPr>
          <w:rStyle w:val="FootnoteReference"/>
        </w:rPr>
        <w:footnoteReference w:id="30"/>
      </w:r>
    </w:p>
    <w:p w14:paraId="6E8A4B2B" w14:textId="77777777" w:rsidR="00494B49" w:rsidRDefault="00494B49">
      <w:pPr>
        <w:pStyle w:val="BNormal"/>
      </w:pPr>
      <w:r>
        <w:t>The Joint Committee on Taxation (JCT) published two virtually identical reports that largely reiterate the statutory language in paragraph form.</w:t>
      </w:r>
      <w:r>
        <w:rPr>
          <w:rStyle w:val="FootnoteReference"/>
        </w:rPr>
        <w:footnoteReference w:id="31"/>
      </w:r>
      <w:r>
        <w:t xml:space="preserve"> Another JCT report (JCX-17-10 issued March 20, 2010) estimated that the revenue from revenue provision # 15 (Broaden Medicare Hospital Insurance Tax Base for High-Income Taxpayers) would raise $210.2 billion by 2019 (taking into account the fact that provision would not go into effect until 2013).</w:t>
      </w:r>
      <w:r>
        <w:rPr>
          <w:rStyle w:val="FootnoteReference"/>
        </w:rPr>
        <w:footnoteReference w:id="32"/>
      </w:r>
      <w:r>
        <w:t xml:space="preserve"> The </w:t>
      </w:r>
      <w:r>
        <w:lastRenderedPageBreak/>
        <w:t>Congressional Research Service issued two reports in 2010 regarding the application of the NIIT to real estate.</w:t>
      </w:r>
      <w:r>
        <w:rPr>
          <w:rStyle w:val="FootnoteReference"/>
        </w:rPr>
        <w:footnoteReference w:id="33"/>
      </w:r>
    </w:p>
    <w:p w14:paraId="4A729E3E" w14:textId="77777777" w:rsidR="00494B49" w:rsidRDefault="00494B49">
      <w:pPr>
        <w:pStyle w:val="BNormal"/>
      </w:pPr>
      <w:r>
        <w:t xml:space="preserve">As stated above, taxes collected under the NIIT are not designated for the Medicare Trust Fund. But, this was not always the case. A March 18, 2010 version of H.R. 4872, titled “Health Care and Education Affordability Reconciliation Act of 2010,’’ required that 100% of the revenue from </w:t>
      </w:r>
      <w:smartTag w:uri="http://www.bna.com/sgml2word/cite" w:element="cite.usc">
        <w:smartTagPr>
          <w:attr w:name="ref" w:val="USC\26\1411"/>
        </w:smartTagPr>
        <w:r>
          <w:t>§1411</w:t>
        </w:r>
      </w:smartTag>
      <w:r>
        <w:t xml:space="preserve"> to be directed to the </w:t>
      </w:r>
      <w:r>
        <w:rPr>
          <w:i/>
        </w:rPr>
        <w:t>Federal Supplementary Medical Insurance Trust Fund</w:t>
      </w:r>
      <w:r>
        <w:t xml:space="preserve">. A different section of the house bill, which covered what is now </w:t>
      </w:r>
      <w:smartTag w:uri="http://www.bna.com/sgml2word/cite" w:element="cite.pl">
        <w:smartTagPr>
          <w:attr w:name="ref" w:val="pl\111-148\9015"/>
        </w:smartTagPr>
        <w:r>
          <w:t>§9015</w:t>
        </w:r>
      </w:smartTag>
      <w:r>
        <w:t xml:space="preserve"> of the Patient Protection and Affordable Care Act (PPACA), did not need a similar provision because the additional 0.9% Medicare tax increase was appended to the existing Federal Insurance Contributions Act (FICA) and Self-Employment Contributions Act (SECA) systems, which already contained the necessary revenue directing language. </w:t>
      </w:r>
    </w:p>
    <w:p w14:paraId="2A2D8079" w14:textId="77777777" w:rsidR="00494B49" w:rsidRDefault="00494B49">
      <w:pPr>
        <w:pStyle w:val="BNormal"/>
      </w:pPr>
      <w:r>
        <w:t>Although one can speculate on whether or not this change was intentional, the consequences of the funds’ not going to the Medicare Trust Fund are real. First, because the revenue is not designated to the Medicare Trust Fund, the NIIT is not a social insurance-type tax that would be covered by Totalization Agreements between the United States and certain foreign countries.</w:t>
      </w:r>
      <w:r>
        <w:rPr>
          <w:rStyle w:val="FootnoteReference"/>
        </w:rPr>
        <w:footnoteReference w:id="34"/>
      </w:r>
      <w:r>
        <w:t xml:space="preserve"> Second, United States persons that are exempt from Medicare are still subject to the NIIT.</w:t>
      </w:r>
      <w:r>
        <w:rPr>
          <w:rStyle w:val="FootnoteReference"/>
        </w:rPr>
        <w:footnoteReference w:id="35"/>
      </w:r>
    </w:p>
    <w:p w14:paraId="2EA67488" w14:textId="77777777" w:rsidR="00494B49" w:rsidRDefault="00494B49">
      <w:pPr>
        <w:pStyle w:val="BHead1"/>
      </w:pPr>
      <w:r>
        <w:t>C. IRS Guidance and Regulations</w:t>
      </w:r>
    </w:p>
    <w:p w14:paraId="42D13F53" w14:textId="77777777" w:rsidR="00494B49" w:rsidRDefault="00494B49">
      <w:pPr>
        <w:pStyle w:val="BHead2"/>
      </w:pPr>
      <w:r>
        <w:t>1. 2013 Final Regulations</w:t>
      </w:r>
    </w:p>
    <w:p w14:paraId="70773CA6" w14:textId="77777777" w:rsidR="00494B49" w:rsidRDefault="00494B49">
      <w:pPr>
        <w:pStyle w:val="BNormal"/>
      </w:pPr>
      <w:r>
        <w:t xml:space="preserve">On December 2, 2013, Treasury and the IRS published final regulations (the “2013 Final Regulations”) under </w:t>
      </w:r>
      <w:smartTag w:uri="http://www.bna.com/sgml2word/cite" w:element="cite.usc">
        <w:smartTagPr>
          <w:attr w:name="ref" w:val="USC\26\1411"/>
        </w:smartTagPr>
        <w:r>
          <w:t>§1411</w:t>
        </w:r>
      </w:smartTag>
      <w:r>
        <w:t>.</w:t>
      </w:r>
      <w:r>
        <w:rPr>
          <w:rStyle w:val="FootnoteReference"/>
        </w:rPr>
        <w:footnoteReference w:id="36"/>
      </w:r>
      <w:r>
        <w:t xml:space="preserve"> The IRS had previously issued proposed regulations (“the 2012 Proposed Regulations”).</w:t>
      </w:r>
      <w:r>
        <w:rPr>
          <w:rStyle w:val="FootnoteReference"/>
        </w:rPr>
        <w:footnoteReference w:id="37"/>
      </w:r>
      <w:r>
        <w:t xml:space="preserve"> The 2013 Final Regulations followed the general approach of the 2012 Proposed Regulations with some modifications in response to questions and comments that arose during the comment period. The 2013 Final Regulations apply to tax years beginning after December 31, 2013, except that Reg. </w:t>
      </w:r>
      <w:smartTag w:uri="http://www.bna.com/sgml2word/cite" w:element="cite.cfr">
        <w:smartTagPr>
          <w:attr w:name="ref" w:val="cfr\26\1.1411-3(d)"/>
        </w:smartTagPr>
        <w:r>
          <w:t>§1.1411-3(d)</w:t>
        </w:r>
      </w:smartTag>
      <w:r>
        <w:t xml:space="preserve"> (relating to charitable remainder trusts) applies to tax years beginning after December 31, 2012.</w:t>
      </w:r>
    </w:p>
    <w:p w14:paraId="295EA2EB" w14:textId="77777777" w:rsidR="00494B49" w:rsidRDefault="00494B49" w:rsidP="006951DA">
      <w:pPr>
        <w:pStyle w:val="BNormal"/>
      </w:pPr>
      <w:r>
        <w:t xml:space="preserve">Although the volume and complexity of the regulation package may appear daunting, the regulations are organized in a relatively logical fashion, generally following the order of the statute. It is important to understand and appreciate the interconnectedness of the provisions. </w:t>
      </w:r>
      <w:r>
        <w:lastRenderedPageBreak/>
        <w:t>Each regulation paragraph is in a specific place for a specific reason. The table below summarizes the content of each section of the regulations with a cross-reference to further discussion in the Portfolio.</w:t>
      </w:r>
    </w:p>
    <w:p w14:paraId="2E9CD987" w14:textId="77777777" w:rsidR="00494B49" w:rsidRDefault="00494B49" w:rsidP="006951DA">
      <w:pPr>
        <w:pStyle w:val="BNormal"/>
      </w:pPr>
    </w:p>
    <w:tbl>
      <w:tblPr>
        <w:tblStyle w:val="TableGrid"/>
        <w:tblW w:w="0" w:type="auto"/>
        <w:tblLook w:val="04A0" w:firstRow="1" w:lastRow="0" w:firstColumn="1" w:lastColumn="0" w:noHBand="0" w:noVBand="1"/>
      </w:tblPr>
      <w:tblGrid>
        <w:gridCol w:w="3091"/>
        <w:gridCol w:w="3152"/>
        <w:gridCol w:w="3107"/>
      </w:tblGrid>
      <w:tr w:rsidR="00494B49" w14:paraId="468C84B3" w14:textId="77777777">
        <w:tc>
          <w:tcPr>
            <w:tcW w:w="3360" w:type="dxa"/>
          </w:tcPr>
          <w:p w14:paraId="5251E6CF" w14:textId="77777777" w:rsidR="00494B49" w:rsidRDefault="00494B49">
            <w:r>
              <w:t xml:space="preserve"> </w:t>
            </w:r>
            <w:r>
              <w:rPr>
                <w:b/>
              </w:rPr>
              <w:t>Regulation:</w:t>
            </w:r>
          </w:p>
        </w:tc>
        <w:tc>
          <w:tcPr>
            <w:tcW w:w="3360" w:type="dxa"/>
          </w:tcPr>
          <w:p w14:paraId="2B107A14" w14:textId="77777777" w:rsidR="00494B49" w:rsidRDefault="00494B49">
            <w:r>
              <w:t xml:space="preserve"> </w:t>
            </w:r>
            <w:r>
              <w:rPr>
                <w:b/>
              </w:rPr>
              <w:t>What rules/provisions?</w:t>
            </w:r>
          </w:p>
        </w:tc>
        <w:tc>
          <w:tcPr>
            <w:tcW w:w="3360" w:type="dxa"/>
          </w:tcPr>
          <w:p w14:paraId="322813CE" w14:textId="77777777" w:rsidR="00494B49" w:rsidRDefault="00494B49">
            <w:r>
              <w:t xml:space="preserve"> </w:t>
            </w:r>
            <w:r>
              <w:rPr>
                <w:b/>
              </w:rPr>
              <w:t xml:space="preserve">Cross-Reference to Detailed </w:t>
            </w:r>
            <w:r>
              <w:br/>
            </w:r>
            <w:r>
              <w:rPr>
                <w:b/>
              </w:rPr>
              <w:t xml:space="preserve">Portfolio </w:t>
            </w:r>
            <w:r>
              <w:br/>
            </w:r>
            <w:r>
              <w:rPr>
                <w:b/>
              </w:rPr>
              <w:t>Discussion:</w:t>
            </w:r>
          </w:p>
        </w:tc>
      </w:tr>
      <w:tr w:rsidR="00494B49" w14:paraId="7F526918" w14:textId="77777777">
        <w:tc>
          <w:tcPr>
            <w:tcW w:w="3360" w:type="dxa"/>
          </w:tcPr>
          <w:p w14:paraId="17CBB014" w14:textId="77777777" w:rsidR="00494B49" w:rsidRDefault="00494B49">
            <w:r>
              <w:t xml:space="preserve">Reg. </w:t>
            </w:r>
            <w:smartTag w:uri="http://www.bna.com/sgml2word/cite" w:element="cite.cfr">
              <w:smartTagPr>
                <w:attr w:name="ref" w:val="cfr\26\1.1411-1"/>
              </w:smartTagPr>
              <w:r>
                <w:t>§1.1411-1</w:t>
              </w:r>
            </w:smartTag>
          </w:p>
        </w:tc>
        <w:tc>
          <w:tcPr>
            <w:tcW w:w="3360" w:type="dxa"/>
          </w:tcPr>
          <w:p w14:paraId="7C2EBC10" w14:textId="77777777" w:rsidR="00494B49" w:rsidRDefault="00494B49">
            <w:r>
              <w:t xml:space="preserve">General application of NIIT and definitions for terms that are used in more than one section of the regulations </w:t>
            </w:r>
          </w:p>
        </w:tc>
        <w:tc>
          <w:tcPr>
            <w:tcW w:w="3360" w:type="dxa"/>
          </w:tcPr>
          <w:p w14:paraId="27F1B8FC" w14:textId="77777777" w:rsidR="00494B49" w:rsidRDefault="00494B49">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494B49" w14:paraId="0343D4CB" w14:textId="77777777">
        <w:tc>
          <w:tcPr>
            <w:tcW w:w="3360" w:type="dxa"/>
          </w:tcPr>
          <w:p w14:paraId="1796BDD9" w14:textId="77777777" w:rsidR="00494B49" w:rsidRDefault="00494B49">
            <w:r>
              <w:t xml:space="preserve">Reg. </w:t>
            </w:r>
            <w:smartTag w:uri="http://www.bna.com/sgml2word/cite" w:element="cite.cfr">
              <w:smartTagPr>
                <w:attr w:name="ref" w:val="cfr\26\1.1411-1(a)"/>
              </w:smartTagPr>
              <w:r>
                <w:t>§1.1411-1(a)</w:t>
              </w:r>
            </w:smartTag>
            <w:r>
              <w:t>–</w:t>
            </w:r>
            <w:smartTag w:uri="http://www.bna.com/sgml2word/cite" w:element="cite.cfr">
              <w:smartTagPr>
                <w:attr w:name="ref" w:val="cfr\26\1.1411-1(d)"/>
              </w:smartTagPr>
              <w:r>
                <w:t>(d)</w:t>
              </w:r>
            </w:smartTag>
          </w:p>
        </w:tc>
        <w:tc>
          <w:tcPr>
            <w:tcW w:w="3360" w:type="dxa"/>
          </w:tcPr>
          <w:p w14:paraId="0CFDF8B0" w14:textId="77777777" w:rsidR="00494B49" w:rsidRDefault="00494B49">
            <w:r>
              <w:t>Theoretical and definitional cornerstones of the entire NIIT system</w:t>
            </w:r>
          </w:p>
        </w:tc>
        <w:tc>
          <w:tcPr>
            <w:tcW w:w="3360" w:type="dxa"/>
          </w:tcPr>
          <w:p w14:paraId="063A3D06" w14:textId="77777777" w:rsidR="00494B49" w:rsidRDefault="00494B49">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494B49" w14:paraId="3E75E173" w14:textId="77777777">
        <w:tc>
          <w:tcPr>
            <w:tcW w:w="3360" w:type="dxa"/>
          </w:tcPr>
          <w:p w14:paraId="5C471968" w14:textId="77777777" w:rsidR="00494B49" w:rsidRDefault="00494B49">
            <w:r>
              <w:t xml:space="preserve">Reg. </w:t>
            </w:r>
            <w:smartTag w:uri="http://www.bna.com/sgml2word/cite" w:element="cite.cfr">
              <w:smartTagPr>
                <w:attr w:name="ref" w:val="cfr\26\1.1411-1(e)"/>
              </w:smartTagPr>
              <w:r>
                <w:t>§1.1411-1(e)</w:t>
              </w:r>
            </w:smartTag>
          </w:p>
        </w:tc>
        <w:tc>
          <w:tcPr>
            <w:tcW w:w="3360" w:type="dxa"/>
          </w:tcPr>
          <w:p w14:paraId="2EA68453" w14:textId="77777777" w:rsidR="00494B49" w:rsidRDefault="00494B49">
            <w:r>
              <w:t>Use of tax credits against any NIIT liability</w:t>
            </w:r>
          </w:p>
        </w:tc>
        <w:tc>
          <w:tcPr>
            <w:tcW w:w="3360" w:type="dxa"/>
          </w:tcPr>
          <w:p w14:paraId="452F30F4" w14:textId="77777777" w:rsidR="00494B49" w:rsidRDefault="00494B49">
            <w:r>
              <w:t xml:space="preserve"> </w:t>
            </w:r>
            <w:smartTag w:uri="http://www.bna.com/sgml2word/cite" w:element="cite.bna.reference">
              <w:smartTagPr>
                <w:attr w:name="bna.id.ref" w:val="TM\511.II.B"/>
              </w:smartTagPr>
              <w:r>
                <w:t>II.B.</w:t>
              </w:r>
            </w:smartTag>
            <w:r>
              <w:t xml:space="preserve"> </w:t>
            </w:r>
            <w:smartTag w:uri="http://www.bna.com/sgml2word/cite" w:element="cite.bna.reference">
              <w:smartTagPr>
                <w:attr w:name="bna.id.ref" w:val="TM\873.II.B"/>
              </w:smartTagPr>
              <w:r>
                <w:t>II.B.</w:t>
              </w:r>
            </w:smartTag>
          </w:p>
        </w:tc>
      </w:tr>
      <w:tr w:rsidR="00494B49" w14:paraId="06C16770" w14:textId="77777777">
        <w:tc>
          <w:tcPr>
            <w:tcW w:w="3360" w:type="dxa"/>
          </w:tcPr>
          <w:p w14:paraId="4B56C654" w14:textId="77777777" w:rsidR="00494B49" w:rsidRDefault="00494B49">
            <w:r>
              <w:t xml:space="preserve">Reg. </w:t>
            </w:r>
            <w:smartTag w:uri="http://www.bna.com/sgml2word/cite" w:element="cite.cfr">
              <w:smartTagPr>
                <w:attr w:name="ref" w:val="cfr\26\1.1411-1(f)"/>
              </w:smartTagPr>
              <w:r>
                <w:t>§1.1411-1(f)</w:t>
              </w:r>
            </w:smartTag>
          </w:p>
        </w:tc>
        <w:tc>
          <w:tcPr>
            <w:tcW w:w="3360" w:type="dxa"/>
          </w:tcPr>
          <w:p w14:paraId="5B035E47" w14:textId="77777777" w:rsidR="00494B49" w:rsidRDefault="00494B49">
            <w:r>
              <w:t>Transition rules for the 2013 tax year (and until the 2013 Proposed Regulations are finalized)</w:t>
            </w:r>
          </w:p>
        </w:tc>
        <w:tc>
          <w:tcPr>
            <w:tcW w:w="3360" w:type="dxa"/>
          </w:tcPr>
          <w:p w14:paraId="2B44BADD" w14:textId="77777777" w:rsidR="00494B49" w:rsidRDefault="00494B49">
            <w:r>
              <w:t xml:space="preserve"> </w:t>
            </w:r>
            <w:smartTag w:uri="http://www.bna.com/sgml2word/cite" w:element="cite.bna.reference">
              <w:smartTagPr>
                <w:attr w:name="bna.id.ref" w:val="TM\511.I.C"/>
              </w:smartTagPr>
              <w:r>
                <w:t>I.C.</w:t>
              </w:r>
            </w:smartTag>
            <w:r>
              <w:t xml:space="preserve"> </w:t>
            </w:r>
            <w:smartTag w:uri="http://www.bna.com/sgml2word/cite" w:element="cite.bna.reference">
              <w:smartTagPr>
                <w:attr w:name="bna.id.ref" w:val="TM\873.I.C"/>
              </w:smartTagPr>
              <w:r>
                <w:t>I.C.</w:t>
              </w:r>
            </w:smartTag>
          </w:p>
        </w:tc>
      </w:tr>
      <w:tr w:rsidR="00494B49" w14:paraId="5A036EFA" w14:textId="77777777">
        <w:tc>
          <w:tcPr>
            <w:tcW w:w="3360" w:type="dxa"/>
          </w:tcPr>
          <w:p w14:paraId="44A9DB2D" w14:textId="77777777" w:rsidR="00494B49" w:rsidRDefault="00494B49">
            <w:r>
              <w:t xml:space="preserve">Reg. </w:t>
            </w:r>
            <w:smartTag w:uri="http://www.bna.com/sgml2word/cite" w:element="cite.cfr">
              <w:smartTagPr>
                <w:attr w:name="ref" w:val="cfr\26\1.1411-2"/>
              </w:smartTagPr>
              <w:r>
                <w:t>§1.1411-2</w:t>
              </w:r>
            </w:smartTag>
          </w:p>
        </w:tc>
        <w:tc>
          <w:tcPr>
            <w:tcW w:w="3360" w:type="dxa"/>
          </w:tcPr>
          <w:p w14:paraId="434A1C9F" w14:textId="77777777" w:rsidR="00494B49" w:rsidRDefault="00494B49">
            <w:r>
              <w:t>Application of the net investment income to individuals</w:t>
            </w:r>
          </w:p>
        </w:tc>
        <w:tc>
          <w:tcPr>
            <w:tcW w:w="3360" w:type="dxa"/>
          </w:tcPr>
          <w:p w14:paraId="0D38E059" w14:textId="77777777" w:rsidR="00494B49" w:rsidRDefault="00494B49">
            <w:r>
              <w:t xml:space="preserve"> </w:t>
            </w:r>
            <w:smartTag w:uri="http://www.bna.com/sgml2word/cite" w:element="cite.bna.reference">
              <w:smartTagPr>
                <w:attr w:name="bna.id.ref" w:val="TM\511.VIII"/>
              </w:smartTagPr>
              <w:r>
                <w:t>VIII.</w:t>
              </w:r>
            </w:smartTag>
            <w:r>
              <w:t xml:space="preserve"> </w:t>
            </w:r>
            <w:smartTag w:uri="http://www.bna.com/sgml2word/cite" w:element="cite.bna.reference">
              <w:smartTagPr>
                <w:attr w:name="bna.id.ref" w:val="TM\873.VIII"/>
              </w:smartTagPr>
              <w:r>
                <w:t>VIII.</w:t>
              </w:r>
            </w:smartTag>
          </w:p>
        </w:tc>
      </w:tr>
      <w:tr w:rsidR="00494B49" w14:paraId="4F6A0627" w14:textId="77777777">
        <w:tc>
          <w:tcPr>
            <w:tcW w:w="3360" w:type="dxa"/>
          </w:tcPr>
          <w:p w14:paraId="50C552F2" w14:textId="77777777" w:rsidR="00494B49" w:rsidRDefault="00494B49">
            <w:r>
              <w:t xml:space="preserve">Reg. </w:t>
            </w:r>
            <w:smartTag w:uri="http://www.bna.com/sgml2word/cite" w:element="cite.cfr">
              <w:smartTagPr>
                <w:attr w:name="ref" w:val="cfr\26\1.1411-2(a)"/>
              </w:smartTagPr>
              <w:r>
                <w:t>§1.1411-2(a)</w:t>
              </w:r>
            </w:smartTag>
          </w:p>
        </w:tc>
        <w:tc>
          <w:tcPr>
            <w:tcW w:w="3360" w:type="dxa"/>
          </w:tcPr>
          <w:p w14:paraId="3D0BFDDC" w14:textId="77777777" w:rsidR="00494B49" w:rsidRDefault="00494B49">
            <w:r>
              <w:t>Guidance on which individuals are subject to the tax, and special computational rules for multinational individuals</w:t>
            </w:r>
          </w:p>
        </w:tc>
        <w:tc>
          <w:tcPr>
            <w:tcW w:w="3360" w:type="dxa"/>
          </w:tcPr>
          <w:p w14:paraId="1016A2A3" w14:textId="77777777" w:rsidR="00494B49" w:rsidRDefault="00494B49">
            <w:r>
              <w:t xml:space="preserve"> </w:t>
            </w:r>
            <w:smartTag w:uri="http://www.bna.com/sgml2word/cite" w:element="cite.bna.reference">
              <w:smartTagPr>
                <w:attr w:name="bna.id.ref" w:val="TM\511.VIII.C"/>
              </w:smartTagPr>
              <w:r>
                <w:t>VIII.C.</w:t>
              </w:r>
            </w:smartTag>
            <w:r>
              <w:t xml:space="preserve"> </w:t>
            </w:r>
            <w:smartTag w:uri="http://www.bna.com/sgml2word/cite" w:element="cite.bna.reference">
              <w:smartTagPr>
                <w:attr w:name="bna.id.ref" w:val="TM\873.VIII.C"/>
              </w:smartTagPr>
              <w:r>
                <w:t>VIII.C.</w:t>
              </w:r>
            </w:smartTag>
          </w:p>
        </w:tc>
      </w:tr>
      <w:tr w:rsidR="00494B49" w14:paraId="5677E7A8" w14:textId="77777777">
        <w:tc>
          <w:tcPr>
            <w:tcW w:w="3360" w:type="dxa"/>
          </w:tcPr>
          <w:p w14:paraId="317AF630" w14:textId="77777777" w:rsidR="00494B49" w:rsidRDefault="00494B49">
            <w:r>
              <w:t xml:space="preserve">Reg. </w:t>
            </w:r>
            <w:smartTag w:uri="http://www.bna.com/sgml2word/cite" w:element="cite.cfr">
              <w:smartTagPr>
                <w:attr w:name="ref" w:val="cfr\26\1.1411-2(b)"/>
              </w:smartTagPr>
              <w:r>
                <w:t>§1.1411-2(b)</w:t>
              </w:r>
            </w:smartTag>
          </w:p>
        </w:tc>
        <w:tc>
          <w:tcPr>
            <w:tcW w:w="3360" w:type="dxa"/>
          </w:tcPr>
          <w:p w14:paraId="5543581E" w14:textId="77777777" w:rsidR="00494B49" w:rsidRDefault="00494B49">
            <w:r>
              <w:t>Mechanical rules for calculation of the NIIT</w:t>
            </w:r>
          </w:p>
        </w:tc>
        <w:tc>
          <w:tcPr>
            <w:tcW w:w="3360" w:type="dxa"/>
          </w:tcPr>
          <w:p w14:paraId="13985815" w14:textId="77777777" w:rsidR="00494B49" w:rsidRDefault="00494B49">
            <w:smartTag w:uri="http://www.bna.com/sgml2word/cite" w:element="cite.bna.reference">
              <w:smartTagPr>
                <w:attr w:name="bna.id.ref" w:val="TM\511.VIII.A"/>
              </w:smartTagPr>
              <w:r>
                <w:t>VIII.A.</w:t>
              </w:r>
            </w:smartTag>
            <w:smartTag w:uri="http://www.bna.com/sgml2word/cite" w:element="cite.bna.reference">
              <w:smartTagPr>
                <w:attr w:name="bna.id.ref" w:val="TM\873.VIII.A"/>
              </w:smartTagPr>
              <w:r>
                <w:t>VIII.A.</w:t>
              </w:r>
            </w:smartTag>
            <w:r>
              <w:t xml:space="preserve"> and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p>
        </w:tc>
      </w:tr>
      <w:tr w:rsidR="00494B49" w14:paraId="71451CCE" w14:textId="77777777">
        <w:tc>
          <w:tcPr>
            <w:tcW w:w="3360" w:type="dxa"/>
          </w:tcPr>
          <w:p w14:paraId="50FF038D" w14:textId="77777777" w:rsidR="00494B49" w:rsidRDefault="00494B49">
            <w:r>
              <w:t xml:space="preserve">Reg. </w:t>
            </w:r>
            <w:smartTag w:uri="http://www.bna.com/sgml2word/cite" w:element="cite.cfr">
              <w:smartTagPr>
                <w:attr w:name="ref" w:val="cfr\26\1.1411-2(c)"/>
              </w:smartTagPr>
              <w:r>
                <w:t>§1.1411-2(c)</w:t>
              </w:r>
            </w:smartTag>
          </w:p>
        </w:tc>
        <w:tc>
          <w:tcPr>
            <w:tcW w:w="3360" w:type="dxa"/>
          </w:tcPr>
          <w:p w14:paraId="62382B29" w14:textId="77777777" w:rsidR="00494B49" w:rsidRDefault="00494B49">
            <w:r>
              <w:t>Calculation of modified adjusted gross income</w:t>
            </w:r>
          </w:p>
        </w:tc>
        <w:tc>
          <w:tcPr>
            <w:tcW w:w="3360" w:type="dxa"/>
          </w:tcPr>
          <w:p w14:paraId="1FDCB62A" w14:textId="77777777" w:rsidR="00494B49" w:rsidRDefault="00494B49">
            <w:r>
              <w:t xml:space="preserve"> </w:t>
            </w:r>
            <w:smartTag w:uri="http://www.bna.com/sgml2word/cite" w:element="cite.bna.reference">
              <w:smartTagPr>
                <w:attr w:name="bna.id.ref" w:val="TM\511.VIII.A"/>
              </w:smartTagPr>
              <w:r>
                <w:t>VIII.A.</w:t>
              </w:r>
            </w:smartTag>
            <w:r>
              <w:t xml:space="preserve"> </w:t>
            </w:r>
            <w:smartTag w:uri="http://www.bna.com/sgml2word/cite" w:element="cite.bna.reference">
              <w:smartTagPr>
                <w:attr w:name="bna.id.ref" w:val="TM\873.VIII.A"/>
              </w:smartTagPr>
              <w:r>
                <w:t>VIII.A.</w:t>
              </w:r>
            </w:smartTag>
          </w:p>
        </w:tc>
      </w:tr>
      <w:tr w:rsidR="00494B49" w14:paraId="72B7A970" w14:textId="77777777">
        <w:tc>
          <w:tcPr>
            <w:tcW w:w="3360" w:type="dxa"/>
          </w:tcPr>
          <w:p w14:paraId="036F09D8" w14:textId="77777777" w:rsidR="00494B49" w:rsidRDefault="00494B49">
            <w:r>
              <w:t xml:space="preserve">Reg. </w:t>
            </w:r>
            <w:smartTag w:uri="http://www.bna.com/sgml2word/cite" w:element="cite.cfr">
              <w:smartTagPr>
                <w:attr w:name="ref" w:val="cfr\26\1.1411-2(d)"/>
              </w:smartTagPr>
              <w:r>
                <w:t>§1.1411-2(d)</w:t>
              </w:r>
            </w:smartTag>
          </w:p>
        </w:tc>
        <w:tc>
          <w:tcPr>
            <w:tcW w:w="3360" w:type="dxa"/>
          </w:tcPr>
          <w:p w14:paraId="55D95273" w14:textId="77777777" w:rsidR="00494B49" w:rsidRDefault="00494B49">
            <w:r>
              <w:t xml:space="preserve">Reiterates the statutory threshold amounts in </w:t>
            </w:r>
            <w:smartTag w:uri="http://www.bna.com/sgml2word/cite" w:element="cite.usc">
              <w:smartTagPr>
                <w:attr w:name="ref" w:val="USC\26\1411(b)"/>
              </w:smartTagPr>
              <w:r>
                <w:t>§1411(b)</w:t>
              </w:r>
            </w:smartTag>
            <w:r>
              <w:t xml:space="preserve"> and provides rules for the exceptionally rare cases of short tax years or changes in annual accounting periods</w:t>
            </w:r>
          </w:p>
        </w:tc>
        <w:tc>
          <w:tcPr>
            <w:tcW w:w="3360" w:type="dxa"/>
          </w:tcPr>
          <w:p w14:paraId="0D3CDB59" w14:textId="77777777" w:rsidR="00494B49" w:rsidRDefault="00494B49">
            <w:r>
              <w:t xml:space="preserve"> </w:t>
            </w:r>
            <w:smartTag w:uri="http://www.bna.com/sgml2word/cite" w:element="cite.bna.reference">
              <w:smartTagPr>
                <w:attr w:name="bna.id.ref" w:val="TM\511.VIII.B"/>
              </w:smartTagPr>
              <w:r>
                <w:t>VIII.B.</w:t>
              </w:r>
            </w:smartTag>
            <w:r>
              <w:t xml:space="preserve"> </w:t>
            </w:r>
            <w:smartTag w:uri="http://www.bna.com/sgml2word/cite" w:element="cite.bna.reference">
              <w:smartTagPr>
                <w:attr w:name="bna.id.ref" w:val="TM\873.VIII.B"/>
              </w:smartTagPr>
              <w:r>
                <w:t>VIII.B.</w:t>
              </w:r>
            </w:smartTag>
          </w:p>
        </w:tc>
      </w:tr>
      <w:tr w:rsidR="00494B49" w14:paraId="4F8E1C9C" w14:textId="77777777">
        <w:tc>
          <w:tcPr>
            <w:tcW w:w="3360" w:type="dxa"/>
          </w:tcPr>
          <w:p w14:paraId="0AEC322A" w14:textId="77777777" w:rsidR="00494B49" w:rsidRDefault="00494B49">
            <w:r>
              <w:t xml:space="preserve">Reg. </w:t>
            </w:r>
            <w:smartTag w:uri="http://www.bna.com/sgml2word/cite" w:element="cite.cfr">
              <w:smartTagPr>
                <w:attr w:name="ref" w:val="cfr\26\1.1411-3"/>
              </w:smartTagPr>
              <w:r>
                <w:t>§1.1411-3</w:t>
              </w:r>
            </w:smartTag>
          </w:p>
        </w:tc>
        <w:tc>
          <w:tcPr>
            <w:tcW w:w="3360" w:type="dxa"/>
          </w:tcPr>
          <w:p w14:paraId="224D2E21" w14:textId="77777777" w:rsidR="00494B49" w:rsidRDefault="00494B49">
            <w:r>
              <w:t>Computation of the net investment income tax for estates and trusts</w:t>
            </w:r>
          </w:p>
        </w:tc>
        <w:tc>
          <w:tcPr>
            <w:tcW w:w="3360" w:type="dxa"/>
          </w:tcPr>
          <w:p w14:paraId="05EF7CA9" w14:textId="77777777" w:rsidR="00494B49" w:rsidRDefault="00494B49">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494B49" w14:paraId="4DF6CDBA" w14:textId="77777777">
        <w:tc>
          <w:tcPr>
            <w:tcW w:w="3360" w:type="dxa"/>
          </w:tcPr>
          <w:p w14:paraId="19EC75E0" w14:textId="77777777" w:rsidR="00494B49" w:rsidRDefault="00494B49">
            <w:r>
              <w:t xml:space="preserve">Reg. </w:t>
            </w:r>
            <w:smartTag w:uri="http://www.bna.com/sgml2word/cite" w:element="cite.cfr">
              <w:smartTagPr>
                <w:attr w:name="ref" w:val="cfr\26\1.1411-3(a)"/>
              </w:smartTagPr>
              <w:r>
                <w:t>§1.1411-3(a)</w:t>
              </w:r>
            </w:smartTag>
          </w:p>
        </w:tc>
        <w:tc>
          <w:tcPr>
            <w:tcW w:w="3360" w:type="dxa"/>
          </w:tcPr>
          <w:p w14:paraId="1F72C6C1" w14:textId="77777777" w:rsidR="00494B49" w:rsidRDefault="00494B49">
            <w:r>
              <w:t>Basic operating rules for trusts and estates</w:t>
            </w:r>
          </w:p>
        </w:tc>
        <w:tc>
          <w:tcPr>
            <w:tcW w:w="3360" w:type="dxa"/>
          </w:tcPr>
          <w:p w14:paraId="113F8C52" w14:textId="77777777" w:rsidR="00494B49" w:rsidRDefault="00494B49">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494B49" w14:paraId="46047C63" w14:textId="77777777">
        <w:tc>
          <w:tcPr>
            <w:tcW w:w="3360" w:type="dxa"/>
          </w:tcPr>
          <w:p w14:paraId="103F2B4B" w14:textId="77777777" w:rsidR="00494B49" w:rsidRDefault="00494B49">
            <w:r>
              <w:t xml:space="preserve">Reg. </w:t>
            </w:r>
            <w:smartTag w:uri="http://www.bna.com/sgml2word/cite" w:element="cite.cfr">
              <w:smartTagPr>
                <w:attr w:name="ref" w:val="cfr\26\1.1411-3(b)"/>
              </w:smartTagPr>
              <w:r>
                <w:t>§1.1411-3(b)</w:t>
              </w:r>
            </w:smartTag>
          </w:p>
        </w:tc>
        <w:tc>
          <w:tcPr>
            <w:tcW w:w="3360" w:type="dxa"/>
          </w:tcPr>
          <w:p w14:paraId="626CA41A" w14:textId="77777777" w:rsidR="00494B49" w:rsidRDefault="00494B49">
            <w:r>
              <w:t>List of estates and trusts excluded from the NIIT along with special computational rules for certain exotic trusts</w:t>
            </w:r>
          </w:p>
        </w:tc>
        <w:tc>
          <w:tcPr>
            <w:tcW w:w="3360" w:type="dxa"/>
          </w:tcPr>
          <w:p w14:paraId="7CE05AB3" w14:textId="77777777" w:rsidR="00494B49" w:rsidRDefault="00494B49">
            <w:r>
              <w:t xml:space="preserve"> </w:t>
            </w:r>
            <w:smartTag w:uri="http://www.bna.com/sgml2word/cite" w:element="cite.bna.reference">
              <w:smartTagPr>
                <w:attr w:name="bna.id.ref" w:val="TM\511.IX.A"/>
              </w:smartTagPr>
              <w:r>
                <w:t>IX.A.</w:t>
              </w:r>
            </w:smartTag>
            <w:r>
              <w:t xml:space="preserve"> </w:t>
            </w:r>
            <w:smartTag w:uri="http://www.bna.com/sgml2word/cite" w:element="cite.bna.reference">
              <w:smartTagPr>
                <w:attr w:name="bna.id.ref" w:val="TM\873.IX.A"/>
              </w:smartTagPr>
              <w:r>
                <w:t>IX.A.</w:t>
              </w:r>
            </w:smartTag>
          </w:p>
        </w:tc>
      </w:tr>
      <w:tr w:rsidR="00494B49" w14:paraId="5DA8DB87" w14:textId="77777777">
        <w:tc>
          <w:tcPr>
            <w:tcW w:w="3360" w:type="dxa"/>
          </w:tcPr>
          <w:p w14:paraId="3524C971" w14:textId="77777777" w:rsidR="00494B49" w:rsidRDefault="00494B49">
            <w:r>
              <w:t xml:space="preserve"> </w:t>
            </w:r>
            <w:smartTag w:uri="http://www.bna.com/sgml2word/cite" w:element="cite.cfr">
              <w:smartTagPr>
                <w:attr w:name="ref" w:val="cfr\26\1.1411-3(c)"/>
              </w:smartTagPr>
              <w:r>
                <w:t>§1.1411-3(c)</w:t>
              </w:r>
            </w:smartTag>
          </w:p>
        </w:tc>
        <w:tc>
          <w:tcPr>
            <w:tcW w:w="3360" w:type="dxa"/>
          </w:tcPr>
          <w:p w14:paraId="5F50C7F8" w14:textId="77777777" w:rsidR="00494B49" w:rsidRDefault="00494B49">
            <w:r>
              <w:t>Special computational rules for Electing Small Business Trusts (ESBTs)</w:t>
            </w:r>
          </w:p>
        </w:tc>
        <w:tc>
          <w:tcPr>
            <w:tcW w:w="3360" w:type="dxa"/>
          </w:tcPr>
          <w:p w14:paraId="39145FB8" w14:textId="77777777" w:rsidR="00494B49" w:rsidRDefault="00494B49">
            <w:r>
              <w:t xml:space="preserve"> </w:t>
            </w:r>
            <w:smartTag w:uri="http://www.bna.com/sgml2word/cite" w:element="cite.bna.reference">
              <w:smartTagPr>
                <w:attr w:name="bna.id.ref" w:val="TM\511.IX.C"/>
              </w:smartTagPr>
              <w:r>
                <w:t>IX.C.</w:t>
              </w:r>
            </w:smartTag>
            <w:r>
              <w:t xml:space="preserve"> </w:t>
            </w:r>
            <w:smartTag w:uri="http://www.bna.com/sgml2word/cite" w:element="cite.bna.reference">
              <w:smartTagPr>
                <w:attr w:name="bna.id.ref" w:val="TM\873.IX.C"/>
              </w:smartTagPr>
              <w:r>
                <w:t>IX.C.</w:t>
              </w:r>
            </w:smartTag>
          </w:p>
        </w:tc>
      </w:tr>
      <w:tr w:rsidR="00494B49" w14:paraId="4E0D1762" w14:textId="77777777">
        <w:tc>
          <w:tcPr>
            <w:tcW w:w="3360" w:type="dxa"/>
          </w:tcPr>
          <w:p w14:paraId="31FAA109" w14:textId="77777777" w:rsidR="00494B49" w:rsidRDefault="00494B49">
            <w:r>
              <w:t xml:space="preserve">Reg. </w:t>
            </w:r>
            <w:smartTag w:uri="http://www.bna.com/sgml2word/cite" w:element="cite.cfr">
              <w:smartTagPr>
                <w:attr w:name="ref" w:val="cfr\26\1.1411-3(d)"/>
              </w:smartTagPr>
              <w:r>
                <w:t>§1.1411-3(d)</w:t>
              </w:r>
            </w:smartTag>
          </w:p>
        </w:tc>
        <w:tc>
          <w:tcPr>
            <w:tcW w:w="3360" w:type="dxa"/>
          </w:tcPr>
          <w:p w14:paraId="7700ABAF" w14:textId="77777777" w:rsidR="00494B49" w:rsidRDefault="00494B49">
            <w:r>
              <w:t>Rules for charitable remainder trusts</w:t>
            </w:r>
          </w:p>
        </w:tc>
        <w:tc>
          <w:tcPr>
            <w:tcW w:w="3360" w:type="dxa"/>
          </w:tcPr>
          <w:p w14:paraId="6FC75B79" w14:textId="77777777" w:rsidR="00494B49" w:rsidRDefault="00494B49">
            <w:r>
              <w:t xml:space="preserve"> </w:t>
            </w:r>
            <w:smartTag w:uri="http://www.bna.com/sgml2word/cite" w:element="cite.bna.reference">
              <w:smartTagPr>
                <w:attr w:name="bna.id.ref" w:val="TM\511.IX.D"/>
              </w:smartTagPr>
              <w:r>
                <w:t>IX.D.</w:t>
              </w:r>
            </w:smartTag>
            <w:r>
              <w:t xml:space="preserve"> </w:t>
            </w:r>
            <w:smartTag w:uri="http://www.bna.com/sgml2word/cite" w:element="cite.bna.reference">
              <w:smartTagPr>
                <w:attr w:name="bna.id.ref" w:val="TM\873.IX.D"/>
              </w:smartTagPr>
              <w:r>
                <w:t>IX.D.</w:t>
              </w:r>
            </w:smartTag>
          </w:p>
        </w:tc>
      </w:tr>
      <w:tr w:rsidR="00494B49" w14:paraId="54ABD970" w14:textId="77777777">
        <w:tc>
          <w:tcPr>
            <w:tcW w:w="3360" w:type="dxa"/>
          </w:tcPr>
          <w:p w14:paraId="6746F021" w14:textId="77777777" w:rsidR="00494B49" w:rsidRDefault="00494B49">
            <w:r>
              <w:t xml:space="preserve">Reg. </w:t>
            </w:r>
            <w:smartTag w:uri="http://www.bna.com/sgml2word/cite" w:element="cite.cfr">
              <w:smartTagPr>
                <w:attr w:name="ref" w:val="cfr\26\1.1411-3(e)"/>
              </w:smartTagPr>
              <w:r>
                <w:t>§1.1411-3(e)</w:t>
              </w:r>
            </w:smartTag>
          </w:p>
        </w:tc>
        <w:tc>
          <w:tcPr>
            <w:tcW w:w="3360" w:type="dxa"/>
          </w:tcPr>
          <w:p w14:paraId="2777008D" w14:textId="77777777" w:rsidR="00494B49" w:rsidRDefault="00494B49">
            <w:r>
              <w:t>Computation of undistributed net investment income</w:t>
            </w:r>
          </w:p>
        </w:tc>
        <w:tc>
          <w:tcPr>
            <w:tcW w:w="3360" w:type="dxa"/>
          </w:tcPr>
          <w:p w14:paraId="1B5CDD8B" w14:textId="77777777" w:rsidR="00494B49" w:rsidRDefault="00494B49">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494B49" w14:paraId="424D29AE" w14:textId="77777777">
        <w:tc>
          <w:tcPr>
            <w:tcW w:w="3360" w:type="dxa"/>
          </w:tcPr>
          <w:p w14:paraId="5FC18383" w14:textId="77777777" w:rsidR="00494B49" w:rsidRDefault="00494B49">
            <w:r>
              <w:t xml:space="preserve">Reg.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p>
        </w:tc>
        <w:tc>
          <w:tcPr>
            <w:tcW w:w="3360" w:type="dxa"/>
          </w:tcPr>
          <w:p w14:paraId="1DDF3306" w14:textId="77777777" w:rsidR="00494B49" w:rsidRDefault="00494B49">
            <w:r>
              <w:t xml:space="preserve">Calculation of net investment income under </w:t>
            </w:r>
            <w:smartTag w:uri="http://www.bna.com/sgml2word/cite" w:element="cite.usc">
              <w:smartTagPr>
                <w:attr w:name="ref" w:val="USC\26\1411(c)(1)"/>
              </w:smartTagPr>
              <w:r>
                <w:t>§1411(c)(1)</w:t>
              </w:r>
            </w:smartTag>
          </w:p>
        </w:tc>
        <w:tc>
          <w:tcPr>
            <w:tcW w:w="3360" w:type="dxa"/>
          </w:tcPr>
          <w:p w14:paraId="16B53F61" w14:textId="77777777" w:rsidR="00494B49" w:rsidRDefault="00494B49">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494B49" w14:paraId="34FDB82D" w14:textId="77777777">
        <w:tc>
          <w:tcPr>
            <w:tcW w:w="3360" w:type="dxa"/>
          </w:tcPr>
          <w:p w14:paraId="2544CFF4" w14:textId="77777777" w:rsidR="00494B49" w:rsidRDefault="00494B49">
            <w:r>
              <w:t xml:space="preserve">Reg. </w:t>
            </w:r>
            <w:smartTag w:uri="http://www.bna.com/sgml2word/cite" w:element="cite.cfr">
              <w:smartTagPr>
                <w:attr w:name="ref" w:val="cfr\26\1.1411-4(a)"/>
              </w:smartTagPr>
              <w:r>
                <w:t>§1.1411-4(a)</w:t>
              </w:r>
            </w:smartTag>
          </w:p>
        </w:tc>
        <w:tc>
          <w:tcPr>
            <w:tcW w:w="3360" w:type="dxa"/>
          </w:tcPr>
          <w:p w14:paraId="5BEA9204" w14:textId="77777777" w:rsidR="00494B49" w:rsidRDefault="00494B49">
            <w:r>
              <w:t xml:space="preserve">Restates </w:t>
            </w:r>
            <w:smartTag w:uri="http://www.bna.com/sgml2word/cite" w:element="cite.usc">
              <w:smartTagPr>
                <w:attr w:name="ref" w:val="USC\26\1411(c)(1)"/>
              </w:smartTagPr>
              <w:r>
                <w:t>§1411(c)(1)</w:t>
              </w:r>
            </w:smartTag>
          </w:p>
        </w:tc>
        <w:tc>
          <w:tcPr>
            <w:tcW w:w="3360" w:type="dxa"/>
          </w:tcPr>
          <w:p w14:paraId="50F07D24" w14:textId="77777777" w:rsidR="00494B49" w:rsidRDefault="00494B49">
            <w:r>
              <w:t xml:space="preserve"> </w:t>
            </w:r>
            <w:smartTag w:uri="http://www.bna.com/sgml2word/cite" w:element="cite.bna.reference">
              <w:smartTagPr>
                <w:attr w:name="bna.id.ref" w:val="TM\511.III.A"/>
              </w:smartTagPr>
              <w:r>
                <w:t>III.A.</w:t>
              </w:r>
            </w:smartTag>
            <w:r>
              <w:t xml:space="preserve"> </w:t>
            </w:r>
            <w:smartTag w:uri="http://www.bna.com/sgml2word/cite" w:element="cite.bna.reference">
              <w:smartTagPr>
                <w:attr w:name="bna.id.ref" w:val="TM\873.III.A"/>
              </w:smartTagPr>
              <w:r>
                <w:t>III.A.</w:t>
              </w:r>
            </w:smartTag>
          </w:p>
        </w:tc>
      </w:tr>
      <w:tr w:rsidR="00494B49" w14:paraId="0B3081A1" w14:textId="77777777">
        <w:tc>
          <w:tcPr>
            <w:tcW w:w="3360" w:type="dxa"/>
          </w:tcPr>
          <w:p w14:paraId="048F77FC" w14:textId="77777777" w:rsidR="00494B49" w:rsidRDefault="00494B49">
            <w:r>
              <w:t xml:space="preserve">Reg. </w:t>
            </w:r>
            <w:smartTag w:uri="http://www.bna.com/sgml2word/cite" w:element="cite.cfr">
              <w:smartTagPr>
                <w:attr w:name="ref" w:val="cfr\26\1.1411-4(b)"/>
              </w:smartTagPr>
              <w:r>
                <w:t>§1.1411-4(b)</w:t>
              </w:r>
            </w:smartTag>
          </w:p>
        </w:tc>
        <w:tc>
          <w:tcPr>
            <w:tcW w:w="3360" w:type="dxa"/>
          </w:tcPr>
          <w:p w14:paraId="0EFAA5AA" w14:textId="77777777" w:rsidR="00494B49" w:rsidRDefault="00494B49">
            <w:r>
              <w:t xml:space="preserve">Guidance on when interest, dividends, rents, royalties, and annuities are excluded from the computation of net investment income because the income is </w:t>
            </w:r>
            <w:r>
              <w:lastRenderedPageBreak/>
              <w:t>“derived in the ordinary course of a non-</w:t>
            </w:r>
            <w:smartTag w:uri="http://www.bna.com/sgml2word/cite" w:element="cite.usc">
              <w:smartTagPr>
                <w:attr w:name="ref" w:val="USC\26\1411"/>
              </w:smartTagPr>
              <w:r>
                <w:t>§1411</w:t>
              </w:r>
            </w:smartTag>
            <w:r>
              <w:t xml:space="preserve"> trade or business.”</w:t>
            </w:r>
          </w:p>
        </w:tc>
        <w:tc>
          <w:tcPr>
            <w:tcW w:w="3360" w:type="dxa"/>
          </w:tcPr>
          <w:p w14:paraId="40B21731" w14:textId="77777777" w:rsidR="00494B49" w:rsidRDefault="00494B49">
            <w:r>
              <w:lastRenderedPageBreak/>
              <w:t xml:space="preserve"> </w:t>
            </w:r>
            <w:smartTag w:uri="http://www.bna.com/sgml2word/cite" w:element="cite.bna.reference">
              <w:smartTagPr>
                <w:attr w:name="bna.id.ref" w:val="TM\511.III.B"/>
              </w:smartTagPr>
              <w:r>
                <w:t>III.B.</w:t>
              </w:r>
            </w:smartTag>
            <w:r>
              <w:t xml:space="preserve"> </w:t>
            </w:r>
            <w:smartTag w:uri="http://www.bna.com/sgml2word/cite" w:element="cite.bna.reference">
              <w:smartTagPr>
                <w:attr w:name="bna.id.ref" w:val="TM\873.III.B"/>
              </w:smartTagPr>
              <w:r>
                <w:t>III.B.</w:t>
              </w:r>
            </w:smartTag>
          </w:p>
        </w:tc>
      </w:tr>
      <w:tr w:rsidR="00494B49" w14:paraId="43B17159" w14:textId="77777777">
        <w:tc>
          <w:tcPr>
            <w:tcW w:w="3360" w:type="dxa"/>
          </w:tcPr>
          <w:p w14:paraId="5EE9B442" w14:textId="77777777" w:rsidR="00494B49" w:rsidRDefault="00494B49">
            <w:r>
              <w:t xml:space="preserve">Reg. </w:t>
            </w:r>
            <w:smartTag w:uri="http://www.bna.com/sgml2word/cite" w:element="cite.cfr">
              <w:smartTagPr>
                <w:attr w:name="ref" w:val="cfr\26\1.1411-4(c)"/>
              </w:smartTagPr>
              <w:r>
                <w:t>§1.1411-4(c)</w:t>
              </w:r>
            </w:smartTag>
          </w:p>
        </w:tc>
        <w:tc>
          <w:tcPr>
            <w:tcW w:w="3360" w:type="dxa"/>
          </w:tcPr>
          <w:p w14:paraId="46B53FB6" w14:textId="77777777" w:rsidR="00494B49" w:rsidRDefault="00494B49">
            <w:r>
              <w:t xml:space="preserve">Essentially restates </w:t>
            </w:r>
            <w:smartTag w:uri="http://www.bna.com/sgml2word/cite" w:element="cite.usc">
              <w:smartTagPr>
                <w:attr w:name="ref" w:val="USC\26\1411(c)(1)(A)(ii)"/>
              </w:smartTagPr>
              <w:r>
                <w:t>§1411(c)(1)(A)(ii)</w:t>
              </w:r>
            </w:smartTag>
          </w:p>
        </w:tc>
        <w:tc>
          <w:tcPr>
            <w:tcW w:w="3360" w:type="dxa"/>
          </w:tcPr>
          <w:p w14:paraId="325A0CFF" w14:textId="77777777" w:rsidR="00494B49" w:rsidRDefault="00494B49">
            <w:r>
              <w:t xml:space="preserve"> </w:t>
            </w:r>
            <w:smartTag w:uri="http://www.bna.com/sgml2word/cite" w:element="cite.bna.reference">
              <w:smartTagPr>
                <w:attr w:name="bna.id.ref" w:val="TM\511.III.C"/>
              </w:smartTagPr>
              <w:r>
                <w:t>III.C.</w:t>
              </w:r>
            </w:smartTag>
            <w:r>
              <w:t xml:space="preserve"> </w:t>
            </w:r>
            <w:smartTag w:uri="http://www.bna.com/sgml2word/cite" w:element="cite.bna.reference">
              <w:smartTagPr>
                <w:attr w:name="bna.id.ref" w:val="TM\873.III.C"/>
              </w:smartTagPr>
              <w:r>
                <w:t>III.C.</w:t>
              </w:r>
            </w:smartTag>
          </w:p>
        </w:tc>
      </w:tr>
      <w:tr w:rsidR="00494B49" w14:paraId="31E9A349" w14:textId="77777777">
        <w:tc>
          <w:tcPr>
            <w:tcW w:w="3360" w:type="dxa"/>
          </w:tcPr>
          <w:p w14:paraId="09562D97" w14:textId="77777777" w:rsidR="00494B49" w:rsidRDefault="00494B49">
            <w:r>
              <w:t xml:space="preserve">Reg. </w:t>
            </w:r>
            <w:smartTag w:uri="http://www.bna.com/sgml2word/cite" w:element="cite.cfr">
              <w:smartTagPr>
                <w:attr w:name="ref" w:val="cfr\26\1.1411-4(d)"/>
              </w:smartTagPr>
              <w:r>
                <w:t>§1.1411-4(d)</w:t>
              </w:r>
            </w:smartTag>
          </w:p>
        </w:tc>
        <w:tc>
          <w:tcPr>
            <w:tcW w:w="3360" w:type="dxa"/>
          </w:tcPr>
          <w:p w14:paraId="4A1FAD8E" w14:textId="77777777" w:rsidR="00494B49" w:rsidRDefault="00494B49">
            <w:r>
              <w:t xml:space="preserve">Calculation of net gain under </w:t>
            </w:r>
            <w:smartTag w:uri="http://www.bna.com/sgml2word/cite" w:element="cite.usc">
              <w:smartTagPr>
                <w:attr w:name="ref" w:val="USC\26\1411(c)(1)(A)(iii)"/>
              </w:smartTagPr>
              <w:r>
                <w:t>§1411(c)(1)(A)(iii)</w:t>
              </w:r>
            </w:smartTag>
            <w:r>
              <w:t>, including when gain or loss is excluded from the computation of net investment income because the gain or loss is attributable to assets used in a non-</w:t>
            </w:r>
            <w:smartTag w:uri="http://www.bna.com/sgml2word/cite" w:element="cite.usc">
              <w:smartTagPr>
                <w:attr w:name="ref" w:val="USC\26\1411"/>
              </w:smartTagPr>
              <w:r>
                <w:t>§1411</w:t>
              </w:r>
            </w:smartTag>
            <w:r>
              <w:t xml:space="preserve"> trade or business</w:t>
            </w:r>
          </w:p>
        </w:tc>
        <w:tc>
          <w:tcPr>
            <w:tcW w:w="3360" w:type="dxa"/>
          </w:tcPr>
          <w:p w14:paraId="3C52072A" w14:textId="77777777" w:rsidR="00494B49" w:rsidRDefault="00494B49">
            <w:r>
              <w:t xml:space="preserve"> </w:t>
            </w:r>
            <w:smartTag w:uri="http://www.bna.com/sgml2word/cite" w:element="cite.bna.reference">
              <w:smartTagPr>
                <w:attr w:name="bna.id.ref" w:val="TM\511.III.D"/>
              </w:smartTagPr>
              <w:r>
                <w:t>III.D.</w:t>
              </w:r>
            </w:smartTag>
            <w:r>
              <w:t xml:space="preserve"> </w:t>
            </w:r>
            <w:smartTag w:uri="http://www.bna.com/sgml2word/cite" w:element="cite.bna.reference">
              <w:smartTagPr>
                <w:attr w:name="bna.id.ref" w:val="TM\873.III.D"/>
              </w:smartTagPr>
              <w:r>
                <w:t>III.D.</w:t>
              </w:r>
            </w:smartTag>
          </w:p>
        </w:tc>
      </w:tr>
      <w:tr w:rsidR="00494B49" w14:paraId="602D05C0" w14:textId="77777777">
        <w:tc>
          <w:tcPr>
            <w:tcW w:w="3360" w:type="dxa"/>
          </w:tcPr>
          <w:p w14:paraId="6B29F6DE" w14:textId="77777777" w:rsidR="00494B49" w:rsidRDefault="00494B49">
            <w:r>
              <w:t xml:space="preserve">Reg. </w:t>
            </w:r>
            <w:smartTag w:uri="http://www.bna.com/sgml2word/cite" w:element="cite.cfr">
              <w:smartTagPr>
                <w:attr w:name="ref" w:val="cfr\26\1.1411-4(e)"/>
              </w:smartTagPr>
              <w:r>
                <w:t>§1.1411-4(e)</w:t>
              </w:r>
            </w:smartTag>
          </w:p>
        </w:tc>
        <w:tc>
          <w:tcPr>
            <w:tcW w:w="3360" w:type="dxa"/>
          </w:tcPr>
          <w:p w14:paraId="43F08A33" w14:textId="77777777" w:rsidR="00494B49" w:rsidRDefault="00494B49">
            <w:r>
              <w:t xml:space="preserve">Application of </w:t>
            </w:r>
            <w:smartTag w:uri="http://www.bna.com/sgml2word/cite" w:element="cite.usc">
              <w:smartTagPr>
                <w:attr w:name="ref" w:val="USC\26\1411"/>
              </w:smartTagPr>
              <w:r>
                <w:t>§1411</w:t>
              </w:r>
            </w:smartTag>
            <w:r>
              <w:t xml:space="preserve"> to beneficiaries of trusts, direct and indirect owners of certain foreign corporations (CFCs and PFICs), and participants in common trust funds.</w:t>
            </w:r>
          </w:p>
        </w:tc>
        <w:tc>
          <w:tcPr>
            <w:tcW w:w="3360" w:type="dxa"/>
          </w:tcPr>
          <w:p w14:paraId="7DF2A190" w14:textId="77777777" w:rsidR="00494B49" w:rsidRDefault="00494B49">
            <w:smartTag w:uri="http://www.bna.com/sgml2word/cite" w:element="cite.bna.reference">
              <w:smartTagPr>
                <w:attr w:name="bna.id.ref" w:val="TM\511.IX.B.4"/>
              </w:smartTagPr>
              <w:r>
                <w:t>IX.B.4.</w:t>
              </w:r>
            </w:smartTag>
            <w:smartTag w:uri="http://www.bna.com/sgml2word/cite" w:element="cite.bna.reference">
              <w:smartTagPr>
                <w:attr w:name="bna.id.ref" w:val="TM\873.IX.B.4"/>
              </w:smartTagPr>
              <w:r>
                <w:t>IX.B.4.</w:t>
              </w:r>
            </w:smartTag>
            <w:r>
              <w:t xml:space="preserve">,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and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p>
        </w:tc>
      </w:tr>
      <w:tr w:rsidR="00494B49" w14:paraId="0FA042F1" w14:textId="77777777">
        <w:tc>
          <w:tcPr>
            <w:tcW w:w="3360" w:type="dxa"/>
          </w:tcPr>
          <w:p w14:paraId="3A427B14" w14:textId="77777777" w:rsidR="00494B49" w:rsidRDefault="00494B49">
            <w:r>
              <w:t xml:space="preserve">Reg. </w:t>
            </w:r>
            <w:smartTag w:uri="http://www.bna.com/sgml2word/cite" w:element="cite.cfr">
              <w:smartTagPr>
                <w:attr w:name="ref" w:val="cfr\26\1.1411-4(f)"/>
              </w:smartTagPr>
              <w:r>
                <w:t>§1.1411-4(f)</w:t>
              </w:r>
            </w:smartTag>
          </w:p>
        </w:tc>
        <w:tc>
          <w:tcPr>
            <w:tcW w:w="3360" w:type="dxa"/>
          </w:tcPr>
          <w:p w14:paraId="2378906C" w14:textId="77777777" w:rsidR="00494B49" w:rsidRDefault="00494B49">
            <w:r>
              <w:t xml:space="preserve">Guidance as to which deductions are “properly allocable” to net investment income under </w:t>
            </w:r>
            <w:smartTag w:uri="http://www.bna.com/sgml2word/cite" w:element="cite.usc">
              <w:smartTagPr>
                <w:attr w:name="ref" w:val="USC\26\1411(c)(1)(B)"/>
              </w:smartTagPr>
              <w:r>
                <w:t>§1411(c)(1)(B)</w:t>
              </w:r>
            </w:smartTag>
          </w:p>
        </w:tc>
        <w:tc>
          <w:tcPr>
            <w:tcW w:w="3360" w:type="dxa"/>
          </w:tcPr>
          <w:p w14:paraId="63495720" w14:textId="77777777" w:rsidR="00494B49" w:rsidRDefault="00494B49">
            <w:r>
              <w:t xml:space="preserve"> </w:t>
            </w:r>
            <w:smartTag w:uri="http://www.bna.com/sgml2word/cite" w:element="cite.bna.reference">
              <w:smartTagPr>
                <w:attr w:name="bna.id.ref" w:val="TM\511.V"/>
              </w:smartTagPr>
              <w:r>
                <w:t>V.</w:t>
              </w:r>
            </w:smartTag>
            <w:r>
              <w:t xml:space="preserve"> </w:t>
            </w:r>
            <w:smartTag w:uri="http://www.bna.com/sgml2word/cite" w:element="cite.bna.reference">
              <w:smartTagPr>
                <w:attr w:name="bna.id.ref" w:val="TM\873.V"/>
              </w:smartTagPr>
              <w:r>
                <w:t>V.</w:t>
              </w:r>
            </w:smartTag>
          </w:p>
        </w:tc>
      </w:tr>
      <w:tr w:rsidR="00494B49" w14:paraId="29349407" w14:textId="77777777">
        <w:tc>
          <w:tcPr>
            <w:tcW w:w="3360" w:type="dxa"/>
          </w:tcPr>
          <w:p w14:paraId="1234C2A3" w14:textId="77777777" w:rsidR="00494B49" w:rsidRDefault="00494B49">
            <w:r>
              <w:t xml:space="preserve">Reg. </w:t>
            </w:r>
            <w:smartTag w:uri="http://www.bna.com/sgml2word/cite" w:element="cite.cfr">
              <w:smartTagPr>
                <w:attr w:name="ref" w:val="cfr\26\1.1411-4(g)"/>
              </w:smartTagPr>
              <w:r>
                <w:t>§1.1411-4(g)</w:t>
              </w:r>
            </w:smartTag>
          </w:p>
        </w:tc>
        <w:tc>
          <w:tcPr>
            <w:tcW w:w="3360" w:type="dxa"/>
          </w:tcPr>
          <w:p w14:paraId="0D1BABB4" w14:textId="77777777" w:rsidR="00494B49" w:rsidRDefault="00494B49">
            <w:r>
              <w:t xml:space="preserve">Special deductions, computational rules, and exclusions that do not fit neatly into one specific part of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r>
              <w:t xml:space="preserve"> — essentially a blanket that lays over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p>
        </w:tc>
        <w:tc>
          <w:tcPr>
            <w:tcW w:w="3360" w:type="dxa"/>
          </w:tcPr>
          <w:p w14:paraId="7996CC9D" w14:textId="77777777" w:rsidR="00494B49" w:rsidRDefault="00494B49">
            <w:r>
              <w:t>Woven throughout the Portfolio, as appropriate.</w:t>
            </w:r>
          </w:p>
        </w:tc>
      </w:tr>
      <w:tr w:rsidR="00494B49" w14:paraId="6E905697" w14:textId="77777777">
        <w:tc>
          <w:tcPr>
            <w:tcW w:w="3360" w:type="dxa"/>
          </w:tcPr>
          <w:p w14:paraId="611FA715" w14:textId="77777777" w:rsidR="00494B49" w:rsidRDefault="00494B49">
            <w:r>
              <w:t xml:space="preserve">Reg. </w:t>
            </w:r>
            <w:smartTag w:uri="http://www.bna.com/sgml2word/cite" w:element="cite.cfr">
              <w:smartTagPr>
                <w:attr w:name="ref" w:val="cfr\26\1.1411-4(h)"/>
              </w:smartTagPr>
              <w:r>
                <w:t>§1.1411-4(h)</w:t>
              </w:r>
            </w:smartTag>
          </w:p>
        </w:tc>
        <w:tc>
          <w:tcPr>
            <w:tcW w:w="3360" w:type="dxa"/>
          </w:tcPr>
          <w:p w14:paraId="1659C8F7" w14:textId="77777777" w:rsidR="00494B49" w:rsidRDefault="00494B49">
            <w:r>
              <w:t>Computational rules for net operating losses</w:t>
            </w:r>
          </w:p>
        </w:tc>
        <w:tc>
          <w:tcPr>
            <w:tcW w:w="3360" w:type="dxa"/>
          </w:tcPr>
          <w:p w14:paraId="0D7F7AA2" w14:textId="77777777" w:rsidR="00494B49" w:rsidRDefault="00494B49">
            <w:r>
              <w:t xml:space="preserve"> </w:t>
            </w:r>
            <w:smartTag w:uri="http://www.bna.com/sgml2word/cite" w:element="cite.bna.reference">
              <w:smartTagPr>
                <w:attr w:name="bna.id.ref" w:val="TM\511.V.H"/>
              </w:smartTagPr>
              <w:r>
                <w:t>V.H.</w:t>
              </w:r>
            </w:smartTag>
            <w:r>
              <w:t xml:space="preserve"> </w:t>
            </w:r>
            <w:smartTag w:uri="http://www.bna.com/sgml2word/cite" w:element="cite.bna.reference">
              <w:smartTagPr>
                <w:attr w:name="bna.id.ref" w:val="TM\873.V.H"/>
              </w:smartTagPr>
              <w:r>
                <w:t>V.H.</w:t>
              </w:r>
            </w:smartTag>
          </w:p>
        </w:tc>
      </w:tr>
      <w:tr w:rsidR="00494B49" w14:paraId="01B216B9" w14:textId="77777777">
        <w:tc>
          <w:tcPr>
            <w:tcW w:w="3360" w:type="dxa"/>
          </w:tcPr>
          <w:p w14:paraId="3256D279" w14:textId="77777777" w:rsidR="00494B49" w:rsidRDefault="00494B49">
            <w:r>
              <w:t xml:space="preserve">Reg. </w:t>
            </w:r>
            <w:smartTag w:uri="http://www.bna.com/sgml2word/cite" w:element="cite.cfr">
              <w:smartTagPr>
                <w:attr w:name="ref" w:val="cfr\26\1.1411-5"/>
              </w:smartTagPr>
              <w:r>
                <w:t>§1.1411-5</w:t>
              </w:r>
            </w:smartTag>
          </w:p>
        </w:tc>
        <w:tc>
          <w:tcPr>
            <w:tcW w:w="3360" w:type="dxa"/>
          </w:tcPr>
          <w:p w14:paraId="47D529EC" w14:textId="77777777" w:rsidR="00494B49" w:rsidRDefault="00494B49">
            <w:r>
              <w:t xml:space="preserve">Descriptions of trades or businesses described in </w:t>
            </w:r>
            <w:smartTag w:uri="http://www.bna.com/sgml2word/cite" w:element="cite.usc">
              <w:smartTagPr>
                <w:attr w:name="ref" w:val="USC\26\1411(c)(2)"/>
              </w:smartTagPr>
              <w:r>
                <w:t>§1411(c)(2)</w:t>
              </w:r>
            </w:smartTag>
          </w:p>
        </w:tc>
        <w:tc>
          <w:tcPr>
            <w:tcW w:w="3360" w:type="dxa"/>
          </w:tcPr>
          <w:p w14:paraId="57B624E4" w14:textId="77777777" w:rsidR="00494B49" w:rsidRDefault="00494B49">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494B49" w14:paraId="74A3D801" w14:textId="77777777">
        <w:tc>
          <w:tcPr>
            <w:tcW w:w="3360" w:type="dxa"/>
          </w:tcPr>
          <w:p w14:paraId="281E6D28" w14:textId="77777777" w:rsidR="00494B49" w:rsidRDefault="00494B49">
            <w:r>
              <w:t xml:space="preserve">Reg. </w:t>
            </w:r>
            <w:smartTag w:uri="http://www.bna.com/sgml2word/cite" w:element="cite.cfr">
              <w:smartTagPr>
                <w:attr w:name="ref" w:val="cfr\26\1.1411-5(a)"/>
              </w:smartTagPr>
              <w:r>
                <w:t>§1.1411-5(a)</w:t>
              </w:r>
            </w:smartTag>
          </w:p>
        </w:tc>
        <w:tc>
          <w:tcPr>
            <w:tcW w:w="3360" w:type="dxa"/>
          </w:tcPr>
          <w:p w14:paraId="324E68FB" w14:textId="77777777" w:rsidR="00494B49" w:rsidRDefault="00494B49">
            <w:r>
              <w:t xml:space="preserve">Essentially restates </w:t>
            </w:r>
            <w:smartTag w:uri="http://www.bna.com/sgml2word/cite" w:element="cite.usc">
              <w:smartTagPr>
                <w:attr w:name="ref" w:val="USC\26\1411(c)(2)"/>
              </w:smartTagPr>
              <w:r>
                <w:t>§1411(c)(2)</w:t>
              </w:r>
            </w:smartTag>
          </w:p>
        </w:tc>
        <w:tc>
          <w:tcPr>
            <w:tcW w:w="3360" w:type="dxa"/>
          </w:tcPr>
          <w:p w14:paraId="051E40AD" w14:textId="77777777" w:rsidR="00494B49" w:rsidRDefault="00494B49">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494B49" w14:paraId="53C8DF64" w14:textId="77777777">
        <w:tc>
          <w:tcPr>
            <w:tcW w:w="3360" w:type="dxa"/>
          </w:tcPr>
          <w:p w14:paraId="4CA2902E" w14:textId="77777777" w:rsidR="00494B49" w:rsidRDefault="00494B49">
            <w:r>
              <w:t xml:space="preserve">Reg. </w:t>
            </w:r>
            <w:smartTag w:uri="http://www.bna.com/sgml2word/cite" w:element="cite.cfr">
              <w:smartTagPr>
                <w:attr w:name="ref" w:val="cfr\26\1.1411-5(b)"/>
              </w:smartTagPr>
              <w:r>
                <w:t>§1.1411-5(b)</w:t>
              </w:r>
            </w:smartTag>
          </w:p>
        </w:tc>
        <w:tc>
          <w:tcPr>
            <w:tcW w:w="3360" w:type="dxa"/>
          </w:tcPr>
          <w:p w14:paraId="13820B42" w14:textId="77777777" w:rsidR="00494B49" w:rsidRDefault="00494B49">
            <w:r>
              <w:t xml:space="preserve">NIIT treatment of certain </w:t>
            </w:r>
            <w:smartTag w:uri="http://www.bna.com/sgml2word/cite" w:element="cite.usc">
              <w:smartTagPr>
                <w:attr w:name="ref" w:val="USC\26\469"/>
              </w:smartTagPr>
              <w:r>
                <w:t>§469</w:t>
              </w:r>
            </w:smartTag>
            <w:r>
              <w:t xml:space="preserve"> income and activity recharacterization rules</w:t>
            </w:r>
          </w:p>
        </w:tc>
        <w:tc>
          <w:tcPr>
            <w:tcW w:w="3360" w:type="dxa"/>
          </w:tcPr>
          <w:p w14:paraId="7EF68E95" w14:textId="77777777" w:rsidR="00494B49" w:rsidRDefault="00494B49">
            <w:r>
              <w:t xml:space="preserve"> </w:t>
            </w:r>
            <w:smartTag w:uri="http://www.bna.com/sgml2word/cite" w:element="cite.bna.reference">
              <w:smartTagPr>
                <w:attr w:name="bna.id.ref" w:val="TM\511.II.D.1"/>
              </w:smartTagPr>
              <w:r>
                <w:t>II.D.1.</w:t>
              </w:r>
            </w:smartTag>
            <w:r>
              <w:t xml:space="preserve"> </w:t>
            </w:r>
            <w:smartTag w:uri="http://www.bna.com/sgml2word/cite" w:element="cite.bna.reference">
              <w:smartTagPr>
                <w:attr w:name="bna.id.ref" w:val="TM\873.II.D.1"/>
              </w:smartTagPr>
              <w:r>
                <w:t>II.D.1.</w:t>
              </w:r>
            </w:smartTag>
          </w:p>
        </w:tc>
      </w:tr>
      <w:tr w:rsidR="00494B49" w14:paraId="06554D6D" w14:textId="77777777">
        <w:tc>
          <w:tcPr>
            <w:tcW w:w="3360" w:type="dxa"/>
          </w:tcPr>
          <w:p w14:paraId="5C2EE381" w14:textId="77777777" w:rsidR="00494B49" w:rsidRDefault="00494B49">
            <w:r>
              <w:t xml:space="preserve">Reg. </w:t>
            </w:r>
            <w:smartTag w:uri="http://www.bna.com/sgml2word/cite" w:element="cite.cfr">
              <w:smartTagPr>
                <w:attr w:name="ref" w:val="cfr\26\1.1411-5(c)"/>
              </w:smartTagPr>
              <w:r>
                <w:t>§1.1411-5(c)</w:t>
              </w:r>
            </w:smartTag>
          </w:p>
        </w:tc>
        <w:tc>
          <w:tcPr>
            <w:tcW w:w="3360" w:type="dxa"/>
          </w:tcPr>
          <w:p w14:paraId="0DDAC673" w14:textId="77777777" w:rsidR="00494B49" w:rsidRDefault="00494B49">
            <w:r>
              <w:t>Definition of financial instruments and commodities</w:t>
            </w:r>
          </w:p>
        </w:tc>
        <w:tc>
          <w:tcPr>
            <w:tcW w:w="3360" w:type="dxa"/>
          </w:tcPr>
          <w:p w14:paraId="1CFBE38D" w14:textId="77777777" w:rsidR="00494B49" w:rsidRDefault="00494B49">
            <w:r>
              <w:t xml:space="preserve"> </w:t>
            </w:r>
            <w:smartTag w:uri="http://www.bna.com/sgml2word/cite" w:element="cite.bna.reference">
              <w:smartTagPr>
                <w:attr w:name="bna.id.ref" w:val="TM\511.II.D.2"/>
              </w:smartTagPr>
              <w:r>
                <w:t>II.D.2.</w:t>
              </w:r>
            </w:smartTag>
            <w:r>
              <w:t xml:space="preserve"> </w:t>
            </w:r>
            <w:smartTag w:uri="http://www.bna.com/sgml2word/cite" w:element="cite.bna.reference">
              <w:smartTagPr>
                <w:attr w:name="bna.id.ref" w:val="TM\873.II.D.2"/>
              </w:smartTagPr>
              <w:r>
                <w:t>II.D.2.</w:t>
              </w:r>
            </w:smartTag>
          </w:p>
        </w:tc>
      </w:tr>
      <w:tr w:rsidR="00494B49" w14:paraId="4DBF7A52" w14:textId="77777777">
        <w:tc>
          <w:tcPr>
            <w:tcW w:w="3360" w:type="dxa"/>
          </w:tcPr>
          <w:p w14:paraId="118800BA" w14:textId="77777777" w:rsidR="00494B49" w:rsidRDefault="00494B49">
            <w:r>
              <w:t xml:space="preserve">Reg. </w:t>
            </w:r>
            <w:smartTag w:uri="http://www.bna.com/sgml2word/cite" w:element="cite.cfr">
              <w:smartTagPr>
                <w:attr w:name="ref" w:val="cfr\26\1.1411-6"/>
              </w:smartTagPr>
              <w:r>
                <w:t>§1.1411-6</w:t>
              </w:r>
            </w:smartTag>
          </w:p>
        </w:tc>
        <w:tc>
          <w:tcPr>
            <w:tcW w:w="3360" w:type="dxa"/>
          </w:tcPr>
          <w:p w14:paraId="2990A6E7" w14:textId="77777777" w:rsidR="00494B49" w:rsidRDefault="00494B49">
            <w:r>
              <w:t xml:space="preserve">Working capital under </w:t>
            </w:r>
            <w:smartTag w:uri="http://www.bna.com/sgml2word/cite" w:element="cite.usc">
              <w:smartTagPr>
                <w:attr w:name="ref" w:val="USC\26\1411(c)(3)"/>
              </w:smartTagPr>
              <w:r>
                <w:t>§1411(c)(3)</w:t>
              </w:r>
            </w:smartTag>
            <w:r>
              <w:t xml:space="preserve"> [</w:t>
            </w:r>
            <w:r>
              <w:rPr>
                <w:i/>
              </w:rPr>
              <w:t>Note:</w:t>
            </w:r>
            <w:r>
              <w:t xml:space="preserve"> Although Reg. </w:t>
            </w:r>
            <w:smartTag w:uri="http://www.bna.com/sgml2word/cite" w:element="cite.cfr">
              <w:smartTagPr>
                <w:attr w:name="ref" w:val="cfr\26\1.1411-6"/>
              </w:smartTagPr>
              <w:r>
                <w:t>§1.1411-6</w:t>
              </w:r>
            </w:smartTag>
            <w:r>
              <w:t xml:space="preserve"> is the shortest section in the regulations package, its application is essential to the understanding of the NIIT system. By invoking Reg. </w:t>
            </w:r>
            <w:smartTag w:uri="http://www.bna.com/sgml2word/cite" w:element="cite.cfr">
              <w:smartTagPr>
                <w:attr w:name="ref" w:val="cfr\26\1.469-2T(c)(2)(ii)"/>
              </w:smartTagPr>
              <w:r>
                <w:t>§1.469-2T(c)(2)(ii)</w:t>
              </w:r>
            </w:smartTag>
            <w:r>
              <w:t xml:space="preserve">, Reg. </w:t>
            </w:r>
            <w:smartTag w:uri="http://www.bna.com/sgml2word/cite" w:element="cite.cfr">
              <w:smartTagPr>
                <w:attr w:name="ref" w:val="cfr\26\1.1411-6"/>
              </w:smartTagPr>
              <w:r>
                <w:t>§1.1411-6</w:t>
              </w:r>
            </w:smartTag>
            <w:r>
              <w:t xml:space="preserve"> plays an integral role in framing the scope of Reg. </w:t>
            </w:r>
            <w:smartTag w:uri="http://www.bna.com/sgml2word/cite" w:element="cite.cfr">
              <w:smartTagPr>
                <w:attr w:name="ref" w:val="cfr\26\1.1411-4(b)"/>
              </w:smartTagPr>
              <w:r>
                <w:t>§1.1411-4(b)</w:t>
              </w:r>
            </w:smartTag>
            <w:r>
              <w:t xml:space="preserve"> and </w:t>
            </w:r>
            <w:smartTag w:uri="http://www.bna.com/sgml2word/cite" w:element="cite.cfr">
              <w:smartTagPr>
                <w:attr w:name="ref" w:val="cfr\26\1.1411-4(d)"/>
              </w:smartTagPr>
              <w:r>
                <w:t>§1.1411-4(d)</w:t>
              </w:r>
            </w:smartTag>
            <w:r>
              <w:t>]</w:t>
            </w:r>
          </w:p>
        </w:tc>
        <w:tc>
          <w:tcPr>
            <w:tcW w:w="3360" w:type="dxa"/>
          </w:tcPr>
          <w:p w14:paraId="2D5FC2C3" w14:textId="77777777" w:rsidR="00494B49" w:rsidRDefault="00494B49">
            <w:r>
              <w:t xml:space="preserve">Woven throughout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through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p>
        </w:tc>
      </w:tr>
      <w:tr w:rsidR="00494B49" w14:paraId="10220D5A" w14:textId="77777777">
        <w:tc>
          <w:tcPr>
            <w:tcW w:w="3360" w:type="dxa"/>
          </w:tcPr>
          <w:p w14:paraId="45C48091" w14:textId="77777777" w:rsidR="00494B49" w:rsidRDefault="00494B49">
            <w:r>
              <w:t xml:space="preserve">Reg. </w:t>
            </w:r>
            <w:smartTag w:uri="http://www.bna.com/sgml2word/cite" w:element="cite.cfr">
              <w:smartTagPr>
                <w:attr w:name="ref" w:val="cfr\26\1.1411-7"/>
              </w:smartTagPr>
              <w:r>
                <w:t>§1.1411-7</w:t>
              </w:r>
            </w:smartTag>
          </w:p>
        </w:tc>
        <w:tc>
          <w:tcPr>
            <w:tcW w:w="3360" w:type="dxa"/>
          </w:tcPr>
          <w:p w14:paraId="1E852048" w14:textId="77777777" w:rsidR="00494B49" w:rsidRDefault="00494B49">
            <w:r>
              <w:t xml:space="preserve">Dispositions of partnerships and S corporations under </w:t>
            </w:r>
            <w:smartTag w:uri="http://www.bna.com/sgml2word/cite" w:element="cite.usc">
              <w:smartTagPr>
                <w:attr w:name="ref" w:val="USC\26\1411(c)(4)"/>
              </w:smartTagPr>
              <w:r>
                <w:t>§1411(c)(4)</w:t>
              </w:r>
            </w:smartTag>
          </w:p>
        </w:tc>
        <w:tc>
          <w:tcPr>
            <w:tcW w:w="3360" w:type="dxa"/>
          </w:tcPr>
          <w:p w14:paraId="74342951" w14:textId="77777777" w:rsidR="00494B49" w:rsidRDefault="00494B49">
            <w:r>
              <w:t xml:space="preserve"> </w:t>
            </w:r>
            <w:smartTag w:uri="http://www.bna.com/sgml2word/cite" w:element="cite.bna.reference">
              <w:smartTagPr>
                <w:attr w:name="bna.id.ref" w:val="TM\511.VI"/>
              </w:smartTagPr>
              <w:r>
                <w:t>VI.</w:t>
              </w:r>
            </w:smartTag>
            <w:r>
              <w:t xml:space="preserve"> </w:t>
            </w:r>
            <w:smartTag w:uri="http://www.bna.com/sgml2word/cite" w:element="cite.bna.reference">
              <w:smartTagPr>
                <w:attr w:name="bna.id.ref" w:val="TM\873.VI"/>
              </w:smartTagPr>
              <w:r>
                <w:t>VI.</w:t>
              </w:r>
            </w:smartTag>
          </w:p>
        </w:tc>
      </w:tr>
      <w:tr w:rsidR="00494B49" w14:paraId="2263C1CB" w14:textId="77777777">
        <w:tc>
          <w:tcPr>
            <w:tcW w:w="3360" w:type="dxa"/>
          </w:tcPr>
          <w:p w14:paraId="0566F22B" w14:textId="77777777" w:rsidR="00494B49" w:rsidRDefault="00494B49">
            <w:r>
              <w:t xml:space="preserve">Reg. </w:t>
            </w:r>
            <w:smartTag w:uri="http://www.bna.com/sgml2word/cite" w:element="cite.cfr">
              <w:smartTagPr>
                <w:attr w:name="ref" w:val="cfr\26\1.1411-8"/>
              </w:smartTagPr>
              <w:r>
                <w:t>§1.1411-8</w:t>
              </w:r>
            </w:smartTag>
          </w:p>
        </w:tc>
        <w:tc>
          <w:tcPr>
            <w:tcW w:w="3360" w:type="dxa"/>
          </w:tcPr>
          <w:p w14:paraId="5964FF23" w14:textId="77777777" w:rsidR="00494B49" w:rsidRDefault="00494B49">
            <w:r>
              <w:t xml:space="preserve">Distributions from qualified plans under </w:t>
            </w:r>
            <w:smartTag w:uri="http://www.bna.com/sgml2word/cite" w:element="cite.usc">
              <w:smartTagPr>
                <w:attr w:name="ref" w:val="USC\26\1411(c)(5)"/>
              </w:smartTagPr>
              <w:r>
                <w:t>§1411(c)(5)</w:t>
              </w:r>
            </w:smartTag>
          </w:p>
        </w:tc>
        <w:tc>
          <w:tcPr>
            <w:tcW w:w="3360" w:type="dxa"/>
          </w:tcPr>
          <w:p w14:paraId="129CBF4E"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5EAEF0C9" w14:textId="77777777">
        <w:tc>
          <w:tcPr>
            <w:tcW w:w="3360" w:type="dxa"/>
          </w:tcPr>
          <w:p w14:paraId="680E53E6" w14:textId="77777777" w:rsidR="00494B49" w:rsidRDefault="00494B49">
            <w:r>
              <w:t xml:space="preserve">Reg. </w:t>
            </w:r>
            <w:smartTag w:uri="http://www.bna.com/sgml2word/cite" w:element="cite.cfr">
              <w:smartTagPr>
                <w:attr w:name="ref" w:val="cfr\26\1.1411-8(a)"/>
              </w:smartTagPr>
              <w:r>
                <w:t>§1.1411-8(a)</w:t>
              </w:r>
            </w:smartTag>
          </w:p>
        </w:tc>
        <w:tc>
          <w:tcPr>
            <w:tcW w:w="3360" w:type="dxa"/>
          </w:tcPr>
          <w:p w14:paraId="08B57F84" w14:textId="77777777" w:rsidR="00494B49" w:rsidRDefault="00494B49">
            <w:r>
              <w:t xml:space="preserve">Essentially restates </w:t>
            </w:r>
            <w:smartTag w:uri="http://www.bna.com/sgml2word/cite" w:element="cite.usc">
              <w:smartTagPr>
                <w:attr w:name="ref" w:val="USC\26\1411(c)(5)"/>
              </w:smartTagPr>
              <w:r>
                <w:t>§1411(c)(5)</w:t>
              </w:r>
            </w:smartTag>
          </w:p>
        </w:tc>
        <w:tc>
          <w:tcPr>
            <w:tcW w:w="3360" w:type="dxa"/>
          </w:tcPr>
          <w:p w14:paraId="35E9A014"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2C8FE89A" w14:textId="77777777">
        <w:tc>
          <w:tcPr>
            <w:tcW w:w="3360" w:type="dxa"/>
          </w:tcPr>
          <w:p w14:paraId="785840D5" w14:textId="77777777" w:rsidR="00494B49" w:rsidRDefault="00494B49">
            <w:r>
              <w:t xml:space="preserve">Reg. </w:t>
            </w:r>
            <w:smartTag w:uri="http://www.bna.com/sgml2word/cite" w:element="cite.cfr">
              <w:smartTagPr>
                <w:attr w:name="ref" w:val="cfr\26\1.1411-8(b)"/>
              </w:smartTagPr>
              <w:r>
                <w:t>§1.1411-8(b)</w:t>
              </w:r>
            </w:smartTag>
          </w:p>
        </w:tc>
        <w:tc>
          <w:tcPr>
            <w:tcW w:w="3360" w:type="dxa"/>
          </w:tcPr>
          <w:p w14:paraId="6CBC2835" w14:textId="77777777" w:rsidR="00494B49" w:rsidRDefault="00494B49">
            <w:r>
              <w:t xml:space="preserve">Special rules that apply the scope of </w:t>
            </w:r>
            <w:smartTag w:uri="http://www.bna.com/sgml2word/cite" w:element="cite.usc">
              <w:smartTagPr>
                <w:attr w:name="ref" w:val="USC\26\1411(c)(5)"/>
              </w:smartTagPr>
              <w:r>
                <w:t>§1411(c)(5)</w:t>
              </w:r>
            </w:smartTag>
            <w:r>
              <w:t xml:space="preserve"> to specific situations</w:t>
            </w:r>
          </w:p>
        </w:tc>
        <w:tc>
          <w:tcPr>
            <w:tcW w:w="3360" w:type="dxa"/>
          </w:tcPr>
          <w:p w14:paraId="095F6AC6"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02CCF008" w14:textId="77777777">
        <w:tc>
          <w:tcPr>
            <w:tcW w:w="3360" w:type="dxa"/>
          </w:tcPr>
          <w:p w14:paraId="27DB180A" w14:textId="77777777" w:rsidR="00494B49" w:rsidRDefault="00494B49">
            <w:r>
              <w:t xml:space="preserve">Reg. </w:t>
            </w:r>
            <w:smartTag w:uri="http://www.bna.com/sgml2word/cite" w:element="cite.cfr">
              <w:smartTagPr>
                <w:attr w:name="ref" w:val="cfr\26\1.1411-9"/>
              </w:smartTagPr>
              <w:r>
                <w:t>§1.1411-9</w:t>
              </w:r>
            </w:smartTag>
          </w:p>
        </w:tc>
        <w:tc>
          <w:tcPr>
            <w:tcW w:w="3360" w:type="dxa"/>
          </w:tcPr>
          <w:p w14:paraId="1B360509" w14:textId="77777777" w:rsidR="00494B49" w:rsidRDefault="00494B49">
            <w:r>
              <w:t xml:space="preserve">Self-employment income under </w:t>
            </w:r>
            <w:smartTag w:uri="http://www.bna.com/sgml2word/cite" w:element="cite.usc">
              <w:smartTagPr>
                <w:attr w:name="ref" w:val="USC\26\1411(c)(6)"/>
              </w:smartTagPr>
              <w:r>
                <w:t>§1411(c)(6)</w:t>
              </w:r>
            </w:smartTag>
          </w:p>
        </w:tc>
        <w:tc>
          <w:tcPr>
            <w:tcW w:w="3360" w:type="dxa"/>
          </w:tcPr>
          <w:p w14:paraId="026BF61A" w14:textId="77777777" w:rsidR="00494B49" w:rsidRDefault="00494B49">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494B49" w14:paraId="2A42373B" w14:textId="77777777">
        <w:tc>
          <w:tcPr>
            <w:tcW w:w="3360" w:type="dxa"/>
          </w:tcPr>
          <w:p w14:paraId="0B21194F" w14:textId="77777777" w:rsidR="00494B49" w:rsidRDefault="00494B49">
            <w:r>
              <w:t xml:space="preserve">Reg. </w:t>
            </w:r>
            <w:smartTag w:uri="http://www.bna.com/sgml2word/cite" w:element="cite.cfr">
              <w:smartTagPr>
                <w:attr w:name="ref" w:val="cfr\26\1.1411-9(a)"/>
              </w:smartTagPr>
              <w:r>
                <w:t>§1.1411-9(a)</w:t>
              </w:r>
            </w:smartTag>
          </w:p>
        </w:tc>
        <w:tc>
          <w:tcPr>
            <w:tcW w:w="3360" w:type="dxa"/>
          </w:tcPr>
          <w:p w14:paraId="0FD4B13B" w14:textId="77777777" w:rsidR="00494B49" w:rsidRDefault="00494B49">
            <w:r>
              <w:t xml:space="preserve">Essentially restates </w:t>
            </w:r>
            <w:smartTag w:uri="http://www.bna.com/sgml2word/cite" w:element="cite.usc">
              <w:smartTagPr>
                <w:attr w:name="ref" w:val="USC\26\1411(c)(6)"/>
              </w:smartTagPr>
              <w:r>
                <w:t>§1411(c)(6)</w:t>
              </w:r>
            </w:smartTag>
            <w:r>
              <w:t xml:space="preserve"> and operates as a tie-breaker for items of income and deduction that are included in both net investment income and earnings from self-employment (and breaks the tie in </w:t>
            </w:r>
            <w:r>
              <w:lastRenderedPageBreak/>
              <w:t>favor of including such items in earnings from self-employment)</w:t>
            </w:r>
          </w:p>
        </w:tc>
        <w:tc>
          <w:tcPr>
            <w:tcW w:w="3360" w:type="dxa"/>
          </w:tcPr>
          <w:p w14:paraId="6D9FE5DD" w14:textId="77777777" w:rsidR="00494B49" w:rsidRDefault="00494B49">
            <w:r>
              <w:lastRenderedPageBreak/>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494B49" w14:paraId="786FAD63" w14:textId="77777777">
        <w:tc>
          <w:tcPr>
            <w:tcW w:w="3360" w:type="dxa"/>
          </w:tcPr>
          <w:p w14:paraId="494DA215" w14:textId="77777777" w:rsidR="00494B49" w:rsidRDefault="00494B49">
            <w:r>
              <w:t xml:space="preserve">Reg. </w:t>
            </w:r>
            <w:smartTag w:uri="http://www.bna.com/sgml2word/cite" w:element="cite.cfr">
              <w:smartTagPr>
                <w:attr w:name="ref" w:val="cfr\26\1.1411-9(b)"/>
              </w:smartTagPr>
              <w:r>
                <w:t>§1.1411-9(b)</w:t>
              </w:r>
            </w:smartTag>
          </w:p>
        </w:tc>
        <w:tc>
          <w:tcPr>
            <w:tcW w:w="3360" w:type="dxa"/>
          </w:tcPr>
          <w:p w14:paraId="424FDCB1" w14:textId="77777777" w:rsidR="00494B49" w:rsidRDefault="00494B49">
            <w:r>
              <w:t>Special rule for traders in financial instruments or commodities that have trading expenses that are included in earnings from self-employment</w:t>
            </w:r>
          </w:p>
        </w:tc>
        <w:tc>
          <w:tcPr>
            <w:tcW w:w="3360" w:type="dxa"/>
          </w:tcPr>
          <w:p w14:paraId="0CD23CB5" w14:textId="77777777" w:rsidR="00494B49" w:rsidRDefault="00494B49">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bl>
    <w:p w14:paraId="6F5BB3A9" w14:textId="77777777" w:rsidR="00494B49" w:rsidRDefault="00494B49">
      <w:pPr>
        <w:pStyle w:val="BNormal"/>
      </w:pPr>
    </w:p>
    <w:p w14:paraId="2C084E9C" w14:textId="77777777" w:rsidR="00494B49" w:rsidRDefault="00494B49">
      <w:pPr>
        <w:pStyle w:val="BNormal"/>
      </w:pPr>
      <w:r>
        <w:t xml:space="preserve">In addition to the </w:t>
      </w:r>
      <w:smartTag w:uri="http://www.bna.com/sgml2word/cite" w:element="cite.usc">
        <w:smartTagPr>
          <w:attr w:name="ref" w:val="USC\26\1411"/>
        </w:smartTagPr>
        <w:r>
          <w:t>§1411</w:t>
        </w:r>
      </w:smartTag>
      <w:r>
        <w:t xml:space="preserve">-specific regulations outlined above, the final regulations also added a new paragraph Reg. </w:t>
      </w:r>
      <w:smartTag w:uri="http://www.bna.com/sgml2word/cite" w:element="cite.cfr">
        <w:smartTagPr>
          <w:attr w:name="ref" w:val="cfr\26\1.469-11(b)(3)(iv)"/>
        </w:smartTagPr>
        <w:r>
          <w:t>§1.469-11(b)(3)(iv)</w:t>
        </w:r>
      </w:smartTag>
      <w:r>
        <w:t xml:space="preserve"> to the Reg. </w:t>
      </w:r>
      <w:smartTag w:uri="http://www.bna.com/sgml2word/cite" w:element="cite.cfr">
        <w:smartTagPr>
          <w:attr w:name="ref" w:val="cfr\26\1.469-11(b)(3)"/>
        </w:smartTagPr>
        <w:r>
          <w:t>§1.469-11(b)(3)</w:t>
        </w:r>
      </w:smartTag>
      <w:r>
        <w:t xml:space="preserve"> transition rules to provide taxpayers with a one-time passive activity regrouping opportunity. This topic is addressed in more detail in </w:t>
      </w:r>
      <w:smartTag w:uri="http://www.bna.com/sgml2word/cite" w:element="cite.bna.reference">
        <w:smartTagPr>
          <w:attr w:name="bna.id.ref" w:val="TM\511.II.D.1.c"/>
        </w:smartTagPr>
        <w:r>
          <w:t>II.D.1.c.</w:t>
        </w:r>
      </w:smartTag>
      <w:smartTag w:uri="http://www.bna.com/sgml2word/cite" w:element="cite.bna.reference">
        <w:smartTagPr>
          <w:attr w:name="bna.id.ref" w:val="TM\873.II.D.1.c"/>
        </w:smartTagPr>
        <w:r>
          <w:t>II.D.1.c.</w:t>
        </w:r>
      </w:smartTag>
      <w:r>
        <w:t>, below.</w:t>
      </w:r>
    </w:p>
    <w:p w14:paraId="55BC8605" w14:textId="77777777" w:rsidR="00494B49" w:rsidRDefault="00494B49">
      <w:pPr>
        <w:pStyle w:val="BHead2"/>
      </w:pPr>
      <w:r>
        <w:t>2. 2013 Proposed Regulations</w:t>
      </w:r>
    </w:p>
    <w:p w14:paraId="3C6E555E" w14:textId="77777777" w:rsidR="00494B49" w:rsidRDefault="00494B49">
      <w:pPr>
        <w:pStyle w:val="BNormal"/>
      </w:pPr>
      <w:r>
        <w:t>In addition to the final regulations, the Treasury Department and the IRS contemporaneously published in the Federal Register a second notice of proposed rulemaking (the “2013 Proposed Regulations”) relating to the net investment income tax (NIIT).</w:t>
      </w:r>
      <w:r>
        <w:rPr>
          <w:rStyle w:val="FootnoteReference"/>
        </w:rPr>
        <w:footnoteReference w:id="38"/>
      </w:r>
      <w:r>
        <w:t xml:space="preserve"> If finalized, these regulations would have the same effective date as the 2013 Final Regulations.</w:t>
      </w:r>
      <w:r>
        <w:rPr>
          <w:rStyle w:val="FootnoteReference"/>
        </w:rPr>
        <w:footnoteReference w:id="39"/>
      </w:r>
      <w:r>
        <w:t xml:space="preserve"> Taxpayers are allowed to rely on these proposed regulations until they are issued as final regulations.</w:t>
      </w:r>
      <w:r>
        <w:rPr>
          <w:rStyle w:val="FootnoteReference"/>
        </w:rPr>
        <w:footnoteReference w:id="40"/>
      </w:r>
    </w:p>
    <w:p w14:paraId="6FCDD209" w14:textId="77777777" w:rsidR="00494B49" w:rsidRDefault="00494B49">
      <w:pPr>
        <w:pStyle w:val="BNormal"/>
      </w:pPr>
      <w:r>
        <w:t xml:space="preserve">The 2013 Proposed Regulations address several substantive issues that were brought to the IRS’s attention during the comment period for the 2012 Proposed Regulations, including: </w:t>
      </w:r>
    </w:p>
    <w:p w14:paraId="45FF89C5" w14:textId="77777777" w:rsidR="00494B49" w:rsidRDefault="00494B49">
      <w:pPr>
        <w:pStyle w:val="BListitembul"/>
      </w:pPr>
      <w:r>
        <w:t>Special rules for the application of the §664 system to Charitable Remainder Trusts (CRTs) that derive income from controlled foreign corporations (CFCs) or passive foreign investment companies (PFICs) with respect to which an election under Reg. §1.1411-10(g) is not in place.</w:t>
      </w:r>
      <w:r>
        <w:rPr>
          <w:rStyle w:val="FootnoteReference"/>
        </w:rPr>
        <w:footnoteReference w:id="41"/>
      </w:r>
    </w:p>
    <w:p w14:paraId="775536FC" w14:textId="77777777" w:rsidR="00494B49" w:rsidRDefault="00494B49">
      <w:pPr>
        <w:pStyle w:val="BListitembul"/>
      </w:pPr>
      <w:r>
        <w:t>An election to allow CRTs to apply the §664 system adopted in the 2013 Final Regulations or the simplified method set forth in the 2012 Proposed Regulations.</w:t>
      </w:r>
      <w:r>
        <w:rPr>
          <w:rStyle w:val="FootnoteReference"/>
        </w:rPr>
        <w:footnoteReference w:id="42"/>
      </w:r>
    </w:p>
    <w:p w14:paraId="1B2B5B62" w14:textId="77777777" w:rsidR="00494B49" w:rsidRDefault="00494B49">
      <w:pPr>
        <w:pStyle w:val="BListitembul"/>
      </w:pPr>
      <w:r>
        <w:t>Ordering and tracing rules pertaining to capital loss carryovers.</w:t>
      </w:r>
      <w:r>
        <w:rPr>
          <w:rStyle w:val="FootnoteReference"/>
        </w:rPr>
        <w:footnoteReference w:id="43"/>
      </w:r>
    </w:p>
    <w:p w14:paraId="695D7F90" w14:textId="77777777" w:rsidR="00494B49" w:rsidRDefault="00494B49">
      <w:pPr>
        <w:pStyle w:val="BListitembul"/>
      </w:pPr>
      <w:r>
        <w:t xml:space="preserve">Net investment income tax characterization of income and deductions attributable to: </w:t>
      </w:r>
    </w:p>
    <w:p w14:paraId="42F3A3A9" w14:textId="77777777" w:rsidR="00494B49" w:rsidRDefault="00494B49">
      <w:pPr>
        <w:pStyle w:val="BListitemorig"/>
      </w:pPr>
      <w:r>
        <w:t>o Investments in common trust funds (CTFs);</w:t>
      </w:r>
      <w:r>
        <w:rPr>
          <w:rStyle w:val="FootnoteReference"/>
        </w:rPr>
        <w:footnoteReference w:id="44"/>
      </w:r>
      <w:r>
        <w:t xml:space="preserve"> </w:t>
      </w:r>
    </w:p>
    <w:p w14:paraId="17DA56E6" w14:textId="77777777" w:rsidR="00494B49" w:rsidRDefault="00494B49">
      <w:pPr>
        <w:pStyle w:val="BListitemorig"/>
      </w:pPr>
      <w:r>
        <w:lastRenderedPageBreak/>
        <w:t>o Section 707(c) guaranteed payments for capital;</w:t>
      </w:r>
      <w:r>
        <w:rPr>
          <w:rStyle w:val="FootnoteReference"/>
        </w:rPr>
        <w:footnoteReference w:id="45"/>
      </w:r>
      <w:r>
        <w:t xml:space="preserve"> </w:t>
      </w:r>
    </w:p>
    <w:p w14:paraId="2E447A7D" w14:textId="77777777" w:rsidR="00494B49" w:rsidRDefault="00494B49">
      <w:pPr>
        <w:pStyle w:val="BListitemorig"/>
      </w:pPr>
      <w:r>
        <w:t>o Section 736 payments to retiring or deceased partners;</w:t>
      </w:r>
      <w:r>
        <w:rPr>
          <w:rStyle w:val="FootnoteReference"/>
        </w:rPr>
        <w:footnoteReference w:id="46"/>
      </w:r>
      <w:r>
        <w:t xml:space="preserve"> </w:t>
      </w:r>
    </w:p>
    <w:p w14:paraId="141BEB73" w14:textId="77777777" w:rsidR="00494B49" w:rsidRDefault="00494B49">
      <w:pPr>
        <w:pStyle w:val="BListitemorig"/>
      </w:pPr>
      <w:r>
        <w:t>o Residual interests in real estate mortgage investment conduits (REMICs);</w:t>
      </w:r>
      <w:r>
        <w:rPr>
          <w:rStyle w:val="FootnoteReference"/>
        </w:rPr>
        <w:footnoteReference w:id="47"/>
      </w:r>
      <w:r>
        <w:t xml:space="preserve"> and </w:t>
      </w:r>
    </w:p>
    <w:p w14:paraId="0E244CAF" w14:textId="77777777" w:rsidR="00494B49" w:rsidRDefault="00494B49">
      <w:pPr>
        <w:pStyle w:val="BListitemorig"/>
      </w:pPr>
      <w:r>
        <w:t>o Certain notional principal contracts (NPCs) not included in the 2013 Final Regulations;</w:t>
      </w:r>
      <w:r>
        <w:rPr>
          <w:rStyle w:val="FootnoteReference"/>
        </w:rPr>
        <w:footnoteReference w:id="48"/>
      </w:r>
      <w:r>
        <w:t xml:space="preserve"> </w:t>
      </w:r>
    </w:p>
    <w:p w14:paraId="219E8801" w14:textId="77777777" w:rsidR="00494B49" w:rsidRDefault="00494B49">
      <w:pPr>
        <w:pStyle w:val="BNormal"/>
      </w:pPr>
      <w:r>
        <w:t xml:space="preserve">In response to comments on the 2012 Proposed Regulations asking how the regulations provide for adjusting a transferor’s gain or loss on the disposition of its partnership interest or S corporation stock, the 2013 Final Regulations removed Reg. </w:t>
      </w:r>
      <w:smartTag w:uri="http://www.bna.com/sgml2word/cite" w:element="cite.cfr">
        <w:smartTagPr>
          <w:attr w:name="ref" w:val="cfr\26\1.1411-7"/>
        </w:smartTagPr>
        <w:r>
          <w:t>§1.1411-7</w:t>
        </w:r>
      </w:smartTag>
      <w:r>
        <w:t xml:space="preserve"> of the 2012 Proposed Regulations and reserved Reg. </w:t>
      </w:r>
      <w:smartTag w:uri="http://www.bna.com/sgml2word/cite" w:element="cite.cfr">
        <w:smartTagPr>
          <w:attr w:name="ref" w:val="cfr\26\1.1411-7"/>
        </w:smartTagPr>
        <w:r>
          <w:t>§1.1411-7</w:t>
        </w:r>
      </w:smartTag>
      <w:r>
        <w:t xml:space="preserve"> in the 2013 Final Regulations. The 2013 Proposed Regulations would revise rules on calculating net gain from the disposition of a partnership interest or S corporation stock (each a “Passthrough Entity”) to which </w:t>
      </w:r>
      <w:smartTag w:uri="http://www.bna.com/sgml2word/cite" w:element="cite.usc">
        <w:smartTagPr>
          <w:attr w:name="ref" w:val="USC\26\1411(c)(4)"/>
        </w:smartTagPr>
        <w:r>
          <w:t>§1411(c)(4)</w:t>
        </w:r>
      </w:smartTag>
      <w:r>
        <w:t xml:space="preserve"> may apply.</w:t>
      </w:r>
      <w:r>
        <w:rPr>
          <w:rStyle w:val="FootnoteReference"/>
        </w:rPr>
        <w:footnoteReference w:id="49"/>
      </w:r>
    </w:p>
    <w:p w14:paraId="59D44B34" w14:textId="77777777" w:rsidR="00494B49" w:rsidRDefault="00494B49">
      <w:pPr>
        <w:pStyle w:val="BHead2"/>
      </w:pPr>
      <w:r>
        <w:t>3. IRS.gov Frequently Asked Questions</w:t>
      </w:r>
    </w:p>
    <w:p w14:paraId="4055F69D" w14:textId="77777777" w:rsidR="00494B49" w:rsidRDefault="00494B49">
      <w:pPr>
        <w:pStyle w:val="BNormal"/>
      </w:pPr>
      <w:r>
        <w:t>On November 30, 2012, the date that the 2012 Proposed Regulations were first released to the public, the IRS posted a series of FAQs to the Affordable Care Act section of its website.</w:t>
      </w:r>
      <w:r>
        <w:rPr>
          <w:rStyle w:val="FootnoteReference"/>
        </w:rPr>
        <w:footnoteReference w:id="50"/>
      </w:r>
      <w:r>
        <w:t xml:space="preserve"> After the 2013 Final Regulations and 2013 Proposed Regulations were issued, the FAQs were slightly updated. </w:t>
      </w:r>
    </w:p>
    <w:p w14:paraId="3CE2AE04" w14:textId="77777777" w:rsidR="00494B49" w:rsidRDefault="00494B49">
      <w:pPr>
        <w:pStyle w:val="BHead2"/>
      </w:pPr>
      <w:r>
        <w:t>4. Effective Dates and Taxpayer Reliance</w:t>
      </w:r>
    </w:p>
    <w:p w14:paraId="5F3AA625" w14:textId="77777777" w:rsidR="00494B49" w:rsidRDefault="00494B49">
      <w:pPr>
        <w:pStyle w:val="BNormal"/>
      </w:pPr>
      <w:r>
        <w:t xml:space="preserve">As noted above, the NIIT imposes a 3.8% tax in tax years beginning after December 31, 2012. However, the final regulations apply to tax years beginning after December 31, 2013 (except the CRT provisions, which apply to tax years beginning after December 31, 2012). The preamble to the 2012 Proposed Regulations stated that taxpayers could rely on the proposed regulations for purposes of NIIT compliance until the effective date of the final regulations. When the regulations were finalized, Reg. </w:t>
      </w:r>
      <w:smartTag w:uri="http://www.bna.com/sgml2word/cite" w:element="cite.cfr">
        <w:smartTagPr>
          <w:attr w:name="ref" w:val="cfr\26\1.1411-1(f)"/>
        </w:smartTagPr>
        <w:r>
          <w:t>§1.1411-1(f)</w:t>
        </w:r>
      </w:smartTag>
      <w:r>
        <w:t xml:space="preserve"> embodied the general reliance principle from the proposed regulations.</w:t>
      </w:r>
      <w:r>
        <w:rPr>
          <w:rStyle w:val="FootnoteReference"/>
        </w:rPr>
        <w:footnoteReference w:id="51"/>
      </w:r>
    </w:p>
    <w:p w14:paraId="6804B959" w14:textId="77777777" w:rsidR="00494B49" w:rsidRDefault="00494B49">
      <w:pPr>
        <w:pStyle w:val="BNormal"/>
      </w:pPr>
      <w:r>
        <w:t xml:space="preserve">Reg. </w:t>
      </w:r>
      <w:smartTag w:uri="http://www.bna.com/sgml2word/cite" w:element="cite.cfr">
        <w:smartTagPr>
          <w:attr w:name="ref" w:val="cfr\26\1.1411-1(f)(1)"/>
        </w:smartTagPr>
        <w:r>
          <w:t>§1.1411-1(f)(1)</w:t>
        </w:r>
      </w:smartTag>
      <w:r>
        <w:t xml:space="preserve"> provides that, for tax years beginning before 2014, taxpayers could apply Reg. </w:t>
      </w:r>
      <w:smartTag w:uri="http://www.bna.com/sgml2word/cite" w:element="cite.cfr">
        <w:smartTagPr>
          <w:attr w:name="ref" w:val="cfr\26\1.1411-1"/>
        </w:smartTagPr>
        <w:r>
          <w:t>§1.1411-1</w:t>
        </w:r>
      </w:smartTag>
      <w:r>
        <w:t xml:space="preserve"> through </w:t>
      </w:r>
      <w:smartTag w:uri="http://www.bna.com/sgml2word/cite" w:element="cite.cfr">
        <w:smartTagPr>
          <w:attr w:name="ref" w:val="cfr\26\1.1411-10"/>
        </w:smartTagPr>
        <w:r>
          <w:t>§1.1411-10</w:t>
        </w:r>
      </w:smartTag>
      <w:r>
        <w:t xml:space="preserve"> (including making any election(s) under these regulations) in any tax year that began in 2013, for which the period of limitations on assessment under </w:t>
      </w:r>
      <w:smartTag w:uri="http://www.bna.com/sgml2word/cite" w:element="cite.usc">
        <w:smartTagPr>
          <w:attr w:name="ref" w:val="USC\26\6501"/>
        </w:smartTagPr>
        <w:r>
          <w:t>§6501</w:t>
        </w:r>
      </w:smartTag>
      <w:r>
        <w:t xml:space="preserve"> had not expired. However, acknowledging that the regulations are extremely complicated and, therefore, could have been difficult to comply with in time for the 2014 filing season (for 2013 calendar year returns), the regulations also contain a good faith exception for 2013. Reg. </w:t>
      </w:r>
      <w:smartTag w:uri="http://www.bna.com/sgml2word/cite" w:element="cite.cfr">
        <w:smartTagPr>
          <w:attr w:name="ref" w:val="cfr\26\1.1411-1(f)(2)"/>
        </w:smartTagPr>
        <w:r>
          <w:t>§1.1411-1(f)(2)</w:t>
        </w:r>
      </w:smartTag>
      <w:r>
        <w:t xml:space="preserve"> provides that, for tax years beginning before 2014, the IRS will not challenge a taxpayer’s computation of tax under </w:t>
      </w:r>
      <w:smartTag w:uri="http://www.bna.com/sgml2word/cite" w:element="cite.usc">
        <w:smartTagPr>
          <w:attr w:name="ref" w:val="USC\26\1411"/>
        </w:smartTagPr>
        <w:r>
          <w:t>§1411</w:t>
        </w:r>
      </w:smartTag>
      <w:r>
        <w:t xml:space="preserve"> if the taxpayer made a reasonable, good faith effort to comply. Reg. </w:t>
      </w:r>
      <w:smartTag w:uri="http://www.bna.com/sgml2word/cite" w:element="cite.cfr">
        <w:smartTagPr>
          <w:attr w:name="ref" w:val="cfr\26\1.1411-1(f)(2)"/>
        </w:smartTagPr>
        <w:r>
          <w:t>§1.1411-1(f)(2)</w:t>
        </w:r>
      </w:smartTag>
      <w:r>
        <w:t xml:space="preserve"> also provides, as an example, that a taxpayer’s compliance with </w:t>
      </w:r>
      <w:r>
        <w:lastRenderedPageBreak/>
        <w:t xml:space="preserve">the provisions of the proposed and final regulations under </w:t>
      </w:r>
      <w:smartTag w:uri="http://www.bna.com/sgml2word/cite" w:element="cite.usc">
        <w:smartTagPr>
          <w:attr w:name="ref" w:val="USC\26\1411"/>
        </w:smartTagPr>
        <w:r>
          <w:t>§1411</w:t>
        </w:r>
      </w:smartTag>
      <w:r>
        <w:t xml:space="preserve"> (</w:t>
      </w:r>
      <w:smartTag w:uri="http://www.bna.com/sgml2word/cite" w:element="cite.agency.doc">
        <w:smartTagPr>
          <w:attr w:name="ref" w:val="irs\nprm\REG-130507-11"/>
        </w:smartTagPr>
        <w:r>
          <w:t>REG-130507-11</w:t>
        </w:r>
      </w:smartTag>
      <w:r>
        <w:rPr>
          <w:rStyle w:val="FootnoteReference"/>
        </w:rPr>
        <w:footnoteReference w:id="52"/>
      </w:r>
      <w:r>
        <w:t xml:space="preserve"> or </w:t>
      </w:r>
      <w:smartTag w:uri="http://www.bna.com/sgml2word/cite" w:element="cite.agency.doc">
        <w:smartTagPr>
          <w:attr w:name="ref" w:val="irs\nprm\REG-130843-13"/>
        </w:smartTagPr>
        <w:r>
          <w:t>REG-130843-13</w:t>
        </w:r>
      </w:smartTag>
      <w:r>
        <w:rPr>
          <w:rStyle w:val="FootnoteReference"/>
        </w:rPr>
        <w:footnoteReference w:id="53"/>
      </w:r>
      <w:r>
        <w:t xml:space="preserve">) generally will be considered a reasonable, good faith effort to comply with the requirements of </w:t>
      </w:r>
      <w:smartTag w:uri="http://www.bna.com/sgml2word/cite" w:element="cite.usc">
        <w:smartTagPr>
          <w:attr w:name="ref" w:val="USC\26\1411"/>
        </w:smartTagPr>
        <w:r>
          <w:t>§1411</w:t>
        </w:r>
      </w:smartTag>
      <w:r>
        <w:t xml:space="preserve"> if the regulations projects under </w:t>
      </w:r>
      <w:smartTag w:uri="http://www.bna.com/sgml2word/cite" w:element="cite.usc">
        <w:smartTagPr>
          <w:attr w:name="ref" w:val="USC\26\1411"/>
        </w:smartTagPr>
        <w:r>
          <w:t>§1411</w:t>
        </w:r>
      </w:smartTag>
      <w:r>
        <w:t xml:space="preserve"> were applied in their entirety, and the taxpayer makes reasonable adjustments to ensure that its </w:t>
      </w:r>
      <w:smartTag w:uri="http://www.bna.com/sgml2word/cite" w:element="cite.usc">
        <w:smartTagPr>
          <w:attr w:name="ref" w:val="USC\26\1411"/>
        </w:smartTagPr>
        <w:r>
          <w:t>§1411</w:t>
        </w:r>
      </w:smartTag>
      <w:r>
        <w:t xml:space="preserve"> tax liability in tax years beginning after December 31, 2013, is not distorted by the positions taken in tax years beginning in 2013.</w:t>
      </w:r>
      <w:r>
        <w:rPr>
          <w:rStyle w:val="FootnoteReference"/>
        </w:rPr>
        <w:footnoteReference w:id="54"/>
      </w:r>
    </w:p>
    <w:p w14:paraId="1847785B" w14:textId="77777777" w:rsidR="00494B49" w:rsidRDefault="00494B49">
      <w:pPr>
        <w:pStyle w:val="BChapterName"/>
      </w:pPr>
      <w:r>
        <w:t>II. General Operating Principles</w:t>
      </w:r>
    </w:p>
    <w:p w14:paraId="08E0F98D" w14:textId="77777777" w:rsidR="00494B49" w:rsidRDefault="00494B49">
      <w:pPr>
        <w:pStyle w:val="BHead1"/>
      </w:pPr>
      <w:r>
        <w:t>A. Chapter 1 Principles in Chapter 2A</w:t>
      </w:r>
    </w:p>
    <w:p w14:paraId="39D25C6E" w14:textId="77777777" w:rsidR="00494B49" w:rsidRDefault="00494B49">
      <w:pPr>
        <w:pStyle w:val="BNormal"/>
      </w:pPr>
      <w:smartTag w:uri="http://www.bna.com/sgml2word/cite" w:element="cite.usc">
        <w:smartTagPr>
          <w:attr w:name="ref" w:val="USC\26\1411"/>
        </w:smartTagPr>
        <w:r>
          <w:t>Section 1411</w:t>
        </w:r>
      </w:smartTag>
      <w:r>
        <w:t xml:space="preserve"> (the sole Code section in Chapter 2A of the Code) contains terms commonly used in federal income taxation and cross-refers to certain provisions of Chapter 1, such as </w:t>
      </w:r>
      <w:smartTag w:uri="http://www.bna.com/sgml2word/cite" w:element="cite.usc">
        <w:smartTagPr>
          <w:attr w:name="ref" w:val="USC\26\67(e)"/>
        </w:smartTagPr>
        <w:r>
          <w:t>§67(e)</w:t>
        </w:r>
      </w:smartTag>
      <w:r>
        <w:t xml:space="preserve">, </w:t>
      </w:r>
      <w:smartTag w:uri="http://www.bna.com/sgml2word/cite" w:element="cite.usc">
        <w:smartTagPr>
          <w:attr w:name="ref" w:val="USC\26\469"/>
        </w:smartTagPr>
        <w:r>
          <w:t>§469</w:t>
        </w:r>
      </w:smartTag>
      <w:r>
        <w:t xml:space="preserve">, </w:t>
      </w:r>
      <w:smartTag w:uri="http://www.bna.com/sgml2word/cite" w:element="cite.usc">
        <w:smartTagPr>
          <w:attr w:name="ref" w:val="USC\26\401(a)"/>
        </w:smartTagPr>
        <w:r>
          <w:t>§401(a)</w:t>
        </w:r>
      </w:smartTag>
      <w:r>
        <w:t xml:space="preserve">, and </w:t>
      </w:r>
      <w:smartTag w:uri="http://www.bna.com/sgml2word/cite" w:element="cite.usc">
        <w:smartTagPr>
          <w:attr w:name="ref" w:val="USC\26\475(e)(2)"/>
        </w:smartTagPr>
        <w:r>
          <w:t>§475(e)(2)</w:t>
        </w:r>
      </w:smartTag>
      <w:r>
        <w:t xml:space="preserve">. However, other than these specific cross-references to provisions of Chapter 1, and certain </w:t>
      </w:r>
      <w:smartTag w:uri="http://www.bna.com/sgml2word/cite" w:element="cite.usc">
        <w:smartTagPr>
          <w:attr w:name="ref" w:val="USC\26\1411"/>
        </w:smartTagPr>
        <w:r>
          <w:t>§1411</w:t>
        </w:r>
      </w:smartTag>
      <w:r>
        <w:t xml:space="preserve">-specific definitions within the statutory text itself, </w:t>
      </w:r>
      <w:smartTag w:uri="http://www.bna.com/sgml2word/cite" w:element="cite.usc">
        <w:smartTagPr>
          <w:attr w:name="ref" w:val="USC\26\1411"/>
        </w:smartTagPr>
        <w:r>
          <w:t>§1411</w:t>
        </w:r>
      </w:smartTag>
      <w:r>
        <w:t xml:space="preserve"> does not provide definitions of its operative phrases or terminology.</w:t>
      </w:r>
    </w:p>
    <w:p w14:paraId="5630C95E" w14:textId="77777777" w:rsidR="00494B49" w:rsidRDefault="00494B49">
      <w:pPr>
        <w:pStyle w:val="BNormal"/>
      </w:pPr>
      <w:r>
        <w:t xml:space="preserve">Except as otherwise provided, Chapter 1 principles and rules apply in determining any net investment income tax (NIIT) liability. Consistent with this approach, gain that is not recognized under Chapter 1 for a tax year generally is not recognized for that year for NIIT purposes (e.g., gain deferred or excluded under </w:t>
      </w:r>
      <w:smartTag w:uri="http://www.bna.com/sgml2word/cite" w:element="cite.usc">
        <w:smartTagPr>
          <w:attr w:name="ref" w:val="USC\26\453"/>
        </w:smartTagPr>
        <w:r>
          <w:t>§453</w:t>
        </w:r>
      </w:smartTag>
      <w:r>
        <w:t xml:space="preserve"> (installment method), </w:t>
      </w:r>
      <w:smartTag w:uri="http://www.bna.com/sgml2word/cite" w:element="cite.usc">
        <w:smartTagPr>
          <w:attr w:name="ref" w:val="USC\26\1031"/>
        </w:smartTagPr>
        <w:r>
          <w:t>§1031</w:t>
        </w:r>
      </w:smartTag>
      <w:r>
        <w:t xml:space="preserve"> (like-kind exchanges), </w:t>
      </w:r>
      <w:smartTag w:uri="http://www.bna.com/sgml2word/cite" w:element="cite.usc">
        <w:smartTagPr>
          <w:attr w:name="ref" w:val="USC\26\1033"/>
        </w:smartTagPr>
        <w:r>
          <w:t>§1033</w:t>
        </w:r>
      </w:smartTag>
      <w:r>
        <w:t xml:space="preserve"> (involuntary conversions), or </w:t>
      </w:r>
      <w:smartTag w:uri="http://www.bna.com/sgml2word/cite" w:element="cite.usc">
        <w:smartTagPr>
          <w:attr w:name="ref" w:val="USC\26\121"/>
        </w:smartTagPr>
        <w:r>
          <w:t>§121</w:t>
        </w:r>
      </w:smartTag>
      <w:r>
        <w:t xml:space="preserve"> (sale of principal residence)). </w:t>
      </w:r>
      <w:r>
        <w:br/>
        <w:t xml:space="preserve">Deferral or disallowance provisions of Chapter 1 used in determining adjusted gross income apply to the determination of net investment income (e.g., </w:t>
      </w:r>
      <w:smartTag w:uri="http://www.bna.com/sgml2word/cite" w:element="cite.usc">
        <w:smartTagPr>
          <w:attr w:name="ref" w:val="USC\26\163(d)"/>
        </w:smartTagPr>
        <w:r>
          <w:t>§163(d)</w:t>
        </w:r>
      </w:smartTag>
      <w:r>
        <w:t xml:space="preserve"> (limitation on investment interest), </w:t>
      </w:r>
      <w:smartTag w:uri="http://www.bna.com/sgml2word/cite" w:element="cite.usc">
        <w:smartTagPr>
          <w:attr w:name="ref" w:val="USC\26\265"/>
        </w:smartTagPr>
        <w:r>
          <w:t>§265</w:t>
        </w:r>
      </w:smartTag>
      <w:r>
        <w:t xml:space="preserve"> (expenses and interest relating to tax-exempt income), </w:t>
      </w:r>
      <w:smartTag w:uri="http://www.bna.com/sgml2word/cite" w:element="cite.usc">
        <w:smartTagPr>
          <w:attr w:name="ref" w:val="USC\26\465(a)(2)"/>
        </w:smartTagPr>
        <w:r>
          <w:t>§465(a)(2)</w:t>
        </w:r>
      </w:smartTag>
      <w:r>
        <w:t xml:space="preserve"> (at-risk limitations), </w:t>
      </w:r>
      <w:smartTag w:uri="http://www.bna.com/sgml2word/cite" w:element="cite.usc">
        <w:smartTagPr>
          <w:attr w:name="ref" w:val="USC\26\469(b)"/>
        </w:smartTagPr>
        <w:r>
          <w:t>§469(b)</w:t>
        </w:r>
      </w:smartTag>
      <w:r>
        <w:t xml:space="preserve"> (passive activity loss limitations), </w:t>
      </w:r>
      <w:smartTag w:uri="http://www.bna.com/sgml2word/cite" w:element="cite.usc">
        <w:smartTagPr>
          <w:attr w:name="ref" w:val="USC\26\704(d)"/>
        </w:smartTagPr>
        <w:r>
          <w:t>§704(d)</w:t>
        </w:r>
      </w:smartTag>
      <w:r>
        <w:t xml:space="preserve"> (partner loss limitations), </w:t>
      </w:r>
      <w:smartTag w:uri="http://www.bna.com/sgml2word/cite" w:element="cite.usc">
        <w:smartTagPr>
          <w:attr w:name="ref" w:val="USC\26\1212(b)"/>
        </w:smartTagPr>
        <w:r>
          <w:t>§1212(b)</w:t>
        </w:r>
      </w:smartTag>
      <w:r>
        <w:t xml:space="preserve"> (capital loss carryover limitations), or </w:t>
      </w:r>
      <w:smartTag w:uri="http://www.bna.com/sgml2word/cite" w:element="cite.usc">
        <w:smartTagPr>
          <w:attr w:name="ref" w:val="USC\26\1366(d)(2)"/>
        </w:smartTagPr>
        <w:r>
          <w:t>§1366(d)(2)</w:t>
        </w:r>
      </w:smartTag>
      <w:r>
        <w:t xml:space="preserve"> (S corporation shareholder loss limitations)). A deduction carried over to a tax year pursuant to </w:t>
      </w:r>
      <w:smartTag w:uri="http://www.bna.com/sgml2word/cite" w:element="cite.usc">
        <w:smartTagPr>
          <w:attr w:name="ref" w:val="USC\26\163(d)"/>
        </w:smartTagPr>
        <w:r>
          <w:t>§163(d)</w:t>
        </w:r>
      </w:smartTag>
      <w:r>
        <w:t xml:space="preserve">, </w:t>
      </w:r>
      <w:smartTag w:uri="http://www.bna.com/sgml2word/cite" w:element="cite.usc">
        <w:smartTagPr>
          <w:attr w:name="ref" w:val="USC\26\465(a)(2)"/>
        </w:smartTagPr>
        <w:r>
          <w:t>§465(a)(2)</w:t>
        </w:r>
      </w:smartTag>
      <w:r>
        <w:t xml:space="preserve">, </w:t>
      </w:r>
      <w:smartTag w:uri="http://www.bna.com/sgml2word/cite" w:element="cite.usc">
        <w:smartTagPr>
          <w:attr w:name="ref" w:val="USC\26\469(b)"/>
        </w:smartTagPr>
        <w:r>
          <w:t>§469(b)</w:t>
        </w:r>
      </w:smartTag>
      <w:r>
        <w:t xml:space="preserve">, </w:t>
      </w:r>
      <w:smartTag w:uri="http://www.bna.com/sgml2word/cite" w:element="cite.usc">
        <w:smartTagPr>
          <w:attr w:name="ref" w:val="USC\26\704(d)"/>
        </w:smartTagPr>
        <w:r>
          <w:t>§704(d)</w:t>
        </w:r>
      </w:smartTag>
      <w:r>
        <w:t xml:space="preserve">, </w:t>
      </w:r>
      <w:smartTag w:uri="http://www.bna.com/sgml2word/cite" w:element="cite.usc">
        <w:smartTagPr>
          <w:attr w:name="ref" w:val="USC\26\1212(b)"/>
        </w:smartTagPr>
        <w:r>
          <w:t>§1212(b)</w:t>
        </w:r>
      </w:smartTag>
      <w:r>
        <w:t xml:space="preserve">, or </w:t>
      </w:r>
      <w:smartTag w:uri="http://www.bna.com/sgml2word/cite" w:element="cite.usc">
        <w:smartTagPr>
          <w:attr w:name="ref" w:val="USC\26\1366(d)(2)"/>
        </w:smartTagPr>
        <w:r>
          <w:t>§1366(d)(2)</w:t>
        </w:r>
      </w:smartTag>
      <w:r>
        <w:t xml:space="preserve"> and allowed for that tax year in determining adjusted gross income is also allowed for determining net investment income, whether or not the tax year from which the deduction is carried precedes the effective date of the NIIT.</w:t>
      </w:r>
    </w:p>
    <w:p w14:paraId="28A9FA16" w14:textId="77777777" w:rsidR="00494B49" w:rsidRDefault="00494B49">
      <w:pPr>
        <w:pStyle w:val="BHead1"/>
      </w:pPr>
      <w:r>
        <w:t>B. Tax Credits</w:t>
      </w:r>
    </w:p>
    <w:p w14:paraId="1BEBD6CA" w14:textId="77777777" w:rsidR="00494B49" w:rsidRDefault="00494B49">
      <w:pPr>
        <w:pStyle w:val="BNormal"/>
      </w:pPr>
      <w:r>
        <w:t xml:space="preserve">There are very few tax credits that a taxpayer may use to offset the net investment income tax (NIIT). This result, regardless of the merits of any equity arguments, is largely due to the placement of </w:t>
      </w:r>
      <w:smartTag w:uri="http://www.bna.com/sgml2word/cite" w:element="cite.usc">
        <w:smartTagPr>
          <w:attr w:name="ref" w:val="USC\26\1411"/>
        </w:smartTagPr>
        <w:r>
          <w:t>§1411</w:t>
        </w:r>
      </w:smartTag>
      <w:r>
        <w:t xml:space="preserve"> outside of Chapter 1 of the Code.</w:t>
      </w:r>
      <w:r>
        <w:rPr>
          <w:rStyle w:val="FootnoteReference"/>
        </w:rPr>
        <w:footnoteReference w:id="55"/>
      </w:r>
      <w:r>
        <w:t xml:space="preserve"> The regulations provide that any amount that may be credited against only the tax imposed by Chapter 1 of the Code may not be credited against the </w:t>
      </w:r>
      <w:smartTag w:uri="http://www.bna.com/sgml2word/cite" w:element="cite.usc">
        <w:smartTagPr>
          <w:attr w:name="ref" w:val="USC\26\1411"/>
        </w:smartTagPr>
        <w:r>
          <w:t>§1411</w:t>
        </w:r>
      </w:smartTag>
      <w:r>
        <w:t xml:space="preserve"> tax imposed by Chapter 2A of the Code unless specifically provided in the Code.</w:t>
      </w:r>
      <w:r>
        <w:rPr>
          <w:rStyle w:val="FootnoteReference"/>
        </w:rPr>
        <w:footnoteReference w:id="56"/>
      </w:r>
      <w:r>
        <w:t xml:space="preserve"> For example, Reg. </w:t>
      </w:r>
      <w:smartTag w:uri="http://www.bna.com/sgml2word/cite" w:element="cite.cfr">
        <w:smartTagPr>
          <w:attr w:name="ref" w:val="cfr\26\1.1411-1(e)"/>
        </w:smartTagPr>
        <w:r>
          <w:t>§1.1411-1(e)</w:t>
        </w:r>
      </w:smartTag>
      <w:r>
        <w:t xml:space="preserve"> provides that foreign income, war profits, and excess profits taxes that are allowed as a foreign tax credit by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xml:space="preserve">, respectively, are </w:t>
      </w:r>
      <w:r>
        <w:lastRenderedPageBreak/>
        <w:t>not allowed as a credit against the NIIT.</w:t>
      </w:r>
      <w:r>
        <w:rPr>
          <w:rStyle w:val="FootnoteReference"/>
        </w:rPr>
        <w:footnoteReference w:id="57"/>
      </w:r>
      <w:r>
        <w:t xml:space="preserve"> For a more detailed discussion of the application of foreign tax credits, income tax treaties, and totalization agreements, see </w:t>
      </w:r>
      <w:smartTag w:uri="http://www.bna.com/sgml2word/cite" w:element="cite.bna.reference">
        <w:smartTagPr>
          <w:attr w:name="bna.id.ref" w:val="TM\511.X.C"/>
        </w:smartTagPr>
        <w:r>
          <w:t>X.C.</w:t>
        </w:r>
      </w:smartTag>
      <w:smartTag w:uri="http://www.bna.com/sgml2word/cite" w:element="cite.bna.reference">
        <w:smartTagPr>
          <w:attr w:name="bna.id.ref" w:val="TM\873.X.C"/>
        </w:smartTagPr>
        <w:r>
          <w:t>X.C.</w:t>
        </w:r>
      </w:smartTag>
      <w:r>
        <w:t>, below.</w:t>
      </w:r>
    </w:p>
    <w:p w14:paraId="419BD115" w14:textId="77777777" w:rsidR="00494B49" w:rsidRDefault="00494B49">
      <w:pPr>
        <w:pStyle w:val="BNormal"/>
      </w:pPr>
      <w:r>
        <w:t xml:space="preserve">One of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contains a nonexhaustive list of tax credits and their NIIT creditability. Note, however, that even if a credit is creditable against the NIIT based on the statutory language, it might not be allowable for other reasons.</w:t>
      </w:r>
      <w:r>
        <w:rPr>
          <w:rStyle w:val="FootnoteReference"/>
        </w:rPr>
        <w:footnoteReference w:id="58"/>
      </w:r>
    </w:p>
    <w:p w14:paraId="11B0FA55" w14:textId="77777777" w:rsidR="00494B49" w:rsidRDefault="00494B49">
      <w:pPr>
        <w:pStyle w:val="BHead1"/>
      </w:pPr>
      <w:r>
        <w:t>C. Definitions</w:t>
      </w:r>
    </w:p>
    <w:p w14:paraId="4D805157" w14:textId="77777777" w:rsidR="00494B49" w:rsidRDefault="00494B49">
      <w:pPr>
        <w:pStyle w:val="BNormal"/>
      </w:pPr>
      <w:r>
        <w:t xml:space="preserve">There are approximately two dozen defined terms scattered throughout the net investment income tax (NIIT) regulations. Reg. </w:t>
      </w:r>
      <w:smartTag w:uri="http://www.bna.com/sgml2word/cite" w:element="cite.cfr">
        <w:smartTagPr>
          <w:attr w:name="ref" w:val="cfr\26\1.1411-1(d)"/>
        </w:smartTagPr>
        <w:r>
          <w:t>§1.1411-1(d)</w:t>
        </w:r>
      </w:smartTag>
      <w:r>
        <w:t xml:space="preserve"> provides definitions that are applicable to more than one section of the regulations. If a term is applicable to only a specific part of the regulations, it is likely defined within that part, and will be discussed in this Portfolio in connection with that topic. </w:t>
      </w:r>
    </w:p>
    <w:p w14:paraId="4EBD54DD" w14:textId="77777777" w:rsidR="00494B49" w:rsidRDefault="00494B49">
      <w:pPr>
        <w:pStyle w:val="BNormal"/>
      </w:pPr>
      <w:r>
        <w:t xml:space="preserve">Reg. </w:t>
      </w:r>
      <w:smartTag w:uri="http://www.bna.com/sgml2word/cite" w:element="cite.cfr">
        <w:smartTagPr>
          <w:attr w:name="ref" w:val="cfr\26\1.1411-1(d)"/>
        </w:smartTagPr>
        <w:r>
          <w:t>§1.1411-1(d)</w:t>
        </w:r>
      </w:smartTag>
      <w:r>
        <w:t xml:space="preserve"> provides definitions for several terms that are critical to the application of </w:t>
      </w:r>
      <w:smartTag w:uri="http://www.bna.com/sgml2word/cite" w:element="cite.usc">
        <w:smartTagPr>
          <w:attr w:name="ref" w:val="USC\26\1411(c)(1)(A)(i)"/>
        </w:smartTagPr>
        <w:r>
          <w:t>§1411(c)(1)(A)(i)</w:t>
        </w:r>
      </w:smartTag>
      <w:r>
        <w:t xml:space="preserve"> (the first step in the computation of net investment income), including:</w:t>
      </w:r>
    </w:p>
    <w:p w14:paraId="506D8F74" w14:textId="77777777" w:rsidR="00494B49" w:rsidRDefault="00494B49">
      <w:pPr>
        <w:pStyle w:val="BListitembul"/>
      </w:pPr>
      <w:r>
        <w:t>“Gross income from interest,”</w:t>
      </w:r>
      <w:r>
        <w:rPr>
          <w:rStyle w:val="FootnoteReference"/>
        </w:rPr>
        <w:footnoteReference w:id="59"/>
      </w:r>
    </w:p>
    <w:p w14:paraId="162547EF" w14:textId="77777777" w:rsidR="00494B49" w:rsidRDefault="00494B49">
      <w:pPr>
        <w:pStyle w:val="BListitembul"/>
      </w:pPr>
      <w:r>
        <w:t>“Gross income from dividends,”</w:t>
      </w:r>
      <w:r>
        <w:rPr>
          <w:rStyle w:val="FootnoteReference"/>
        </w:rPr>
        <w:footnoteReference w:id="60"/>
      </w:r>
    </w:p>
    <w:p w14:paraId="2F4559CB" w14:textId="77777777" w:rsidR="00494B49" w:rsidRDefault="00494B49">
      <w:pPr>
        <w:pStyle w:val="BListitembul"/>
      </w:pPr>
      <w:r>
        <w:t>“Gross income from annuities,”</w:t>
      </w:r>
      <w:r>
        <w:rPr>
          <w:rStyle w:val="FootnoteReference"/>
        </w:rPr>
        <w:footnoteReference w:id="61"/>
      </w:r>
    </w:p>
    <w:p w14:paraId="12927C8B" w14:textId="77777777" w:rsidR="00494B49" w:rsidRDefault="00494B49">
      <w:pPr>
        <w:pStyle w:val="BListitembul"/>
      </w:pPr>
      <w:r>
        <w:t>“Gross income from royalties,”</w:t>
      </w:r>
      <w:r>
        <w:rPr>
          <w:rStyle w:val="FootnoteReference"/>
        </w:rPr>
        <w:footnoteReference w:id="62"/>
      </w:r>
    </w:p>
    <w:p w14:paraId="18C09207" w14:textId="77777777" w:rsidR="00494B49" w:rsidRDefault="00494B49">
      <w:pPr>
        <w:pStyle w:val="BListitembul"/>
      </w:pPr>
      <w:r>
        <w:t>“Gross income from rents,”</w:t>
      </w:r>
      <w:r>
        <w:rPr>
          <w:rStyle w:val="FootnoteReference"/>
        </w:rPr>
        <w:footnoteReference w:id="63"/>
      </w:r>
      <w:r>
        <w:t xml:space="preserve"> and</w:t>
      </w:r>
    </w:p>
    <w:p w14:paraId="2EAECC7E" w14:textId="77777777" w:rsidR="00494B49" w:rsidRDefault="00494B49">
      <w:pPr>
        <w:pStyle w:val="BListitembul"/>
      </w:pPr>
      <w:r>
        <w:t>“Trade or Business.”</w:t>
      </w:r>
      <w:r>
        <w:rPr>
          <w:rStyle w:val="FootnoteReference"/>
        </w:rPr>
        <w:footnoteReference w:id="64"/>
      </w:r>
    </w:p>
    <w:p w14:paraId="02E7CF39" w14:textId="77777777" w:rsidR="00494B49" w:rsidRDefault="00494B49">
      <w:pPr>
        <w:pStyle w:val="BNormal"/>
      </w:pPr>
      <w:r>
        <w:t xml:space="preserve">The definitions of these terms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w:t>
      </w:r>
    </w:p>
    <w:p w14:paraId="12058232" w14:textId="77777777" w:rsidR="00494B49" w:rsidRDefault="00494B49">
      <w:pPr>
        <w:pStyle w:val="BNormal"/>
      </w:pPr>
      <w:r>
        <w:t xml:space="preserve">In addition, Reg. </w:t>
      </w:r>
      <w:smartTag w:uri="http://www.bna.com/sgml2word/cite" w:element="cite.cfr">
        <w:smartTagPr>
          <w:attr w:name="ref" w:val="cfr\26\1.1411-1(d)"/>
        </w:smartTagPr>
        <w:r>
          <w:t>§1.1411-1(d)</w:t>
        </w:r>
      </w:smartTag>
      <w:r>
        <w:t xml:space="preserve"> provides definitions of “net investment income”</w:t>
      </w:r>
      <w:r>
        <w:rPr>
          <w:rStyle w:val="FootnoteReference"/>
        </w:rPr>
        <w:footnoteReference w:id="65"/>
      </w:r>
      <w:r>
        <w:t xml:space="preserve"> and “excluded income,”</w:t>
      </w:r>
      <w:r>
        <w:rPr>
          <w:rStyle w:val="FootnoteReference"/>
        </w:rPr>
        <w:footnoteReference w:id="66"/>
      </w:r>
      <w:r>
        <w:t xml:space="preserve"> both of which are extremely important to an overall understanding of the NIIT. These two terms are mutually exclusive — an item may be either net investment income or excluded income, but cannot be both. The most challenging determination for the IRS and taxpayers may well be distinguishing between net investment income and excluded income. </w:t>
      </w:r>
    </w:p>
    <w:p w14:paraId="78606C63" w14:textId="77777777" w:rsidR="00494B49" w:rsidRDefault="00494B49" w:rsidP="006951DA">
      <w:pPr>
        <w:pStyle w:val="BHead2"/>
        <w:keepNext/>
        <w:keepLines/>
      </w:pPr>
      <w:r>
        <w:lastRenderedPageBreak/>
        <w:t xml:space="preserve">1. Net Investment Income </w:t>
      </w:r>
    </w:p>
    <w:p w14:paraId="262B19F6" w14:textId="77777777" w:rsidR="00494B49" w:rsidRDefault="00494B49" w:rsidP="006951DA">
      <w:pPr>
        <w:pStyle w:val="BNormal"/>
        <w:keepNext/>
        <w:keepLines/>
      </w:pPr>
      <w:r>
        <w:t xml:space="preserve">The term </w:t>
      </w:r>
      <w:r>
        <w:rPr>
          <w:i/>
        </w:rPr>
        <w:t>net investment income</w:t>
      </w:r>
      <w:r>
        <w:t xml:space="preserve"> (commonly referred to as “NII”) means net investment income as defined in </w:t>
      </w:r>
      <w:smartTag w:uri="http://www.bna.com/sgml2word/cite" w:element="cite.usc">
        <w:smartTagPr>
          <w:attr w:name="ref" w:val="USC\26\1411(c)"/>
        </w:smartTagPr>
        <w:r>
          <w:t>§1411(c)</w:t>
        </w:r>
      </w:smartTag>
      <w:r>
        <w:t xml:space="preserve"> and Reg. </w:t>
      </w:r>
      <w:smartTag w:uri="http://www.bna.com/sgml2word/cite" w:element="cite.cfr">
        <w:smartTagPr>
          <w:attr w:name="ref" w:val="cfr\26\1.1411-4"/>
        </w:smartTagPr>
        <w:r>
          <w:t>§1.1411-4</w:t>
        </w:r>
      </w:smartTag>
      <w:r>
        <w:t xml:space="preserve">, as adjusted under the rules in Reg. </w:t>
      </w:r>
      <w:smartTag w:uri="http://www.bna.com/sgml2word/cite" w:element="cite.cfr">
        <w:smartTagPr>
          <w:attr w:name="ref" w:val="cfr\26\1.1411-10(c)"/>
        </w:smartTagPr>
        <w:r>
          <w:t>§1.1411-10(c)</w:t>
        </w:r>
      </w:smartTag>
      <w:r>
        <w:t>.</w:t>
      </w:r>
      <w:r>
        <w:rPr>
          <w:rStyle w:val="FootnoteReference"/>
        </w:rPr>
        <w:footnoteReference w:id="67"/>
      </w:r>
      <w:r>
        <w:t xml:space="preserve"> The calculation of net investment income is complex and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below. </w:t>
      </w:r>
    </w:p>
    <w:p w14:paraId="5E8FBFEB" w14:textId="77777777" w:rsidR="00494B49" w:rsidRDefault="00494B49">
      <w:pPr>
        <w:pStyle w:val="BNormal"/>
      </w:pPr>
      <w:r>
        <w:rPr>
          <w:i/>
        </w:rPr>
        <w:t>Comment:</w:t>
      </w:r>
      <w:r>
        <w:t xml:space="preserve"> Net investment income logically seems to be a positive number, similar to the common understanding of taxable income.</w:t>
      </w:r>
      <w:r>
        <w:rPr>
          <w:rStyle w:val="FootnoteReference"/>
        </w:rPr>
        <w:footnoteReference w:id="68"/>
      </w:r>
      <w:r>
        <w:t xml:space="preserve"> Net investment income comprises two items: gross investment income and properly allocable deductions. Under the 2012 Proposed Regulations, net investment income was prohibited from being a negative amount. However, the 2013 Final Regulations removed that overall limitation.</w:t>
      </w:r>
      <w:r>
        <w:rPr>
          <w:rStyle w:val="FootnoteReference"/>
        </w:rPr>
        <w:footnoteReference w:id="69"/>
      </w:r>
    </w:p>
    <w:p w14:paraId="4BC27423" w14:textId="77777777" w:rsidR="00494B49" w:rsidRDefault="00494B49">
      <w:pPr>
        <w:pStyle w:val="BHead2"/>
      </w:pPr>
      <w:r>
        <w:t xml:space="preserve">2. Excluded Income </w:t>
      </w:r>
    </w:p>
    <w:p w14:paraId="7DEE2D6A" w14:textId="77777777" w:rsidR="00494B49" w:rsidRDefault="00494B49">
      <w:pPr>
        <w:pStyle w:val="BNormal"/>
      </w:pPr>
      <w:r>
        <w:t xml:space="preserve"> In general, the term excluded income means items of income, gain, loss, and deduction that are not taken into account in computing net investment income. The 2013 Final Regulations do not provide a specific list of income or deduction items that are excluded from the calculation of net investment income. However, they do provide additional guidance on general categories of income and gain items that are excluded from net investment income. Reg. </w:t>
      </w:r>
      <w:smartTag w:uri="http://www.bna.com/sgml2word/cite" w:element="cite.cfr">
        <w:smartTagPr>
          <w:attr w:name="ref" w:val="cfr\26\1.1411-1(d)(4)"/>
        </w:smartTagPr>
        <w:r>
          <w:t>§1.1411-1(d)(4)</w:t>
        </w:r>
      </w:smartTag>
      <w:r>
        <w:t xml:space="preserve"> provides that excluded income includes the following: </w:t>
      </w:r>
    </w:p>
    <w:p w14:paraId="35513F62" w14:textId="77777777" w:rsidR="00494B49" w:rsidRDefault="00494B49">
      <w:pPr>
        <w:pStyle w:val="BListitembul"/>
      </w:pPr>
      <w:r>
        <w:t xml:space="preserve">Items of income excluded from gross income in Chapter 1. </w:t>
      </w:r>
    </w:p>
    <w:p w14:paraId="08F96075" w14:textId="77777777" w:rsidR="00494B49" w:rsidRDefault="00494B49">
      <w:pPr>
        <w:pStyle w:val="BListitembul"/>
      </w:pPr>
      <w:r>
        <w:t xml:space="preserve">Items of income not included in net investment income, as determined under Reg. §1.1411-4 and §1.1411-10. </w:t>
      </w:r>
    </w:p>
    <w:p w14:paraId="61F6116A" w14:textId="77777777" w:rsidR="00494B49" w:rsidRDefault="00494B49">
      <w:pPr>
        <w:pStyle w:val="BListitembul"/>
      </w:pPr>
      <w:r>
        <w:t xml:space="preserve">Items of gross income and net gain specifically excluded from net investment income by §1411, the §1411 regulations, or other guidance published in the Internal Revenue Bulletin. </w:t>
      </w:r>
    </w:p>
    <w:p w14:paraId="3806F017" w14:textId="77777777" w:rsidR="00494B49" w:rsidRDefault="00494B49">
      <w:pPr>
        <w:pStyle w:val="BNormal"/>
      </w:pPr>
      <w:r>
        <w:t xml:space="preserve">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7D35815C" w14:textId="77777777" w:rsidR="00494B49" w:rsidRDefault="00494B49">
      <w:pPr>
        <w:pStyle w:val="BHead1"/>
      </w:pPr>
      <w:r>
        <w:t>D. Trades or Businesses to Which the NIIT Applies</w:t>
      </w:r>
    </w:p>
    <w:p w14:paraId="08B0B2EB" w14:textId="77777777" w:rsidR="00494B49" w:rsidRDefault="00494B49">
      <w:pPr>
        <w:pStyle w:val="BNormal"/>
      </w:pPr>
      <w:smartTag w:uri="http://www.bna.com/sgml2word/cite" w:element="cite.usc">
        <w:smartTagPr>
          <w:attr w:name="ref" w:val="USC\26\1411(c)(1)(A)"/>
        </w:smartTagPr>
        <w:r>
          <w:t>Section 1411(c)(1)(A)</w:t>
        </w:r>
      </w:smartTag>
      <w:r>
        <w:t xml:space="preserve"> defines net investment income (NII), in part, by reference to trades or businesses described in </w:t>
      </w:r>
      <w:smartTag w:uri="http://www.bna.com/sgml2word/cite" w:element="cite.usc">
        <w:smartTagPr>
          <w:attr w:name="ref" w:val="USC\26\1411(c)(2)"/>
        </w:smartTagPr>
        <w:r>
          <w:t>§1411(c)(2)</w:t>
        </w:r>
      </w:smartTag>
      <w:r>
        <w:t xml:space="preserve">, specifically: (A) a passive activity with respect to the taxpayer, and (B) a trade or business of trading in financial instruments or commodities. If a trade or business is a </w:t>
      </w:r>
      <w:smartTag w:uri="http://www.bna.com/sgml2word/cite" w:element="cite.usc">
        <w:smartTagPr>
          <w:attr w:name="ref" w:val="USC\26\1411(c)(2)"/>
        </w:smartTagPr>
        <w:r>
          <w:t>§1411(c)(2)</w:t>
        </w:r>
      </w:smartTag>
      <w:r>
        <w:t xml:space="preserve"> trade or business, then all income derived from that trade or business is net investment income. Reg. </w:t>
      </w:r>
      <w:smartTag w:uri="http://www.bna.com/sgml2word/cite" w:element="cite.cfr">
        <w:smartTagPr>
          <w:attr w:name="ref" w:val="cfr\26\1.1411-5"/>
        </w:smartTagPr>
        <w:r>
          <w:t>§1.1411-5</w:t>
        </w:r>
      </w:smartTag>
      <w:r>
        <w:t xml:space="preserve"> provides additional guidance with respect to identifying </w:t>
      </w:r>
      <w:smartTag w:uri="http://www.bna.com/sgml2word/cite" w:element="cite.usc">
        <w:smartTagPr>
          <w:attr w:name="ref" w:val="USC\26\1411(c)(2)"/>
        </w:smartTagPr>
        <w:r>
          <w:t>§1411(c)(2)</w:t>
        </w:r>
      </w:smartTag>
      <w:r>
        <w:t xml:space="preserve"> trades or businesses. The scope of income subject to the net investment income tax (NIIT) if a trade or business is a “</w:t>
      </w:r>
      <w:smartTag w:uri="http://www.bna.com/sgml2word/cite" w:element="cite.usc">
        <w:smartTagPr>
          <w:attr w:name="ref" w:val="USC\26\1411(c)(2)"/>
        </w:smartTagPr>
        <w:r>
          <w:t>§1411(c)(2)</w:t>
        </w:r>
      </w:smartTag>
      <w:r>
        <w:t xml:space="preserve"> Trade or Business” with respect to a particular taxpayer can be expansive, making it imperative to understand the scope of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p>
    <w:p w14:paraId="7DCC84A9" w14:textId="77777777" w:rsidR="00494B49" w:rsidRDefault="00494B49">
      <w:pPr>
        <w:pStyle w:val="BNormal"/>
      </w:pPr>
      <w:r>
        <w:t xml:space="preserve">The term “trade or business” is not specifically defined in </w:t>
      </w:r>
      <w:smartTag w:uri="http://www.bna.com/sgml2word/cite" w:element="cite.usc">
        <w:smartTagPr>
          <w:attr w:name="ref" w:val="USC\26\1411"/>
        </w:smartTagPr>
        <w:r>
          <w:t>§1411</w:t>
        </w:r>
      </w:smartTag>
      <w:r>
        <w:t xml:space="preserve">’s statutory language or legislative history. The most established definition of trade or business is found under </w:t>
      </w:r>
      <w:smartTag w:uri="http://www.bna.com/sgml2word/cite" w:element="cite.usc">
        <w:smartTagPr>
          <w:attr w:name="ref" w:val="USC\26\162(a)"/>
        </w:smartTagPr>
        <w:r>
          <w:t>§162(a)</w:t>
        </w:r>
      </w:smartTag>
      <w:r>
        <w:t xml:space="preserve">, which permits a deduction for all the ordinary and necessary expenses paid or incurred in </w:t>
      </w:r>
      <w:r>
        <w:lastRenderedPageBreak/>
        <w:t xml:space="preserve">carrying on a trade or business. There also is a large body of case law and administrative guidance interpreting </w:t>
      </w:r>
      <w:smartTag w:uri="http://www.bna.com/sgml2word/cite" w:element="cite.usc">
        <w:smartTagPr>
          <w:attr w:name="ref" w:val="USC\26\162"/>
        </w:smartTagPr>
        <w:r>
          <w:t>§162</w:t>
        </w:r>
      </w:smartTag>
      <w:r>
        <w:t>’s meaning of trade or business.</w:t>
      </w:r>
      <w:r>
        <w:rPr>
          <w:rStyle w:val="FootnoteReference"/>
        </w:rPr>
        <w:footnoteReference w:id="70"/>
      </w:r>
      <w:r>
        <w:t xml:space="preserve"> The </w:t>
      </w:r>
      <w:smartTag w:uri="http://www.bna.com/sgml2word/cite" w:element="cite.usc">
        <w:smartTagPr>
          <w:attr w:name="ref" w:val="USC\26\1411"/>
        </w:smartTagPr>
        <w:r>
          <w:t>§1411</w:t>
        </w:r>
      </w:smartTag>
      <w:r>
        <w:t xml:space="preserve"> regulations incorporate the rules under </w:t>
      </w:r>
      <w:smartTag w:uri="http://www.bna.com/sgml2word/cite" w:element="cite.usc">
        <w:smartTagPr>
          <w:attr w:name="ref" w:val="USC\26\162"/>
        </w:smartTagPr>
        <w:r>
          <w:t>§162</w:t>
        </w:r>
      </w:smartTag>
      <w:r>
        <w:t xml:space="preserve"> for determining whether an activity is a trade or business for NIIT purposes.</w:t>
      </w:r>
      <w:r>
        <w:rPr>
          <w:rStyle w:val="FootnoteReference"/>
        </w:rPr>
        <w:footnoteReference w:id="71"/>
      </w:r>
      <w:r>
        <w:t xml:space="preserve"> For purposes of NIIT and any discussion in this Portfolio regarding a trade or business, the term trade or business is a </w:t>
      </w:r>
      <w:smartTag w:uri="http://www.bna.com/sgml2word/cite" w:element="cite.usc">
        <w:smartTagPr>
          <w:attr w:name="ref" w:val="USC\26\162"/>
        </w:smartTagPr>
        <w:r>
          <w:t>§162</w:t>
        </w:r>
      </w:smartTag>
      <w:r>
        <w:t xml:space="preserve"> trade or business. Despite multiple requests, the 2013 Final Regulations did not provide bright-line examples of what constitutes a trade or business for NIIT purposes, but did provide certain safe harbors that defused much of the tension in certain areas.</w:t>
      </w:r>
      <w:r>
        <w:rPr>
          <w:rStyle w:val="FootnoteReference"/>
        </w:rPr>
        <w:footnoteReference w:id="72"/>
      </w:r>
    </w:p>
    <w:p w14:paraId="2A0A3671" w14:textId="77777777" w:rsidR="00494B49" w:rsidRDefault="00494B49">
      <w:pPr>
        <w:pStyle w:val="BNormal"/>
      </w:pPr>
      <w:r>
        <w:t xml:space="preserve">For a detailed discussion of the </w:t>
      </w:r>
      <w:smartTag w:uri="http://www.bna.com/sgml2word/cite" w:element="cite.usc">
        <w:smartTagPr>
          <w:attr w:name="ref" w:val="USC\26\162"/>
        </w:smartTagPr>
        <w:r>
          <w:t>§162</w:t>
        </w:r>
      </w:smartTag>
      <w:r>
        <w:t xml:space="preserve"> definition of a trade or business, see </w:t>
      </w:r>
      <w:smartTag w:uri="http://www.bna.com/sgml2word/cite" w:element="cite.bna.reference">
        <w:smartTagPr>
          <w:attr w:name="bna.id.ref" w:val="TM\505"/>
        </w:smartTagPr>
        <w:r>
          <w:t>505 T.M.</w:t>
        </w:r>
      </w:smartTag>
      <w:r>
        <w:t xml:space="preserve">, </w:t>
      </w:r>
      <w:r>
        <w:rPr>
          <w:i/>
        </w:rPr>
        <w:t>Trade or Business Expenses and For-Profit Activity Deductions</w:t>
      </w:r>
      <w:r>
        <w:t xml:space="preserve">. </w:t>
      </w:r>
    </w:p>
    <w:p w14:paraId="64D74804" w14:textId="77777777" w:rsidR="00494B49" w:rsidRDefault="00494B49">
      <w:pPr>
        <w:pStyle w:val="BHead2"/>
      </w:pPr>
      <w:r>
        <w:t>1. Trade or Business That Is a Passive Activity — §1411(c)(2)(A)</w:t>
      </w:r>
    </w:p>
    <w:p w14:paraId="31F2BFC9" w14:textId="77777777" w:rsidR="00494B49" w:rsidRDefault="00494B49">
      <w:pPr>
        <w:pStyle w:val="BNormal"/>
      </w:pPr>
      <w:r>
        <w:t xml:space="preserve">There are two types of </w:t>
      </w:r>
      <w:smartTag w:uri="http://www.bna.com/sgml2word/cite" w:element="cite.usc">
        <w:smartTagPr>
          <w:attr w:name="ref" w:val="USC\26\1411(c)(2)"/>
        </w:smartTagPr>
        <w:r>
          <w:t>§1411(c)(2)</w:t>
        </w:r>
      </w:smartTag>
      <w:r>
        <w:t xml:space="preserve"> trades or businesses. The first and most expansive one is a trade or business that is a passive activity (within the meaning of </w:t>
      </w:r>
      <w:smartTag w:uri="http://www.bna.com/sgml2word/cite" w:element="cite.usc">
        <w:smartTagPr>
          <w:attr w:name="ref" w:val="USC\26\469"/>
        </w:smartTagPr>
        <w:r>
          <w:t>§469</w:t>
        </w:r>
      </w:smartTag>
      <w:r>
        <w:t xml:space="preserve">) with respect to the taxpayer. The definitions of trade or business and passive activity for NIIT purposes are more restrictive than for passive activity loss purposes in two respects. First, the passive loss rules provide that a trade or business includes not only a trade or business within the meaning of </w:t>
      </w:r>
      <w:smartTag w:uri="http://www.bna.com/sgml2word/cite" w:element="cite.usc">
        <w:smartTagPr>
          <w:attr w:name="ref" w:val="USC\26\162"/>
        </w:smartTagPr>
        <w:r>
          <w:t>§162</w:t>
        </w:r>
      </w:smartTag>
      <w:r>
        <w:t xml:space="preserve">, but also any activity conducted in anticipation of the commencement of a trade or business and any activity involving research or experimentation (within the meaning of </w:t>
      </w:r>
      <w:smartTag w:uri="http://www.bna.com/sgml2word/cite" w:element="cite.usc">
        <w:smartTagPr>
          <w:attr w:name="ref" w:val="USC\26\174"/>
        </w:smartTagPr>
        <w:r>
          <w:t>§174</w:t>
        </w:r>
      </w:smartTag>
      <w:r>
        <w:t>).</w:t>
      </w:r>
      <w:r>
        <w:rPr>
          <w:rStyle w:val="FootnoteReference"/>
        </w:rPr>
        <w:footnoteReference w:id="73"/>
      </w:r>
      <w:r>
        <w:t xml:space="preserve"> Second, while the passive loss rules define passive activity as any trade or business in which the taxpayer does not materially participate, it also includes any rental activity in the definition of passive activity.</w:t>
      </w:r>
      <w:r>
        <w:rPr>
          <w:rStyle w:val="FootnoteReference"/>
        </w:rPr>
        <w:footnoteReference w:id="74"/>
      </w:r>
      <w:r>
        <w:t xml:space="preserve"> Under the </w:t>
      </w:r>
      <w:smartTag w:uri="http://www.bna.com/sgml2word/cite" w:element="cite.usc">
        <w:smartTagPr>
          <w:attr w:name="ref" w:val="USC\26\1411"/>
        </w:smartTagPr>
        <w:r>
          <w:t>§1411</w:t>
        </w:r>
      </w:smartTag>
      <w:r>
        <w:t xml:space="preserve"> regulations, a passive activity is a trade or business for </w:t>
      </w:r>
      <w:smartTag w:uri="http://www.bna.com/sgml2word/cite" w:element="cite.usc">
        <w:smartTagPr>
          <w:attr w:name="ref" w:val="USC\26\1411"/>
        </w:smartTagPr>
        <w:r>
          <w:t>§1411</w:t>
        </w:r>
      </w:smartTag>
      <w:r>
        <w:t xml:space="preserve"> purposes only if it is a trade or business within the meaning of </w:t>
      </w:r>
      <w:smartTag w:uri="http://www.bna.com/sgml2word/cite" w:element="cite.usc">
        <w:smartTagPr>
          <w:attr w:name="ref" w:val="USC\26\162"/>
        </w:smartTagPr>
        <w:r>
          <w:t>§162</w:t>
        </w:r>
      </w:smartTag>
      <w:r>
        <w:t>.</w:t>
      </w:r>
      <w:r>
        <w:rPr>
          <w:rStyle w:val="FootnoteReference"/>
        </w:rPr>
        <w:footnoteReference w:id="75"/>
      </w:r>
    </w:p>
    <w:p w14:paraId="48B43EF0" w14:textId="77777777" w:rsidR="00494B49" w:rsidRDefault="00494B49">
      <w:pPr>
        <w:pStyle w:val="BNormal"/>
      </w:pPr>
      <w:r>
        <w:t xml:space="preserve">Due to the differences in the definitions for purposes of the NIIT and passive loss, under the NIIT regulations, in some cases gross income from activities that are passive activities for </w:t>
      </w:r>
      <w:smartTag w:uri="http://www.bna.com/sgml2word/cite" w:element="cite.usc">
        <w:smartTagPr>
          <w:attr w:name="ref" w:val="USC\26\469"/>
        </w:smartTagPr>
        <w:r>
          <w:t>§469</w:t>
        </w:r>
      </w:smartTag>
      <w:r>
        <w:t xml:space="preserve"> purposes will not be taken into account for purposes of </w:t>
      </w:r>
      <w:smartTag w:uri="http://www.bna.com/sgml2word/cite" w:element="cite.usc">
        <w:smartTagPr>
          <w:attr w:name="ref" w:val="USC\26\1411(c)(1)(A)(ii)"/>
        </w:smartTagPr>
        <w:r>
          <w:t>§1411(c)(1)(A)(ii)</w:t>
        </w:r>
      </w:smartTag>
      <w:r>
        <w:t xml:space="preserve"> because the gross </w:t>
      </w:r>
      <w:r>
        <w:lastRenderedPageBreak/>
        <w:t>income is derived from an activity that does not rise to the level of a trade or business. In such cases, the gross income (and associated deductions) will not be taken into account in computing net investment income unless it produces either: (A) rents, royalties, annuities, interest, or dividends,</w:t>
      </w:r>
      <w:r>
        <w:rPr>
          <w:rStyle w:val="FootnoteReference"/>
        </w:rPr>
        <w:footnoteReference w:id="76"/>
      </w:r>
      <w:r>
        <w:t xml:space="preserve"> or (B) gains or losses from the disposition of property.</w:t>
      </w:r>
      <w:r>
        <w:rPr>
          <w:rStyle w:val="FootnoteReference"/>
        </w:rPr>
        <w:footnoteReference w:id="77"/>
      </w:r>
    </w:p>
    <w:p w14:paraId="45DF4A83" w14:textId="77777777" w:rsidR="00494B49" w:rsidRDefault="00494B49">
      <w:pPr>
        <w:pStyle w:val="BHead3"/>
      </w:pPr>
      <w:r>
        <w:t xml:space="preserve">a. Passive Activities Under Section 469 </w:t>
      </w:r>
    </w:p>
    <w:p w14:paraId="223A6ED0" w14:textId="77777777" w:rsidR="00494B49" w:rsidRDefault="00494B49">
      <w:pPr>
        <w:pStyle w:val="BNormal"/>
      </w:pPr>
      <w:r>
        <w:t>For NIIT purposes, a taxpayer must determine whether a trade or business in which the taxpayer owns an interest is a passive activity.</w:t>
      </w:r>
      <w:r>
        <w:rPr>
          <w:rStyle w:val="FootnoteReference"/>
        </w:rPr>
        <w:footnoteReference w:id="78"/>
      </w:r>
      <w:r>
        <w:t xml:space="preserve"> If it is, the trade or business is a </w:t>
      </w:r>
      <w:smartTag w:uri="http://www.bna.com/sgml2word/cite" w:element="cite.usc">
        <w:smartTagPr>
          <w:attr w:name="ref" w:val="USC\26\1411(c)(2)"/>
        </w:smartTagPr>
        <w:r>
          <w:t>§1411(c)(2)</w:t>
        </w:r>
      </w:smartTag>
      <w:r>
        <w:t xml:space="preserve"> trade or business. </w:t>
      </w:r>
      <w:smartTag w:uri="http://www.bna.com/sgml2word/cite" w:element="cite.usc">
        <w:smartTagPr>
          <w:attr w:name="ref" w:val="USC\26\1411(c)(2)(A)"/>
        </w:smartTagPr>
        <w:r>
          <w:t>Section 1411(c)(2)(A)</w:t>
        </w:r>
      </w:smartTag>
      <w:r>
        <w:t xml:space="preserve"> provides that the term “passive activity” has the same meaning as it does for purposes of </w:t>
      </w:r>
      <w:smartTag w:uri="http://www.bna.com/sgml2word/cite" w:element="cite.usc">
        <w:smartTagPr>
          <w:attr w:name="ref" w:val="USC\26\469"/>
        </w:smartTagPr>
        <w:r>
          <w:t>§469</w:t>
        </w:r>
      </w:smartTag>
      <w:r>
        <w:t>.</w:t>
      </w:r>
    </w:p>
    <w:p w14:paraId="36B9F8A1" w14:textId="77777777" w:rsidR="00494B49" w:rsidRDefault="00494B49">
      <w:pPr>
        <w:pStyle w:val="BNormal"/>
      </w:pPr>
      <w:r>
        <w:t xml:space="preserve">In general, </w:t>
      </w:r>
      <w:smartTag w:uri="http://www.bna.com/sgml2word/cite" w:element="cite.usc">
        <w:smartTagPr>
          <w:attr w:name="ref" w:val="USC\26\469(c)(1)"/>
        </w:smartTagPr>
        <w:r>
          <w:t>§469(c)(1)</w:t>
        </w:r>
      </w:smartTag>
      <w:r>
        <w:t xml:space="preserve"> provides that a passive activity is any activity that involves the conduct of any trade or business and in which the taxpayer does not materially participate. </w:t>
      </w:r>
      <w:smartTag w:uri="http://www.bna.com/sgml2word/cite" w:element="cite.usc">
        <w:smartTagPr>
          <w:attr w:name="ref" w:val="USC\26\469"/>
        </w:smartTagPr>
        <w:r>
          <w:t>Section 469</w:t>
        </w:r>
      </w:smartTag>
      <w:r>
        <w:t xml:space="preserve"> and the regulations thereunder provide rules for determining whether trade or business activities and certain rental activities are passive activities with respect to a taxpayer. </w:t>
      </w:r>
      <w:smartTag w:uri="http://www.bna.com/sgml2word/cite" w:element="cite.usc">
        <w:smartTagPr>
          <w:attr w:name="ref" w:val="USC\26\469(h)(1)"/>
        </w:smartTagPr>
        <w:r>
          <w:t>Section 469(h)(1)</w:t>
        </w:r>
      </w:smartTag>
      <w:r>
        <w:t xml:space="preserve"> provides that a taxpayer shall be treated as materially participating in an activity only if the taxpayer is involved in the operations of the activity on a regular, continuous, and substantial basis.</w:t>
      </w:r>
      <w:r>
        <w:rPr>
          <w:rStyle w:val="FootnoteReference"/>
        </w:rPr>
        <w:footnoteReference w:id="79"/>
      </w:r>
      <w:r>
        <w:t xml:space="preserve"> The material participation rules of </w:t>
      </w:r>
      <w:smartTag w:uri="http://www.bna.com/sgml2word/cite" w:element="cite.usc">
        <w:smartTagPr>
          <w:attr w:name="ref" w:val="USC\26\469(h)(1)"/>
        </w:smartTagPr>
        <w:r>
          <w:t>§469(h)(1)</w:t>
        </w:r>
      </w:smartTag>
      <w:r>
        <w:t xml:space="preserve"> and Reg. </w:t>
      </w:r>
      <w:smartTag w:uri="http://www.bna.com/sgml2word/cite" w:element="cite.cfr">
        <w:smartTagPr>
          <w:attr w:name="ref" w:val="cfr\26\1.469-5T"/>
        </w:smartTagPr>
        <w:r>
          <w:t>§1.469-5T</w:t>
        </w:r>
      </w:smartTag>
      <w:r>
        <w:t xml:space="preserve"> apply for purposes of determining whether a taxpayer materially participates in a trade or business for purposes of determining whether the trade or business is described in </w:t>
      </w:r>
      <w:smartTag w:uri="http://www.bna.com/sgml2word/cite" w:element="cite.usc">
        <w:smartTagPr>
          <w:attr w:name="ref" w:val="USC\26\1411(c)(2)(A)"/>
        </w:smartTagPr>
        <w:r>
          <w:t>§1411(c)(2)(A)</w:t>
        </w:r>
      </w:smartTag>
      <w:r>
        <w:t>.</w:t>
      </w:r>
    </w:p>
    <w:p w14:paraId="178414E1" w14:textId="77777777" w:rsidR="00494B49" w:rsidRDefault="00494B49">
      <w:pPr>
        <w:pStyle w:val="BHead3"/>
      </w:pPr>
      <w:r>
        <w:t>b. Effect of Section 469 Recharacterization Rules</w:t>
      </w:r>
    </w:p>
    <w:p w14:paraId="4121ADCA" w14:textId="77777777" w:rsidR="00494B49" w:rsidRDefault="00494B49">
      <w:pPr>
        <w:pStyle w:val="BNormal"/>
      </w:pPr>
      <w:smartTag w:uri="http://www.bna.com/sgml2word/cite" w:element="cite.usc">
        <w:smartTagPr>
          <w:attr w:name="ref" w:val="USC\26\469"/>
        </w:smartTagPr>
        <w:r>
          <w:t>Section 469</w:t>
        </w:r>
      </w:smartTag>
      <w:r>
        <w:t xml:space="preserve"> and the regulations thereunder provide several rules that restrict the ability of taxpayers to artificially generate passive income from certain types of passive activities. Some rules specifically recharacterize income from a passive activity as income not from a passive activity (income recharacterization rules). Other rules recharacterize the activity itself as being a nonpassive activity (activity recharacterization rules). For a detailed discussion of the passive activity recharacterization rules, see </w:t>
      </w:r>
      <w:smartTag w:uri="http://www.bna.com/sgml2word/cite" w:element="cite.bna.reference">
        <w:smartTagPr>
          <w:attr w:name="bna.id.ref" w:val="TM\549"/>
        </w:smartTagPr>
        <w:r>
          <w:t>549 T.M.</w:t>
        </w:r>
      </w:smartTag>
      <w:r>
        <w:t xml:space="preserve">, </w:t>
      </w:r>
      <w:r>
        <w:rPr>
          <w:i/>
        </w:rPr>
        <w:t>Passive Loss Rules</w:t>
      </w:r>
      <w:r>
        <w:t>.</w:t>
      </w:r>
    </w:p>
    <w:p w14:paraId="4415051C" w14:textId="77777777" w:rsidR="00494B49" w:rsidRDefault="00494B49">
      <w:pPr>
        <w:pStyle w:val="BHead4"/>
      </w:pPr>
      <w:r>
        <w:t>(1) Net Income Recharacterization Rules</w:t>
      </w:r>
    </w:p>
    <w:p w14:paraId="7571DE22" w14:textId="77777777" w:rsidR="00494B49" w:rsidRDefault="00494B49">
      <w:pPr>
        <w:pStyle w:val="BNormal"/>
      </w:pPr>
      <w:r>
        <w:t>The passive loss regulations provide special rules that treat income from certain activities as not from a passive activity.</w:t>
      </w:r>
      <w:r>
        <w:rPr>
          <w:rStyle w:val="FootnoteReference"/>
        </w:rPr>
        <w:footnoteReference w:id="80"/>
      </w:r>
      <w:r>
        <w:t xml:space="preserve"> For these recharacterization rules to apply, the income or gain subject to recharacterization must be passive activity income under the general passive activity loss operating rules. If the income is nonpassive by reason of some other provision of </w:t>
      </w:r>
      <w:smartTag w:uri="http://www.bna.com/sgml2word/cite" w:element="cite.usc">
        <w:smartTagPr>
          <w:attr w:name="ref" w:val="USC\26\469"/>
        </w:smartTagPr>
        <w:r>
          <w:t>§469</w:t>
        </w:r>
      </w:smartTag>
      <w:r>
        <w:t xml:space="preserve"> (such as a taxpayer materially participating in the activity), the recharacterization rules do not apply because there is no passive income to recharacterize. </w:t>
      </w:r>
    </w:p>
    <w:p w14:paraId="2C63ABD3" w14:textId="77777777" w:rsidR="00494B49" w:rsidRDefault="00494B49">
      <w:pPr>
        <w:pStyle w:val="BNormal"/>
      </w:pPr>
      <w:r>
        <w:lastRenderedPageBreak/>
        <w:t xml:space="preserve">Reg. </w:t>
      </w:r>
      <w:smartTag w:uri="http://www.bna.com/sgml2word/cite" w:element="cite.cfr">
        <w:smartTagPr>
          <w:attr w:name="ref" w:val="cfr\26\1.1411-5(b)(2)"/>
        </w:smartTagPr>
        <w:r>
          <w:t>§1.1411-5(b)(2)</w:t>
        </w:r>
      </w:smartTag>
      <w:r>
        <w:t xml:space="preserve"> clarifies the interaction between the net income recharacterization rules under the passive loss rules and the NIIT rules. For purposes of the NIIT, the regulations generally follow the passive activity loss characterization of the income and gain, particularly the treatment of the items as portfolio income (which is considered investment income for purposes of determining allowable investment interest expense under </w:t>
      </w:r>
      <w:smartTag w:uri="http://www.bna.com/sgml2word/cite" w:element="cite.usc">
        <w:smartTagPr>
          <w:attr w:name="ref" w:val="USC\26\163(d)"/>
        </w:smartTagPr>
        <w:r>
          <w:t>§163(d)</w:t>
        </w:r>
      </w:smartTag>
      <w:r>
        <w:t xml:space="preserve">). </w:t>
      </w:r>
    </w:p>
    <w:p w14:paraId="06C37FAB" w14:textId="77777777" w:rsidR="00494B49" w:rsidRDefault="00494B49">
      <w:pPr>
        <w:pStyle w:val="BNormal"/>
      </w:pPr>
      <w:r>
        <w:t xml:space="preserve">In the case of a recharacterization of net income that </w:t>
      </w:r>
      <w:r>
        <w:rPr>
          <w:i/>
        </w:rPr>
        <w:t>is not</w:t>
      </w:r>
      <w:r>
        <w:t xml:space="preserve"> further deemed to be portfolio income, the regulations provide that:</w:t>
      </w:r>
      <w:r>
        <w:rPr>
          <w:rStyle w:val="FootnoteReference"/>
        </w:rPr>
        <w:footnoteReference w:id="81"/>
      </w:r>
      <w:r>
        <w:t xml:space="preserve"> </w:t>
      </w:r>
    </w:p>
    <w:p w14:paraId="15057793" w14:textId="77777777" w:rsidR="00494B49" w:rsidRDefault="00494B49">
      <w:pPr>
        <w:pStyle w:val="BQuotelong"/>
      </w:pPr>
      <w:r>
        <w:t>To the extent income or gain from a trade or business is subject to a net income recharacterization rule relating to —</w:t>
      </w:r>
    </w:p>
    <w:p w14:paraId="0DC8FB93" w14:textId="77777777" w:rsidR="00494B49" w:rsidRDefault="00494B49">
      <w:pPr>
        <w:pStyle w:val="BQuotelong"/>
      </w:pPr>
      <w:r>
        <w:t>• significant participation passive activities,</w:t>
      </w:r>
      <w:r>
        <w:rPr>
          <w:rStyle w:val="FootnoteReference"/>
        </w:rPr>
        <w:footnoteReference w:id="82"/>
      </w:r>
    </w:p>
    <w:p w14:paraId="72680094" w14:textId="77777777" w:rsidR="00494B49" w:rsidRDefault="00494B49">
      <w:pPr>
        <w:pStyle w:val="BQuotelong"/>
      </w:pPr>
      <w:r>
        <w:t>• certain property rented incidental to development activity,</w:t>
      </w:r>
      <w:r>
        <w:rPr>
          <w:rStyle w:val="FootnoteReference"/>
        </w:rPr>
        <w:footnoteReference w:id="83"/>
      </w:r>
      <w:r>
        <w:t xml:space="preserve"> or </w:t>
      </w:r>
    </w:p>
    <w:p w14:paraId="1AEB273A" w14:textId="77777777" w:rsidR="00494B49" w:rsidRDefault="00494B49">
      <w:pPr>
        <w:pStyle w:val="BQuotelong"/>
      </w:pPr>
      <w:r>
        <w:t>• property rented to a nonpassive activity,</w:t>
      </w:r>
      <w:r>
        <w:rPr>
          <w:rStyle w:val="FootnoteReference"/>
        </w:rPr>
        <w:footnoteReference w:id="84"/>
      </w:r>
    </w:p>
    <w:p w14:paraId="4A4CA07B" w14:textId="77777777" w:rsidR="00494B49" w:rsidRDefault="00494B49">
      <w:pPr>
        <w:pStyle w:val="BQuotelong"/>
      </w:pPr>
      <w:r>
        <w:t xml:space="preserve">any gross income or gain recharacterized as “not from a passive activity” will not be considered derived from a passive activity trade or business for NIIT purposes. </w:t>
      </w:r>
    </w:p>
    <w:p w14:paraId="78B5624D" w14:textId="77777777" w:rsidR="00494B49" w:rsidRDefault="00494B49">
      <w:pPr>
        <w:pStyle w:val="BNormal"/>
      </w:pPr>
      <w:r>
        <w:t xml:space="preserve">In the case of a recharacterization of net income that </w:t>
      </w:r>
      <w:r>
        <w:rPr>
          <w:i/>
        </w:rPr>
        <w:t>is</w:t>
      </w:r>
      <w:r>
        <w:t xml:space="preserve"> further deemed to be portfolio income, the regulations provide that:</w:t>
      </w:r>
      <w:r>
        <w:rPr>
          <w:rStyle w:val="FootnoteReference"/>
        </w:rPr>
        <w:footnoteReference w:id="85"/>
      </w:r>
      <w:r>
        <w:t xml:space="preserve"> </w:t>
      </w:r>
    </w:p>
    <w:p w14:paraId="61891915" w14:textId="77777777" w:rsidR="00494B49" w:rsidRDefault="00494B49">
      <w:pPr>
        <w:pStyle w:val="BQuotelong"/>
      </w:pPr>
      <w:r>
        <w:t xml:space="preserve">To the extent that income or gain from a trade or business is subject to a net income recharacterization rule described in Reg. </w:t>
      </w:r>
      <w:smartTag w:uri="http://www.bna.com/sgml2word/cite" w:element="cite.cfr">
        <w:smartTagPr>
          <w:attr w:name="ref" w:val="cfr\26\1.469-2(f)(10)"/>
        </w:smartTagPr>
        <w:r>
          <w:t>§1.469-2(f)(10)</w:t>
        </w:r>
      </w:smartTag>
      <w:r>
        <w:t>, which includes—</w:t>
      </w:r>
    </w:p>
    <w:p w14:paraId="6394373C" w14:textId="77777777" w:rsidR="00494B49" w:rsidRDefault="00494B49">
      <w:pPr>
        <w:pStyle w:val="BQuotelong"/>
      </w:pPr>
      <w:r>
        <w:t>• rental of nondepreciable property,</w:t>
      </w:r>
      <w:r>
        <w:rPr>
          <w:rStyle w:val="FootnoteReference"/>
        </w:rPr>
        <w:footnoteReference w:id="86"/>
      </w:r>
    </w:p>
    <w:p w14:paraId="4817D542" w14:textId="77777777" w:rsidR="00494B49" w:rsidRDefault="00494B49">
      <w:pPr>
        <w:pStyle w:val="BQuotelong"/>
      </w:pPr>
      <w:r>
        <w:t>• net interest income from passive equity-financed lending activity,</w:t>
      </w:r>
      <w:r>
        <w:rPr>
          <w:rStyle w:val="FootnoteReference"/>
        </w:rPr>
        <w:footnoteReference w:id="87"/>
      </w:r>
      <w:r>
        <w:t xml:space="preserve"> or </w:t>
      </w:r>
    </w:p>
    <w:p w14:paraId="555D245C" w14:textId="77777777" w:rsidR="00494B49" w:rsidRDefault="00494B49">
      <w:pPr>
        <w:pStyle w:val="BQuotelong"/>
      </w:pPr>
      <w:r>
        <w:t>• passthrough entities engaged in the trade or business of licensing intangible property,</w:t>
      </w:r>
      <w:r>
        <w:rPr>
          <w:rStyle w:val="FootnoteReference"/>
        </w:rPr>
        <w:footnoteReference w:id="88"/>
      </w:r>
    </w:p>
    <w:p w14:paraId="7148C006" w14:textId="77777777" w:rsidR="00494B49" w:rsidRDefault="00494B49">
      <w:pPr>
        <w:pStyle w:val="BQuotelong"/>
      </w:pPr>
      <w:r>
        <w:t xml:space="preserve">the underlying trade or business remains a passive activity for NIIT purposes. </w:t>
      </w:r>
    </w:p>
    <w:p w14:paraId="0EFBA7E2" w14:textId="77777777" w:rsidR="00494B49" w:rsidRDefault="00494B49">
      <w:pPr>
        <w:pStyle w:val="BNormal"/>
      </w:pPr>
      <w:r>
        <w:rPr>
          <w:i/>
        </w:rPr>
        <w:t>Comment:</w:t>
      </w:r>
      <w:r>
        <w:t xml:space="preserve"> The NIIT treatment of significant participation passive activities (SPPAs)</w:t>
      </w:r>
      <w:r>
        <w:rPr>
          <w:rStyle w:val="FootnoteReference"/>
        </w:rPr>
        <w:footnoteReference w:id="89"/>
      </w:r>
      <w:r>
        <w:t xml:space="preserve"> was underappreciated when the final regulations were released. In general, Reg. </w:t>
      </w:r>
      <w:smartTag w:uri="http://www.bna.com/sgml2word/cite" w:element="cite.cfr">
        <w:smartTagPr>
          <w:attr w:name="ref" w:val="cfr\26\1.469-2T(f)(2)"/>
        </w:smartTagPr>
        <w:r>
          <w:t>§1.469-2T(f)(2)</w:t>
        </w:r>
      </w:smartTag>
      <w:r>
        <w:t xml:space="preserve"> recharacterizes the net income from an SPPA as nonpassive income. For this purpose, Reg. </w:t>
      </w:r>
      <w:smartTag w:uri="http://www.bna.com/sgml2word/cite" w:element="cite.cfr">
        <w:smartTagPr>
          <w:attr w:name="ref" w:val="cfr\26\1.469-2T(f)(2)(ii)"/>
        </w:smartTagPr>
        <w:r>
          <w:lastRenderedPageBreak/>
          <w:t>§1.469-2T(f)(2)(ii)</w:t>
        </w:r>
      </w:smartTag>
      <w:r>
        <w:t xml:space="preserve"> defines an SPPA as “any trade or business activity</w:t>
      </w:r>
      <w:r>
        <w:rPr>
          <w:rStyle w:val="FootnoteReference"/>
        </w:rPr>
        <w:footnoteReference w:id="90"/>
      </w:r>
      <w:r>
        <w:t xml:space="preserve"> in which the taxpayer significantly participates</w:t>
      </w:r>
      <w:r>
        <w:rPr>
          <w:rStyle w:val="FootnoteReference"/>
        </w:rPr>
        <w:footnoteReference w:id="91"/>
      </w:r>
      <w:r>
        <w:t xml:space="preserve"> for the tax year but in which the taxpayer does not materially participate</w:t>
      </w:r>
      <w:r>
        <w:rPr>
          <w:rStyle w:val="FootnoteReference"/>
        </w:rPr>
        <w:footnoteReference w:id="92"/>
      </w:r>
      <w:r>
        <w:t xml:space="preserve"> for such year.”</w:t>
      </w:r>
      <w:r>
        <w:rPr>
          <w:rStyle w:val="FootnoteReference"/>
        </w:rPr>
        <w:footnoteReference w:id="93"/>
      </w:r>
      <w:r>
        <w:t xml:space="preserve"> For an individual to significantly participate, but not materially participate, the individual must participate in the activity for more than 100 hours</w:t>
      </w:r>
      <w:r>
        <w:rPr>
          <w:rStyle w:val="FootnoteReference"/>
        </w:rPr>
        <w:footnoteReference w:id="94"/>
      </w:r>
      <w:r>
        <w:t xml:space="preserve"> but fewer than 500 hours during the year.</w:t>
      </w:r>
      <w:r>
        <w:rPr>
          <w:rStyle w:val="FootnoteReference"/>
        </w:rPr>
        <w:footnoteReference w:id="95"/>
      </w:r>
      <w:r>
        <w:t xml:space="preserve"> As a result of this rule, an individual need only to participate 100 hours in a trade or business activity for the net income (or gain) to be excluded from net investment income. </w:t>
      </w:r>
    </w:p>
    <w:p w14:paraId="67644CC2" w14:textId="77777777" w:rsidR="00494B49" w:rsidRDefault="00494B49" w:rsidP="006951DA">
      <w:pPr>
        <w:pStyle w:val="BNormal"/>
      </w:pPr>
      <w:r>
        <w:t xml:space="preserve">However, a loss from the SPPA for the year will be treated as a passive loss. To the extent there is no other passive income from other activities, the passive loss will be suspended and carried forward to the following year. The suspended losses from the SPPA will be taken into account as current-year deductions in the following year for purposes of applying the recharacterization rule in Reg. </w:t>
      </w:r>
      <w:smartTag w:uri="http://www.bna.com/sgml2word/cite" w:element="cite.cfr">
        <w:smartTagPr>
          <w:attr w:name="ref" w:val="cfr\26\1.469-2T(f)(2)"/>
        </w:smartTagPr>
        <w:r>
          <w:t>§1.469-2T(f)(2)</w:t>
        </w:r>
      </w:smartTag>
      <w:r>
        <w:t>.</w:t>
      </w:r>
      <w:r>
        <w:rPr>
          <w:rStyle w:val="FootnoteReference"/>
        </w:rPr>
        <w:footnoteReference w:id="96"/>
      </w:r>
      <w:r>
        <w:t xml:space="preserve"> For example, assume an individual has a single SPPA that has a loss in the first year and net income in the second year as follows: </w:t>
      </w:r>
    </w:p>
    <w:p w14:paraId="0DE1AF82" w14:textId="77777777" w:rsidR="00494B49" w:rsidRDefault="00494B49" w:rsidP="006951DA">
      <w:pPr>
        <w:pStyle w:val="BNormal"/>
      </w:pPr>
    </w:p>
    <w:tbl>
      <w:tblPr>
        <w:tblStyle w:val="TableGrid"/>
        <w:tblW w:w="0" w:type="auto"/>
        <w:tblLook w:val="04A0" w:firstRow="1" w:lastRow="0" w:firstColumn="1" w:lastColumn="0" w:noHBand="0" w:noVBand="1"/>
      </w:tblPr>
      <w:tblGrid>
        <w:gridCol w:w="3159"/>
        <w:gridCol w:w="3101"/>
        <w:gridCol w:w="3090"/>
      </w:tblGrid>
      <w:tr w:rsidR="00494B49" w14:paraId="08852DD1" w14:textId="77777777">
        <w:tc>
          <w:tcPr>
            <w:tcW w:w="3360" w:type="dxa"/>
          </w:tcPr>
          <w:p w14:paraId="2616B976" w14:textId="77777777" w:rsidR="00494B49" w:rsidRDefault="00494B49">
            <w:r>
              <w:t>EXAMPLE 1</w:t>
            </w:r>
          </w:p>
        </w:tc>
        <w:tc>
          <w:tcPr>
            <w:tcW w:w="3360" w:type="dxa"/>
          </w:tcPr>
          <w:p w14:paraId="50D5B64A" w14:textId="77777777" w:rsidR="00494B49" w:rsidRDefault="00494B49">
            <w:r>
              <w:t>Year 1</w:t>
            </w:r>
          </w:p>
        </w:tc>
        <w:tc>
          <w:tcPr>
            <w:tcW w:w="3360" w:type="dxa"/>
          </w:tcPr>
          <w:p w14:paraId="31BF073B" w14:textId="77777777" w:rsidR="00494B49" w:rsidRDefault="00494B49">
            <w:r>
              <w:t>Year 2</w:t>
            </w:r>
          </w:p>
        </w:tc>
      </w:tr>
      <w:tr w:rsidR="00494B49" w14:paraId="6CD84FA1" w14:textId="77777777">
        <w:tc>
          <w:tcPr>
            <w:tcW w:w="3360" w:type="dxa"/>
          </w:tcPr>
          <w:p w14:paraId="783B540F" w14:textId="77777777" w:rsidR="00494B49" w:rsidRDefault="00494B49">
            <w:r>
              <w:t>Gross Passive Income</w:t>
            </w:r>
          </w:p>
        </w:tc>
        <w:tc>
          <w:tcPr>
            <w:tcW w:w="3360" w:type="dxa"/>
          </w:tcPr>
          <w:p w14:paraId="1714B8F1" w14:textId="77777777" w:rsidR="00494B49" w:rsidRDefault="00494B49">
            <w:r>
              <w:t>$10,000</w:t>
            </w:r>
          </w:p>
        </w:tc>
        <w:tc>
          <w:tcPr>
            <w:tcW w:w="3360" w:type="dxa"/>
          </w:tcPr>
          <w:p w14:paraId="1107A1D6" w14:textId="77777777" w:rsidR="00494B49" w:rsidRDefault="00494B49">
            <w:r>
              <w:t>$10,000</w:t>
            </w:r>
          </w:p>
        </w:tc>
      </w:tr>
      <w:tr w:rsidR="00494B49" w14:paraId="3343E75C" w14:textId="77777777">
        <w:tc>
          <w:tcPr>
            <w:tcW w:w="3360" w:type="dxa"/>
          </w:tcPr>
          <w:p w14:paraId="4173B8DE" w14:textId="77777777" w:rsidR="00494B49" w:rsidRDefault="00494B49">
            <w:r>
              <w:t>Passive Deductions</w:t>
            </w:r>
          </w:p>
        </w:tc>
        <w:tc>
          <w:tcPr>
            <w:tcW w:w="3360" w:type="dxa"/>
          </w:tcPr>
          <w:p w14:paraId="0F87ED59" w14:textId="77777777" w:rsidR="00494B49" w:rsidRDefault="00494B49">
            <w:r>
              <w:t>($11,000)</w:t>
            </w:r>
          </w:p>
        </w:tc>
        <w:tc>
          <w:tcPr>
            <w:tcW w:w="3360" w:type="dxa"/>
          </w:tcPr>
          <w:p w14:paraId="6CA93ADB" w14:textId="77777777" w:rsidR="00494B49" w:rsidRDefault="00494B49">
            <w:r>
              <w:t>($7,000)</w:t>
            </w:r>
          </w:p>
        </w:tc>
      </w:tr>
      <w:tr w:rsidR="00494B49" w14:paraId="2EB967D0" w14:textId="77777777">
        <w:tc>
          <w:tcPr>
            <w:tcW w:w="3360" w:type="dxa"/>
          </w:tcPr>
          <w:p w14:paraId="4F0F7B61" w14:textId="77777777" w:rsidR="00494B49" w:rsidRDefault="00494B49">
            <w:r>
              <w:t>Suspended Passive Activity Loss</w:t>
            </w:r>
          </w:p>
        </w:tc>
        <w:tc>
          <w:tcPr>
            <w:tcW w:w="3360" w:type="dxa"/>
          </w:tcPr>
          <w:p w14:paraId="1FFD129B" w14:textId="77777777" w:rsidR="00494B49" w:rsidRDefault="00494B49">
            <w:r>
              <w:t>None</w:t>
            </w:r>
          </w:p>
        </w:tc>
        <w:tc>
          <w:tcPr>
            <w:tcW w:w="3360" w:type="dxa"/>
          </w:tcPr>
          <w:p w14:paraId="4ABF7A08" w14:textId="77777777" w:rsidR="00494B49" w:rsidRDefault="00494B49">
            <w:r>
              <w:t>($1,000)</w:t>
            </w:r>
          </w:p>
        </w:tc>
      </w:tr>
      <w:tr w:rsidR="00494B49" w14:paraId="1C2F4D5B" w14:textId="77777777">
        <w:tc>
          <w:tcPr>
            <w:tcW w:w="3360" w:type="dxa"/>
          </w:tcPr>
          <w:p w14:paraId="19D0676A" w14:textId="77777777" w:rsidR="00494B49" w:rsidRDefault="00494B49">
            <w:r>
              <w:t xml:space="preserve">Net Income </w:t>
            </w:r>
          </w:p>
        </w:tc>
        <w:tc>
          <w:tcPr>
            <w:tcW w:w="3360" w:type="dxa"/>
          </w:tcPr>
          <w:p w14:paraId="6B1C009B" w14:textId="77777777" w:rsidR="00494B49" w:rsidRDefault="00494B49">
            <w:r>
              <w:t>($1,000)</w:t>
            </w:r>
          </w:p>
        </w:tc>
        <w:tc>
          <w:tcPr>
            <w:tcW w:w="3360" w:type="dxa"/>
          </w:tcPr>
          <w:p w14:paraId="2C5035DE" w14:textId="77777777" w:rsidR="00494B49" w:rsidRDefault="00494B49">
            <w:r>
              <w:t>$2,000</w:t>
            </w:r>
          </w:p>
        </w:tc>
      </w:tr>
      <w:tr w:rsidR="00494B49" w14:paraId="5480F773" w14:textId="77777777">
        <w:tc>
          <w:tcPr>
            <w:tcW w:w="3360" w:type="dxa"/>
          </w:tcPr>
          <w:p w14:paraId="5DB76F61" w14:textId="77777777" w:rsidR="00494B49" w:rsidRDefault="00494B49"/>
        </w:tc>
        <w:tc>
          <w:tcPr>
            <w:tcW w:w="3360" w:type="dxa"/>
          </w:tcPr>
          <w:p w14:paraId="6138B57A" w14:textId="77777777" w:rsidR="00494B49" w:rsidRDefault="00494B49"/>
        </w:tc>
        <w:tc>
          <w:tcPr>
            <w:tcW w:w="3360" w:type="dxa"/>
          </w:tcPr>
          <w:p w14:paraId="5796EFF9" w14:textId="77777777" w:rsidR="00494B49" w:rsidRDefault="00494B49"/>
        </w:tc>
      </w:tr>
      <w:tr w:rsidR="00494B49" w14:paraId="6E0DEED5" w14:textId="77777777">
        <w:tc>
          <w:tcPr>
            <w:tcW w:w="3360" w:type="dxa"/>
          </w:tcPr>
          <w:p w14:paraId="72A1E85E" w14:textId="77777777" w:rsidR="00494B49" w:rsidRDefault="00494B49">
            <w:r>
              <w:t>Passive Loss Disallowed</w:t>
            </w:r>
          </w:p>
        </w:tc>
        <w:tc>
          <w:tcPr>
            <w:tcW w:w="3360" w:type="dxa"/>
          </w:tcPr>
          <w:p w14:paraId="485C4613" w14:textId="77777777" w:rsidR="00494B49" w:rsidRDefault="00494B49">
            <w:r>
              <w:t>($1,000)</w:t>
            </w:r>
          </w:p>
        </w:tc>
        <w:tc>
          <w:tcPr>
            <w:tcW w:w="3360" w:type="dxa"/>
          </w:tcPr>
          <w:p w14:paraId="16F91E59" w14:textId="77777777" w:rsidR="00494B49" w:rsidRDefault="00494B49">
            <w:r>
              <w:t>None</w:t>
            </w:r>
          </w:p>
        </w:tc>
      </w:tr>
      <w:tr w:rsidR="00494B49" w14:paraId="76ACD9C9" w14:textId="77777777">
        <w:tc>
          <w:tcPr>
            <w:tcW w:w="3360" w:type="dxa"/>
          </w:tcPr>
          <w:p w14:paraId="27904B8E" w14:textId="77777777" w:rsidR="00494B49" w:rsidRDefault="00494B49">
            <w:r>
              <w:t xml:space="preserve">Net Income Recharacterized as </w:t>
            </w:r>
            <w:r>
              <w:br/>
              <w:t>Nonpassive</w:t>
            </w:r>
          </w:p>
        </w:tc>
        <w:tc>
          <w:tcPr>
            <w:tcW w:w="3360" w:type="dxa"/>
          </w:tcPr>
          <w:p w14:paraId="65AF48E5" w14:textId="77777777" w:rsidR="00494B49" w:rsidRDefault="00494B49"/>
        </w:tc>
        <w:tc>
          <w:tcPr>
            <w:tcW w:w="3360" w:type="dxa"/>
          </w:tcPr>
          <w:p w14:paraId="108C6FE2" w14:textId="77777777" w:rsidR="00494B49" w:rsidRDefault="00494B49">
            <w:r>
              <w:t>$2,000</w:t>
            </w:r>
          </w:p>
        </w:tc>
      </w:tr>
      <w:tr w:rsidR="00494B49" w14:paraId="7206262B" w14:textId="77777777">
        <w:tc>
          <w:tcPr>
            <w:tcW w:w="3360" w:type="dxa"/>
          </w:tcPr>
          <w:p w14:paraId="602BE60F" w14:textId="77777777" w:rsidR="00494B49" w:rsidRDefault="00494B49"/>
        </w:tc>
        <w:tc>
          <w:tcPr>
            <w:tcW w:w="3360" w:type="dxa"/>
          </w:tcPr>
          <w:p w14:paraId="0F25B8FA" w14:textId="77777777" w:rsidR="00494B49" w:rsidRDefault="00494B49"/>
        </w:tc>
        <w:tc>
          <w:tcPr>
            <w:tcW w:w="3360" w:type="dxa"/>
          </w:tcPr>
          <w:p w14:paraId="3535F509" w14:textId="77777777" w:rsidR="00494B49" w:rsidRDefault="00494B49"/>
        </w:tc>
      </w:tr>
      <w:tr w:rsidR="00494B49" w14:paraId="170282CC" w14:textId="77777777">
        <w:tc>
          <w:tcPr>
            <w:tcW w:w="3360" w:type="dxa"/>
          </w:tcPr>
          <w:p w14:paraId="70F33FE5" w14:textId="77777777" w:rsidR="00494B49" w:rsidRDefault="00494B49">
            <w:r>
              <w:t>Amount of Net Income / (Loss) Included in Adjusted Gross Income</w:t>
            </w:r>
          </w:p>
        </w:tc>
        <w:tc>
          <w:tcPr>
            <w:tcW w:w="3360" w:type="dxa"/>
          </w:tcPr>
          <w:p w14:paraId="3EE73332" w14:textId="77777777" w:rsidR="00494B49" w:rsidRDefault="00494B49">
            <w:r>
              <w:t>$0</w:t>
            </w:r>
          </w:p>
        </w:tc>
        <w:tc>
          <w:tcPr>
            <w:tcW w:w="3360" w:type="dxa"/>
          </w:tcPr>
          <w:p w14:paraId="46A3DA82" w14:textId="77777777" w:rsidR="00494B49" w:rsidRDefault="00494B49">
            <w:r>
              <w:t>$2,000</w:t>
            </w:r>
          </w:p>
        </w:tc>
      </w:tr>
      <w:tr w:rsidR="00494B49" w14:paraId="768C768A" w14:textId="77777777">
        <w:tc>
          <w:tcPr>
            <w:tcW w:w="3360" w:type="dxa"/>
          </w:tcPr>
          <w:p w14:paraId="56609038" w14:textId="77777777" w:rsidR="00494B49" w:rsidRDefault="00494B49">
            <w:r>
              <w:t xml:space="preserve">Amount of Net Income / (Loss) Included in Net Investment Income </w:t>
            </w:r>
          </w:p>
        </w:tc>
        <w:tc>
          <w:tcPr>
            <w:tcW w:w="3360" w:type="dxa"/>
          </w:tcPr>
          <w:p w14:paraId="51899274" w14:textId="77777777" w:rsidR="00494B49" w:rsidRDefault="00494B49">
            <w:r>
              <w:t>$0</w:t>
            </w:r>
          </w:p>
        </w:tc>
        <w:tc>
          <w:tcPr>
            <w:tcW w:w="3360" w:type="dxa"/>
          </w:tcPr>
          <w:p w14:paraId="25C44B60" w14:textId="77777777" w:rsidR="00494B49" w:rsidRDefault="00494B49">
            <w:r>
              <w:t>$0</w:t>
            </w:r>
          </w:p>
        </w:tc>
      </w:tr>
    </w:tbl>
    <w:p w14:paraId="05AC9614" w14:textId="77777777" w:rsidR="00494B49" w:rsidRDefault="00494B49">
      <w:pPr>
        <w:pStyle w:val="BNormal"/>
      </w:pPr>
    </w:p>
    <w:p w14:paraId="4906402D" w14:textId="77777777" w:rsidR="00494B49" w:rsidRDefault="00494B49">
      <w:pPr>
        <w:pStyle w:val="BNormal"/>
      </w:pPr>
      <w:r>
        <w:t>The net income from the SPPA in Year 2 is recharacterized before any netting of passive losses from other activities.</w:t>
      </w:r>
      <w:r>
        <w:rPr>
          <w:rStyle w:val="FootnoteReference"/>
        </w:rPr>
        <w:footnoteReference w:id="97"/>
      </w:r>
    </w:p>
    <w:p w14:paraId="0FD8E00F" w14:textId="77777777" w:rsidR="00494B49" w:rsidRDefault="00494B49" w:rsidP="006951DA">
      <w:pPr>
        <w:pStyle w:val="BNormal"/>
      </w:pPr>
      <w:r>
        <w:lastRenderedPageBreak/>
        <w:t xml:space="preserve">Using the same example as above, assume the individual owns a second passive activity (not an SPPA). If the individual is able to accelerate $1,000 of gross passive income from the second passive activity into Year 1 from Year 2, the following will result: </w:t>
      </w:r>
    </w:p>
    <w:p w14:paraId="0E184D89" w14:textId="77777777" w:rsidR="00494B49" w:rsidRDefault="00494B49" w:rsidP="006951DA">
      <w:pPr>
        <w:pStyle w:val="BNormal"/>
      </w:pPr>
    </w:p>
    <w:tbl>
      <w:tblPr>
        <w:tblStyle w:val="TableGrid"/>
        <w:tblW w:w="9351" w:type="dxa"/>
        <w:tblLook w:val="04A0" w:firstRow="1" w:lastRow="0" w:firstColumn="1" w:lastColumn="0" w:noHBand="0" w:noVBand="1"/>
      </w:tblPr>
      <w:tblGrid>
        <w:gridCol w:w="2381"/>
        <w:gridCol w:w="2100"/>
        <w:gridCol w:w="2050"/>
        <w:gridCol w:w="1410"/>
        <w:gridCol w:w="1410"/>
      </w:tblGrid>
      <w:tr w:rsidR="00D13D21" w14:paraId="1A70CA9F" w14:textId="725BD4FD" w:rsidTr="00D13D21">
        <w:tc>
          <w:tcPr>
            <w:tcW w:w="2381" w:type="dxa"/>
          </w:tcPr>
          <w:p w14:paraId="55632914" w14:textId="77777777" w:rsidR="00494B49" w:rsidRDefault="00494B49">
            <w:r>
              <w:t>EXAMPLE 2</w:t>
            </w:r>
          </w:p>
        </w:tc>
        <w:tc>
          <w:tcPr>
            <w:tcW w:w="2100" w:type="dxa"/>
          </w:tcPr>
          <w:p w14:paraId="582BD9D4" w14:textId="77777777" w:rsidR="00494B49" w:rsidRDefault="00494B49">
            <w:r>
              <w:t>Year 1</w:t>
            </w:r>
          </w:p>
        </w:tc>
        <w:tc>
          <w:tcPr>
            <w:tcW w:w="2050" w:type="dxa"/>
          </w:tcPr>
          <w:p w14:paraId="255073A2" w14:textId="77777777" w:rsidR="00494B49" w:rsidRDefault="00494B49">
            <w:r>
              <w:t>Year 2</w:t>
            </w:r>
          </w:p>
        </w:tc>
        <w:tc>
          <w:tcPr>
            <w:tcW w:w="1410" w:type="dxa"/>
            <w:shd w:val="clear" w:color="auto" w:fill="auto"/>
          </w:tcPr>
          <w:p w14:paraId="59718082" w14:textId="77777777" w:rsidR="00D13D21" w:rsidRDefault="00D13D21"/>
        </w:tc>
        <w:tc>
          <w:tcPr>
            <w:tcW w:w="1410" w:type="dxa"/>
            <w:shd w:val="clear" w:color="auto" w:fill="auto"/>
          </w:tcPr>
          <w:p w14:paraId="4806DEFA" w14:textId="77777777" w:rsidR="00D13D21" w:rsidRDefault="00D13D21"/>
        </w:tc>
      </w:tr>
      <w:tr w:rsidR="00494B49" w14:paraId="5FE78CE1" w14:textId="77777777" w:rsidTr="00D13D21">
        <w:tc>
          <w:tcPr>
            <w:tcW w:w="2381" w:type="dxa"/>
          </w:tcPr>
          <w:p w14:paraId="7419F526" w14:textId="77777777" w:rsidR="00494B49" w:rsidRDefault="00494B49"/>
        </w:tc>
        <w:tc>
          <w:tcPr>
            <w:tcW w:w="2100" w:type="dxa"/>
          </w:tcPr>
          <w:p w14:paraId="22DEA645" w14:textId="77777777" w:rsidR="00494B49" w:rsidRDefault="00494B49">
            <w:r>
              <w:t>SPPA</w:t>
            </w:r>
          </w:p>
        </w:tc>
        <w:tc>
          <w:tcPr>
            <w:tcW w:w="2050" w:type="dxa"/>
          </w:tcPr>
          <w:p w14:paraId="529D7B75" w14:textId="77777777" w:rsidR="00494B49" w:rsidRDefault="00494B49">
            <w:r>
              <w:t>Other Passive</w:t>
            </w:r>
          </w:p>
        </w:tc>
        <w:tc>
          <w:tcPr>
            <w:tcW w:w="1410" w:type="dxa"/>
          </w:tcPr>
          <w:p w14:paraId="7E9621E6" w14:textId="77777777" w:rsidR="00494B49" w:rsidRDefault="00494B49">
            <w:r>
              <w:t>SPPA</w:t>
            </w:r>
          </w:p>
        </w:tc>
        <w:tc>
          <w:tcPr>
            <w:tcW w:w="1410" w:type="dxa"/>
          </w:tcPr>
          <w:p w14:paraId="609F720F" w14:textId="77777777" w:rsidR="00494B49" w:rsidRDefault="00494B49">
            <w:r>
              <w:t>Other Passive</w:t>
            </w:r>
          </w:p>
        </w:tc>
      </w:tr>
      <w:tr w:rsidR="00494B49" w14:paraId="5BED0E3E" w14:textId="77777777" w:rsidTr="00D13D21">
        <w:tc>
          <w:tcPr>
            <w:tcW w:w="2381" w:type="dxa"/>
          </w:tcPr>
          <w:p w14:paraId="51146F00" w14:textId="77777777" w:rsidR="00494B49" w:rsidRDefault="00494B49">
            <w:r>
              <w:t>Gross Passive Income</w:t>
            </w:r>
          </w:p>
        </w:tc>
        <w:tc>
          <w:tcPr>
            <w:tcW w:w="2100" w:type="dxa"/>
          </w:tcPr>
          <w:p w14:paraId="17F335FC" w14:textId="77777777" w:rsidR="00494B49" w:rsidRDefault="00494B49">
            <w:r>
              <w:t>$10,000</w:t>
            </w:r>
          </w:p>
        </w:tc>
        <w:tc>
          <w:tcPr>
            <w:tcW w:w="2050" w:type="dxa"/>
          </w:tcPr>
          <w:p w14:paraId="686AB5FF" w14:textId="77777777" w:rsidR="00494B49" w:rsidRDefault="00494B49">
            <w:r>
              <w:t>$5,000</w:t>
            </w:r>
          </w:p>
        </w:tc>
        <w:tc>
          <w:tcPr>
            <w:tcW w:w="1410" w:type="dxa"/>
          </w:tcPr>
          <w:p w14:paraId="60D4F357" w14:textId="77777777" w:rsidR="00494B49" w:rsidRDefault="00494B49">
            <w:r>
              <w:t>$10,000</w:t>
            </w:r>
          </w:p>
        </w:tc>
        <w:tc>
          <w:tcPr>
            <w:tcW w:w="1410" w:type="dxa"/>
          </w:tcPr>
          <w:p w14:paraId="64884C89" w14:textId="77777777" w:rsidR="00494B49" w:rsidRDefault="00494B49">
            <w:r>
              <w:t>$4,000</w:t>
            </w:r>
          </w:p>
        </w:tc>
      </w:tr>
      <w:tr w:rsidR="00494B49" w14:paraId="02140EA5" w14:textId="77777777" w:rsidTr="00D13D21">
        <w:tc>
          <w:tcPr>
            <w:tcW w:w="2381" w:type="dxa"/>
          </w:tcPr>
          <w:p w14:paraId="30483EA2" w14:textId="77777777" w:rsidR="00494B49" w:rsidRDefault="00494B49">
            <w:r>
              <w:t>Passive Deductions</w:t>
            </w:r>
          </w:p>
        </w:tc>
        <w:tc>
          <w:tcPr>
            <w:tcW w:w="2100" w:type="dxa"/>
          </w:tcPr>
          <w:p w14:paraId="5E97AC15" w14:textId="77777777" w:rsidR="00494B49" w:rsidRDefault="00494B49">
            <w:r>
              <w:t>($11,000)</w:t>
            </w:r>
          </w:p>
        </w:tc>
        <w:tc>
          <w:tcPr>
            <w:tcW w:w="2050" w:type="dxa"/>
          </w:tcPr>
          <w:p w14:paraId="7BB19CA8" w14:textId="77777777" w:rsidR="00494B49" w:rsidRDefault="00494B49">
            <w:r>
              <w:t>($4,000)</w:t>
            </w:r>
          </w:p>
        </w:tc>
        <w:tc>
          <w:tcPr>
            <w:tcW w:w="1410" w:type="dxa"/>
          </w:tcPr>
          <w:p w14:paraId="67D3E2F9" w14:textId="77777777" w:rsidR="00494B49" w:rsidRDefault="00494B49">
            <w:r>
              <w:t>($7,000)</w:t>
            </w:r>
          </w:p>
        </w:tc>
        <w:tc>
          <w:tcPr>
            <w:tcW w:w="1410" w:type="dxa"/>
          </w:tcPr>
          <w:p w14:paraId="46B753BB" w14:textId="77777777" w:rsidR="00494B49" w:rsidRDefault="00494B49">
            <w:r>
              <w:t>($4,000)</w:t>
            </w:r>
          </w:p>
        </w:tc>
      </w:tr>
      <w:tr w:rsidR="00494B49" w14:paraId="622D900C" w14:textId="77777777" w:rsidTr="00D13D21">
        <w:tc>
          <w:tcPr>
            <w:tcW w:w="2381" w:type="dxa"/>
          </w:tcPr>
          <w:p w14:paraId="56827E05" w14:textId="77777777" w:rsidR="00494B49" w:rsidRDefault="00494B49">
            <w:r>
              <w:t>Suspended Passive Activity Loss</w:t>
            </w:r>
          </w:p>
        </w:tc>
        <w:tc>
          <w:tcPr>
            <w:tcW w:w="2100" w:type="dxa"/>
          </w:tcPr>
          <w:p w14:paraId="67297ADB" w14:textId="77777777" w:rsidR="00494B49" w:rsidRDefault="00494B49">
            <w:r>
              <w:t>None</w:t>
            </w:r>
          </w:p>
        </w:tc>
        <w:tc>
          <w:tcPr>
            <w:tcW w:w="2050" w:type="dxa"/>
          </w:tcPr>
          <w:p w14:paraId="3D5B09C3" w14:textId="77777777" w:rsidR="00494B49" w:rsidRDefault="00494B49">
            <w:r>
              <w:t>None</w:t>
            </w:r>
          </w:p>
        </w:tc>
        <w:tc>
          <w:tcPr>
            <w:tcW w:w="1410" w:type="dxa"/>
          </w:tcPr>
          <w:p w14:paraId="68924E63" w14:textId="77777777" w:rsidR="00494B49" w:rsidRDefault="00494B49">
            <w:r>
              <w:t>None</w:t>
            </w:r>
          </w:p>
        </w:tc>
        <w:tc>
          <w:tcPr>
            <w:tcW w:w="1410" w:type="dxa"/>
          </w:tcPr>
          <w:p w14:paraId="4FD60FEB" w14:textId="77777777" w:rsidR="00494B49" w:rsidRDefault="00494B49">
            <w:r>
              <w:t>None</w:t>
            </w:r>
          </w:p>
        </w:tc>
      </w:tr>
      <w:tr w:rsidR="00494B49" w14:paraId="6C8D69EC" w14:textId="77777777" w:rsidTr="00D13D21">
        <w:tc>
          <w:tcPr>
            <w:tcW w:w="2381" w:type="dxa"/>
          </w:tcPr>
          <w:p w14:paraId="08FC08DC" w14:textId="77777777" w:rsidR="00494B49" w:rsidRDefault="00494B49">
            <w:r>
              <w:t xml:space="preserve">Net Income </w:t>
            </w:r>
          </w:p>
        </w:tc>
        <w:tc>
          <w:tcPr>
            <w:tcW w:w="2100" w:type="dxa"/>
          </w:tcPr>
          <w:p w14:paraId="47EC93FF" w14:textId="77777777" w:rsidR="00494B49" w:rsidRDefault="00494B49">
            <w:r>
              <w:t>($1,000)</w:t>
            </w:r>
          </w:p>
        </w:tc>
        <w:tc>
          <w:tcPr>
            <w:tcW w:w="2050" w:type="dxa"/>
          </w:tcPr>
          <w:p w14:paraId="59F680B1" w14:textId="77777777" w:rsidR="00494B49" w:rsidRDefault="00494B49">
            <w:r>
              <w:t>$1,000</w:t>
            </w:r>
          </w:p>
        </w:tc>
        <w:tc>
          <w:tcPr>
            <w:tcW w:w="1410" w:type="dxa"/>
          </w:tcPr>
          <w:p w14:paraId="60B3E515" w14:textId="77777777" w:rsidR="00494B49" w:rsidRDefault="00494B49">
            <w:r>
              <w:t>$3,000</w:t>
            </w:r>
          </w:p>
        </w:tc>
        <w:tc>
          <w:tcPr>
            <w:tcW w:w="1410" w:type="dxa"/>
          </w:tcPr>
          <w:p w14:paraId="70684E36" w14:textId="77777777" w:rsidR="00494B49" w:rsidRDefault="00494B49">
            <w:r>
              <w:t>$0</w:t>
            </w:r>
          </w:p>
        </w:tc>
      </w:tr>
      <w:tr w:rsidR="00494B49" w14:paraId="63C773FF" w14:textId="77777777" w:rsidTr="00D13D21">
        <w:tc>
          <w:tcPr>
            <w:tcW w:w="2381" w:type="dxa"/>
          </w:tcPr>
          <w:p w14:paraId="082569C4" w14:textId="77777777" w:rsidR="00494B49" w:rsidRDefault="00494B49"/>
        </w:tc>
        <w:tc>
          <w:tcPr>
            <w:tcW w:w="2100" w:type="dxa"/>
          </w:tcPr>
          <w:p w14:paraId="1E572E64" w14:textId="77777777" w:rsidR="00494B49" w:rsidRDefault="00494B49"/>
        </w:tc>
        <w:tc>
          <w:tcPr>
            <w:tcW w:w="2050" w:type="dxa"/>
          </w:tcPr>
          <w:p w14:paraId="119B6FEC" w14:textId="77777777" w:rsidR="00494B49" w:rsidRDefault="00494B49"/>
        </w:tc>
        <w:tc>
          <w:tcPr>
            <w:tcW w:w="1410" w:type="dxa"/>
          </w:tcPr>
          <w:p w14:paraId="1321700D" w14:textId="77777777" w:rsidR="00494B49" w:rsidRDefault="00494B49"/>
        </w:tc>
        <w:tc>
          <w:tcPr>
            <w:tcW w:w="1410" w:type="dxa"/>
          </w:tcPr>
          <w:p w14:paraId="04D468DC" w14:textId="77777777" w:rsidR="00494B49" w:rsidRDefault="00494B49"/>
        </w:tc>
      </w:tr>
      <w:tr w:rsidR="00494B49" w14:paraId="7E46E888" w14:textId="77777777" w:rsidTr="00D13D21">
        <w:tc>
          <w:tcPr>
            <w:tcW w:w="2381" w:type="dxa"/>
          </w:tcPr>
          <w:p w14:paraId="75B9E0B0" w14:textId="77777777" w:rsidR="00494B49" w:rsidRDefault="00494B49">
            <w:r>
              <w:t>Passive Loss Disallowed</w:t>
            </w:r>
          </w:p>
        </w:tc>
        <w:tc>
          <w:tcPr>
            <w:tcW w:w="2100" w:type="dxa"/>
          </w:tcPr>
          <w:p w14:paraId="76EDC515" w14:textId="77777777" w:rsidR="00494B49" w:rsidRDefault="00494B49">
            <w:r>
              <w:t>None</w:t>
            </w:r>
          </w:p>
        </w:tc>
        <w:tc>
          <w:tcPr>
            <w:tcW w:w="2050" w:type="dxa"/>
          </w:tcPr>
          <w:p w14:paraId="1AAEAE4B" w14:textId="77777777" w:rsidR="00494B49" w:rsidRDefault="00494B49">
            <w:r>
              <w:t>N/A</w:t>
            </w:r>
          </w:p>
        </w:tc>
        <w:tc>
          <w:tcPr>
            <w:tcW w:w="1410" w:type="dxa"/>
          </w:tcPr>
          <w:p w14:paraId="3A6129DF" w14:textId="77777777" w:rsidR="00494B49" w:rsidRDefault="00494B49">
            <w:r>
              <w:t>None</w:t>
            </w:r>
          </w:p>
        </w:tc>
        <w:tc>
          <w:tcPr>
            <w:tcW w:w="1410" w:type="dxa"/>
          </w:tcPr>
          <w:p w14:paraId="3C901373" w14:textId="77777777" w:rsidR="00494B49" w:rsidRDefault="00494B49">
            <w:r>
              <w:t>None</w:t>
            </w:r>
          </w:p>
        </w:tc>
      </w:tr>
      <w:tr w:rsidR="00494B49" w14:paraId="23680EE0" w14:textId="77777777" w:rsidTr="00D13D21">
        <w:tc>
          <w:tcPr>
            <w:tcW w:w="2381" w:type="dxa"/>
          </w:tcPr>
          <w:p w14:paraId="0153ADBC" w14:textId="77777777" w:rsidR="00494B49" w:rsidRDefault="00494B49">
            <w:r>
              <w:t>Net Income Recharacterized as Nonpassive</w:t>
            </w:r>
          </w:p>
        </w:tc>
        <w:tc>
          <w:tcPr>
            <w:tcW w:w="2100" w:type="dxa"/>
          </w:tcPr>
          <w:p w14:paraId="023CB062" w14:textId="77777777" w:rsidR="00494B49" w:rsidRDefault="00494B49">
            <w:r>
              <w:t>None</w:t>
            </w:r>
          </w:p>
        </w:tc>
        <w:tc>
          <w:tcPr>
            <w:tcW w:w="2050" w:type="dxa"/>
          </w:tcPr>
          <w:p w14:paraId="6D476416" w14:textId="77777777" w:rsidR="00494B49" w:rsidRDefault="00494B49">
            <w:r>
              <w:t>N/A</w:t>
            </w:r>
          </w:p>
        </w:tc>
        <w:tc>
          <w:tcPr>
            <w:tcW w:w="1410" w:type="dxa"/>
          </w:tcPr>
          <w:p w14:paraId="66D78614" w14:textId="77777777" w:rsidR="00494B49" w:rsidRDefault="00494B49">
            <w:r>
              <w:t>$3,000</w:t>
            </w:r>
          </w:p>
        </w:tc>
        <w:tc>
          <w:tcPr>
            <w:tcW w:w="1410" w:type="dxa"/>
          </w:tcPr>
          <w:p w14:paraId="753F95F0" w14:textId="77777777" w:rsidR="00494B49" w:rsidRDefault="00494B49">
            <w:r>
              <w:t>N/A</w:t>
            </w:r>
          </w:p>
        </w:tc>
      </w:tr>
      <w:tr w:rsidR="00494B49" w14:paraId="6FBDD749" w14:textId="77777777" w:rsidTr="00D13D21">
        <w:tc>
          <w:tcPr>
            <w:tcW w:w="2381" w:type="dxa"/>
          </w:tcPr>
          <w:p w14:paraId="6A0F766C" w14:textId="77777777" w:rsidR="00494B49" w:rsidRDefault="00494B49"/>
        </w:tc>
        <w:tc>
          <w:tcPr>
            <w:tcW w:w="2100" w:type="dxa"/>
          </w:tcPr>
          <w:p w14:paraId="6E3EFF46" w14:textId="77777777" w:rsidR="00494B49" w:rsidRDefault="00494B49"/>
        </w:tc>
        <w:tc>
          <w:tcPr>
            <w:tcW w:w="2050" w:type="dxa"/>
          </w:tcPr>
          <w:p w14:paraId="01D40BCE" w14:textId="77777777" w:rsidR="00494B49" w:rsidRDefault="00494B49"/>
        </w:tc>
        <w:tc>
          <w:tcPr>
            <w:tcW w:w="1410" w:type="dxa"/>
          </w:tcPr>
          <w:p w14:paraId="3ED59C8D" w14:textId="77777777" w:rsidR="00494B49" w:rsidRDefault="00494B49"/>
        </w:tc>
        <w:tc>
          <w:tcPr>
            <w:tcW w:w="1410" w:type="dxa"/>
          </w:tcPr>
          <w:p w14:paraId="23E3A857" w14:textId="77777777" w:rsidR="00494B49" w:rsidRDefault="00494B49"/>
        </w:tc>
      </w:tr>
      <w:tr w:rsidR="00D13D21" w14:paraId="12A08067" w14:textId="1A4CAB1A" w:rsidTr="00D13D21">
        <w:tc>
          <w:tcPr>
            <w:tcW w:w="2381" w:type="dxa"/>
          </w:tcPr>
          <w:p w14:paraId="60F908DF" w14:textId="77777777" w:rsidR="00494B49" w:rsidRDefault="00494B49">
            <w:r>
              <w:t>Amount of Net Income / (Loss) Included in Adjusted Gross Income</w:t>
            </w:r>
          </w:p>
        </w:tc>
        <w:tc>
          <w:tcPr>
            <w:tcW w:w="2100" w:type="dxa"/>
          </w:tcPr>
          <w:p w14:paraId="4CD64EDE" w14:textId="77777777" w:rsidR="00494B49" w:rsidRDefault="00494B49">
            <w:r>
              <w:t>$0</w:t>
            </w:r>
          </w:p>
        </w:tc>
        <w:tc>
          <w:tcPr>
            <w:tcW w:w="2050" w:type="dxa"/>
          </w:tcPr>
          <w:p w14:paraId="549C7E27" w14:textId="77777777" w:rsidR="00494B49" w:rsidRDefault="00494B49">
            <w:r>
              <w:t>$3,000</w:t>
            </w:r>
          </w:p>
        </w:tc>
        <w:tc>
          <w:tcPr>
            <w:tcW w:w="1410" w:type="dxa"/>
            <w:shd w:val="clear" w:color="auto" w:fill="auto"/>
          </w:tcPr>
          <w:p w14:paraId="36273C9A" w14:textId="77777777" w:rsidR="00D13D21" w:rsidRDefault="00D13D21"/>
        </w:tc>
        <w:tc>
          <w:tcPr>
            <w:tcW w:w="1410" w:type="dxa"/>
            <w:shd w:val="clear" w:color="auto" w:fill="auto"/>
          </w:tcPr>
          <w:p w14:paraId="0A4CBF0B" w14:textId="77777777" w:rsidR="00D13D21" w:rsidRDefault="00D13D21"/>
        </w:tc>
      </w:tr>
      <w:tr w:rsidR="00D13D21" w14:paraId="7D3D4FA8" w14:textId="5A32F679" w:rsidTr="00D13D21">
        <w:tc>
          <w:tcPr>
            <w:tcW w:w="2381" w:type="dxa"/>
          </w:tcPr>
          <w:p w14:paraId="326AA7EA" w14:textId="77777777" w:rsidR="00494B49" w:rsidRDefault="00494B49">
            <w:r>
              <w:t xml:space="preserve">Amount of Net Income / (Loss) Included in Net Investment Income </w:t>
            </w:r>
          </w:p>
        </w:tc>
        <w:tc>
          <w:tcPr>
            <w:tcW w:w="2100" w:type="dxa"/>
          </w:tcPr>
          <w:p w14:paraId="40B89433" w14:textId="77777777" w:rsidR="00494B49" w:rsidRDefault="00494B49">
            <w:r>
              <w:t>$0</w:t>
            </w:r>
          </w:p>
        </w:tc>
        <w:tc>
          <w:tcPr>
            <w:tcW w:w="2050" w:type="dxa"/>
          </w:tcPr>
          <w:p w14:paraId="041A3A5A" w14:textId="77777777" w:rsidR="00494B49" w:rsidRDefault="00494B49">
            <w:r>
              <w:t>$0</w:t>
            </w:r>
          </w:p>
        </w:tc>
        <w:tc>
          <w:tcPr>
            <w:tcW w:w="1410" w:type="dxa"/>
            <w:shd w:val="clear" w:color="auto" w:fill="auto"/>
          </w:tcPr>
          <w:p w14:paraId="510F7CC8" w14:textId="77777777" w:rsidR="00D13D21" w:rsidRDefault="00D13D21"/>
        </w:tc>
        <w:tc>
          <w:tcPr>
            <w:tcW w:w="1410" w:type="dxa"/>
            <w:shd w:val="clear" w:color="auto" w:fill="auto"/>
          </w:tcPr>
          <w:p w14:paraId="7026566C" w14:textId="77777777" w:rsidR="00D13D21" w:rsidRDefault="00D13D21"/>
        </w:tc>
      </w:tr>
    </w:tbl>
    <w:p w14:paraId="3425CC61" w14:textId="77777777" w:rsidR="00494B49" w:rsidRDefault="00494B49">
      <w:pPr>
        <w:pStyle w:val="BNormal"/>
      </w:pPr>
    </w:p>
    <w:p w14:paraId="291E71E4" w14:textId="77777777" w:rsidR="00494B49" w:rsidRDefault="00494B49">
      <w:pPr>
        <w:pStyle w:val="BNormal"/>
      </w:pPr>
      <w:r>
        <w:t>As a result of the netting of passive losses from SPPA and the other activity, the SPPA losses in Year 1 eliminate the accelerated passive income. As a result, the SPPA produces an additional $1,000 of nonpassive income in Year 2. Consequently, by generating additional passive income in Year 1, the taxpayer has functionally converted passive income from the second activity into nonpassive income that is excluded from net investment income. Unfortunately, the planning opportunity gets more complicated when other passive activities produce losses in Year 1 because the amount of loss suspended within the SPPA is a portion of the total suspended losses for the year.</w:t>
      </w:r>
      <w:r>
        <w:rPr>
          <w:rStyle w:val="FootnoteReference"/>
        </w:rPr>
        <w:footnoteReference w:id="98"/>
      </w:r>
    </w:p>
    <w:p w14:paraId="10040AB4" w14:textId="77777777" w:rsidR="00494B49" w:rsidRDefault="00494B49">
      <w:pPr>
        <w:pStyle w:val="BHead4"/>
      </w:pPr>
      <w:r>
        <w:t>(2) Substantially Appreciated Property</w:t>
      </w:r>
    </w:p>
    <w:p w14:paraId="061B4AD3" w14:textId="77777777" w:rsidR="00494B49" w:rsidRDefault="00494B49">
      <w:pPr>
        <w:pStyle w:val="BNormal"/>
      </w:pPr>
      <w:r>
        <w:t xml:space="preserve">Reg. </w:t>
      </w:r>
      <w:smartTag w:uri="http://www.bna.com/sgml2word/cite" w:element="cite.cfr">
        <w:smartTagPr>
          <w:attr w:name="ref" w:val="cfr\26\1.469-2(c)(2)(iii)(A)"/>
        </w:smartTagPr>
        <w:r>
          <w:t>§1.469-2(c)(2)(iii)(A)</w:t>
        </w:r>
      </w:smartTag>
      <w:r>
        <w:t xml:space="preserve"> generally provides that if an interest in property used in an activity is substantially appreciated at the time of its disposition, any gain from the disposition shall be treated as not from a passive activity. The recharacterized gain may be taken into account under </w:t>
      </w:r>
      <w:smartTag w:uri="http://www.bna.com/sgml2word/cite" w:element="cite.usc">
        <w:smartTagPr>
          <w:attr w:name="ref" w:val="USC\26\1411(c)(1)(A)(iii)"/>
        </w:smartTagPr>
        <w:r>
          <w:t>§1411(c)(1)(A)(iii)</w:t>
        </w:r>
      </w:smartTag>
      <w:r>
        <w:t xml:space="preserve"> if the gain is attributable to the disposition of property.</w:t>
      </w:r>
    </w:p>
    <w:p w14:paraId="6012334D" w14:textId="77777777" w:rsidR="00494B49" w:rsidRDefault="00494B49">
      <w:pPr>
        <w:pStyle w:val="BNormal"/>
      </w:pPr>
      <w:r>
        <w:t xml:space="preserve">Unlike the net income recharacterization rules discussed immediately above, Reg. </w:t>
      </w:r>
      <w:smartTag w:uri="http://www.bna.com/sgml2word/cite" w:element="cite.cfr">
        <w:smartTagPr>
          <w:attr w:name="ref" w:val="cfr\26\1.469-2(c)(2)(iii)"/>
        </w:smartTagPr>
        <w:r>
          <w:t>§1.469-2(c)(2)(iii)</w:t>
        </w:r>
      </w:smartTag>
      <w:r>
        <w:t xml:space="preserve"> breaks the recharacterized gain into two parts — a portion that is portfolio income and a portion that is not. The NIIT regulations generally follow the passive activity loss characterization of the income and gain, and the differentiation between portfolio income and nonportfolio income. As a result, any gain recharacterized as “not from a passive activity” by reason of Reg. </w:t>
      </w:r>
      <w:smartTag w:uri="http://www.bna.com/sgml2word/cite" w:element="cite.cfr">
        <w:smartTagPr>
          <w:attr w:name="ref" w:val="cfr\26\1.469-2(c)(2)(iii)"/>
        </w:smartTagPr>
        <w:r>
          <w:t>§1.469-2(c)(2)(iii)</w:t>
        </w:r>
      </w:smartTag>
      <w:r>
        <w:t xml:space="preserve"> is not derived from a passive activity trade or business described for NIIT purposes if the gain is not portfolio income by reason of Reg. </w:t>
      </w:r>
      <w:smartTag w:uri="http://www.bna.com/sgml2word/cite" w:element="cite.cfr">
        <w:smartTagPr>
          <w:attr w:name="ref" w:val="cfr\26\1.469-2(c)(2)(iii)(F)"/>
        </w:smartTagPr>
        <w:r>
          <w:t>§1.469-</w:t>
        </w:r>
        <w:r>
          <w:lastRenderedPageBreak/>
          <w:t>2(c)(2)(iii)(F)</w:t>
        </w:r>
      </w:smartTag>
      <w:r>
        <w:t>.</w:t>
      </w:r>
      <w:r>
        <w:rPr>
          <w:rStyle w:val="FootnoteReference"/>
        </w:rPr>
        <w:footnoteReference w:id="99"/>
      </w:r>
      <w:r>
        <w:t xml:space="preserve"> However, if the gain is further recharacterized by Reg. </w:t>
      </w:r>
      <w:smartTag w:uri="http://www.bna.com/sgml2word/cite" w:element="cite.cfr">
        <w:smartTagPr>
          <w:attr w:name="ref" w:val="cfr\26\1.469-2(c)(2)(iii)(F)"/>
        </w:smartTagPr>
        <w:r>
          <w:t>§1.469-2(c)(2)(iii)(F)</w:t>
        </w:r>
      </w:smartTag>
      <w:r>
        <w:t xml:space="preserve"> as portfolio income, then the underlying trade or business remains a passive activity for NIIT purposes.</w:t>
      </w:r>
      <w:r>
        <w:rPr>
          <w:rStyle w:val="FootnoteReference"/>
        </w:rPr>
        <w:footnoteReference w:id="100"/>
      </w:r>
    </w:p>
    <w:p w14:paraId="35470915" w14:textId="77777777" w:rsidR="00494B49" w:rsidRDefault="00494B49">
      <w:pPr>
        <w:pStyle w:val="BHead4"/>
      </w:pPr>
      <w:r>
        <w:t>(3) Activity Recharacterization Rules</w:t>
      </w:r>
    </w:p>
    <w:p w14:paraId="01344AFE"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 (without regard to whether the activity is a trade or business activity).</w:t>
      </w:r>
      <w:r>
        <w:rPr>
          <w:rStyle w:val="FootnoteReference"/>
        </w:rPr>
        <w:footnoteReference w:id="101"/>
      </w:r>
      <w:r>
        <w:t xml:space="preserve"> While the gross income from or net gain attributable to an activity of trading or dealing in property will not be taken into account under </w:t>
      </w:r>
      <w:smartTag w:uri="http://www.bna.com/sgml2word/cite" w:element="cite.usc">
        <w:smartTagPr>
          <w:attr w:name="ref" w:val="USC\26\1411(c)(2)(A)"/>
        </w:smartTagPr>
        <w:r>
          <w:t>§1411(c)(2)(A)</w:t>
        </w:r>
      </w:smartTag>
      <w:r>
        <w:t xml:space="preserve"> by virtue of Reg. </w:t>
      </w:r>
      <w:smartTag w:uri="http://www.bna.com/sgml2word/cite" w:element="cite.cfr">
        <w:smartTagPr>
          <w:attr w:name="ref" w:val="cfr\26\1.469-2T(c)(3)(ii)(D)"/>
        </w:smartTagPr>
        <w:r>
          <w:t>§1.469-2T(c)(3)(ii)(D)</w:t>
        </w:r>
      </w:smartTag>
      <w:r>
        <w:t xml:space="preserve">, such gross income or net gain nevertheless will be taken into account under </w:t>
      </w:r>
      <w:smartTag w:uri="http://www.bna.com/sgml2word/cite" w:element="cite.usc">
        <w:smartTagPr>
          <w:attr w:name="ref" w:val="USC\26\1411(c)(2)(B)"/>
        </w:smartTagPr>
        <w:r>
          <w:t>§1411(c)(2)(B)</w:t>
        </w:r>
      </w:smartTag>
      <w:r>
        <w:t xml:space="preserve"> (the second type of </w:t>
      </w:r>
      <w:smartTag w:uri="http://www.bna.com/sgml2word/cite" w:element="cite.usc">
        <w:smartTagPr>
          <w:attr w:name="ref" w:val="USC\26\1411(c)(2)"/>
        </w:smartTagPr>
        <w:r>
          <w:t>§1411(c)(2)</w:t>
        </w:r>
      </w:smartTag>
      <w:r>
        <w:t xml:space="preserve"> trades or businesses) if the activity constitutes a </w:t>
      </w:r>
      <w:smartTag w:uri="http://www.bna.com/sgml2word/cite" w:element="cite.usc">
        <w:smartTagPr>
          <w:attr w:name="ref" w:val="USC\26\162"/>
        </w:smartTagPr>
        <w:r>
          <w:t>§162</w:t>
        </w:r>
      </w:smartTag>
      <w:r>
        <w:t xml:space="preserve"> trade or business of trading in financial instruments or commodities. </w:t>
      </w:r>
    </w:p>
    <w:p w14:paraId="4E2D9604" w14:textId="77777777" w:rsidR="00494B49" w:rsidRDefault="00494B49">
      <w:pPr>
        <w:pStyle w:val="BHead3"/>
      </w:pPr>
      <w:r>
        <w:t>c. Regrouping</w:t>
      </w:r>
    </w:p>
    <w:p w14:paraId="45E0E395" w14:textId="77777777" w:rsidR="00494B49" w:rsidRDefault="00494B49">
      <w:pPr>
        <w:pStyle w:val="BNormal"/>
      </w:pPr>
      <w:r>
        <w:t xml:space="preserve">In a preemptive act by the Treasury Department and the IRS, the 2012 Proposed Regulations acknowledged that the enactment of the NIIT regime may cause taxpayers to reconsider their previous </w:t>
      </w:r>
      <w:smartTag w:uri="http://www.bna.com/sgml2word/cite" w:element="cite.usc">
        <w:smartTagPr>
          <w:attr w:name="ref" w:val="USC\26\469"/>
        </w:smartTagPr>
        <w:r>
          <w:t>§469</w:t>
        </w:r>
      </w:smartTag>
      <w:r>
        <w:t xml:space="preserve"> grouping determinations. As a result, the only Chapter 1 regulation amended as part of the NIIT regulation package was an amendment to Reg. </w:t>
      </w:r>
      <w:smartTag w:uri="http://www.bna.com/sgml2word/cite" w:element="cite.cfr">
        <w:smartTagPr>
          <w:attr w:name="ref" w:val="cfr\26\1.469-11(b)(3)"/>
        </w:smartTagPr>
        <w:r>
          <w:t>§1.469-11(b)(3)</w:t>
        </w:r>
      </w:smartTag>
      <w:r>
        <w:t xml:space="preserve"> to allow a limited regrouping opportunity. The regrouping opportunity is available only to individuals, estates, and trusts, and not available to S corporations and partnerships.</w:t>
      </w:r>
      <w:r>
        <w:rPr>
          <w:rStyle w:val="FootnoteReference"/>
        </w:rPr>
        <w:footnoteReference w:id="102"/>
      </w:r>
      <w:r>
        <w:t xml:space="preserve"> Reg. </w:t>
      </w:r>
      <w:smartTag w:uri="http://www.bna.com/sgml2word/cite" w:element="cite.cfr">
        <w:smartTagPr>
          <w:attr w:name="ref" w:val="cfr\26\1.469-4(e)"/>
        </w:smartTagPr>
        <w:r>
          <w:t>§1.469-4(e)</w:t>
        </w:r>
      </w:smartTag>
      <w:r>
        <w:t xml:space="preserve"> and </w:t>
      </w:r>
      <w:smartTag w:uri="http://www.bna.com/sgml2word/cite" w:element="cite.agency.doc">
        <w:smartTagPr>
          <w:attr w:name="ref" w:val="IRS\RevProc\2010-13"/>
        </w:smartTagPr>
        <w:r>
          <w:t>Rev. Proc. 2010-13</w:t>
        </w:r>
      </w:smartTag>
      <w:r>
        <w:rPr>
          <w:rStyle w:val="FootnoteReference"/>
        </w:rPr>
        <w:footnoteReference w:id="103"/>
      </w:r>
      <w:r>
        <w:t xml:space="preserve"> require taxpayers who regroup their activities pursuant to Reg. </w:t>
      </w:r>
      <w:smartTag w:uri="http://www.bna.com/sgml2word/cite" w:element="cite.cfr">
        <w:smartTagPr>
          <w:attr w:name="ref" w:val="cfr\26\1.469-11(b)(3)(iv)"/>
        </w:smartTagPr>
        <w:r>
          <w:t>§1.469-11(b)(3)(iv)</w:t>
        </w:r>
      </w:smartTag>
      <w:r>
        <w:t xml:space="preserve"> to report their regroupings to the IRS. For a detailed discussion of passive activity grouping and the NIIT regrouping opportunity, see </w:t>
      </w:r>
      <w:smartTag w:uri="http://www.bna.com/sgml2word/cite" w:element="cite.bna.reference">
        <w:smartTagPr>
          <w:attr w:name="bna.id.ref" w:val="TM\549"/>
        </w:smartTagPr>
        <w:r>
          <w:t>549 T.M.</w:t>
        </w:r>
      </w:smartTag>
      <w:r>
        <w:t xml:space="preserve">, </w:t>
      </w:r>
      <w:r>
        <w:rPr>
          <w:i/>
        </w:rPr>
        <w:t>Passive Loss Rules</w:t>
      </w:r>
      <w:r>
        <w:t>.</w:t>
      </w:r>
      <w:r>
        <w:rPr>
          <w:rStyle w:val="FootnoteReference"/>
        </w:rPr>
        <w:footnoteReference w:id="104"/>
      </w:r>
    </w:p>
    <w:p w14:paraId="5F879F0C" w14:textId="77777777" w:rsidR="00494B49" w:rsidRDefault="00494B49">
      <w:pPr>
        <w:pStyle w:val="BNormal"/>
      </w:pPr>
      <w:r>
        <w:t xml:space="preserve">In general, Reg. </w:t>
      </w:r>
      <w:smartTag w:uri="http://www.bna.com/sgml2word/cite" w:element="cite.cfr">
        <w:smartTagPr>
          <w:attr w:name="ref" w:val="cfr\26\1.469-11(b)(3)(iv)(A)"/>
        </w:smartTagPr>
        <w:r>
          <w:t>§1.469-11(b)(3)(iv)(A)</w:t>
        </w:r>
      </w:smartTag>
      <w:r>
        <w:t xml:space="preserve"> provides taxpayers an opportunity to regroup their activities in the first tax year beginning after December 31, 2013, in which: (1) the taxpayer met the applicable income threshold under </w:t>
      </w:r>
      <w:smartTag w:uri="http://www.bna.com/sgml2word/cite" w:element="cite.usc">
        <w:smartTagPr>
          <w:attr w:name="ref" w:val="USC\26\1411"/>
        </w:smartTagPr>
        <w:r>
          <w:t>§1411</w:t>
        </w:r>
      </w:smartTag>
      <w:r>
        <w:t>, and (2) had net investment income.</w:t>
      </w:r>
      <w:r>
        <w:rPr>
          <w:rStyle w:val="FootnoteReference"/>
        </w:rPr>
        <w:footnoteReference w:id="105"/>
      </w:r>
      <w:r>
        <w:t xml:space="preserve"> For this purpose, the determination in the preceding sentence is made without regard to the effect of the regrouping.</w:t>
      </w:r>
      <w:r>
        <w:rPr>
          <w:rStyle w:val="FootnoteReference"/>
        </w:rPr>
        <w:footnoteReference w:id="106"/>
      </w:r>
      <w:r>
        <w:t xml:space="preserve"> A taxpayer may regroup his or her activities once, and any such regrouping applies to the tax year for which the regrouping is made and all subsequent years. </w:t>
      </w:r>
    </w:p>
    <w:p w14:paraId="70ED79FB" w14:textId="77777777" w:rsidR="00494B49" w:rsidRDefault="00494B49">
      <w:pPr>
        <w:pStyle w:val="BNormal"/>
      </w:pPr>
      <w:r>
        <w:t>The regulations allow a taxpayer to regroup on an amended return, but only if the taxpayer was not subject to the NIIT on their original return (or previously amended return), and if, because of a change to the original return, the taxpayer owed NIIT for that tax year.</w:t>
      </w:r>
      <w:r>
        <w:rPr>
          <w:rStyle w:val="FootnoteReference"/>
        </w:rPr>
        <w:footnoteReference w:id="107"/>
      </w:r>
      <w:r>
        <w:t xml:space="preserve"> However, if a taxpayer regroups on an original return (or previously amended return) under these rules, and </w:t>
      </w:r>
      <w:r>
        <w:lastRenderedPageBreak/>
        <w:t>subsequently determines that the taxpayer is not subject to NIIT in that year, the regrouping is void in that year and all subsequent years until a valid regrouping is done.</w:t>
      </w:r>
      <w:r>
        <w:rPr>
          <w:rStyle w:val="FootnoteReference"/>
        </w:rPr>
        <w:footnoteReference w:id="108"/>
      </w:r>
      <w:r>
        <w:t xml:space="preserve"> The regulations contain two exceptions to these voided elections. First, a taxpayer may adopt the voided grouping in a subsequent year without filing an amended return if the taxpayer is subject to NIIT in such year.</w:t>
      </w:r>
      <w:r>
        <w:rPr>
          <w:rStyle w:val="FootnoteReference"/>
        </w:rPr>
        <w:footnoteReference w:id="109"/>
      </w:r>
      <w:r>
        <w:t xml:space="preserve"> Second, if the taxpayer is subject to </w:t>
      </w:r>
      <w:smartTag w:uri="http://www.bna.com/sgml2word/cite" w:element="cite.usc">
        <w:smartTagPr>
          <w:attr w:name="ref" w:val="USC\26\1411"/>
        </w:smartTagPr>
        <w:r>
          <w:t>§1411</w:t>
        </w:r>
      </w:smartTag>
      <w:r>
        <w:t xml:space="preserve"> in a subsequent year, the taxpayer may file an amended return to regroup in a manner that differs from the previous year’s voided regrouping.</w:t>
      </w:r>
      <w:r>
        <w:rPr>
          <w:rStyle w:val="FootnoteReference"/>
        </w:rPr>
        <w:footnoteReference w:id="110"/>
      </w:r>
    </w:p>
    <w:p w14:paraId="616D7E3A" w14:textId="77777777" w:rsidR="00494B49" w:rsidRDefault="00494B49">
      <w:pPr>
        <w:pStyle w:val="BHead3"/>
      </w:pPr>
      <w:r>
        <w:t>d. Trade or Business of Rental Real Estate</w:t>
      </w:r>
    </w:p>
    <w:p w14:paraId="40907493" w14:textId="77777777" w:rsidR="00494B49" w:rsidRDefault="00494B49">
      <w:pPr>
        <w:pStyle w:val="BNormal"/>
      </w:pPr>
      <w:r>
        <w:t xml:space="preserve">Within the overall context of the determination of whether a trade or business exists for NIIT purposes, most of the public commentary following the release of the original proposed regulations in 2012 concerned the determination of whether rental income was derived in the ordinary course of a trade or business. Most of the concern involved statements in the 2012 Proposed Regulation preamble and Example 1 of Prop. Reg. </w:t>
      </w:r>
      <w:smartTag w:uri="http://www.bna.com/sgml2word/cite" w:element="cite.cfr">
        <w:smartTagPr>
          <w:attr w:name="ref" w:val="prule\cfr\26\1.1411-5(b)(2)"/>
        </w:smartTagPr>
        <w:r>
          <w:t>§1.1411-5(b)(2)</w:t>
        </w:r>
      </w:smartTag>
      <w:r>
        <w:t xml:space="preserve">, which provided: </w:t>
      </w:r>
    </w:p>
    <w:p w14:paraId="00D50EC3" w14:textId="77777777" w:rsidR="00494B49" w:rsidRDefault="00494B49">
      <w:pPr>
        <w:pStyle w:val="BQuotelong"/>
      </w:pPr>
      <w:r>
        <w:t xml:space="preserve">A, an unmarried individual, rents a commercial building to B for $50,000 in Year 1. A’s rental activity does not involve the conduct of a </w:t>
      </w:r>
      <w:smartTag w:uri="http://www.bna.com/sgml2word/cite" w:element="cite.usc">
        <w:smartTagPr>
          <w:attr w:name="ref" w:val="USC\26\162"/>
        </w:smartTagPr>
        <w:r>
          <w:t>§162</w:t>
        </w:r>
      </w:smartTag>
      <w:r>
        <w:t xml:space="preserve"> trade or business, but under </w:t>
      </w:r>
      <w:smartTag w:uri="http://www.bna.com/sgml2word/cite" w:element="cite.usc">
        <w:smartTagPr>
          <w:attr w:name="ref" w:val="USC\26\469(c)(2)"/>
        </w:smartTagPr>
        <w:r>
          <w:t>§469(c)(2)</w:t>
        </w:r>
      </w:smartTag>
      <w:r>
        <w:t xml:space="preserve">, A’s rental activity is a passive activity. Because paragraph (b)(1)(i) of this section is not satisfied, A’s rental income of $50,000 is not derived from a trade or business described in paragraph (b)(1) of this section. However, A’s rental income of $50,000 will still constitute gross income from rents within the meaning of </w:t>
      </w:r>
      <w:smartTag w:uri="http://www.bna.com/sgml2word/cite" w:element="cite.cfr">
        <w:smartTagPr>
          <w:attr w:name="ref" w:val="cfr\26\1.1411-4(a)(1)(i)"/>
        </w:smartTagPr>
        <w:r>
          <w:t>§1.1411-4(a)(1)(i)</w:t>
        </w:r>
      </w:smartTag>
      <w:r>
        <w:t xml:space="preserve"> because </w:t>
      </w:r>
      <w:smartTag w:uri="http://www.bna.com/sgml2word/cite" w:element="cite.cfr">
        <w:smartTagPr>
          <w:attr w:name="ref" w:val="cfr\26\1.1411-4(a)(1)(i)"/>
        </w:smartTagPr>
        <w:r>
          <w:t>§1.1411-4(a)(1)(i)</w:t>
        </w:r>
      </w:smartTag>
      <w:r>
        <w:t xml:space="preserve"> does not require a trade or business. </w:t>
      </w:r>
    </w:p>
    <w:p w14:paraId="08A3FCC6" w14:textId="77777777" w:rsidR="00494B49" w:rsidRDefault="00494B49">
      <w:pPr>
        <w:pStyle w:val="BNormal"/>
      </w:pPr>
      <w:r>
        <w:t xml:space="preserve">Article writers and regulation commentators acknowledged that rental income can be earned in a non-trade-or-business setting, but followed along by arguing, in essence, that rental income is predominantly earned in a </w:t>
      </w:r>
      <w:smartTag w:uri="http://www.bna.com/sgml2word/cite" w:element="cite.usc">
        <w:smartTagPr>
          <w:attr w:name="ref" w:val="USC\26\162"/>
        </w:smartTagPr>
        <w:r>
          <w:t>§162</w:t>
        </w:r>
      </w:smartTag>
      <w:r>
        <w:t xml:space="preserve"> trade or business and that non-trade-or-business rental activities were more of an exception to the general rule. As a result, the commenting public believed that Example 1 in Prop. Reg. </w:t>
      </w:r>
      <w:smartTag w:uri="http://www.bna.com/sgml2word/cite" w:element="cite.cfr">
        <w:smartTagPr>
          <w:attr w:name="ref" w:val="prule\cfr\26\1.1411-5(b)(2)"/>
        </w:smartTagPr>
        <w:r>
          <w:t>§1.1411-5(b)(2)</w:t>
        </w:r>
      </w:smartTag>
      <w:r>
        <w:t xml:space="preserve"> was incorrect because the premise that rental of a commercial building was not a trade or business was inaccurate as a matter of law.</w:t>
      </w:r>
      <w:r>
        <w:rPr>
          <w:rStyle w:val="FootnoteReference"/>
        </w:rPr>
        <w:footnoteReference w:id="111"/>
      </w:r>
    </w:p>
    <w:p w14:paraId="1624F8AC" w14:textId="77777777" w:rsidR="00494B49" w:rsidRDefault="00494B49">
      <w:pPr>
        <w:pStyle w:val="BNormal"/>
      </w:pPr>
      <w:r>
        <w:t>In the preamble to the final regulations, the Treasury Department and the IRS stated that they agreed with the public commentators and article authors, but with some limitations.</w:t>
      </w:r>
      <w:r>
        <w:rPr>
          <w:rStyle w:val="FootnoteReference"/>
        </w:rPr>
        <w:footnoteReference w:id="112"/>
      </w:r>
      <w:r>
        <w:t xml:space="preserve"> As a result, the final regulations modified Example 1 to read: </w:t>
      </w:r>
    </w:p>
    <w:p w14:paraId="23649B11" w14:textId="77777777" w:rsidR="00494B49" w:rsidRDefault="00494B49">
      <w:pPr>
        <w:pStyle w:val="BQuotelong"/>
      </w:pPr>
      <w:r>
        <w:t xml:space="preserve">A, an unmarried individual, rents a commercial building to B for $50,000 in Year 1. A is not involved in the activity of the commercial building on a regular and continuous basis, therefore, A’s rental activity does not involve the conduct of a trade or business, and under </w:t>
      </w:r>
      <w:smartTag w:uri="http://www.bna.com/sgml2word/cite" w:element="cite.usc">
        <w:smartTagPr>
          <w:attr w:name="ref" w:val="USC\26\469(c)(2)"/>
        </w:smartTagPr>
        <w:r>
          <w:t>section 469(c)(2)</w:t>
        </w:r>
      </w:smartTag>
      <w:r>
        <w:t xml:space="preserve">, A’s rental </w:t>
      </w:r>
      <w:r>
        <w:lastRenderedPageBreak/>
        <w:t xml:space="preserve">activity is a passive activity. Because paragraph (b)(1)(i) of this section is not satisfied, A’s rental income of $50,000 is not derived from a trade or business described in paragraph (b)(1) of this section. However, A’s rental income of $50,000 still constitutes gross income from rents within the meaning of </w:t>
      </w:r>
      <w:smartTag w:uri="http://www.bna.com/sgml2word/cite" w:element="cite.cfr">
        <w:smartTagPr>
          <w:attr w:name="ref" w:val="cfr\26\1.1411-4(a)(1)(i)"/>
        </w:smartTagPr>
        <w:r>
          <w:t>§1.1411-4(a)(1)(i)</w:t>
        </w:r>
      </w:smartTag>
      <w:r>
        <w:t xml:space="preserve"> because rents are included in the determination of net investment income under </w:t>
      </w:r>
      <w:smartTag w:uri="http://www.bna.com/sgml2word/cite" w:element="cite.cfr">
        <w:smartTagPr>
          <w:attr w:name="ref" w:val="cfr\26\1.1411-4(a)(1)(i)"/>
        </w:smartTagPr>
        <w:r>
          <w:t>§1.1411-4(a)(1)(i)</w:t>
        </w:r>
      </w:smartTag>
      <w:r>
        <w:t xml:space="preserve"> whether or not derived from a trade or business described in paragraph (b)(1) of this section.</w:t>
      </w:r>
      <w:r>
        <w:rPr>
          <w:rStyle w:val="FootnoteReference"/>
        </w:rPr>
        <w:footnoteReference w:id="113"/>
      </w:r>
      <w:r>
        <w:t xml:space="preserve"> </w:t>
      </w:r>
    </w:p>
    <w:p w14:paraId="659D9C53" w14:textId="77777777" w:rsidR="00494B49" w:rsidRDefault="00494B49">
      <w:pPr>
        <w:pStyle w:val="BNormal"/>
      </w:pPr>
      <w:r>
        <w:t>The final regulations included a factual statement: “A is not involved in the activity of the commercial building on a regular and continuous basis, therefore, A’s rental activity does not involve the conduct of a trade or business,” which appeared to appease the public. However, the issue of what constitutes a property rental trade or business remains unclarified.</w:t>
      </w:r>
    </w:p>
    <w:p w14:paraId="6A8306BC" w14:textId="77777777" w:rsidR="00494B49" w:rsidRDefault="00494B49">
      <w:pPr>
        <w:pStyle w:val="BNormal"/>
      </w:pPr>
      <w:r>
        <w:t xml:space="preserve">It is reasonable to infer that, by including a rental activity fact pattern in the regulation, the Treasury Department and IRS believed that a for-profit rental (e.g., a non-trade-or-business rental activity) occurs frequently enough that it is a viable stand-alone type of activity, rather than an exception to the general rule offered by public commentators to the 2012 Proposed Regulations. </w:t>
      </w:r>
    </w:p>
    <w:p w14:paraId="3FA65614" w14:textId="77777777" w:rsidR="00494B49" w:rsidRDefault="00494B49">
      <w:pPr>
        <w:pStyle w:val="BNormal"/>
      </w:pPr>
      <w:r>
        <w:t xml:space="preserve">The Treasury Department and IRS specifically acknowledged </w:t>
      </w:r>
      <w:smartTag w:uri="http://www.bna.com/sgml2word/cite" w:element="cite.usc">
        <w:smartTagPr>
          <w:attr w:name="ref" w:val="USC\26\6041"/>
        </w:smartTagPr>
        <w:r>
          <w:t>§6041</w:t>
        </w:r>
      </w:smartTag>
      <w:r>
        <w:t xml:space="preserve"> in the preamble to the 2013 Final Regulations.</w:t>
      </w:r>
      <w:r>
        <w:rPr>
          <w:rStyle w:val="FootnoteReference"/>
        </w:rPr>
        <w:footnoteReference w:id="114"/>
      </w:r>
      <w:r>
        <w:t xml:space="preserve"> </w:t>
      </w:r>
      <w:smartTag w:uri="http://www.bna.com/sgml2word/cite" w:element="cite.usc">
        <w:smartTagPr>
          <w:attr w:name="ref" w:val="USC\26\6041"/>
        </w:smartTagPr>
        <w:r>
          <w:t>Section 6041</w:t>
        </w:r>
      </w:smartTag>
      <w:r>
        <w:t xml:space="preserve"> imposes information reporting requirements (</w:t>
      </w:r>
      <w:smartTag w:uri="http://www.bna.com/sgml2word/cite" w:element="cite.fed.form">
        <w:smartTagPr>
          <w:attr w:name="ref" w:val="irs\form1099"/>
        </w:smartTagPr>
        <w:r>
          <w:t>Form 1099</w:t>
        </w:r>
      </w:smartTag>
      <w:r>
        <w:t>) for certain payments made in the context of a trade or business.</w:t>
      </w:r>
      <w:r>
        <w:rPr>
          <w:rStyle w:val="FootnoteReference"/>
        </w:rPr>
        <w:footnoteReference w:id="115"/>
      </w:r>
      <w:r>
        <w:t xml:space="preserve"> The public comments to the 2012 Proposed Regulations lead a reader to conclude that virtually all rental properties are a trade or business, yet many taxpayers take the position that a rental activity is not a trade or business for purposes of the </w:t>
      </w:r>
      <w:smartTag w:uri="http://www.bna.com/sgml2word/cite" w:element="cite.usc">
        <w:smartTagPr>
          <w:attr w:name="ref" w:val="USC\26\6041"/>
        </w:smartTagPr>
        <w:r>
          <w:t>§6041</w:t>
        </w:r>
      </w:smartTag>
      <w:r>
        <w:t xml:space="preserve"> reporting requirements. As a result, the preamble to the 2013 Final Regulations warns taxpayers that if they claim trade or business status for rental properties for NIIT purposes, they should also claim trade or business status for </w:t>
      </w:r>
      <w:smartTag w:uri="http://www.bna.com/sgml2word/cite" w:element="cite.usc">
        <w:smartTagPr>
          <w:attr w:name="ref" w:val="USC\26\6041"/>
        </w:smartTagPr>
        <w:r>
          <w:t>§6041</w:t>
        </w:r>
      </w:smartTag>
      <w:r>
        <w:t xml:space="preserve"> information reporting purposes. Penalties for failing to file Form </w:t>
      </w:r>
      <w:smartTag w:uri="http://www.bna.com/sgml2word/cite" w:element="cite.fed.form">
        <w:smartTagPr>
          <w:attr w:name="ref" w:val="irs\form1099"/>
        </w:smartTagPr>
        <w:r>
          <w:t>1099</w:t>
        </w:r>
      </w:smartTag>
      <w:r>
        <w:t xml:space="preserve">s as required by </w:t>
      </w:r>
      <w:smartTag w:uri="http://www.bna.com/sgml2word/cite" w:element="cite.usc">
        <w:smartTagPr>
          <w:attr w:name="ref" w:val="USC\26\6041"/>
        </w:smartTagPr>
        <w:r>
          <w:t>§6041</w:t>
        </w:r>
      </w:smartTag>
      <w:r>
        <w:t xml:space="preserve"> may surpass the NIIT tax savings.</w:t>
      </w:r>
      <w:r>
        <w:rPr>
          <w:rStyle w:val="FootnoteReference"/>
        </w:rPr>
        <w:footnoteReference w:id="116"/>
      </w:r>
    </w:p>
    <w:p w14:paraId="6B4119CD" w14:textId="77777777" w:rsidR="00494B49" w:rsidRDefault="00494B49">
      <w:pPr>
        <w:pStyle w:val="BHead3"/>
      </w:pPr>
      <w:r>
        <w:t>e. Farming Operations</w:t>
      </w:r>
    </w:p>
    <w:p w14:paraId="3B87B3D3" w14:textId="77777777" w:rsidR="00494B49" w:rsidRDefault="00494B49">
      <w:pPr>
        <w:pStyle w:val="BNormal"/>
      </w:pPr>
      <w:r>
        <w:t xml:space="preserve">For NIIT purposes, farming operations present some unique issues with regard to whether the farm is a </w:t>
      </w:r>
      <w:smartTag w:uri="http://www.bna.com/sgml2word/cite" w:element="cite.usc">
        <w:smartTagPr>
          <w:attr w:name="ref" w:val="USC\26\1411"/>
        </w:smartTagPr>
        <w:r>
          <w:t>§1411</w:t>
        </w:r>
      </w:smartTag>
      <w:r>
        <w:t xml:space="preserve"> Trade or Business under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As a theoretical starting point, a farm is a trade or business that is not a trade or business of trading in financial instruments or commodities.</w:t>
      </w:r>
      <w:r>
        <w:rPr>
          <w:rStyle w:val="FootnoteReference"/>
        </w:rPr>
        <w:footnoteReference w:id="117"/>
      </w:r>
      <w:r>
        <w:t xml:space="preserve"> Therefore, in order for the net income or loss from the farming </w:t>
      </w:r>
      <w:r>
        <w:lastRenderedPageBreak/>
        <w:t xml:space="preserve">operation to be included in net investment income, the farming operation must be a passive trade or business, and the income or loss must not be taken into account in computing net earnings from self-employment or NESE. </w:t>
      </w:r>
    </w:p>
    <w:p w14:paraId="600A8449" w14:textId="77777777" w:rsidR="00494B49" w:rsidRDefault="00494B49">
      <w:pPr>
        <w:pStyle w:val="BNormal"/>
      </w:pPr>
      <w:r>
        <w:t xml:space="preserve">The general material participation rules in Reg. </w:t>
      </w:r>
      <w:smartTag w:uri="http://www.bna.com/sgml2word/cite" w:element="cite.cfr">
        <w:smartTagPr>
          <w:attr w:name="ref" w:val="cfr\26\1.469-5T"/>
        </w:smartTagPr>
        <w:r>
          <w:t>§1.469-5T</w:t>
        </w:r>
      </w:smartTag>
      <w:r>
        <w:t xml:space="preserve"> apply to farms. Thus, if the farm is a nonpassive activity, or a significant participation passive activity with net income, the income from the farm is excluded from net investment income. In addition, the sale of the farm or assets used in the farming activity would also be excluded from net investment income. </w:t>
      </w:r>
    </w:p>
    <w:p w14:paraId="0E81CE2C" w14:textId="77777777" w:rsidR="00494B49" w:rsidRDefault="00494B49">
      <w:pPr>
        <w:pStyle w:val="BNormal"/>
      </w:pPr>
      <w:r>
        <w:t xml:space="preserve">What makes farming unique from a NIIT perspective is the special material participation rule in </w:t>
      </w:r>
      <w:smartTag w:uri="http://www.bna.com/sgml2word/cite" w:element="cite.usc">
        <w:smartTagPr>
          <w:attr w:name="ref" w:val="USC\26\469(h)(3)"/>
        </w:smartTagPr>
        <w:r>
          <w:t>§469(h)(3)</w:t>
        </w:r>
      </w:smartTag>
      <w:r>
        <w:t xml:space="preserve"> and Reg. </w:t>
      </w:r>
      <w:smartTag w:uri="http://www.bna.com/sgml2word/cite" w:element="cite.cfr">
        <w:smartTagPr>
          <w:attr w:name="ref" w:val="cfr\26\1.469-5T(h)(2)"/>
        </w:smartTagPr>
        <w:r>
          <w:t>§1.469-5T(h)(2)</w:t>
        </w:r>
      </w:smartTag>
      <w:r>
        <w:t xml:space="preserve"> for retired farmers and their surviving spouses. </w:t>
      </w:r>
      <w:smartTag w:uri="http://www.bna.com/sgml2word/cite" w:element="cite.usc">
        <w:smartTagPr>
          <w:attr w:name="ref" w:val="USC\26\469(h)(3)"/>
        </w:smartTagPr>
        <w:r>
          <w:t>Section 469(h)(3)</w:t>
        </w:r>
      </w:smartTag>
      <w:r>
        <w:t xml:space="preserve"> provides that a taxpayer who is retired, disabled, or a surviving spouse is treated as materially participating by cross-referencing </w:t>
      </w:r>
      <w:smartTag w:uri="http://www.bna.com/sgml2word/cite" w:element="cite.usc">
        <w:smartTagPr>
          <w:attr w:name="ref" w:val="USC\26\2032A(b)(1)(C)(ii)"/>
        </w:smartTagPr>
        <w:r>
          <w:t>§2032A(b)(1)(C)(ii)</w:t>
        </w:r>
      </w:smartTag>
      <w:r>
        <w:t xml:space="preserve">. Although a thorough discussion of </w:t>
      </w:r>
      <w:smartTag w:uri="http://www.bna.com/sgml2word/cite" w:element="cite.usc">
        <w:smartTagPr>
          <w:attr w:name="ref" w:val="USC\26\2032A"/>
        </w:smartTagPr>
        <w:r>
          <w:t>§2032A</w:t>
        </w:r>
      </w:smartTag>
      <w:r>
        <w:t xml:space="preserve"> is outside the scope of this Portfolio,</w:t>
      </w:r>
      <w:r>
        <w:rPr>
          <w:rStyle w:val="FootnoteReference"/>
        </w:rPr>
        <w:footnoteReference w:id="118"/>
      </w:r>
      <w:r>
        <w:t xml:space="preserve"> the requirements of </w:t>
      </w:r>
      <w:smartTag w:uri="http://www.bna.com/sgml2word/cite" w:element="cite.usc">
        <w:smartTagPr>
          <w:attr w:name="ref" w:val="USC\26\2032A(b)(1)(C)(ii)"/>
        </w:smartTagPr>
        <w:r>
          <w:t>§2032A(b)(1)(C)(ii)</w:t>
        </w:r>
      </w:smartTag>
      <w:r>
        <w:t xml:space="preserve"> are met if, during the eight years preceding the decedent’s death, there were periods aggregating five years or more during which the decedent or a member of the decedent’s family materially participated in the farming activity. However, the cross-reference to </w:t>
      </w:r>
      <w:smartTag w:uri="http://www.bna.com/sgml2word/cite" w:element="cite.usc">
        <w:smartTagPr>
          <w:attr w:name="ref" w:val="USC\26\2032A(b)(1)(C)(ii)"/>
        </w:smartTagPr>
        <w:r>
          <w:t>§2032A(b)(1)(C)(ii)</w:t>
        </w:r>
      </w:smartTag>
      <w:r>
        <w:t xml:space="preserve"> is limited. </w:t>
      </w:r>
      <w:smartTag w:uri="http://www.bna.com/sgml2word/cite" w:element="cite.usc">
        <w:smartTagPr>
          <w:attr w:name="ref" w:val="USC\26\469(h)(3)"/>
        </w:smartTagPr>
        <w:r>
          <w:t>Section 469(h)(3)</w:t>
        </w:r>
      </w:smartTag>
      <w:r>
        <w:t xml:space="preserve"> provides that the taxpayer will be treated as materially participating only if </w:t>
      </w:r>
      <w:smartTag w:uri="http://www.bna.com/sgml2word/cite" w:element="cite.usc">
        <w:smartTagPr>
          <w:attr w:name="ref" w:val="USC\26\2032A(b)(4)"/>
        </w:smartTagPr>
        <w:r>
          <w:t>§2032A(b)(4)</w:t>
        </w:r>
      </w:smartTag>
      <w:r>
        <w:rPr>
          <w:rStyle w:val="FootnoteReference"/>
        </w:rPr>
        <w:footnoteReference w:id="119"/>
      </w:r>
      <w:r>
        <w:t xml:space="preserve"> or </w:t>
      </w:r>
      <w:smartTag w:uri="http://www.bna.com/sgml2word/cite" w:element="cite.usc">
        <w:smartTagPr>
          <w:attr w:name="ref" w:val="USC\26\2032A(b)(5)"/>
        </w:smartTagPr>
        <w:r>
          <w:t>§2032A(b)(5)</w:t>
        </w:r>
      </w:smartTag>
      <w:r>
        <w:rPr>
          <w:rStyle w:val="FootnoteReference"/>
        </w:rPr>
        <w:footnoteReference w:id="120"/>
      </w:r>
      <w:r>
        <w:t xml:space="preserve"> would have caused the requirements of </w:t>
      </w:r>
      <w:smartTag w:uri="http://www.bna.com/sgml2word/cite" w:element="cite.usc">
        <w:smartTagPr>
          <w:attr w:name="ref" w:val="USC\26\2032A(b)(1)(C)(ii)"/>
        </w:smartTagPr>
        <w:r>
          <w:t>§2032A(b)(1)(C)(ii)</w:t>
        </w:r>
      </w:smartTag>
      <w:r>
        <w:t xml:space="preserve"> to be met with respect to real property used in the farming activity at the date of retirement or disability. </w:t>
      </w:r>
      <w:smartTag w:uri="http://www.bna.com/sgml2word/cite" w:element="cite.usc">
        <w:smartTagPr>
          <w:attr w:name="ref" w:val="USC\26\2032A(b)(4)"/>
        </w:smartTagPr>
        <w:r>
          <w:t>Section 2032A(b)(4)</w:t>
        </w:r>
      </w:smartTag>
      <w:r>
        <w:t xml:space="preserve"> provides that if the farmer was receiving old-age benefits under Title II of the Social Security Act or was disabled and had materially participated in the farming operation for at least five years during the eight-year period ending on the date of disability or filing for Social Security benefits, the farmer is treated as having met the material participation test during the retirement or disability. </w:t>
      </w:r>
      <w:smartTag w:uri="http://www.bna.com/sgml2word/cite" w:element="cite.usc">
        <w:smartTagPr>
          <w:attr w:name="ref" w:val="USC\26\2032A(b)(5)"/>
        </w:smartTagPr>
        <w:r>
          <w:t>Section 2032A(b)(5)</w:t>
        </w:r>
      </w:smartTag>
      <w:r>
        <w:t xml:space="preserve"> extends this material participation status to the surviving spouse of the farmer if the spouse provides “active management.”</w:t>
      </w:r>
      <w:r>
        <w:rPr>
          <w:rStyle w:val="FootnoteReference"/>
        </w:rPr>
        <w:footnoteReference w:id="121"/>
      </w:r>
    </w:p>
    <w:p w14:paraId="24CF25CF" w14:textId="77777777" w:rsidR="00494B49" w:rsidRDefault="00494B49">
      <w:pPr>
        <w:pStyle w:val="BNormal"/>
      </w:pPr>
      <w:r>
        <w:t xml:space="preserve">The nuance to this rule is that, in order for the income to be considered nonpassive under </w:t>
      </w:r>
      <w:smartTag w:uri="http://www.bna.com/sgml2word/cite" w:element="cite.usc">
        <w:smartTagPr>
          <w:attr w:name="ref" w:val="USC\26\469(h)(3)"/>
        </w:smartTagPr>
        <w:r>
          <w:t>§469(h)(3)</w:t>
        </w:r>
      </w:smartTag>
      <w:r>
        <w:t xml:space="preserve">, the real property that constituted the farming operation must continue to be operated </w:t>
      </w:r>
      <w:r>
        <w:lastRenderedPageBreak/>
        <w:t xml:space="preserve">as a farm. Therefore, Reg. </w:t>
      </w:r>
      <w:smartTag w:uri="http://www.bna.com/sgml2word/cite" w:element="cite.cfr">
        <w:smartTagPr>
          <w:attr w:name="ref" w:val="cfr\26\1.1411-5"/>
        </w:smartTagPr>
        <w:r>
          <w:t>§1.1411-5</w:t>
        </w:r>
      </w:smartTag>
      <w:r>
        <w:t xml:space="preserve"> does not need special rules to address farming in this situation; the definition of passive activity within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5(b)(1)"/>
        </w:smartTagPr>
        <w:r>
          <w:t>§1.1411-5(b)(1)</w:t>
        </w:r>
      </w:smartTag>
      <w:r>
        <w:t xml:space="preserve"> simply cross-references </w:t>
      </w:r>
      <w:smartTag w:uri="http://www.bna.com/sgml2word/cite" w:element="cite.usc">
        <w:smartTagPr>
          <w:attr w:name="ref" w:val="USC\26\469"/>
        </w:smartTagPr>
        <w:r>
          <w:t>§469</w:t>
        </w:r>
      </w:smartTag>
      <w:r>
        <w:t xml:space="preserve"> and the regulations thereunder. As a result, farm income earned by a retired farmer who continues to farm by hiring other people to perform the various tasks of planting, cultivating, spraying, harvesting and marketing is excluded from net investment income to the extent it is not passive under </w:t>
      </w:r>
      <w:smartTag w:uri="http://www.bna.com/sgml2word/cite" w:element="cite.usc">
        <w:smartTagPr>
          <w:attr w:name="ref" w:val="USC\26\469(h)(3)"/>
        </w:smartTagPr>
        <w:r>
          <w:t>§469(h)(3)</w:t>
        </w:r>
      </w:smartTag>
      <w:r>
        <w:t xml:space="preserve">. In essence, if the farmer retired meeting the </w:t>
      </w:r>
      <w:smartTag w:uri="http://www.bna.com/sgml2word/cite" w:element="cite.usc">
        <w:smartTagPr>
          <w:attr w:name="ref" w:val="USC\26\469(h)(3)"/>
        </w:smartTagPr>
        <w:r>
          <w:t>§469(h)(3)</w:t>
        </w:r>
      </w:smartTag>
      <w:r>
        <w:t xml:space="preserve"> tests, he is forever considered to be materially participating in the farming activity that he owns. No continuing participation is required. Additionally, the sale of the farm itself (or parcels of farm land, equipment and/or machinery used in the farm) should also be excluded from net investment income. </w:t>
      </w:r>
    </w:p>
    <w:p w14:paraId="39EA360A" w14:textId="77777777" w:rsidR="00494B49" w:rsidRDefault="00494B49">
      <w:pPr>
        <w:pStyle w:val="BNormal"/>
      </w:pPr>
      <w:smartTag w:uri="http://www.bna.com/sgml2word/cite" w:element="cite.usc">
        <w:smartTagPr>
          <w:attr w:name="ref" w:val="USC\26\469(h)(3)"/>
        </w:smartTagPr>
        <w:r>
          <w:t>Section 469(h)(3)</w:t>
        </w:r>
      </w:smartTag>
      <w:r>
        <w:t xml:space="preserve"> has application in the partnership and S corporation context as well. If the farmer continues to maintain any ownership in the partnership or S corporation that conducts a farming activity, the retired farmer is deemed to be materially participating. This further provides an opening for excluding rental income from real property leased to that partnership or S corporation from the NIIT. As a landlord, the net income from leasing land to an entity in which the farmer owns an interest is self-rental income if the farmer materially participates. Qualifying under </w:t>
      </w:r>
      <w:smartTag w:uri="http://www.bna.com/sgml2word/cite" w:element="cite.usc">
        <w:smartTagPr>
          <w:attr w:name="ref" w:val="USC\26\469(h)(3)"/>
        </w:smartTagPr>
        <w:r>
          <w:t>§469(h)(3)</w:t>
        </w:r>
      </w:smartTag>
      <w:r>
        <w:t xml:space="preserve"> is deemed material participation, allowing both the flow-through income from the entity and the net rental income from the land to be excluded from net investment income.</w:t>
      </w:r>
    </w:p>
    <w:p w14:paraId="6927EE2E" w14:textId="77777777" w:rsidR="00494B49" w:rsidRDefault="00494B49">
      <w:pPr>
        <w:pStyle w:val="BNormal"/>
      </w:pPr>
      <w:r>
        <w:t>However, to the extent that the farm ceases operations, the nonpassive status also ceases. For example, to the extent a farmer retires and leases the farm as a going concern (or parcels of land) to another party (i.e., to an entity in which the farmer has no ownership interest), the farm activity has converted from a farming activity to a rental activity.</w:t>
      </w:r>
      <w:r>
        <w:rPr>
          <w:rStyle w:val="FootnoteReference"/>
        </w:rPr>
        <w:footnoteReference w:id="122"/>
      </w:r>
    </w:p>
    <w:p w14:paraId="3BE93EAA" w14:textId="77777777" w:rsidR="00494B49" w:rsidRDefault="00494B49">
      <w:pPr>
        <w:pStyle w:val="BHead2"/>
      </w:pPr>
      <w:r>
        <w:t>2. Trade or Business of Trading in Financial Instruments or Commodities — §1411(c)(2)(B)</w:t>
      </w:r>
    </w:p>
    <w:p w14:paraId="7E15E56F" w14:textId="77777777" w:rsidR="00494B49" w:rsidRDefault="00494B49">
      <w:pPr>
        <w:pStyle w:val="BNormal"/>
      </w:pPr>
      <w:r>
        <w:t xml:space="preserve">The second type of </w:t>
      </w:r>
      <w:smartTag w:uri="http://www.bna.com/sgml2word/cite" w:element="cite.usc">
        <w:smartTagPr>
          <w:attr w:name="ref" w:val="USC\26\1411(c)(2)"/>
        </w:smartTagPr>
        <w:r>
          <w:t>§1411(c)(2)</w:t>
        </w:r>
      </w:smartTag>
      <w:r>
        <w:t xml:space="preserve"> trade or business is the trade or business of trading in financial instruments or commodities. </w:t>
      </w:r>
    </w:p>
    <w:p w14:paraId="290FBFD2" w14:textId="77777777" w:rsidR="00494B49" w:rsidRDefault="00494B49">
      <w:pPr>
        <w:pStyle w:val="BNormal"/>
      </w:pPr>
      <w:r>
        <w:t>Determining whether trading in financial instruments or commodities rises to the level of a trade or business is a question of fact.</w:t>
      </w:r>
      <w:r>
        <w:rPr>
          <w:rStyle w:val="FootnoteReference"/>
        </w:rPr>
        <w:footnoteReference w:id="123"/>
      </w:r>
      <w:r>
        <w:t xml:space="preserve"> On one end of the spectrum,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w:t>
      </w:r>
      <w:r>
        <w:rPr>
          <w:rStyle w:val="FootnoteReference"/>
        </w:rPr>
        <w:footnoteReference w:id="124"/>
      </w:r>
      <w:r>
        <w:t xml:space="preserve"> On the other end of the spectrum, an investor is a person who purchases and sells securities with the principal purpose of realizing investment income in the form of interest, dividends, and gains from appreciation in value over a relatively long period of time (that is, long-term appreciation). The management of one’s own investments is not considered a trade or business no matter how extensive or substantial the investments </w:t>
      </w:r>
      <w:r>
        <w:lastRenderedPageBreak/>
        <w:t>might be.</w:t>
      </w:r>
      <w:r>
        <w:rPr>
          <w:rStyle w:val="FootnoteReference"/>
        </w:rPr>
        <w:footnoteReference w:id="125"/>
      </w:r>
      <w:r>
        <w:t xml:space="preserve"> Therefore, an investor is not considered to be engaged in a trade or business of investing.</w:t>
      </w:r>
    </w:p>
    <w:p w14:paraId="5C3EB5BA" w14:textId="77777777" w:rsidR="00494B49" w:rsidRDefault="00494B49">
      <w:pPr>
        <w:pStyle w:val="BNormal"/>
      </w:pPr>
      <w:r>
        <w:t>In between dealer and investor lies the trade or business of trading.</w:t>
      </w:r>
      <w:r>
        <w:rPr>
          <w:rStyle w:val="FootnoteReference"/>
        </w:rPr>
        <w:footnoteReference w:id="126"/>
      </w:r>
      <w:r>
        <w:t xml:space="preserve"> In general, a trader seeks profit from short-term market swings and receives income principally from selling on an exchange rather than from dividends, interest, or long-term appreciation.</w:t>
      </w:r>
      <w:r>
        <w:rPr>
          <w:rStyle w:val="FootnoteReference"/>
        </w:rPr>
        <w:footnoteReference w:id="127"/>
      </w:r>
      <w:r>
        <w:t xml:space="preserve"> A person will be a trader, and therefore engaged in a trade or business, if his or her trading is frequent and substantial, which courts have often rephrased as “frequent, regular, and continuous.”</w:t>
      </w:r>
      <w:r>
        <w:rPr>
          <w:rStyle w:val="FootnoteReference"/>
        </w:rPr>
        <w:footnoteReference w:id="128"/>
      </w:r>
    </w:p>
    <w:p w14:paraId="6CCE83A0" w14:textId="77777777" w:rsidR="00494B49" w:rsidRDefault="00494B49">
      <w:pPr>
        <w:pStyle w:val="BHead3"/>
      </w:pPr>
      <w:r>
        <w:t xml:space="preserve">a. Definition of Financial Instruments and </w:t>
      </w:r>
      <w:r>
        <w:br/>
        <w:t>Commodities</w:t>
      </w:r>
    </w:p>
    <w:p w14:paraId="499C6FE9" w14:textId="77777777" w:rsidR="00494B49" w:rsidRDefault="00494B49">
      <w:pPr>
        <w:pStyle w:val="BNormal"/>
      </w:pPr>
      <w:r>
        <w:t xml:space="preserve">The statutory text does not define the term “financial instrument,” but it does provide that the term commodities has the same meaning as that provided in </w:t>
      </w:r>
      <w:smartTag w:uri="http://www.bna.com/sgml2word/cite" w:element="cite.usc">
        <w:smartTagPr>
          <w:attr w:name="ref" w:val="USC\26\475(e)(2)"/>
        </w:smartTagPr>
        <w:r>
          <w:t>section 475(e)(2)</w:t>
        </w:r>
      </w:smartTag>
      <w:r>
        <w:t>.</w:t>
      </w:r>
      <w:r>
        <w:rPr>
          <w:rStyle w:val="FootnoteReference"/>
        </w:rPr>
        <w:footnoteReference w:id="129"/>
      </w:r>
      <w:r>
        <w:t xml:space="preserve"> For a more detailed discussion of what constitutes a commodity within the meaning of </w:t>
      </w:r>
      <w:smartTag w:uri="http://www.bna.com/sgml2word/cite" w:element="cite.usc">
        <w:smartTagPr>
          <w:attr w:name="ref" w:val="USC\26\475(e)(2)"/>
        </w:smartTagPr>
        <w:r>
          <w:t>§475(e)(2)</w:t>
        </w:r>
      </w:smartTag>
      <w:r>
        <w:t xml:space="preserve">, see </w:t>
      </w:r>
      <w:smartTag w:uri="http://www.bna.com/sgml2word/cite" w:element="cite.bna.reference">
        <w:smartTagPr>
          <w:attr w:name="bna.id.ref" w:val="TM\543"/>
        </w:smartTagPr>
        <w:r>
          <w:t>543 T.M.</w:t>
        </w:r>
      </w:smartTag>
      <w:r>
        <w:t xml:space="preserve">, </w:t>
      </w:r>
      <w:r>
        <w:rPr>
          <w:i/>
        </w:rPr>
        <w:t>The Mark-to-Market Rules of Section 475.</w:t>
      </w:r>
    </w:p>
    <w:p w14:paraId="117E0EF2" w14:textId="77777777" w:rsidR="00494B49" w:rsidRDefault="00494B49">
      <w:pPr>
        <w:pStyle w:val="BNormal"/>
      </w:pPr>
      <w:r>
        <w:t xml:space="preserve">Reg. </w:t>
      </w:r>
      <w:smartTag w:uri="http://www.bna.com/sgml2word/cite" w:element="cite.cfr">
        <w:smartTagPr>
          <w:attr w:name="ref" w:val="cfr\26\1.1411-5(c)(1)"/>
        </w:smartTagPr>
        <w:r>
          <w:t>§1.1411-5(c)(1)</w:t>
        </w:r>
      </w:smartTag>
      <w:r>
        <w:t xml:space="preserve"> defines the term “financial instrument” as including stocks and other equity interests,</w:t>
      </w:r>
      <w:r>
        <w:rPr>
          <w:rStyle w:val="FootnoteReference"/>
        </w:rPr>
        <w:footnoteReference w:id="130"/>
      </w:r>
      <w:r>
        <w:t xml:space="preserve"> evidences of indebtedness, options, forward or futures contracts, notional principal contracts, any other derivatives, or any evidence of an interest in any of the listed items. Evidence of an interest in any of these listed items includes, but is not limited to, short positions or partial units in any of these listed items.</w:t>
      </w:r>
      <w:r>
        <w:rPr>
          <w:rStyle w:val="FootnoteReference"/>
        </w:rPr>
        <w:footnoteReference w:id="131"/>
      </w:r>
      <w:r>
        <w:t xml:space="preserve"> In creating this definition, the Treasury Department and IRS looked to other areas of the Code. The definition in Reg. </w:t>
      </w:r>
      <w:smartTag w:uri="http://www.bna.com/sgml2word/cite" w:element="cite.cfr">
        <w:smartTagPr>
          <w:attr w:name="ref" w:val="cfr\26\1.1411-5(c)(1)"/>
        </w:smartTagPr>
        <w:r>
          <w:t>§1.1411-5(c)(1)</w:t>
        </w:r>
      </w:smartTag>
      <w:r>
        <w:t xml:space="preserve"> was modeled after </w:t>
      </w:r>
      <w:smartTag w:uri="http://www.bna.com/sgml2word/cite" w:element="cite.usc">
        <w:smartTagPr>
          <w:attr w:name="ref" w:val="USC\26\731(c)(2)(C)"/>
        </w:smartTagPr>
        <w:r>
          <w:t>§731(c)(2)(C)</w:t>
        </w:r>
      </w:smartTag>
      <w:r>
        <w:t>, although the definitions are not identical.</w:t>
      </w:r>
      <w:r>
        <w:rPr>
          <w:rStyle w:val="FootnoteReference"/>
        </w:rPr>
        <w:footnoteReference w:id="132"/>
      </w:r>
    </w:p>
    <w:p w14:paraId="2C101077" w14:textId="77777777" w:rsidR="00494B49" w:rsidRDefault="00494B49">
      <w:pPr>
        <w:pStyle w:val="BNormal"/>
      </w:pPr>
      <w:r>
        <w:t xml:space="preserve">One commentator had recommended that the 2012 Proposed Regulations include explicit language providing that financial instruments used in a trade or business and producing foreign currency gain are exempt from </w:t>
      </w:r>
      <w:smartTag w:uri="http://www.bna.com/sgml2word/cite" w:element="cite.usc">
        <w:smartTagPr>
          <w:attr w:name="ref" w:val="USC\26\1411"/>
        </w:smartTagPr>
        <w:r>
          <w:t>§1411</w:t>
        </w:r>
      </w:smartTag>
      <w:r>
        <w:t xml:space="preserve">. The Treasury Department and IRS did not agree and concluded that foreign currency gain or loss that otherwise is not subject to SECA is appropriately treated as net investment income. The same commentator requested that the proposed definition of a financial instrument be narrowed to exclude “nonfinancial instruments,” such as contracts that reference electricity or weather. The Treasury Department and IRS </w:t>
      </w:r>
      <w:r>
        <w:lastRenderedPageBreak/>
        <w:t>disagreed, concluding that limiting the definition of a “financial instrument” to exclude a derivative that is referenced to nonfinancial information, such as electricity or weather, would be inconsistent with the intention to include in net investment income the income from all types of investment property.</w:t>
      </w:r>
      <w:r>
        <w:rPr>
          <w:rStyle w:val="FootnoteReference"/>
        </w:rPr>
        <w:footnoteReference w:id="133"/>
      </w:r>
    </w:p>
    <w:p w14:paraId="7F5461B2" w14:textId="77777777" w:rsidR="00494B49" w:rsidRDefault="00494B49">
      <w:pPr>
        <w:pStyle w:val="BHead3"/>
      </w:pPr>
      <w:r>
        <w:t>b. Interaction with Passive Activities</w:t>
      </w:r>
    </w:p>
    <w:p w14:paraId="6334D9E8"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w:t>
      </w:r>
      <w:r>
        <w:rPr>
          <w:rStyle w:val="FootnoteReference"/>
        </w:rPr>
        <w:footnoteReference w:id="134"/>
      </w:r>
      <w:r>
        <w:t xml:space="preserve"> This is colloquially known as the “hedge fund exception.” In applying this exception, the term “personal property” means personal property (within the meaning of </w:t>
      </w:r>
      <w:smartTag w:uri="http://www.bna.com/sgml2word/cite" w:element="cite.usc">
        <w:smartTagPr>
          <w:attr w:name="ref" w:val="USC\26\1092(d)"/>
        </w:smartTagPr>
        <w:r>
          <w:t>§1092(d)</w:t>
        </w:r>
      </w:smartTag>
      <w:r>
        <w:t xml:space="preserve">, determined without regard to </w:t>
      </w:r>
      <w:smartTag w:uri="http://www.bna.com/sgml2word/cite" w:element="cite.usc">
        <w:smartTagPr>
          <w:attr w:name="ref" w:val="USC\26\1092(d)(3)"/>
        </w:smartTagPr>
        <w:r>
          <w:t>§1092(d)(3)</w:t>
        </w:r>
      </w:smartTag>
      <w:r>
        <w:t>).</w:t>
      </w:r>
      <w:r>
        <w:rPr>
          <w:rStyle w:val="FootnoteReference"/>
        </w:rPr>
        <w:footnoteReference w:id="135"/>
      </w:r>
    </w:p>
    <w:p w14:paraId="7D987703" w14:textId="77777777" w:rsidR="00494B49" w:rsidRDefault="00494B49">
      <w:pPr>
        <w:pStyle w:val="BNormal"/>
      </w:pPr>
      <w:r>
        <w:t xml:space="preserve">The purpose of the rule was to prevent certain items of traditional portfolio income (interest, dividends, etc.) from being transformed into passive income. In this case, an entity in the trade or business of trading may have been able to claim that the investment income was earned in the ordinary course of trade or business within the meaning of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and therefore would have lost the per se portfolio income treatment. It was highly likely that investors in hedge funds were not materially participating in the investment fund (within the meaning of Reg. </w:t>
      </w:r>
      <w:smartTag w:uri="http://www.bna.com/sgml2word/cite" w:element="cite.cfr">
        <w:smartTagPr>
          <w:attr w:name="ref" w:val="cfr\26\1.469-5T"/>
        </w:smartTagPr>
        <w:r>
          <w:t>§1.469-5T</w:t>
        </w:r>
      </w:smartTag>
      <w:r>
        <w:t>), and therefore the interest, dividends, and gains would be income from a passive activity. Given this possible outcome, the activity recharacterization deemed the activity to be a nonpassive activity to prevent hedge funds from being passive income generator-type investments.</w:t>
      </w:r>
    </w:p>
    <w:p w14:paraId="5D1AB735" w14:textId="77777777" w:rsidR="00494B49" w:rsidRDefault="00494B49">
      <w:pPr>
        <w:pStyle w:val="BNormal"/>
      </w:pPr>
      <w:r>
        <w:t xml:space="preserve">If </w:t>
      </w:r>
      <w:smartTag w:uri="http://www.bna.com/sgml2word/cite" w:element="cite.usc">
        <w:smartTagPr>
          <w:attr w:name="ref" w:val="USC\26\1411(c)(2)(B)"/>
        </w:smartTagPr>
        <w:r>
          <w:t>§1411(c)(2)(B)</w:t>
        </w:r>
      </w:smartTag>
      <w:r>
        <w:t xml:space="preserve"> did not exist, the earnings from a trade or business of trading that met the requirements for recharacterization as a nonpassive activity under Reg. </w:t>
      </w:r>
      <w:smartTag w:uri="http://www.bna.com/sgml2word/cite" w:element="cite.cfr">
        <w:smartTagPr>
          <w:attr w:name="ref" w:val="cfr\26\1.469-1T(e)(6)"/>
        </w:smartTagPr>
        <w:r>
          <w:t>§1.469-1T(e)(6)</w:t>
        </w:r>
      </w:smartTag>
      <w:r>
        <w:t xml:space="preserve"> would have likely escaped inclusion in the fund managers’ net investment income for two reasons. First, the trading earnings would likely be treated as earned in the ordinary course of a trade or business, not as income from working capital.</w:t>
      </w:r>
      <w:r>
        <w:rPr>
          <w:rStyle w:val="FootnoteReference"/>
        </w:rPr>
        <w:footnoteReference w:id="136"/>
      </w:r>
      <w:r>
        <w:t xml:space="preserve"> Second, the trading business would not have been a trade or business described in </w:t>
      </w:r>
      <w:smartTag w:uri="http://www.bna.com/sgml2word/cite" w:element="cite.usc">
        <w:smartTagPr>
          <w:attr w:name="ref" w:val="USC\26\1411(c)(2)(A)"/>
        </w:smartTagPr>
        <w:r>
          <w:t>§1411(c)(2)(A)</w:t>
        </w:r>
      </w:smartTag>
      <w:r>
        <w:t xml:space="preserve">. </w:t>
      </w:r>
    </w:p>
    <w:p w14:paraId="64F355AD" w14:textId="77777777" w:rsidR="00494B49" w:rsidRDefault="00494B49">
      <w:pPr>
        <w:pStyle w:val="BNormal"/>
      </w:pPr>
      <w:r>
        <w:t xml:space="preserve">Given the background of Reg. </w:t>
      </w:r>
      <w:smartTag w:uri="http://www.bna.com/sgml2word/cite" w:element="cite.cfr">
        <w:smartTagPr>
          <w:attr w:name="ref" w:val="cfr\26\1.469-1T(e)(6)"/>
        </w:smartTagPr>
        <w:r>
          <w:t>§1.469-1T(e)(6)</w:t>
        </w:r>
      </w:smartTag>
      <w:r>
        <w:t xml:space="preserve"> and the interaction with </w:t>
      </w:r>
      <w:smartTag w:uri="http://www.bna.com/sgml2word/cite" w:element="cite.usc">
        <w:smartTagPr>
          <w:attr w:name="ref" w:val="USC\26\1411(c)(2)(A)"/>
        </w:smartTagPr>
        <w:r>
          <w:t>§1411(c)(2)(A)</w:t>
        </w:r>
      </w:smartTag>
      <w:r>
        <w:t xml:space="preserve">, the inclusion of trading businesses in </w:t>
      </w:r>
      <w:smartTag w:uri="http://www.bna.com/sgml2word/cite" w:element="cite.usc">
        <w:smartTagPr>
          <w:attr w:name="ref" w:val="USC\26\1411(c)(2)(B)"/>
        </w:smartTagPr>
        <w:r>
          <w:t>§1411(c)(2)(B)</w:t>
        </w:r>
      </w:smartTag>
      <w:r>
        <w:t xml:space="preserve"> was necessary to ensure that hedge fund investors and their managers did not escape NIIT and SECA.</w:t>
      </w:r>
    </w:p>
    <w:p w14:paraId="662ABD7D" w14:textId="77777777" w:rsidR="00494B49" w:rsidRDefault="00494B49">
      <w:pPr>
        <w:pStyle w:val="BChapterName"/>
      </w:pPr>
      <w:r>
        <w:t xml:space="preserve">III. “Gross” Net Investment Income — §1411(c)(1)(A) </w:t>
      </w:r>
    </w:p>
    <w:p w14:paraId="10B456FB" w14:textId="77777777" w:rsidR="00494B49" w:rsidRDefault="00494B49">
      <w:pPr>
        <w:pStyle w:val="BHead1"/>
      </w:pPr>
      <w:r>
        <w:t>A. Overview</w:t>
      </w:r>
    </w:p>
    <w:p w14:paraId="7179843E" w14:textId="77777777" w:rsidR="00494B49" w:rsidRDefault="00494B49">
      <w:pPr>
        <w:pStyle w:val="BNormal"/>
      </w:pPr>
      <w:r>
        <w:t xml:space="preserve">Pursuant to the guidance in </w:t>
      </w:r>
      <w:smartTag w:uri="http://www.bna.com/sgml2word/cite" w:element="cite.usc">
        <w:smartTagPr>
          <w:attr w:name="ref" w:val="USC\26\1411(c)(1)(A)"/>
        </w:smartTagPr>
        <w:r>
          <w:t>§1411(c)(1)(A)</w:t>
        </w:r>
      </w:smartTag>
      <w:r>
        <w:t>, “gross” investment income generally includes:</w:t>
      </w:r>
    </w:p>
    <w:p w14:paraId="5DD32D0B" w14:textId="77777777" w:rsidR="00494B49" w:rsidRDefault="00494B49">
      <w:pPr>
        <w:pStyle w:val="BListitemorig"/>
      </w:pPr>
      <w:r>
        <w:t xml:space="preserve">(1) gross income from interest, dividends, annuities, royalties, and rents derived </w:t>
      </w:r>
    </w:p>
    <w:p w14:paraId="0973D5D7" w14:textId="77777777" w:rsidR="00494B49" w:rsidRDefault="00494B49">
      <w:pPr>
        <w:pStyle w:val="BListitemorig"/>
      </w:pPr>
      <w:r>
        <w:lastRenderedPageBreak/>
        <w:t xml:space="preserve">(a) in the ordinary course of a trade or business if that trade or business is either a passive activity with respect to the taxpayer or a trade or business of trading in financial instruments or commodities; or </w:t>
      </w:r>
    </w:p>
    <w:p w14:paraId="3BDF6096" w14:textId="77777777" w:rsidR="00494B49" w:rsidRDefault="00494B49">
      <w:pPr>
        <w:pStyle w:val="BListitemorig"/>
      </w:pPr>
      <w:r>
        <w:t>(b) from a for-profit activity that is not a trade or business;</w:t>
      </w:r>
      <w:r>
        <w:rPr>
          <w:rStyle w:val="FootnoteReference"/>
        </w:rPr>
        <w:footnoteReference w:id="137"/>
      </w:r>
    </w:p>
    <w:p w14:paraId="03893F46" w14:textId="77777777" w:rsidR="00494B49" w:rsidRDefault="00494B49">
      <w:pPr>
        <w:pStyle w:val="BListitemori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138"/>
      </w:r>
      <w:r>
        <w:t xml:space="preserve"> and </w:t>
      </w:r>
    </w:p>
    <w:p w14:paraId="434D1FAB" w14:textId="77777777" w:rsidR="00494B49" w:rsidRDefault="00494B49">
      <w:pPr>
        <w:pStyle w:val="BListitemorig"/>
      </w:pPr>
      <w:r>
        <w:t xml:space="preserve">(3) net gain (to the extent taken into account in computing taxable income) from the disposition of property </w:t>
      </w:r>
    </w:p>
    <w:p w14:paraId="00C4C8A7" w14:textId="77777777" w:rsidR="00494B49" w:rsidRDefault="00494B49">
      <w:pPr>
        <w:pStyle w:val="BListitemorig"/>
      </w:pPr>
      <w:r>
        <w:t xml:space="preserve">(a) held in a trade or business if that trade or business is either a passive activity with respect to the taxpayer or a trade or business of trading in financial instruments or commodities; or </w:t>
      </w:r>
    </w:p>
    <w:p w14:paraId="185266DE" w14:textId="77777777" w:rsidR="00494B49" w:rsidRDefault="00494B49">
      <w:pPr>
        <w:pStyle w:val="BListitemorig"/>
      </w:pPr>
      <w:r>
        <w:t>(b) held in a for-profit activity that is not a trade or business.</w:t>
      </w:r>
      <w:r>
        <w:rPr>
          <w:rStyle w:val="FootnoteReference"/>
        </w:rPr>
        <w:footnoteReference w:id="139"/>
      </w:r>
    </w:p>
    <w:p w14:paraId="2C410EF8" w14:textId="77777777" w:rsidR="00494B49" w:rsidRDefault="00494B49">
      <w:pPr>
        <w:pStyle w:val="BNormal"/>
      </w:pPr>
      <w:r>
        <w:t>In addition, all items of gross income and net gain attributable to the investment of working capital are included in net investment income.</w:t>
      </w:r>
      <w:r>
        <w:rPr>
          <w:rStyle w:val="FootnoteReference"/>
        </w:rPr>
        <w:footnoteReference w:id="140"/>
      </w:r>
    </w:p>
    <w:p w14:paraId="56E80789" w14:textId="77777777" w:rsidR="00494B49" w:rsidRDefault="00494B49" w:rsidP="006951DA">
      <w:pPr>
        <w:pStyle w:val="BNormal"/>
      </w:pPr>
      <w:r>
        <w:t xml:space="preserve">The categories of </w:t>
      </w:r>
      <w:smartTag w:uri="http://www.bna.com/sgml2word/cite" w:element="cite.usc">
        <w:smartTagPr>
          <w:attr w:name="ref" w:val="USC\26\1411"/>
        </w:smartTagPr>
        <w:r>
          <w:t>§1411</w:t>
        </w:r>
      </w:smartTag>
      <w:r>
        <w:t xml:space="preserve"> investment income are summarized in this table:</w:t>
      </w:r>
    </w:p>
    <w:p w14:paraId="1E76073F" w14:textId="77777777" w:rsidR="00494B49" w:rsidRDefault="00494B49" w:rsidP="006951DA">
      <w:pPr>
        <w:pStyle w:val="BNormal"/>
      </w:pPr>
    </w:p>
    <w:tbl>
      <w:tblPr>
        <w:tblStyle w:val="TableGrid"/>
        <w:tblW w:w="9351" w:type="dxa"/>
        <w:tblLook w:val="04A0" w:firstRow="1" w:lastRow="0" w:firstColumn="1" w:lastColumn="0" w:noHBand="0" w:noVBand="1"/>
      </w:tblPr>
      <w:tblGrid>
        <w:gridCol w:w="3881"/>
        <w:gridCol w:w="1510"/>
        <w:gridCol w:w="1360"/>
        <w:gridCol w:w="1240"/>
        <w:gridCol w:w="1360"/>
      </w:tblGrid>
      <w:tr w:rsidR="00D13D21" w14:paraId="0747FB6E" w14:textId="79B6C68B" w:rsidTr="00D13D21">
        <w:tc>
          <w:tcPr>
            <w:tcW w:w="3881" w:type="dxa"/>
          </w:tcPr>
          <w:p w14:paraId="3100D068" w14:textId="77777777" w:rsidR="00494B49" w:rsidRDefault="00494B49">
            <w:r>
              <w:t xml:space="preserve"> </w:t>
            </w:r>
            <w:r>
              <w:rPr>
                <w:b/>
              </w:rPr>
              <w:t>Included in Computation of Net Investment Income?</w:t>
            </w:r>
          </w:p>
        </w:tc>
        <w:tc>
          <w:tcPr>
            <w:tcW w:w="1510" w:type="dxa"/>
            <w:shd w:val="clear" w:color="auto" w:fill="auto"/>
          </w:tcPr>
          <w:p w14:paraId="4D100D0A" w14:textId="77777777" w:rsidR="00D13D21" w:rsidRDefault="00D13D21"/>
        </w:tc>
        <w:tc>
          <w:tcPr>
            <w:tcW w:w="1360" w:type="dxa"/>
            <w:shd w:val="clear" w:color="auto" w:fill="auto"/>
          </w:tcPr>
          <w:p w14:paraId="21454088" w14:textId="77777777" w:rsidR="00D13D21" w:rsidRDefault="00D13D21"/>
        </w:tc>
        <w:tc>
          <w:tcPr>
            <w:tcW w:w="1240" w:type="dxa"/>
            <w:shd w:val="clear" w:color="auto" w:fill="auto"/>
          </w:tcPr>
          <w:p w14:paraId="63817D74" w14:textId="77777777" w:rsidR="00D13D21" w:rsidRDefault="00D13D21"/>
        </w:tc>
        <w:tc>
          <w:tcPr>
            <w:tcW w:w="1360" w:type="dxa"/>
            <w:shd w:val="clear" w:color="auto" w:fill="auto"/>
          </w:tcPr>
          <w:p w14:paraId="73EBC8EA" w14:textId="77777777" w:rsidR="00D13D21" w:rsidRDefault="00D13D21"/>
        </w:tc>
      </w:tr>
      <w:tr w:rsidR="00494B49" w14:paraId="79E97653" w14:textId="77777777" w:rsidTr="00D13D21">
        <w:tc>
          <w:tcPr>
            <w:tcW w:w="3881" w:type="dxa"/>
          </w:tcPr>
          <w:p w14:paraId="6F854FAC" w14:textId="77777777" w:rsidR="00494B49" w:rsidRDefault="00494B49"/>
        </w:tc>
        <w:tc>
          <w:tcPr>
            <w:tcW w:w="1510" w:type="dxa"/>
          </w:tcPr>
          <w:p w14:paraId="684E79D6" w14:textId="77777777" w:rsidR="00494B49" w:rsidRDefault="00494B49">
            <w:r>
              <w:t xml:space="preserve">Derived (or held) in the ordinary course of a </w:t>
            </w:r>
            <w:smartTag w:uri="http://www.bna.com/sgml2word/cite" w:element="cite.usc">
              <w:smartTagPr>
                <w:attr w:name="ref" w:val="USC\26\1411(c)(2)"/>
              </w:smartTagPr>
              <w:r>
                <w:t>§1411(c)(2)</w:t>
              </w:r>
            </w:smartTag>
            <w:r>
              <w:t xml:space="preserve"> trade or business (defined as (1) a trade or business that is a passive activity with respect to the taxpayer; or (2) a trade or business of trading in financial instruments or commodities)</w:t>
            </w:r>
          </w:p>
        </w:tc>
        <w:tc>
          <w:tcPr>
            <w:tcW w:w="1360" w:type="dxa"/>
          </w:tcPr>
          <w:p w14:paraId="25A4E66D" w14:textId="77777777" w:rsidR="00494B49" w:rsidRDefault="00494B49">
            <w:r>
              <w:t xml:space="preserve">Derived (or held) in the ordinary course of a trade or business that is not a </w:t>
            </w:r>
            <w:smartTag w:uri="http://www.bna.com/sgml2word/cite" w:element="cite.usc">
              <w:smartTagPr>
                <w:attr w:name="ref" w:val="USC\26\1411(c)(2)"/>
              </w:smartTagPr>
              <w:r>
                <w:t>§1411(c)(2)</w:t>
              </w:r>
            </w:smartTag>
            <w:r>
              <w:t xml:space="preserve"> trade or business</w:t>
            </w:r>
          </w:p>
        </w:tc>
        <w:tc>
          <w:tcPr>
            <w:tcW w:w="1240" w:type="dxa"/>
          </w:tcPr>
          <w:p w14:paraId="4228BBB7" w14:textId="77777777" w:rsidR="00494B49" w:rsidRDefault="00494B49">
            <w:r>
              <w:t>Derived from (or held in) a for-profit activity that is not a trade or business</w:t>
            </w:r>
          </w:p>
        </w:tc>
        <w:tc>
          <w:tcPr>
            <w:tcW w:w="1359" w:type="dxa"/>
          </w:tcPr>
          <w:p w14:paraId="2FB62656" w14:textId="77777777" w:rsidR="00494B49" w:rsidRDefault="00494B49">
            <w:r>
              <w:t>Derived from investment of working capital</w:t>
            </w:r>
          </w:p>
        </w:tc>
      </w:tr>
      <w:tr w:rsidR="00494B49" w14:paraId="2BB899E2" w14:textId="77777777" w:rsidTr="00D13D21">
        <w:tc>
          <w:tcPr>
            <w:tcW w:w="3881" w:type="dxa"/>
          </w:tcPr>
          <w:p w14:paraId="0C6D3A21" w14:textId="77777777" w:rsidR="00494B49" w:rsidRDefault="00494B49">
            <w:r>
              <w:t>Interest, Dividends, Annuities, Royalties and Rents</w:t>
            </w:r>
          </w:p>
        </w:tc>
        <w:tc>
          <w:tcPr>
            <w:tcW w:w="1510" w:type="dxa"/>
          </w:tcPr>
          <w:p w14:paraId="555BADB9" w14:textId="77777777" w:rsidR="00494B49" w:rsidRDefault="00494B49">
            <w:r>
              <w:t>YES</w:t>
            </w:r>
          </w:p>
        </w:tc>
        <w:tc>
          <w:tcPr>
            <w:tcW w:w="1360" w:type="dxa"/>
          </w:tcPr>
          <w:p w14:paraId="392472B7" w14:textId="77777777" w:rsidR="00494B49" w:rsidRDefault="00494B49">
            <w:r>
              <w:t>NO</w:t>
            </w:r>
          </w:p>
        </w:tc>
        <w:tc>
          <w:tcPr>
            <w:tcW w:w="1240" w:type="dxa"/>
          </w:tcPr>
          <w:p w14:paraId="4651AE85" w14:textId="77777777" w:rsidR="00494B49" w:rsidRDefault="00494B49">
            <w:r>
              <w:t>YES</w:t>
            </w:r>
          </w:p>
        </w:tc>
        <w:tc>
          <w:tcPr>
            <w:tcW w:w="1359" w:type="dxa"/>
          </w:tcPr>
          <w:p w14:paraId="46A10E91" w14:textId="77777777" w:rsidR="00494B49" w:rsidRDefault="00494B49">
            <w:r>
              <w:t>YES</w:t>
            </w:r>
          </w:p>
        </w:tc>
      </w:tr>
      <w:tr w:rsidR="00494B49" w14:paraId="05FC4CDA" w14:textId="77777777" w:rsidTr="00D13D21">
        <w:tc>
          <w:tcPr>
            <w:tcW w:w="3881" w:type="dxa"/>
          </w:tcPr>
          <w:p w14:paraId="63F43855" w14:textId="77777777" w:rsidR="00494B49" w:rsidRDefault="00494B49">
            <w:r>
              <w:t xml:space="preserve">Gross Income </w:t>
            </w:r>
            <w:r>
              <w:rPr>
                <w:i/>
              </w:rPr>
              <w:t>other than</w:t>
            </w:r>
            <w:r>
              <w:t xml:space="preserve"> Interest, Dividends, Annuities, Royalties and Rents</w:t>
            </w:r>
          </w:p>
        </w:tc>
        <w:tc>
          <w:tcPr>
            <w:tcW w:w="1510" w:type="dxa"/>
          </w:tcPr>
          <w:p w14:paraId="2B220ECA" w14:textId="77777777" w:rsidR="00494B49" w:rsidRDefault="00494B49">
            <w:r>
              <w:t>YES</w:t>
            </w:r>
          </w:p>
        </w:tc>
        <w:tc>
          <w:tcPr>
            <w:tcW w:w="1360" w:type="dxa"/>
          </w:tcPr>
          <w:p w14:paraId="549E232A" w14:textId="77777777" w:rsidR="00494B49" w:rsidRDefault="00494B49">
            <w:r>
              <w:t>NO</w:t>
            </w:r>
          </w:p>
        </w:tc>
        <w:tc>
          <w:tcPr>
            <w:tcW w:w="1240" w:type="dxa"/>
          </w:tcPr>
          <w:p w14:paraId="51B7DC8C" w14:textId="77777777" w:rsidR="00494B49" w:rsidRDefault="00494B49">
            <w:r>
              <w:t>NO</w:t>
            </w:r>
          </w:p>
        </w:tc>
        <w:tc>
          <w:tcPr>
            <w:tcW w:w="1359" w:type="dxa"/>
          </w:tcPr>
          <w:p w14:paraId="1594BBFB" w14:textId="77777777" w:rsidR="00494B49" w:rsidRDefault="00494B49">
            <w:r>
              <w:t>YES</w:t>
            </w:r>
          </w:p>
        </w:tc>
      </w:tr>
      <w:tr w:rsidR="00494B49" w14:paraId="123FAAF0" w14:textId="77777777" w:rsidTr="00D13D21">
        <w:tc>
          <w:tcPr>
            <w:tcW w:w="3881" w:type="dxa"/>
          </w:tcPr>
          <w:p w14:paraId="3B1CF14E" w14:textId="77777777" w:rsidR="00494B49" w:rsidRDefault="00494B49">
            <w:r>
              <w:lastRenderedPageBreak/>
              <w:t>Net Gain (to the extent taken into account in computing taxable income) Attributable to the Disposition of Property</w:t>
            </w:r>
          </w:p>
        </w:tc>
        <w:tc>
          <w:tcPr>
            <w:tcW w:w="1510" w:type="dxa"/>
          </w:tcPr>
          <w:p w14:paraId="60621A52" w14:textId="77777777" w:rsidR="00494B49" w:rsidRDefault="00494B49">
            <w:r>
              <w:t>YES</w:t>
            </w:r>
          </w:p>
        </w:tc>
        <w:tc>
          <w:tcPr>
            <w:tcW w:w="1360" w:type="dxa"/>
          </w:tcPr>
          <w:p w14:paraId="2E98A597" w14:textId="77777777" w:rsidR="00494B49" w:rsidRDefault="00494B49">
            <w:r>
              <w:t>NO</w:t>
            </w:r>
          </w:p>
        </w:tc>
        <w:tc>
          <w:tcPr>
            <w:tcW w:w="1240" w:type="dxa"/>
          </w:tcPr>
          <w:p w14:paraId="3115579D" w14:textId="77777777" w:rsidR="00494B49" w:rsidRDefault="00494B49">
            <w:r>
              <w:t>YES</w:t>
            </w:r>
          </w:p>
        </w:tc>
        <w:tc>
          <w:tcPr>
            <w:tcW w:w="1359" w:type="dxa"/>
          </w:tcPr>
          <w:p w14:paraId="1ACEFFFF" w14:textId="77777777" w:rsidR="00494B49" w:rsidRDefault="00494B49">
            <w:r>
              <w:t>YES</w:t>
            </w:r>
          </w:p>
        </w:tc>
      </w:tr>
    </w:tbl>
    <w:p w14:paraId="2F8D6FBD" w14:textId="77777777" w:rsidR="00494B49" w:rsidRDefault="00494B49">
      <w:pPr>
        <w:pStyle w:val="BNormal"/>
      </w:pPr>
    </w:p>
    <w:p w14:paraId="60046220" w14:textId="77777777" w:rsidR="00494B49" w:rsidRDefault="00494B49">
      <w:pPr>
        <w:pStyle w:val="BNormal"/>
      </w:pPr>
      <w:r>
        <w:t>Special rules apply to active interests in partnerships and S corporations, distributions from qualified plans, and items taken into account in determining self-employment income.</w:t>
      </w:r>
      <w:r>
        <w:rPr>
          <w:rStyle w:val="FootnoteReference"/>
        </w:rPr>
        <w:footnoteReference w:id="141"/>
      </w:r>
    </w:p>
    <w:p w14:paraId="233555DF" w14:textId="77777777" w:rsidR="00494B49" w:rsidRDefault="00494B49">
      <w:pPr>
        <w:pStyle w:val="BHead1"/>
      </w:pPr>
      <w:r>
        <w:t>B. Interest, Dividends, Annuities, Royalties and Rents — §1411(c)(1)(A)(i)</w:t>
      </w:r>
    </w:p>
    <w:p w14:paraId="502C033C" w14:textId="77777777" w:rsidR="00494B49" w:rsidRDefault="00494B49">
      <w:pPr>
        <w:pStyle w:val="BNormal"/>
      </w:pPr>
      <w:r>
        <w:t xml:space="preserve">For purposes of computing net investment income under </w:t>
      </w:r>
      <w:smartTag w:uri="http://www.bna.com/sgml2word/cite" w:element="cite.usc">
        <w:smartTagPr>
          <w:attr w:name="ref" w:val="USC\26\1411"/>
        </w:smartTagPr>
        <w:r>
          <w:t>§1411</w:t>
        </w:r>
      </w:smartTag>
      <w:r>
        <w:t>, gross investment income includes gross income from interest, dividends, annuities, royalties, and rents derived (a) in the ordinary course of a trade or business if that trade or business is either a passive activity with respect to the taxpayer or a trade or business of trading in financial instruments or commodities; or (b) from a for-profit activity that is not a trade or business.</w:t>
      </w:r>
      <w:r>
        <w:rPr>
          <w:rStyle w:val="FootnoteReference"/>
        </w:rPr>
        <w:footnoteReference w:id="142"/>
      </w:r>
      <w:r>
        <w:t xml:space="preserve"> Put another way, the only types of interest, dividends, annuities, royalties and rents that are excluded from the computation of net investment income are items of this type that a taxpayer derives in the ordinary course of a non-</w:t>
      </w:r>
      <w:smartTag w:uri="http://www.bna.com/sgml2word/cite" w:element="cite.usc">
        <w:smartTagPr>
          <w:attr w:name="ref" w:val="USC\26\1411(c)(2)"/>
        </w:smartTagPr>
        <w:r>
          <w:t>§1411(c)(2)</w:t>
        </w:r>
      </w:smartTag>
      <w:r>
        <w:t xml:space="preserve"> trade or business. This exclusion is discussed in greater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below. </w:t>
      </w:r>
    </w:p>
    <w:p w14:paraId="4384E99E" w14:textId="77777777" w:rsidR="00494B49" w:rsidRDefault="00494B49">
      <w:pPr>
        <w:pStyle w:val="BNormal"/>
      </w:pPr>
      <w:r>
        <w:rPr>
          <w:i/>
        </w:rPr>
        <w:t>Comment:</w:t>
      </w:r>
      <w:r>
        <w:t xml:space="preserve"> In reading </w:t>
      </w:r>
      <w:smartTag w:uri="http://www.bna.com/sgml2word/cite" w:element="cite.usc">
        <w:smartTagPr>
          <w:attr w:name="ref" w:val="USC\26\1411(c)(1)(A)(i)"/>
        </w:smartTagPr>
        <w:r>
          <w:t>§1411(c)(1)(A)(i)</w:t>
        </w:r>
      </w:smartTag>
      <w:r>
        <w:t xml:space="preserve">, it is easy to miss the fact that interest, dividends, annuities, royalties, and rents derived from for-profit activities that do not rise to the level of a trade or business under </w:t>
      </w:r>
      <w:smartTag w:uri="http://www.bna.com/sgml2word/cite" w:element="cite.usc">
        <w:smartTagPr>
          <w:attr w:name="ref" w:val="USC\26\162"/>
        </w:smartTagPr>
        <w:r>
          <w:t>§162</w:t>
        </w:r>
      </w:smartTag>
      <w:r>
        <w:t xml:space="preserve"> (e.g., a rental real estate activity that is not a trade or business) are included in the computation of net investment income. The provision appears to focus on trades or businesses and does not specifically mention activities that are not trades or businesses. However, it is clear from a careful reading of the Code and regulations that the IRS intended to include all interest, dividends, annuities, royalties, and rents in gross investment income unless the taxpayer derived that income from a non-</w:t>
      </w:r>
      <w:smartTag w:uri="http://www.bna.com/sgml2word/cite" w:element="cite.usc">
        <w:smartTagPr>
          <w:attr w:name="ref" w:val="USC\26\1411(c)(2)"/>
        </w:smartTagPr>
        <w:r>
          <w:t>§1411(c)(2)</w:t>
        </w:r>
      </w:smartTag>
      <w:r>
        <w:t xml:space="preserve"> trade or business. In other words, interest, dividends, annuities, royalties and rents are included in gross investment income </w:t>
      </w:r>
      <w:r>
        <w:rPr>
          <w:i/>
        </w:rPr>
        <w:t>unless</w:t>
      </w:r>
      <w:r>
        <w:t xml:space="preserve"> the Reg. </w:t>
      </w:r>
      <w:smartTag w:uri="http://www.bna.com/sgml2word/cite" w:element="cite.cfr">
        <w:smartTagPr>
          <w:attr w:name="ref" w:val="cfr\26\1.1411-4(b)"/>
        </w:smartTagPr>
        <w:r>
          <w:t>§1.1411-4(b)</w:t>
        </w:r>
      </w:smartTag>
      <w:r>
        <w:t xml:space="preserve"> exception applies, and that exception requires a non-</w:t>
      </w:r>
      <w:smartTag w:uri="http://www.bna.com/sgml2word/cite" w:element="cite.usc">
        <w:smartTagPr>
          <w:attr w:name="ref" w:val="USC\26\1411(c)(2)"/>
        </w:smartTagPr>
        <w:r>
          <w:t>§1411(c)(2)</w:t>
        </w:r>
      </w:smartTag>
      <w:r>
        <w:t xml:space="preserve"> “trade or business.”</w:t>
      </w:r>
    </w:p>
    <w:p w14:paraId="5D031D8D" w14:textId="77777777" w:rsidR="00494B49" w:rsidRDefault="00494B49">
      <w:pPr>
        <w:pStyle w:val="BNormal"/>
      </w:pPr>
      <w:r>
        <w:t xml:space="preserve">It may seem obvious to assert that if an item of gross income is not classified as interest, a dividend, rent, an annuity, or a royalty for purposes of Chapter 1, it is not Category I income (described in </w:t>
      </w:r>
      <w:smartTag w:uri="http://www.bna.com/sgml2word/cite" w:element="cite.usc">
        <w:smartTagPr>
          <w:attr w:name="ref" w:val="USC\26\1411(c)(1)(A)(i)"/>
        </w:smartTagPr>
        <w:r>
          <w:t>§1411(c)(1)(A)(i)</w:t>
        </w:r>
      </w:smartTag>
      <w:r>
        <w:t xml:space="preserve">) unless a specific provision within the net investment income tax (NIIT) regulations classifies it as such. Nonetheless, this assertion is key to understanding the limited scope of Category I income. If a Chapter 1 provision considers an item of income compensation, for example, that item of income is not Category I income. If an employee of a company has rights to common stock of his employer and is entitled to dividends paid on the stock, but the dividends, when paid, are included in the employee’s compensation income reported on his Form </w:t>
      </w:r>
      <w:smartTag w:uri="http://www.bna.com/sgml2word/cite" w:element="cite.fed.form">
        <w:smartTagPr>
          <w:attr w:name="ref" w:val="irs\formw-2"/>
        </w:smartTagPr>
        <w:r>
          <w:t>W-2</w:t>
        </w:r>
      </w:smartTag>
      <w:r>
        <w:t xml:space="preserve">, they are not included in net investment income under </w:t>
      </w:r>
      <w:smartTag w:uri="http://www.bna.com/sgml2word/cite" w:element="cite.usc">
        <w:smartTagPr>
          <w:attr w:name="ref" w:val="USC\26\1411(c)(1)(A)"/>
        </w:smartTagPr>
        <w:r>
          <w:t>§1411(c)(1)(A)</w:t>
        </w:r>
      </w:smartTag>
      <w:r>
        <w:t xml:space="preserve">. Other examples of the limited scope of </w:t>
      </w:r>
      <w:smartTag w:uri="http://www.bna.com/sgml2word/cite" w:element="cite.usc">
        <w:smartTagPr>
          <w:attr w:name="ref" w:val="USC\26\1411(c)(1)(A)"/>
        </w:smartTagPr>
        <w:r>
          <w:t>§1411(c)(1)(A)</w:t>
        </w:r>
      </w:smartTag>
      <w:r>
        <w:t xml:space="preserve"> include ordinary income that may be reasonably traceable investment income, such as: </w:t>
      </w:r>
    </w:p>
    <w:p w14:paraId="5B918B2E" w14:textId="77777777" w:rsidR="00494B49" w:rsidRDefault="00494B49">
      <w:pPr>
        <w:pStyle w:val="BListitembul"/>
      </w:pPr>
      <w:r>
        <w:lastRenderedPageBreak/>
        <w:t>Compensation income tied to the performance of the employer’s stock or other financial benchmark (such as the S&amp;P 500).</w:t>
      </w:r>
      <w:r>
        <w:rPr>
          <w:rStyle w:val="FootnoteReference"/>
        </w:rPr>
        <w:footnoteReference w:id="143"/>
      </w:r>
    </w:p>
    <w:p w14:paraId="79953F32" w14:textId="77777777" w:rsidR="00494B49" w:rsidRDefault="00494B49">
      <w:pPr>
        <w:pStyle w:val="BListitembul"/>
      </w:pPr>
      <w:r>
        <w:t>Taxable distributions from health savings accounts.</w:t>
      </w:r>
    </w:p>
    <w:p w14:paraId="6DA6590C" w14:textId="77777777" w:rsidR="00494B49" w:rsidRDefault="00494B49">
      <w:pPr>
        <w:pStyle w:val="BListitembul"/>
      </w:pPr>
      <w:r>
        <w:t>Taxable distributions from §529 plans and Coverdell plans.</w:t>
      </w:r>
    </w:p>
    <w:p w14:paraId="21B3132D" w14:textId="77777777" w:rsidR="00494B49" w:rsidRDefault="00494B49">
      <w:pPr>
        <w:pStyle w:val="BListitembul"/>
      </w:pPr>
      <w:r>
        <w:t>Taxable distributions from a Voluntary Employees’ Beneficiary Association (VEBA), which is a tax-exempt trust under §501(c)(9).</w:t>
      </w:r>
      <w:r>
        <w:rPr>
          <w:rStyle w:val="FootnoteReference"/>
        </w:rPr>
        <w:footnoteReference w:id="144"/>
      </w:r>
    </w:p>
    <w:p w14:paraId="6DF37BE3" w14:textId="77777777" w:rsidR="00494B49" w:rsidRDefault="00494B49">
      <w:pPr>
        <w:pStyle w:val="BListitembul"/>
      </w:pPr>
      <w:r>
        <w:t>Taxable distributions from supplemental unemployment benefits trusts (a tax-exempt trust under §501(c)(17).</w:t>
      </w:r>
      <w:r>
        <w:rPr>
          <w:rStyle w:val="FootnoteReference"/>
        </w:rPr>
        <w:footnoteReference w:id="145"/>
      </w:r>
    </w:p>
    <w:p w14:paraId="30E4ABCD" w14:textId="77777777" w:rsidR="00494B49" w:rsidRDefault="00494B49">
      <w:pPr>
        <w:pStyle w:val="BHead2"/>
      </w:pPr>
      <w:r>
        <w:t>1. Income from Investment of Working Capital</w:t>
      </w:r>
    </w:p>
    <w:p w14:paraId="4F9FA685" w14:textId="77777777" w:rsidR="00494B49" w:rsidRDefault="00494B49">
      <w:pPr>
        <w:pStyle w:val="BNormal"/>
      </w:pPr>
      <w:r>
        <w:t>Items of gross income from the investment of working capital are not treated as derived in the ordinary course of a trade or business and, therefore, are always included in the computation of net investment income.</w:t>
      </w:r>
      <w:r>
        <w:rPr>
          <w:rStyle w:val="FootnoteReference"/>
        </w:rPr>
        <w:footnoteReference w:id="146"/>
      </w:r>
    </w:p>
    <w:p w14:paraId="3AC42E5C" w14:textId="77777777" w:rsidR="00494B49" w:rsidRDefault="00494B49">
      <w:pPr>
        <w:pStyle w:val="BHead2"/>
      </w:pPr>
      <w:r>
        <w:t>2. ‘Derived in the Ordinary Course of a Trade or Business’ Exception</w:t>
      </w:r>
    </w:p>
    <w:p w14:paraId="1333446F" w14:textId="77777777" w:rsidR="00494B49" w:rsidRDefault="00494B49">
      <w:pPr>
        <w:pStyle w:val="BNormal"/>
      </w:pPr>
      <w:r>
        <w:t>Interest, dividends, annuities, royalties, or rents are not included in gross investment income if they are derived in the ordinary course of a non-</w:t>
      </w:r>
      <w:smartTag w:uri="http://www.bna.com/sgml2word/cite" w:element="cite.usc">
        <w:smartTagPr>
          <w:attr w:name="ref" w:val="USC\26\1411(c)(2)"/>
        </w:smartTagPr>
        <w:r>
          <w:t>§1411(c)(2)</w:t>
        </w:r>
      </w:smartTag>
      <w:r>
        <w:t xml:space="preserve"> trade or business. Reg. </w:t>
      </w:r>
      <w:smartTag w:uri="http://www.bna.com/sgml2word/cite" w:element="cite.cfr">
        <w:smartTagPr>
          <w:attr w:name="ref" w:val="cfr\26\1.1411-4"/>
        </w:smartTagPr>
        <w:r>
          <w:t>§1.1411-4</w:t>
        </w:r>
      </w:smartTag>
      <w:r>
        <w:t xml:space="preserve"> refers to this as the “ordinary course of a trade or business exception.”</w:t>
      </w:r>
      <w:r>
        <w:rPr>
          <w:rStyle w:val="FootnoteReference"/>
        </w:rPr>
        <w:footnoteReference w:id="147"/>
      </w:r>
      <w:r>
        <w:t xml:space="preserve"> Reg. </w:t>
      </w:r>
      <w:smartTag w:uri="http://www.bna.com/sgml2word/cite" w:element="cite.cfr">
        <w:smartTagPr>
          <w:attr w:name="ref" w:val="cfr\26\1.1411-4(a)(1)(i)"/>
        </w:smartTagPr>
        <w:r>
          <w:t>§1.1411-4(a)(1)(i)</w:t>
        </w:r>
      </w:smartTag>
      <w:r>
        <w:t xml:space="preserve"> provides that gross investment income includes income from interest, dividends, annuities, royalties, and rents “</w:t>
      </w:r>
      <w:r>
        <w:rPr>
          <w:i/>
        </w:rPr>
        <w:t xml:space="preserve">except to the extent excluded by the ordinary course of a trade or business exception </w:t>
      </w:r>
      <w:r>
        <w:t xml:space="preserve">… . ” (emphasis added) </w:t>
      </w:r>
    </w:p>
    <w:p w14:paraId="30D514F7" w14:textId="77777777" w:rsidR="00494B49" w:rsidRDefault="00494B49">
      <w:pPr>
        <w:pStyle w:val="BNormal"/>
      </w:pPr>
      <w:r>
        <w:rPr>
          <w:i/>
        </w:rPr>
        <w:t>Comment:</w:t>
      </w:r>
      <w:r>
        <w:t xml:space="preserve"> The description of this exception is arguably misleading because the exception does not apply to all trades or businesses. More specifically, it does not apply to </w:t>
      </w:r>
      <w:smartTag w:uri="http://www.bna.com/sgml2word/cite" w:element="cite.usc">
        <w:smartTagPr>
          <w:attr w:name="ref" w:val="USC\26\1411(c)(2)"/>
        </w:smartTagPr>
        <w:r>
          <w:t>§1411(c)(2)</w:t>
        </w:r>
      </w:smartTag>
      <w:r>
        <w:t xml:space="preserve"> trades or businesses. As discussed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a non-</w:t>
      </w:r>
      <w:smartTag w:uri="http://www.bna.com/sgml2word/cite" w:element="cite.usc">
        <w:smartTagPr>
          <w:attr w:name="ref" w:val="USC\26\1411(c)(2)"/>
        </w:smartTagPr>
        <w:r>
          <w:t>§1411(c)(2)</w:t>
        </w:r>
      </w:smartTag>
      <w:r>
        <w:t xml:space="preserve"> trade or business is essentially an active trade or business that is not trading in financial instruments or commodities.</w:t>
      </w:r>
    </w:p>
    <w:p w14:paraId="79921BDF" w14:textId="77777777" w:rsidR="00494B49" w:rsidRDefault="00494B49">
      <w:pPr>
        <w:pStyle w:val="BNormal"/>
      </w:pPr>
      <w:r>
        <w:t xml:space="preserve">The ordinary course of a trade or business exception is a two-part test. First, the item must be “derived in” a trade or business not described in </w:t>
      </w:r>
      <w:smartTag w:uri="http://www.bna.com/sgml2word/cite" w:element="cite.usc">
        <w:smartTagPr>
          <w:attr w:name="ref" w:val="USC\26\1411(c)(2)"/>
        </w:smartTagPr>
        <w:r>
          <w:t>§1411(c)(2)</w:t>
        </w:r>
      </w:smartTag>
      <w:r>
        <w:t xml:space="preserve">; second, it must be derived in the “ordinary course” of the trade or business. </w:t>
      </w:r>
      <w:smartTag w:uri="http://www.bna.com/sgml2word/cite" w:element="cite.usc">
        <w:smartTagPr>
          <w:attr w:name="ref" w:val="USC\26\1411"/>
        </w:smartTagPr>
        <w:r>
          <w:t>Section 1411</w:t>
        </w:r>
      </w:smartTag>
      <w:r>
        <w:t xml:space="preserve"> does not define the phrase “derived in the ordinary course” within the context of a “trade or business.” The 2013 Final Regulations </w:t>
      </w:r>
      <w:r>
        <w:lastRenderedPageBreak/>
        <w:t xml:space="preserve">define “trade or business” as a </w:t>
      </w:r>
      <w:smartTag w:uri="http://www.bna.com/sgml2word/cite" w:element="cite.usc">
        <w:smartTagPr>
          <w:attr w:name="ref" w:val="USC\26\162"/>
        </w:smartTagPr>
        <w:r>
          <w:t>§162</w:t>
        </w:r>
      </w:smartTag>
      <w:r>
        <w:t xml:space="preserve"> trade or business,</w:t>
      </w:r>
      <w:r>
        <w:rPr>
          <w:rStyle w:val="FootnoteReference"/>
        </w:rPr>
        <w:footnoteReference w:id="148"/>
      </w:r>
      <w:r>
        <w:t xml:space="preserve"> but do not include the key phase “derived in the ordinary course.” Although not a perfect outcome, the regulations provide some useful commentary on how to approach the issue of whether an item of income or property is derived or used in the ordinary course of a trade or business. As discussed throughout this part of the Portfolio, with the exception of mineral royalties and rents, the regulations provide arguably clear guidance on whether interest, dividends, intangible royalties, and annuities are derived in the ordinary course of a trade or business.</w:t>
      </w:r>
    </w:p>
    <w:p w14:paraId="75443989" w14:textId="77777777" w:rsidR="00494B49" w:rsidRDefault="00494B49">
      <w:pPr>
        <w:pStyle w:val="BHead3"/>
      </w:pPr>
      <w:r>
        <w:t>a. Testing for a Trade or Business</w:t>
      </w:r>
    </w:p>
    <w:p w14:paraId="556042F7" w14:textId="77777777" w:rsidR="00494B49" w:rsidRDefault="00494B49">
      <w:pPr>
        <w:pStyle w:val="BNormal"/>
      </w:pPr>
      <w:r>
        <w:t xml:space="preserve">For an item of gross income described in </w:t>
      </w:r>
      <w:smartTag w:uri="http://www.bna.com/sgml2word/cite" w:element="cite.usc">
        <w:smartTagPr>
          <w:attr w:name="ref" w:val="USC\26\1411(c)(1)(A)(i)"/>
        </w:smartTagPr>
        <w:r>
          <w:t>§1411(c)(1)(A)(i)</w:t>
        </w:r>
      </w:smartTag>
      <w:r>
        <w:t xml:space="preserve"> to be excluded from </w:t>
      </w:r>
      <w:smartTag w:uri="http://www.bna.com/sgml2word/cite" w:element="cite.usc">
        <w:smartTagPr>
          <w:attr w:name="ref" w:val="USC\26\1411"/>
        </w:smartTagPr>
        <w:r>
          <w:t>§1411</w:t>
        </w:r>
      </w:smartTag>
      <w:r>
        <w:t xml:space="preserve"> under the ordinary course of a trade or business exception, the income must be derived in a trade or business that is neither a passive activity with respect to the taxpayer (as described in </w:t>
      </w:r>
      <w:smartTag w:uri="http://www.bna.com/sgml2word/cite" w:element="cite.usc">
        <w:smartTagPr>
          <w:attr w:name="ref" w:val="USC\26\1411(c)(2)(A)"/>
        </w:smartTagPr>
        <w:r>
          <w:t>§1411(c)(2)(A)</w:t>
        </w:r>
      </w:smartTag>
      <w:r>
        <w:t xml:space="preserve"> and the regulations thereunder)</w:t>
      </w:r>
      <w:r>
        <w:rPr>
          <w:rStyle w:val="FootnoteReference"/>
        </w:rPr>
        <w:footnoteReference w:id="149"/>
      </w:r>
      <w:r>
        <w:t xml:space="preserve"> nor a trade or business of trading in financial instruments or commodities (as described in </w:t>
      </w:r>
      <w:smartTag w:uri="http://www.bna.com/sgml2word/cite" w:element="cite.usc">
        <w:smartTagPr>
          <w:attr w:name="ref" w:val="USC\26\1411(c)(2)(B)"/>
        </w:smartTagPr>
        <w:r>
          <w:t>§1411(c)(2)(B)</w:t>
        </w:r>
      </w:smartTag>
      <w:r>
        <w:t xml:space="preserve"> and the regulations thereunder).</w:t>
      </w:r>
      <w:r>
        <w:rPr>
          <w:rStyle w:val="FootnoteReference"/>
        </w:rPr>
        <w:footnoteReference w:id="150"/>
      </w:r>
    </w:p>
    <w:p w14:paraId="68F5E3DB" w14:textId="77777777" w:rsidR="00494B49" w:rsidRDefault="00494B49">
      <w:pPr>
        <w:pStyle w:val="BNormal"/>
      </w:pPr>
      <w:r>
        <w:t xml:space="preserve">If an individual, estate, or trust is engaged in the conduct of a trade or business directly (e.g., a sole proprietor) or through ownership of an interest in an entity that is disregarded as an entity separate from the individual owner under Reg. </w:t>
      </w:r>
      <w:smartTag w:uri="http://www.bna.com/sgml2word/cite" w:element="cite.cfr">
        <w:smartTagPr>
          <w:attr w:name="ref" w:val="cfr\26\301.7701-3"/>
        </w:smartTagPr>
        <w:r>
          <w:t>§301.7701-3</w:t>
        </w:r>
      </w:smartTag>
      <w:r>
        <w:t xml:space="preserve">, the determination of whether an item of gross income is derived in a trade or business described in </w:t>
      </w:r>
      <w:smartTag w:uri="http://www.bna.com/sgml2word/cite" w:element="cite.usc">
        <w:smartTagPr>
          <w:attr w:name="ref" w:val="USC\26\1411(c)(2)(A)"/>
        </w:smartTagPr>
        <w:r>
          <w:t>§1411(c)(2)(A)</w:t>
        </w:r>
      </w:smartTag>
      <w:r>
        <w:t xml:space="preserve"> or </w:t>
      </w:r>
      <w:smartTag w:uri="http://www.bna.com/sgml2word/cite" w:element="cite.usc">
        <w:smartTagPr>
          <w:attr w:name="ref" w:val="USC\26\1411(c)(2)(B)"/>
        </w:smartTagPr>
        <w:r>
          <w:t>§1411(c)(2)(B)</w:t>
        </w:r>
      </w:smartTag>
      <w:r>
        <w:t xml:space="preserve"> is made at the individual level.</w:t>
      </w:r>
      <w:r>
        <w:rPr>
          <w:rStyle w:val="FootnoteReference"/>
        </w:rPr>
        <w:footnoteReference w:id="151"/>
      </w:r>
      <w:r>
        <w:t xml:space="preserve"> The same result would occur through ownership of a grantor trust under </w:t>
      </w:r>
      <w:smartTag w:uri="http://www.bna.com/sgml2word/cite" w:element="cite.usc">
        <w:smartTagPr>
          <w:attr w:name="ref" w:val="USC\26\671"/>
        </w:smartTagPr>
        <w:r>
          <w:t>§671</w:t>
        </w:r>
      </w:smartTag>
      <w:r>
        <w:t>.</w:t>
      </w:r>
      <w:r>
        <w:rPr>
          <w:rStyle w:val="FootnoteReference"/>
        </w:rPr>
        <w:footnoteReference w:id="152"/>
      </w:r>
    </w:p>
    <w:p w14:paraId="3C333881" w14:textId="77777777" w:rsidR="00494B49" w:rsidRDefault="00494B49">
      <w:pPr>
        <w:pStyle w:val="BNormal"/>
      </w:pPr>
      <w:r>
        <w:t xml:space="preserve">For example, if A, an individual, is engaged in a trade or business that is not described in </w:t>
      </w:r>
      <w:smartTag w:uri="http://www.bna.com/sgml2word/cite" w:element="cite.usc">
        <w:smartTagPr>
          <w:attr w:name="ref" w:val="USC\26\1411(c)(2)"/>
        </w:smartTagPr>
        <w:r>
          <w:t>§1411(c)(2)</w:t>
        </w:r>
      </w:smartTag>
      <w:r>
        <w:t xml:space="preserve">, gross income (e.g., royalties) from the trade or business is considered derived in A’s trade or business and therefore A meets the first part of the ordinary course of a trade or business exception. However, if A’s trade or business is considered either a passive activity with respect to A or trading in financial instruments or commodities, the ordinary course of a trade or business exception does not apply because the income is derived in a trade or business described in </w:t>
      </w:r>
      <w:smartTag w:uri="http://www.bna.com/sgml2word/cite" w:element="cite.usc">
        <w:smartTagPr>
          <w:attr w:name="ref" w:val="USC\26\1411(c)(2)"/>
        </w:smartTagPr>
        <w:r>
          <w:t>§1411(c)(2)</w:t>
        </w:r>
      </w:smartTag>
      <w:r>
        <w:t xml:space="preserve">. </w:t>
      </w:r>
    </w:p>
    <w:p w14:paraId="140B6E94" w14:textId="77777777" w:rsidR="00494B49" w:rsidRDefault="00494B49">
      <w:pPr>
        <w:pStyle w:val="BNormal"/>
      </w:pPr>
      <w:r>
        <w:t xml:space="preserve">Although not specifically stated in the regulation text, disregarded entities owned by pass-through entities are treated consistently with their treatment for Chapter 1 purposes. Special rules apply for testing a trade or business conducted by a partnership if the trade or business is conducted by an entity that is disregarded as separate from a partnership owner under Reg. </w:t>
      </w:r>
      <w:smartTag w:uri="http://www.bna.com/sgml2word/cite" w:element="cite.cfr">
        <w:smartTagPr>
          <w:attr w:name="ref" w:val="cfr\26\301.7701-3"/>
        </w:smartTagPr>
        <w:r>
          <w:t>§301.7701-3</w:t>
        </w:r>
      </w:smartTag>
      <w:r>
        <w:t xml:space="preserve">. The same applies to a trade or business conducted by a qualified S corporation subsidiary such that its trade or business is considered to be conducted by the S corporation parent. </w:t>
      </w:r>
    </w:p>
    <w:p w14:paraId="159DE2B5" w14:textId="77777777" w:rsidR="00494B49" w:rsidRDefault="00494B49">
      <w:pPr>
        <w:pStyle w:val="BNormal"/>
      </w:pPr>
      <w:r>
        <w:t xml:space="preserve">To test trade or business status and determine whether an item of gross income described in </w:t>
      </w:r>
      <w:smartTag w:uri="http://www.bna.com/sgml2word/cite" w:element="cite.usc">
        <w:smartTagPr>
          <w:attr w:name="ref" w:val="USC\26\1411(c)(1)(A)(i)"/>
        </w:smartTagPr>
        <w:r>
          <w:t>§1411(c)(1)(A)(i)</w:t>
        </w:r>
      </w:smartTag>
      <w:r>
        <w:t xml:space="preserve"> allocated to the individual, estate, or trust from the pass-through entity is derived in a trade or business described in </w:t>
      </w:r>
      <w:smartTag w:uri="http://www.bna.com/sgml2word/cite" w:element="cite.usc">
        <w:smartTagPr>
          <w:attr w:name="ref" w:val="USC\26\1411(c)(2)(A)"/>
        </w:smartTagPr>
        <w:r>
          <w:t>§1411(c)(2)(A)</w:t>
        </w:r>
      </w:smartTag>
      <w:r>
        <w:t xml:space="preserve"> (a passive activity with respect to the taxpayer) or </w:t>
      </w:r>
      <w:smartTag w:uri="http://www.bna.com/sgml2word/cite" w:element="cite.usc">
        <w:smartTagPr>
          <w:attr w:name="ref" w:val="USC\26\1411(c)(2)(B)"/>
        </w:smartTagPr>
        <w:r>
          <w:t>§1411(c)(2)(B)</w:t>
        </w:r>
      </w:smartTag>
      <w:r>
        <w:t xml:space="preserve"> (trading in financial instruments or commodities), one looks to Reg. </w:t>
      </w:r>
      <w:smartTag w:uri="http://www.bna.com/sgml2word/cite" w:element="cite.cfr">
        <w:smartTagPr>
          <w:attr w:name="ref" w:val="cfr\26\1.1411-4(b)"/>
        </w:smartTagPr>
        <w:r>
          <w:t>§1.1411-4(b)</w:t>
        </w:r>
      </w:smartTag>
      <w:r>
        <w:t xml:space="preserve">. </w:t>
      </w:r>
    </w:p>
    <w:p w14:paraId="650F0368" w14:textId="77777777" w:rsidR="00494B49" w:rsidRDefault="00494B49">
      <w:pPr>
        <w:pStyle w:val="BNormal"/>
      </w:pPr>
      <w:r>
        <w:lastRenderedPageBreak/>
        <w:t xml:space="preserve">Allocation of items of net investment income (including the properly allocable deductions) that pass through to an individual, estate, or trust from a partnership or S corporation,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w:t>
      </w:r>
    </w:p>
    <w:p w14:paraId="0C029BD4" w14:textId="77777777" w:rsidR="00494B49" w:rsidRDefault="00494B49">
      <w:pPr>
        <w:pStyle w:val="BNormal"/>
      </w:pPr>
      <w:r>
        <w:t xml:space="preserve">The determination of whether the trade or business from which the income is derived is a passive activity with respect to the taxpayer is determined at the taxpayer (individual, estate, or trust) level in accordance with the general principles of </w:t>
      </w:r>
      <w:smartTag w:uri="http://www.bna.com/sgml2word/cite" w:element="cite.usc">
        <w:smartTagPr>
          <w:attr w:name="ref" w:val="USC\26\469"/>
        </w:smartTagPr>
        <w:r>
          <w:t>§469</w:t>
        </w:r>
      </w:smartTag>
      <w:r>
        <w:t>.</w:t>
      </w:r>
      <w:r>
        <w:rPr>
          <w:rStyle w:val="FootnoteReference"/>
        </w:rPr>
        <w:footnoteReference w:id="153"/>
      </w:r>
    </w:p>
    <w:p w14:paraId="5B20CED5" w14:textId="77777777" w:rsidR="00494B49" w:rsidRDefault="00494B49">
      <w:pPr>
        <w:pStyle w:val="BExamplepara"/>
      </w:pPr>
      <w:r>
        <w:rPr>
          <w:rStyle w:val="BExamplehead"/>
          <w:rFonts w:eastAsiaTheme="minorHAnsi"/>
          <w:i/>
        </w:rPr>
        <w:t>Example:</w:t>
      </w:r>
      <w:r>
        <w:t xml:space="preserve"> If A, an individual, owns an interest in PRS, a partnership, which is engaged in a trade or business, the determination of whether PRS’s trade or business is a passive activity with respect to A is made in accordance with </w:t>
      </w:r>
      <w:smartTag w:uri="http://www.bna.com/sgml2word/cite" w:element="cite.usc">
        <w:smartTagPr>
          <w:attr w:name="ref" w:val="USC\26\469"/>
        </w:smartTagPr>
        <w:r>
          <w:t>§469</w:t>
        </w:r>
      </w:smartTag>
      <w:r>
        <w:t xml:space="preserve"> and the regulations thereunder.</w:t>
      </w:r>
    </w:p>
    <w:p w14:paraId="14ABB1C6" w14:textId="77777777" w:rsidR="00494B49" w:rsidRDefault="00494B49">
      <w:pPr>
        <w:pStyle w:val="BNormal"/>
      </w:pPr>
      <w:r>
        <w:t>The determination of whether a trade or business is a trade or business of trading in financial instruments or commodities is made at the pass-through entity level (the partnership or S corporation level).</w:t>
      </w:r>
      <w:r>
        <w:rPr>
          <w:rStyle w:val="FootnoteReference"/>
        </w:rPr>
        <w:footnoteReference w:id="154"/>
      </w:r>
    </w:p>
    <w:p w14:paraId="19CFBE17" w14:textId="77777777" w:rsidR="00494B49" w:rsidRDefault="00494B49">
      <w:pPr>
        <w:pStyle w:val="BNormal"/>
      </w:pPr>
      <w:r>
        <w:t xml:space="preserve">If the pass-through entity is engaged in a trade or business of trading in financial instruments or commodities, income from the trade or business retains its character as it passes from the entity to the taxpayer. Therefore, regardless of whether the NIIT-taxpayer is directly engaged in a trade or business or whether an intervening pass-through entity is engaged in a trade or business, the income will not qualify for the ordinary course of a trade or business exception in </w:t>
      </w:r>
      <w:smartTag w:uri="http://www.bna.com/sgml2word/cite" w:element="cite.usc">
        <w:smartTagPr>
          <w:attr w:name="ref" w:val="USC\26\1411(c)(1)(A)(i)"/>
        </w:smartTagPr>
        <w:r>
          <w:t>§1411(c)(1)(A)(i)</w:t>
        </w:r>
      </w:smartTag>
      <w:r>
        <w:t xml:space="preserve"> because the income is derived in a trade or business of trading in financial instruments or commodities (as described in </w:t>
      </w:r>
      <w:smartTag w:uri="http://www.bna.com/sgml2word/cite" w:element="cite.usc">
        <w:smartTagPr>
          <w:attr w:name="ref" w:val="USC\26\1411(c)(2)(B)"/>
        </w:smartTagPr>
        <w:r>
          <w:t>§1411(c)(2)(B)</w:t>
        </w:r>
      </w:smartTag>
      <w:r>
        <w:t>).</w:t>
      </w:r>
      <w:r>
        <w:rPr>
          <w:rStyle w:val="FootnoteReference"/>
        </w:rPr>
        <w:footnoteReference w:id="155"/>
      </w:r>
      <w:r>
        <w:t xml:space="preserve"> Stated differently, the NIIT “taint” of the trading income, gain, loss, and deduction is retained as those items pass through upper-tier pass-through entities. </w:t>
      </w:r>
    </w:p>
    <w:p w14:paraId="51BC44EE" w14:textId="77777777" w:rsidR="00494B49" w:rsidRDefault="00494B49">
      <w:pPr>
        <w:pStyle w:val="BNormal"/>
      </w:pPr>
      <w:r>
        <w:t>If a pass-through entity is not engaged in a trade or business, income allocated to an individual from the entity will not qualify for the ordinary course of a trade or business exception, even if the individual or an intervening entity is engaged in a trade or business.</w:t>
      </w:r>
      <w:r>
        <w:rPr>
          <w:rStyle w:val="FootnoteReference"/>
        </w:rPr>
        <w:footnoteReference w:id="156"/>
      </w:r>
    </w:p>
    <w:p w14:paraId="3EAD50BA" w14:textId="77777777" w:rsidR="00494B49" w:rsidRDefault="00494B49">
      <w:pPr>
        <w:pStyle w:val="BExamplepara"/>
      </w:pPr>
      <w:r>
        <w:rPr>
          <w:rStyle w:val="BExamplehead"/>
          <w:rFonts w:eastAsiaTheme="minorHAnsi"/>
          <w:i/>
        </w:rPr>
        <w:t>Example 1:</w:t>
      </w:r>
      <w:r>
        <w:t xml:space="preserve"> B, an individual, owns an interest in PRS, a partnership that is not engaged in a trade or business. B’s distributive share of dividends and interest from PRS are included in “net investment income” because they are not derived in a trade or business and, therefore, cannot be excluded under the ordinary course of a trade or business exception.</w:t>
      </w:r>
    </w:p>
    <w:p w14:paraId="19FEC97D" w14:textId="77777777" w:rsidR="00494B49" w:rsidRDefault="00494B49">
      <w:pPr>
        <w:pStyle w:val="BExamplepara"/>
      </w:pPr>
      <w:r>
        <w:rPr>
          <w:rStyle w:val="BExamplehead"/>
          <w:rFonts w:eastAsiaTheme="minorHAnsi"/>
          <w:i/>
        </w:rPr>
        <w:t>Example 2:</w:t>
      </w:r>
      <w:r>
        <w:t xml:space="preserve"> C, an individual, owns an interest in UTP, a partnership, which is engaged in a trade or business. UTP owns an interest in LTP, also a partnership, which is not engaged in a trade or business. Any interest, dividends, annuities, royalties, rents, or net gain that passed through from LTP (through UTP) to C will not be derived in a trade or business because LTP is not engaged in a trade or business. This characterization applies even though UTP is engaged in a trade or business, and even if (1) C is engaged in a trade or business, (2) C provides services with respect to UTP’s trade or business, and/or (3) C </w:t>
      </w:r>
      <w:r>
        <w:lastRenderedPageBreak/>
        <w:t>provides services to LTP.</w:t>
      </w:r>
      <w:r>
        <w:rPr>
          <w:rStyle w:val="FootnoteReference"/>
        </w:rPr>
        <w:footnoteReference w:id="157"/>
      </w:r>
      <w:r>
        <w:t xml:space="preserve"> This example illustrates that UTP’s trade or business cannot “cleanse” the non-trade-or-business status of LTP.</w:t>
      </w:r>
    </w:p>
    <w:p w14:paraId="5E8472AF" w14:textId="77777777" w:rsidR="00494B49" w:rsidRDefault="00494B49">
      <w:pPr>
        <w:pStyle w:val="BNormal"/>
      </w:pPr>
      <w:r>
        <w:t xml:space="preserve">The treatment of holding companies was not addressed in the 2012 Proposed Regulations. The 2013 Final Regulations included an example (in Reg. </w:t>
      </w:r>
      <w:smartTag w:uri="http://www.bna.com/sgml2word/cite" w:element="cite.cfr">
        <w:smartTagPr>
          <w:attr w:name="ref" w:val="cfr\26\1.1411-4(b)(3)"/>
        </w:smartTagPr>
        <w:r>
          <w:t>§1.1411-4(b)(3)</w:t>
        </w:r>
      </w:smartTag>
      <w:r>
        <w:t>) that addressed commentator concerns</w:t>
      </w:r>
      <w:r>
        <w:rPr>
          <w:rStyle w:val="FootnoteReference"/>
        </w:rPr>
        <w:footnoteReference w:id="158"/>
      </w:r>
      <w:r>
        <w:t xml:space="preserve"> and illustrates the situation that is the opposite of </w:t>
      </w:r>
      <w:r>
        <w:rPr>
          <w:i/>
        </w:rPr>
        <w:t>Example 2</w:t>
      </w:r>
      <w:r>
        <w:t xml:space="preserve"> above. In the case of a holding company, the upper-tier pass-through entity (whether a partnership or S corporation) does not engage in a trade or business, but the lower-tier partnership does. The example illustrates that the non-trade-or-business upper-tier pass-through entity does not convert any trade or business income earned by the lower-tier partnership into non-trade-or-business income. </w:t>
      </w:r>
    </w:p>
    <w:p w14:paraId="1A309F35" w14:textId="77777777" w:rsidR="00494B49" w:rsidRDefault="00494B49">
      <w:pPr>
        <w:pStyle w:val="BHead3"/>
      </w:pPr>
      <w:r>
        <w:t>b. Derived in the Ordinary Course</w:t>
      </w:r>
    </w:p>
    <w:p w14:paraId="565882DA" w14:textId="77777777" w:rsidR="00494B49" w:rsidRDefault="00494B49">
      <w:pPr>
        <w:pStyle w:val="BNormal"/>
      </w:pPr>
      <w:r>
        <w:t xml:space="preserve">In the preamble to the 2013 Final Regulations, the IRS and Treasury Department stated: </w:t>
      </w:r>
    </w:p>
    <w:p w14:paraId="1CA0D3CB" w14:textId="77777777" w:rsidR="00494B49" w:rsidRDefault="00494B49">
      <w:pPr>
        <w:pStyle w:val="BQuotelong"/>
      </w:pPr>
      <w:r>
        <w:t xml:space="preserve">Within the context of </w:t>
      </w:r>
      <w:smartTag w:uri="http://www.bna.com/sgml2word/cite" w:element="cite.usc">
        <w:smartTagPr>
          <w:attr w:name="ref" w:val="USC\26\469"/>
        </w:smartTagPr>
        <w:r>
          <w:t>section 469</w:t>
        </w:r>
      </w:smartTag>
      <w:r>
        <w:t xml:space="preserve">, income from interest, dividends, royalties, and annuities is classified as portfolio income unless such income is derived in the ordinary course of a trade or business. </w:t>
      </w:r>
      <w:smartTag w:uri="http://www.bna.com/sgml2word/cite" w:element="cite.cfr">
        <w:smartTagPr>
          <w:attr w:name="ref" w:val="cfr\26\1.469-2T(c)(3)(ii)(A)"/>
        </w:smartTagPr>
        <w:r>
          <w:t>Section 1.469-2T(c)(3)(ii)(A)</w:t>
        </w:r>
      </w:smartTag>
      <w:r>
        <w:t xml:space="preserve"> through </w:t>
      </w:r>
      <w:smartTag w:uri="http://www.bna.com/sgml2word/cite" w:element="cite.cfr">
        <w:smartTagPr>
          <w:attr w:name="ref" w:val="cfr\26\1.469-2T(c)(3)(ii)(G)"/>
        </w:smartTagPr>
        <w:r>
          <w:t>(c)(3)(ii)(G)</w:t>
        </w:r>
      </w:smartTag>
      <w:r>
        <w:t xml:space="preserve">, which implements </w:t>
      </w:r>
      <w:smartTag w:uri="http://www.bna.com/sgml2word/cite" w:element="cite.usc">
        <w:smartTagPr>
          <w:attr w:name="ref" w:val="USC\26\469(e)(1)(B)"/>
        </w:smartTagPr>
        <w:r>
          <w:t>section 469(e)(1)(B)</w:t>
        </w:r>
      </w:smartTag>
      <w:r>
        <w:t xml:space="preserve">, identifies several situations where interest, dividends, royalties, or annuities are derived in the ordinary course of a trade or business and therefore are not portfolio income. If the interest, dividends, royalties or annuities do not fall into one of these situations, then they constitute working capital because they are not derived in the ordinary course of a trade or business. If the assets that generate the interest, dividends, royalties, and annuities are not held in a trade or business, however, then the classification of the income as working capital by reference to [Reg.] </w:t>
      </w:r>
      <w:smartTag w:uri="http://www.bna.com/sgml2word/cite" w:element="cite.cfr">
        <w:smartTagPr>
          <w:attr w:name="ref" w:val="cfr\26\1.469-2T(c)(3)(ii)"/>
        </w:smartTagPr>
        <w:r>
          <w:t>§1.469-2T(c)(3)(ii)</w:t>
        </w:r>
      </w:smartTag>
      <w:r>
        <w:t xml:space="preserve"> is irrelevant. </w:t>
      </w:r>
    </w:p>
    <w:p w14:paraId="60E9CA1E" w14:textId="77777777" w:rsidR="00494B49" w:rsidRDefault="00494B49">
      <w:pPr>
        <w:pStyle w:val="BNormal"/>
      </w:pPr>
      <w:r>
        <w:t xml:space="preserve">The 2012 Proposed Regulations, in Prop. Reg. §1.1411-6(a), defined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The definition of working capital in Reg. </w:t>
      </w:r>
      <w:smartTag w:uri="http://www.bna.com/sgml2word/cite" w:element="cite.cfr">
        <w:smartTagPr>
          <w:attr w:name="ref" w:val="cfr\26\1.1411-6(a)"/>
        </w:smartTagPr>
        <w:r>
          <w:t>§1.1411-6(a)</w:t>
        </w:r>
      </w:smartTag>
      <w:r>
        <w:t xml:space="preserve"> of the 2013 Final Regulations continues to reference Reg. </w:t>
      </w:r>
      <w:smartTag w:uri="http://www.bna.com/sgml2word/cite" w:element="cite.cfr">
        <w:smartTagPr>
          <w:attr w:name="ref" w:val="cfr\26\1.469-2T(c)(3)(ii)"/>
        </w:smartTagPr>
        <w:r>
          <w:t>§1.469-2T(c)(3)(ii)</w:t>
        </w:r>
      </w:smartTag>
      <w:r>
        <w:t xml:space="preser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then it is not derived in the ordinary course of a trade or business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described in Reg. </w:t>
      </w:r>
      <w:smartTag w:uri="http://www.bna.com/sgml2word/cite" w:element="cite.cfr">
        <w:smartTagPr>
          <w:attr w:name="ref" w:val="cfr\26\1.469-2T(c)(3)(ii)"/>
        </w:smartTagPr>
        <w:r>
          <w:t>§1.469-2T(c)(3)(ii)</w:t>
        </w:r>
      </w:smartTag>
      <w:r>
        <w:t xml:space="preserve">, then such income is derived in the ordinary course of a trade or business for purposes of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w:t>
      </w:r>
    </w:p>
    <w:p w14:paraId="03FBC3A8" w14:textId="77777777" w:rsidR="00494B49" w:rsidRDefault="00494B49">
      <w:pPr>
        <w:pStyle w:val="BNormal"/>
      </w:pPr>
      <w:r>
        <w:t xml:space="preserve">Reg. </w:t>
      </w:r>
      <w:smartTag w:uri="http://www.bna.com/sgml2word/cite" w:element="cite.cfr">
        <w:smartTagPr>
          <w:attr w:name="ref" w:val="cfr\26\1.469-2T(c)(3)(i)"/>
        </w:smartTagPr>
        <w:r>
          <w:t>§1.469-2T(c)(3)(i)</w:t>
        </w:r>
      </w:smartTag>
      <w:r>
        <w:t xml:space="preserve"> lists items of portfolio income specifically excluded from the definition of “passive activity gross income.” For this purpose, portfolio income includes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interest, dividends, the disposition of property that produces interest or dividend income, and the disposition of property held for investment. </w:t>
      </w:r>
    </w:p>
    <w:p w14:paraId="6C8DC6F1" w14:textId="77777777" w:rsidR="00494B49" w:rsidRDefault="00494B49">
      <w:pPr>
        <w:pStyle w:val="BHead3"/>
      </w:pPr>
      <w:r>
        <w:lastRenderedPageBreak/>
        <w:t xml:space="preserve">c. Role of §1411(c)(3) — Treatment of Working </w:t>
      </w:r>
      <w:r>
        <w:br/>
        <w:t>Capital</w:t>
      </w:r>
    </w:p>
    <w:p w14:paraId="1615ED43" w14:textId="77777777" w:rsidR="00494B49" w:rsidRDefault="00494B49">
      <w:pPr>
        <w:pStyle w:val="BNormal"/>
      </w:pPr>
      <w:r>
        <w:t xml:space="preserve">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§1.469-2T(c)(3)(i)</w:t>
        </w:r>
      </w:smartTag>
      <w:r>
        <w:t>. The items listed include:</w:t>
      </w:r>
      <w:r>
        <w:rPr>
          <w:rStyle w:val="FootnoteReference"/>
        </w:rPr>
        <w:footnoteReference w:id="159"/>
      </w:r>
    </w:p>
    <w:p w14:paraId="623BD16B" w14:textId="77777777" w:rsidR="00494B49" w:rsidRDefault="00494B49">
      <w:pPr>
        <w:pStyle w:val="BListitembul"/>
      </w:pPr>
      <w:r>
        <w:t>Interest income on loans and investments made in the ordinary course of a trade or business of lending money.</w:t>
      </w:r>
    </w:p>
    <w:p w14:paraId="2BDDEAE9" w14:textId="77777777" w:rsidR="00494B49" w:rsidRDefault="00494B49">
      <w:pPr>
        <w:pStyle w:val="BListitembul"/>
      </w:pPr>
      <w:r>
        <w:t>Interest on accounts receivable arising from the performance of services of the sale of property in the ordinary course of a trade or business of performing such services or selling such property, but only if credit is customarily offered to customers of the business.</w:t>
      </w:r>
    </w:p>
    <w:p w14:paraId="7B89BBD7" w14:textId="77777777" w:rsidR="00494B49" w:rsidRDefault="00494B49">
      <w:pPr>
        <w:pStyle w:val="BListitembul"/>
      </w:pPr>
      <w:r>
        <w:t>Income from investments made in the ordinary course of a trade or business of furnishing insurance of annuity contracts of reinsuring risk underwritten by insurance companies.</w:t>
      </w:r>
      <w:r>
        <w:rPr>
          <w:rStyle w:val="FootnoteReference"/>
        </w:rPr>
        <w:footnoteReference w:id="160"/>
      </w:r>
    </w:p>
    <w:p w14:paraId="6DF82715" w14:textId="77777777" w:rsidR="00494B49" w:rsidRDefault="00494B49">
      <w:pPr>
        <w:pStyle w:val="BListitembul"/>
      </w:pPr>
      <w:r>
        <w:t>Income or gain derived in the ordinary course of an activity of trading or dealing in any property if such activity constitutes a trade or business . . . .</w:t>
      </w:r>
    </w:p>
    <w:p w14:paraId="640033C2" w14:textId="77777777" w:rsidR="00494B49" w:rsidRDefault="00494B49">
      <w:pPr>
        <w:pStyle w:val="BListitembul"/>
      </w:pPr>
      <w:r>
        <w:t>Royalties derived by the taxpayer in the ordinary course of a trade or business of licensing intangible property . . . .</w:t>
      </w:r>
    </w:p>
    <w:p w14:paraId="76CE7F4D" w14:textId="77777777" w:rsidR="00494B49" w:rsidRDefault="00494B49">
      <w:pPr>
        <w:pStyle w:val="BListitembul"/>
      </w:pPr>
      <w:r>
        <w:t>Amounts included in the gross income of a patron of a cooperative . . . by reason of any payment or allocation to the patron based on the patronage occurring with respect to a trade or business of the patron.</w:t>
      </w:r>
    </w:p>
    <w:p w14:paraId="6AF6A767" w14:textId="77777777" w:rsidR="00494B49" w:rsidRDefault="00494B49">
      <w:pPr>
        <w:pStyle w:val="BListitembul"/>
      </w:pPr>
      <w:r>
        <w:t>Other income identified by the Commissioner as income derived by the taxpayer in the ordinary course of a trade or business.</w:t>
      </w:r>
    </w:p>
    <w:p w14:paraId="13811321" w14:textId="77777777" w:rsidR="00494B49" w:rsidRDefault="00494B49">
      <w:pPr>
        <w:pStyle w:val="BNormal"/>
      </w:pP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w:t>
      </w:r>
      <w:r>
        <w:rPr>
          <w:rStyle w:val="FootnoteReference"/>
        </w:rPr>
        <w:footnoteReference w:id="161"/>
      </w:r>
      <w:r>
        <w:t xml:space="preserve"> the text of the 2013 Final Regulations actually provides that in determining whether any item is gross income from, or net gain attributable to, an investment in working capital, “</w:t>
      </w:r>
      <w:r>
        <w:rPr>
          <w:i/>
        </w:rPr>
        <w:t>principles similar to</w:t>
      </w:r>
      <w:r>
        <w:t xml:space="preserve"> those described in Reg. </w:t>
      </w:r>
      <w:smartTag w:uri="http://www.bna.com/sgml2word/cite" w:element="cite.cfr">
        <w:smartTagPr>
          <w:attr w:name="ref" w:val="cfr\26\1.469-2T(c)(3)(ii)"/>
        </w:smartTagPr>
        <w:r>
          <w:t>§1.469-2T(c)(3)(ii)</w:t>
        </w:r>
      </w:smartTag>
      <w:r>
        <w:t xml:space="preserve"> apply.”</w:t>
      </w:r>
      <w:r>
        <w:rPr>
          <w:rStyle w:val="FootnoteReference"/>
        </w:rPr>
        <w:footnoteReference w:id="162"/>
      </w:r>
      <w:r>
        <w:t xml:space="preserve"> (Emphasis added.) </w:t>
      </w:r>
    </w:p>
    <w:p w14:paraId="59C7A471" w14:textId="77777777" w:rsidR="00494B49" w:rsidRDefault="00494B49">
      <w:pPr>
        <w:pStyle w:val="BNormal"/>
      </w:pPr>
      <w:r>
        <w:t xml:space="preserve">Reg. </w:t>
      </w:r>
      <w:smartTag w:uri="http://www.bna.com/sgml2word/cite" w:element="cite.cfr">
        <w:smartTagPr>
          <w:attr w:name="ref" w:val="cfr\26\1.469-2T(c)(3)"/>
        </w:smartTagPr>
        <w:r>
          <w:t>§1.469-2T(c)(3)</w:t>
        </w:r>
      </w:smartTag>
      <w:r>
        <w:t xml:space="preserve"> is interpreting </w:t>
      </w:r>
      <w:smartTag w:uri="http://www.bna.com/sgml2word/cite" w:element="cite.usc">
        <w:smartTagPr>
          <w:attr w:name="ref" w:val="usc\26\469(e)(1)"/>
        </w:smartTagPr>
        <w:r>
          <w:t>§469(e)(1)</w:t>
        </w:r>
      </w:smartTag>
      <w:r>
        <w:t xml:space="preserve">, which provides that in determining the income or loss from any activity, there shall not be taken into account any gross income from interest, dividends, annuities, or royalties not derived in the ordinary course of a trade or business. The same section also provides that any income, gain, or loss attributable to working capital shall be </w:t>
      </w:r>
      <w:r>
        <w:lastRenderedPageBreak/>
        <w:t xml:space="preserve">treated as not derived in the ordinary course of a trade or business. With respect to </w:t>
      </w:r>
      <w:smartTag w:uri="http://www.bna.com/sgml2word/cite" w:element="cite.usc">
        <w:smartTagPr>
          <w:attr w:name="ref" w:val="usc\26\469(e)(1)"/>
        </w:smartTagPr>
        <w:r>
          <w:t>§469(e)(1)</w:t>
        </w:r>
      </w:smartTag>
      <w:r>
        <w:t xml:space="preserve">, the Senate Finance Committee Report states: </w:t>
      </w:r>
    </w:p>
    <w:p w14:paraId="5AFC5984" w14:textId="77777777" w:rsidR="00494B49" w:rsidRDefault="00494B49">
      <w:pPr>
        <w:pStyle w:val="BQuotelong"/>
      </w:pPr>
      <w:r>
        <w:t xml:space="preserve">Portfolio income of a passive activity is taken into account separately from other items relating to the activity. Where a taxpayer has an interest in a passive activity, portfolio income is generally not taken into account in determining passive income or loss from the activity. Rather, such portfolio income is treated as nonpassive income of the taxpayer. This rule is necessary in part because taxpayers otherwise would be able to shelter portfolio income to the extent that they transferred the assets from which it is derived to passive activities in which they had investment interests. </w:t>
      </w:r>
    </w:p>
    <w:p w14:paraId="1E030E52" w14:textId="77777777" w:rsidR="00494B49" w:rsidRDefault="00494B49">
      <w:pPr>
        <w:pStyle w:val="BNormal"/>
      </w:pPr>
      <w:r>
        <w:t>The rule treating portfolio income as not from a passive activity does not apply to the extent that income, of a type generally regarded as portfolio income, is derived in the ordinary course of a trade or business. For example, the business income of a bank typically is largely interest. Similarly, a securities broker/dealer may earn a substantial portion of income from the business in the form of dividends and gains on sales of dividend-bearing instruments. Interest income may also arise in the ordinary course of a trade or business with respect to installment sales and interest charges on accounts receivable.</w:t>
      </w:r>
    </w:p>
    <w:p w14:paraId="764932CE" w14:textId="77777777" w:rsidR="00494B49" w:rsidRDefault="00494B49">
      <w:pPr>
        <w:pStyle w:val="BNormal"/>
      </w:pPr>
      <w:r>
        <w:t>In these cases, the rationale for treating portfolio-type income as not from the passive activity does not apply, because deriving such income is what the business activity actually, in whole or in part, involves. Accordingly, interest, dividend, or royalty income that is derived in the ordinary course or a trade or business is not treated, for purposes of the passive loss provision, as portfolio income.</w:t>
      </w:r>
      <w:r>
        <w:rPr>
          <w:rStyle w:val="FootnoteReference"/>
        </w:rPr>
        <w:footnoteReference w:id="163"/>
      </w:r>
    </w:p>
    <w:p w14:paraId="712F12ED" w14:textId="77777777" w:rsidR="00494B49" w:rsidRDefault="00494B49">
      <w:pPr>
        <w:pStyle w:val="BHead2"/>
      </w:pPr>
      <w:r>
        <w:t>3. Interest</w:t>
      </w:r>
    </w:p>
    <w:p w14:paraId="35F6054F" w14:textId="77777777" w:rsidR="00494B49" w:rsidRDefault="00494B49">
      <w:pPr>
        <w:pStyle w:val="BHead3"/>
      </w:pPr>
      <w:r>
        <w:t>a. Definition of Interest and Interest-Equivalents</w:t>
      </w:r>
    </w:p>
    <w:p w14:paraId="3A36813D" w14:textId="77777777" w:rsidR="00494B49" w:rsidRDefault="00494B49">
      <w:pPr>
        <w:pStyle w:val="BNormal"/>
      </w:pPr>
      <w:r>
        <w:t>For NIIT purposes, “interest income” includes “any item treated as interest income for purposes of Chapter 1 and substitute interest that represents payments made to the transferor of a security in a securities lending transaction or a sale-repurchase transaction.”</w:t>
      </w:r>
      <w:r>
        <w:rPr>
          <w:rStyle w:val="FootnoteReference"/>
        </w:rPr>
        <w:footnoteReference w:id="164"/>
      </w:r>
    </w:p>
    <w:p w14:paraId="5808DD52" w14:textId="77777777" w:rsidR="00494B49" w:rsidRDefault="00494B49">
      <w:pPr>
        <w:pStyle w:val="BNormal"/>
      </w:pPr>
      <w:r>
        <w:t xml:space="preserve">In this context, a substitute interest payment is a payment, made to the transferor of a security in a securities lending transaction or a sale-repurchase transaction, equivalent to an interest payment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r>
        <w:rPr>
          <w:rStyle w:val="FootnoteReference"/>
        </w:rPr>
        <w:footnoteReference w:id="165"/>
      </w:r>
    </w:p>
    <w:p w14:paraId="671F7CA9" w14:textId="77777777" w:rsidR="00494B49" w:rsidRDefault="00494B49">
      <w:pPr>
        <w:pStyle w:val="BHead4"/>
      </w:pPr>
      <w:r>
        <w:t>(1) Common Interest Income</w:t>
      </w:r>
    </w:p>
    <w:p w14:paraId="3DFE527C" w14:textId="77777777" w:rsidR="00494B49" w:rsidRDefault="00494B49">
      <w:pPr>
        <w:pStyle w:val="BNormal"/>
      </w:pPr>
      <w:r>
        <w:t xml:space="preserve">In determining what constitutes “interest” under </w:t>
      </w:r>
      <w:smartTag w:uri="http://www.bna.com/sgml2word/cite" w:element="cite.usc">
        <w:smartTagPr>
          <w:attr w:name="ref" w:val="USC\26\61(a)(4)"/>
        </w:smartTagPr>
        <w:r>
          <w:t>§61(a)(4)</w:t>
        </w:r>
      </w:smartTag>
      <w:r>
        <w:t xml:space="preserve">, courts have held that Congress used the word in the sense in which it is understood in the business world, that is, compensation for </w:t>
      </w:r>
      <w:r>
        <w:lastRenderedPageBreak/>
        <w:t>the use or forbearance of money.</w:t>
      </w:r>
      <w:r>
        <w:rPr>
          <w:rStyle w:val="FootnoteReference"/>
        </w:rPr>
        <w:footnoteReference w:id="166"/>
      </w:r>
      <w:r>
        <w:t xml:space="preserve"> Reg. </w:t>
      </w:r>
      <w:smartTag w:uri="http://www.bna.com/sgml2word/cite" w:element="cite.cfr">
        <w:smartTagPr>
          <w:attr w:name="ref" w:val="cfr\26\1.61-7(a)"/>
        </w:smartTagPr>
        <w:r>
          <w:t>§1.61-7(a)</w:t>
        </w:r>
      </w:smartTag>
      <w:r>
        <w:t xml:space="preserve"> defines interest to include items such as interest on savings or other bank deposits; interest on coupon bonds; interest on an open account, a promissory note, a mortgage, or a corporate bond or debenture; the interest portion of a condemnation award; usurious interest (unless by state law it is automatically converted to a payment on the principal); interest on legacies; interest on life insurance proceeds held under an agreement to pay interest thereon; and interest on refunds of federal taxes. Most simply, interest income for purposes of </w:t>
      </w:r>
      <w:smartTag w:uri="http://www.bna.com/sgml2word/cite" w:element="cite.usc">
        <w:smartTagPr>
          <w:attr w:name="ref" w:val="USC\26\1411(c)(1)(A)(i)"/>
        </w:smartTagPr>
        <w:r>
          <w:t>§1411(c)(1)(A)(i)</w:t>
        </w:r>
      </w:smartTag>
      <w:r>
        <w:t xml:space="preserve"> includes any item that would be included on a taxpayer’s Schedule B. Examples of interest income includible in net investment income (NII) include: </w:t>
      </w:r>
    </w:p>
    <w:p w14:paraId="60AF38E2" w14:textId="77777777" w:rsidR="00494B49" w:rsidRDefault="00494B49">
      <w:pPr>
        <w:pStyle w:val="BListitembul"/>
      </w:pPr>
      <w:r>
        <w:t>Interest income attributable to installment sales (stated or unstated) regardless of whether or not the underlying gain embedded in the installment sale is included or excluded from NII.</w:t>
      </w:r>
      <w:r>
        <w:rPr>
          <w:rStyle w:val="FootnoteReference"/>
        </w:rPr>
        <w:footnoteReference w:id="167"/>
      </w:r>
    </w:p>
    <w:p w14:paraId="3D262E23" w14:textId="77777777" w:rsidR="00494B49" w:rsidRDefault="00494B49">
      <w:pPr>
        <w:pStyle w:val="BListitembul"/>
      </w:pPr>
      <w:r>
        <w:t>The portion of a bond’s sales proceeds representing interest accrued to the date of the sale when the bond was sold between interest payment dates.</w:t>
      </w:r>
      <w:r>
        <w:rPr>
          <w:rStyle w:val="FootnoteReference"/>
        </w:rPr>
        <w:footnoteReference w:id="168"/>
      </w:r>
    </w:p>
    <w:p w14:paraId="7CC4CE1A" w14:textId="77777777" w:rsidR="00494B49" w:rsidRDefault="00494B49">
      <w:pPr>
        <w:pStyle w:val="BListitembul"/>
      </w:pPr>
      <w:r>
        <w:t>Original issue discount.</w:t>
      </w:r>
      <w:r>
        <w:rPr>
          <w:rStyle w:val="FootnoteReference"/>
        </w:rPr>
        <w:footnoteReference w:id="169"/>
      </w:r>
    </w:p>
    <w:p w14:paraId="2523B009" w14:textId="77777777" w:rsidR="00494B49" w:rsidRDefault="00494B49">
      <w:pPr>
        <w:pStyle w:val="BListitembul"/>
      </w:pPr>
      <w:r>
        <w:t>Disposition gain representing accrued market discount.</w:t>
      </w:r>
      <w:r>
        <w:rPr>
          <w:rStyle w:val="FootnoteReference"/>
        </w:rPr>
        <w:footnoteReference w:id="170"/>
      </w:r>
    </w:p>
    <w:p w14:paraId="65251505" w14:textId="77777777" w:rsidR="00494B49" w:rsidRDefault="00494B49">
      <w:pPr>
        <w:pStyle w:val="BListitembul"/>
      </w:pPr>
      <w:r>
        <w:t>Amounts received by the taxpayer, to whom the decedent had made a bequest, as interest for delayed payment of the bequest in accordance with provisions of state law, constituted interest income.</w:t>
      </w:r>
      <w:r>
        <w:rPr>
          <w:rStyle w:val="FootnoteReference"/>
        </w:rPr>
        <w:footnoteReference w:id="171"/>
      </w:r>
    </w:p>
    <w:p w14:paraId="5AA45328" w14:textId="77777777" w:rsidR="00494B49" w:rsidRDefault="00494B49">
      <w:pPr>
        <w:pStyle w:val="BListitembul"/>
      </w:pPr>
      <w:r>
        <w:t>Amounts received as interest on payment of judgment for damages,</w:t>
      </w:r>
      <w:r>
        <w:rPr>
          <w:rStyle w:val="FootnoteReference"/>
        </w:rPr>
        <w:footnoteReference w:id="172"/>
      </w:r>
      <w:r>
        <w:t xml:space="preserve"> regardless of whether the damage award constitutes NII.</w:t>
      </w:r>
    </w:p>
    <w:p w14:paraId="6D170669" w14:textId="77777777" w:rsidR="00494B49" w:rsidRDefault="00494B49">
      <w:pPr>
        <w:pStyle w:val="BListitembul"/>
      </w:pPr>
      <w:r>
        <w:t>Interest payments on amounts excluded from gross income by §101(a) (relating to life insurance proceeds) or §101(b) (relating to employees’ death benefits) if the amounts are held under an agreement to pay interest thereon.</w:t>
      </w:r>
      <w:r>
        <w:rPr>
          <w:rStyle w:val="FootnoteReference"/>
        </w:rPr>
        <w:footnoteReference w:id="173"/>
      </w:r>
    </w:p>
    <w:p w14:paraId="275DE507" w14:textId="77777777" w:rsidR="00494B49" w:rsidRDefault="00494B49">
      <w:pPr>
        <w:pStyle w:val="BHead4"/>
      </w:pPr>
      <w:r>
        <w:t>(2) Specific Items Treated as Interest for NIIT Purposes</w:t>
      </w:r>
    </w:p>
    <w:p w14:paraId="5828132F" w14:textId="77777777" w:rsidR="00494B49" w:rsidRDefault="00494B49">
      <w:pPr>
        <w:pStyle w:val="BNormal"/>
      </w:pPr>
      <w:r>
        <w:t xml:space="preserve">In addition to the definition of interest income in Reg. </w:t>
      </w:r>
      <w:smartTag w:uri="http://www.bna.com/sgml2word/cite" w:element="cite.cfr">
        <w:smartTagPr>
          <w:attr w:name="ref" w:val="cfr\26\1.1411-1(d)(6)"/>
        </w:smartTagPr>
        <w:r>
          <w:t>§1.1411-1(d)(6)</w:t>
        </w:r>
      </w:smartTag>
      <w:r>
        <w:t xml:space="preserve">, Prop. Reg. </w:t>
      </w:r>
      <w:smartTag w:uri="http://www.bna.com/sgml2word/cite" w:element="cite.cfr">
        <w:smartTagPr>
          <w:attr w:name="ref" w:val="prule\cfr\26\1.1411-4(g)(11)(iii)(B)"/>
        </w:smartTagPr>
        <w:r>
          <w:t>§1.1411-4(g)(11)(iii)(B)</w:t>
        </w:r>
      </w:smartTag>
      <w:r>
        <w:t xml:space="preserve"> treats </w:t>
      </w:r>
      <w:smartTag w:uri="http://www.bna.com/sgml2word/cite" w:element="cite.usc">
        <w:smartTagPr>
          <w:attr w:name="ref" w:val="USC\26\736(a)(2)"/>
        </w:smartTagPr>
        <w:r>
          <w:t>§736(a)(2)</w:t>
        </w:r>
      </w:smartTag>
      <w:r>
        <w:t xml:space="preserve"> payments that are not payments for unrealized receivables or goodwill or payments for services as interest income consistent with its treatment under Reg. </w:t>
      </w:r>
      <w:smartTag w:uri="http://www.bna.com/sgml2word/cite" w:element="cite.cfr">
        <w:smartTagPr>
          <w:attr w:name="ref" w:val="cfr\26\1.469-2(e)(2)(ii)"/>
        </w:smartTagPr>
        <w:r>
          <w:t>§1.469-2(e)(2)(ii)</w:t>
        </w:r>
      </w:smartTag>
      <w:r>
        <w:t>.</w:t>
      </w:r>
      <w:r>
        <w:rPr>
          <w:rStyle w:val="FootnoteReference"/>
        </w:rPr>
        <w:footnoteReference w:id="174"/>
      </w:r>
      <w:r>
        <w:t xml:space="preserve"> In addition, under Prop. Reg. </w:t>
      </w:r>
      <w:smartTag w:uri="http://www.bna.com/sgml2word/cite" w:element="cite.cfr">
        <w:smartTagPr>
          <w:attr w:name="ref" w:val="prule\cfr\26\1.1411-4(g)(10)"/>
        </w:smartTagPr>
        <w:r>
          <w:t>§1.1411-4(g)(10)</w:t>
        </w:r>
      </w:smartTag>
      <w:r>
        <w:t xml:space="preserve">, guaranteed payments for </w:t>
      </w:r>
      <w:r>
        <w:lastRenderedPageBreak/>
        <w:t>the use of capital are considered net investment income but are not expressly referred to as interest income.</w:t>
      </w:r>
      <w:r>
        <w:rPr>
          <w:rStyle w:val="FootnoteReference"/>
        </w:rPr>
        <w:footnoteReference w:id="175"/>
      </w:r>
    </w:p>
    <w:p w14:paraId="1474E385" w14:textId="77777777" w:rsidR="00494B49" w:rsidRDefault="00494B49">
      <w:pPr>
        <w:pStyle w:val="BHead4"/>
      </w:pPr>
      <w:r>
        <w:t>(3) Items Not Treated as Interest</w:t>
      </w:r>
    </w:p>
    <w:p w14:paraId="634918F1" w14:textId="77777777" w:rsidR="00494B49" w:rsidRDefault="00494B49">
      <w:pPr>
        <w:pStyle w:val="BNormal"/>
      </w:pPr>
      <w:r>
        <w:t xml:space="preserve">It seems intuitive to conclude that because Reg. </w:t>
      </w:r>
      <w:smartTag w:uri="http://www.bna.com/sgml2word/cite" w:element="cite.cfr">
        <w:smartTagPr>
          <w:attr w:name="ref" w:val="cfr\26\1.1411-1(d)(6)"/>
        </w:smartTagPr>
        <w:r>
          <w:t>§1.1411-1(d)(6)</w:t>
        </w:r>
      </w:smartTag>
      <w:r>
        <w:t xml:space="preserve"> defines interest income as any item treated as taxable interest income for purposes of Chapter 1, items that are not interest income for purposes of Chapter 1 are not interest for NIIT purposes (except for the items treated as interest discussed immediately above). Examples include:</w:t>
      </w:r>
    </w:p>
    <w:p w14:paraId="064EB52A" w14:textId="77777777" w:rsidR="00494B49" w:rsidRDefault="00494B49">
      <w:pPr>
        <w:pStyle w:val="BListitembul"/>
      </w:pPr>
      <w:r>
        <w:t>Interest income that may be excluded from gross income under §103 and §135.</w:t>
      </w:r>
    </w:p>
    <w:p w14:paraId="1488B70B" w14:textId="77777777" w:rsidR="00494B49" w:rsidRDefault="00494B49">
      <w:pPr>
        <w:pStyle w:val="BListitembul"/>
      </w:pPr>
      <w:r>
        <w:t>Fees earned for commitment to provide permanent financing upon maturity of construction loans do not constitute interest.</w:t>
      </w:r>
      <w:r>
        <w:rPr>
          <w:rStyle w:val="FootnoteReference"/>
        </w:rPr>
        <w:footnoteReference w:id="176"/>
      </w:r>
    </w:p>
    <w:p w14:paraId="5BE2EFF8" w14:textId="77777777" w:rsidR="00494B49" w:rsidRDefault="00494B49">
      <w:pPr>
        <w:pStyle w:val="BListitembul"/>
      </w:pPr>
      <w:r>
        <w:t>Interest income that is earned on pooled accounts containing clients’ nominal and short-term funds held by lawyers and paid over to the fund pursuant to an order of a state Supreme Court that is not includible in the gross incomes of either the clients or lawyers.</w:t>
      </w:r>
      <w:r>
        <w:rPr>
          <w:rStyle w:val="FootnoteReference"/>
        </w:rPr>
        <w:footnoteReference w:id="177"/>
      </w:r>
    </w:p>
    <w:p w14:paraId="2C1CE82B" w14:textId="77777777" w:rsidR="00494B49" w:rsidRDefault="00494B49">
      <w:pPr>
        <w:pStyle w:val="BListitembul"/>
      </w:pPr>
      <w:r>
        <w:t>If a taxpayer purchases bonds when interest has been defaulted or when the interest has accrued but has not been paid, any interest that is in arrears but has accrued at the time of purchase which is not income and is not taxable as interest if subsequently paid.</w:t>
      </w:r>
      <w:r>
        <w:rPr>
          <w:rStyle w:val="FootnoteReference"/>
        </w:rPr>
        <w:footnoteReference w:id="178"/>
      </w:r>
    </w:p>
    <w:p w14:paraId="6C0382C0" w14:textId="77777777" w:rsidR="00494B49" w:rsidRDefault="00494B49">
      <w:pPr>
        <w:pStyle w:val="BNormal"/>
      </w:pPr>
      <w:r>
        <w:t xml:space="preserve">However, even if items are not considered interest income for Chapter 1 purposes, they still may be included in net investment income if attributable to a </w:t>
      </w:r>
      <w:smartTag w:uri="http://www.bna.com/sgml2word/cite" w:element="cite.usc">
        <w:smartTagPr>
          <w:attr w:name="ref" w:val="USC\26\1411(c)(2)"/>
        </w:smartTagPr>
        <w:r>
          <w:t>§1411(c)(2)</w:t>
        </w:r>
      </w:smartTag>
      <w:r>
        <w:t xml:space="preserve"> trade or business. The reason for this, as described more fully below, is that </w:t>
      </w:r>
      <w:smartTag w:uri="http://www.bna.com/sgml2word/cite" w:element="cite.usc">
        <w:smartTagPr>
          <w:attr w:name="ref" w:val="USC\26\1411(c)(1)(A)(ii)"/>
        </w:smartTagPr>
        <w:r>
          <w:t>§1411(c)(1)(A)(ii)</w:t>
        </w:r>
      </w:smartTag>
      <w:r>
        <w:t xml:space="preserve"> uses the phase “other gross income” to capture items from a </w:t>
      </w:r>
      <w:smartTag w:uri="http://www.bna.com/sgml2word/cite" w:element="cite.usc">
        <w:smartTagPr>
          <w:attr w:name="ref" w:val="USC\26\1411(c)(2)"/>
        </w:smartTagPr>
        <w:r>
          <w:t>§1411(c)(2)</w:t>
        </w:r>
      </w:smartTag>
      <w:r>
        <w:t xml:space="preserve"> trade or business. Therefore, items that might not be interest income are still “other gross income” when attributable to a </w:t>
      </w:r>
      <w:smartTag w:uri="http://www.bna.com/sgml2word/cite" w:element="cite.usc">
        <w:smartTagPr>
          <w:attr w:name="ref" w:val="USC\26\1411(c)(2)"/>
        </w:smartTagPr>
        <w:r>
          <w:t>§1411(c)(2)</w:t>
        </w:r>
      </w:smartTag>
      <w:r>
        <w:t xml:space="preserve"> trade or business. </w:t>
      </w:r>
    </w:p>
    <w:p w14:paraId="5DBBE461" w14:textId="77777777" w:rsidR="00494B49" w:rsidRDefault="00494B49">
      <w:pPr>
        <w:pStyle w:val="BHead3"/>
      </w:pPr>
      <w:r>
        <w:t xml:space="preserve">b. Interest Derived in the Ordinary Course of a Trade or Business </w:t>
      </w:r>
    </w:p>
    <w:p w14:paraId="0C3534FC" w14:textId="77777777" w:rsidR="00494B49" w:rsidRDefault="00494B49">
      <w:pPr>
        <w:pStyle w:val="BNormal"/>
      </w:pPr>
      <w:r>
        <w:t xml:space="preserve">There are several instances in which interest income is considered derived in the ordinary course of a trade or business. Reg. </w:t>
      </w:r>
      <w:smartTag w:uri="http://www.bna.com/sgml2word/cite" w:element="cite.cfr">
        <w:smartTagPr>
          <w:attr w:name="ref" w:val="cfr\26\1.469-2T(c)(3)(ii)"/>
        </w:smartTagPr>
        <w:r>
          <w:t>§1.469-2T(c)(3)(ii)</w:t>
        </w:r>
      </w:smartTag>
      <w:r>
        <w:t xml:space="preserve"> provides the following three examples of interest derived in the ordinary course of a trade or business: (A) interest income on loans and investments made in the ordinary course of a trade or business of lending money; (B) interest on accounts receivable arising from the performance of services on the sale of property in the ordinary course of a trade or business of performing the services or selling the property, but only if credit is customarily offered to customers of the business,</w:t>
      </w:r>
      <w:r>
        <w:rPr>
          <w:rStyle w:val="FootnoteReference"/>
        </w:rPr>
        <w:footnoteReference w:id="179"/>
      </w:r>
      <w:r>
        <w:t xml:space="preserve"> and (C) income from investments made in the ordinary course of a trade or business of furnishing insurance or annuity contracts or reinsuring risk underwritten by insurance companies.</w:t>
      </w:r>
      <w:r>
        <w:rPr>
          <w:rStyle w:val="FootnoteReference"/>
        </w:rPr>
        <w:footnoteReference w:id="180"/>
      </w:r>
      <w:r>
        <w:t xml:space="preserve"> These types of interest are substantially </w:t>
      </w:r>
      <w:r>
        <w:lastRenderedPageBreak/>
        <w:t xml:space="preserve">similar to the type of interest income that is not excluded from net earnings from self-employment under </w:t>
      </w:r>
      <w:smartTag w:uri="http://www.bna.com/sgml2word/cite" w:element="cite.usc">
        <w:smartTagPr>
          <w:attr w:name="ref" w:val="USC\26\1402(a)(2)"/>
        </w:smartTagPr>
        <w:r>
          <w:t>§1402(a)(2)</w:t>
        </w:r>
      </w:smartTag>
      <w:r>
        <w:t>.</w:t>
      </w:r>
      <w:r>
        <w:rPr>
          <w:rStyle w:val="FootnoteReference"/>
        </w:rPr>
        <w:footnoteReference w:id="181"/>
      </w:r>
    </w:p>
    <w:p w14:paraId="703E4F8E" w14:textId="77777777" w:rsidR="00494B49" w:rsidRDefault="00494B49">
      <w:pPr>
        <w:pStyle w:val="BHead3"/>
      </w:pPr>
      <w:r>
        <w:t>c. Self-Charged Interest</w:t>
      </w:r>
    </w:p>
    <w:p w14:paraId="217EFAA4" w14:textId="77777777" w:rsidR="00494B49" w:rsidRDefault="00494B49">
      <w:pPr>
        <w:pStyle w:val="BHead4"/>
      </w:pPr>
      <w:r>
        <w:t xml:space="preserve">(1) Existing Passive Loss Self-Charged Interest Rules </w:t>
      </w:r>
    </w:p>
    <w:p w14:paraId="1F622964" w14:textId="77777777" w:rsidR="00494B49" w:rsidRDefault="00494B49">
      <w:pPr>
        <w:pStyle w:val="BNormal"/>
      </w:pPr>
      <w:r>
        <w:t xml:space="preserve">In general, Reg. </w:t>
      </w:r>
      <w:smartTag w:uri="http://www.bna.com/sgml2word/cite" w:element="cite.cfr">
        <w:smartTagPr>
          <w:attr w:name="ref" w:val="cfr\26\1.469-7"/>
        </w:smartTagPr>
        <w:r>
          <w:t>§1.469-7</w:t>
        </w:r>
      </w:smartTag>
      <w:r>
        <w:t xml:space="preserve"> provides rules applicable to a lending transaction</w:t>
      </w:r>
      <w:r>
        <w:rPr>
          <w:rStyle w:val="FootnoteReference"/>
        </w:rPr>
        <w:footnoteReference w:id="182"/>
      </w:r>
      <w:r>
        <w:t xml:space="preserve"> between a taxpayer and a pass-through entity in which the taxpayer owns a direct or indirect interest.</w:t>
      </w:r>
      <w:r>
        <w:rPr>
          <w:rStyle w:val="FootnoteReference"/>
        </w:rPr>
        <w:footnoteReference w:id="183"/>
      </w:r>
      <w:r>
        <w:t xml:space="preserve"> The rules accomplish three goals: (1) recharacterize certain interest income resulting from these lending transactions as passive activity gross income; (2) recharacterize certain interest expense deductions properly allocable to such interest income as passive activity deductions; and (3) allocate the resulting passive activity gross income and passive activity deductions among the taxpayer’s activities. The regulations apply to only three types of lending transactions: (1) loans to a pass-through entity by its owners;</w:t>
      </w:r>
      <w:r>
        <w:rPr>
          <w:rStyle w:val="FootnoteReference"/>
        </w:rPr>
        <w:footnoteReference w:id="184"/>
      </w:r>
      <w:r>
        <w:t xml:space="preserve"> (2) loans by a pass-through entity to its owners;</w:t>
      </w:r>
      <w:r>
        <w:rPr>
          <w:rStyle w:val="FootnoteReference"/>
        </w:rPr>
        <w:footnoteReference w:id="185"/>
      </w:r>
      <w:r>
        <w:t xml:space="preserve"> and (3) loans between two pass-through entities that are identically owned.</w:t>
      </w:r>
      <w:r>
        <w:rPr>
          <w:rStyle w:val="FootnoteReference"/>
        </w:rPr>
        <w:footnoteReference w:id="186"/>
      </w:r>
      <w:r>
        <w:t xml:space="preserve"> For an individual, estate, or trust, the self-charged interest rules do not apply to: (a) loans to C corporations;</w:t>
      </w:r>
      <w:r>
        <w:rPr>
          <w:rStyle w:val="FootnoteReference"/>
        </w:rPr>
        <w:footnoteReference w:id="187"/>
      </w:r>
      <w:r>
        <w:t xml:space="preserve"> and (b) loans between two pass-through entities that are not identically owned.</w:t>
      </w:r>
      <w:r>
        <w:rPr>
          <w:rStyle w:val="FootnoteReference"/>
        </w:rPr>
        <w:footnoteReference w:id="188"/>
      </w:r>
    </w:p>
    <w:p w14:paraId="13DAA391" w14:textId="77777777" w:rsidR="00494B49" w:rsidRDefault="00494B49">
      <w:pPr>
        <w:pStyle w:val="BNormal"/>
      </w:pPr>
      <w:r>
        <w:t xml:space="preserve">For NIIT purposes, resulting recharacterizations from Reg. </w:t>
      </w:r>
      <w:smartTag w:uri="http://www.bna.com/sgml2word/cite" w:element="cite.cfr">
        <w:smartTagPr>
          <w:attr w:name="ref" w:val="cfr\26\1.469-7"/>
        </w:smartTagPr>
        <w:r>
          <w:t>§1.469-7</w:t>
        </w:r>
      </w:smartTag>
      <w:r>
        <w:t xml:space="preserve"> are fully respected. The consequence of the self-charged rules recharacterizing the interest as passive income is to allow some or all of the loss from the entity that would have been suspended without the rule. The artificial creation of passive income causes the passive losses to be allowed; the character and treatment of the income and loss, for net investment income purposes, is the same as for regular tax purposes. Whether the allowed passive losses are deductible for NIIT purposes depends on whether they are described in Reg. </w:t>
      </w:r>
      <w:smartTag w:uri="http://www.bna.com/sgml2word/cite" w:element="cite.cfr">
        <w:smartTagPr>
          <w:attr w:name="ref" w:val="cfr\26\1.1411-4(f)"/>
        </w:smartTagPr>
        <w:r>
          <w:t>§1.1411-4(f)</w:t>
        </w:r>
      </w:smartTag>
      <w:r>
        <w:t xml:space="preserve">. In most cases, the corresponding deductions would be allowed by Reg. </w:t>
      </w:r>
      <w:smartTag w:uri="http://www.bna.com/sgml2word/cite" w:element="cite.cfr">
        <w:smartTagPr>
          <w:attr w:name="ref" w:val="cfr\26\1.1411-4(f)(2)(i)"/>
        </w:smartTagPr>
        <w:r>
          <w:t>§1.1411-4(f)(2)(i)</w:t>
        </w:r>
      </w:smartTag>
      <w:r>
        <w:rPr>
          <w:rStyle w:val="FootnoteReference"/>
        </w:rPr>
        <w:footnoteReference w:id="189"/>
      </w:r>
      <w:r>
        <w:t xml:space="preserve"> or Reg. </w:t>
      </w:r>
      <w:smartTag w:uri="http://www.bna.com/sgml2word/cite" w:element="cite.cfr">
        <w:smartTagPr>
          <w:attr w:name="ref" w:val="cfr\26\1.1411-4(f)(2)(ii)"/>
        </w:smartTagPr>
        <w:r>
          <w:t>§1.1411-4(f)(2)(ii)</w:t>
        </w:r>
      </w:smartTag>
      <w:r>
        <w:rPr>
          <w:rStyle w:val="FootnoteReference"/>
        </w:rPr>
        <w:footnoteReference w:id="190"/>
      </w:r>
      <w:r>
        <w:t xml:space="preserve"> or taken into </w:t>
      </w:r>
      <w:r>
        <w:lastRenderedPageBreak/>
        <w:t xml:space="preserve">account in calculating net gain (because a portion of the suspended loss is, for example, a </w:t>
      </w:r>
      <w:smartTag w:uri="http://www.bna.com/sgml2word/cite" w:element="cite.usc">
        <w:smartTagPr>
          <w:attr w:name="ref" w:val="USC\26\1231"/>
        </w:smartTagPr>
        <w:r>
          <w:t>§1231</w:t>
        </w:r>
      </w:smartTag>
      <w:r>
        <w:t xml:space="preserve"> ordinary loss). The rule does not, however, reduce the amount of the taxpayer’s interest income for regular income tax or NIIT purposes.</w:t>
      </w:r>
    </w:p>
    <w:p w14:paraId="45C1BB08" w14:textId="77777777" w:rsidR="00494B49" w:rsidRDefault="00494B49">
      <w:pPr>
        <w:pStyle w:val="BHead4"/>
      </w:pPr>
      <w:r>
        <w:t>(2) Self-Charged Interest Rules Under NIIT</w:t>
      </w:r>
    </w:p>
    <w:p w14:paraId="3430F514" w14:textId="77777777" w:rsidR="00494B49" w:rsidRDefault="00494B49">
      <w:pPr>
        <w:pStyle w:val="BNormal"/>
      </w:pPr>
      <w:r>
        <w:t xml:space="preserve">Reg. </w:t>
      </w:r>
      <w:smartTag w:uri="http://www.bna.com/sgml2word/cite" w:element="cite.cfr">
        <w:smartTagPr>
          <w:attr w:name="ref" w:val="cfr\26\1.1411-4(g)(5)"/>
        </w:smartTagPr>
        <w:r>
          <w:t>§1.1411-4(g)(5)</w:t>
        </w:r>
      </w:smartTag>
      <w:r>
        <w:t xml:space="preserve"> provides that, solely for purposes of the NIIT, gross income from interest (as that term is used in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c)(1)(i)"/>
        </w:smartTagPr>
        <w:r>
          <w:t>§1.1411-4(c)(1)(i)</w:t>
        </w:r>
      </w:smartTag>
      <w:r>
        <w:t xml:space="preserve">) that is received by a taxpayer from a nonpassive activity of that taxpayer is treated as interest derived in the ordinary course of a trade or business not described in Reg. </w:t>
      </w:r>
      <w:smartTag w:uri="http://www.bna.com/sgml2word/cite" w:element="cite.cfr">
        <w:smartTagPr>
          <w:attr w:name="ref" w:val="cfr\26\1.1411-5"/>
        </w:smartTagPr>
        <w:r>
          <w:t>§1.1411-5</w:t>
        </w:r>
      </w:smartTag>
      <w:r>
        <w:t xml:space="preserve"> (which means that it is not included in NII). Thus, generally, interest income received on a loan made to a taxpayer’s nonpassive activity is excluded from net investment income, but only to the extent of the taxpayer’s share of the deduction for interest paid.</w:t>
      </w:r>
      <w:r>
        <w:rPr>
          <w:rStyle w:val="FootnoteReference"/>
        </w:rPr>
        <w:footnoteReference w:id="191"/>
      </w:r>
      <w:r>
        <w:t xml:space="preserve"> The rule cross-references the self-charged interest rule of Reg. </w:t>
      </w:r>
      <w:smartTag w:uri="http://www.bna.com/sgml2word/cite" w:element="cite.cfr">
        <w:smartTagPr>
          <w:attr w:name="ref" w:val="cfr\26\1.469-7"/>
        </w:smartTagPr>
        <w:r>
          <w:t>§1.469-7</w:t>
        </w:r>
      </w:smartTag>
      <w:r>
        <w:t xml:space="preserve"> for the operative mechanics.</w:t>
      </w:r>
      <w:r>
        <w:rPr>
          <w:rStyle w:val="FootnoteReference"/>
        </w:rPr>
        <w:footnoteReference w:id="192"/>
      </w:r>
      <w:r>
        <w:t xml:space="preserve"> Reg. </w:t>
      </w:r>
      <w:smartTag w:uri="http://www.bna.com/sgml2word/cite" w:element="cite.cfr">
        <w:smartTagPr>
          <w:attr w:name="ref" w:val="cfr\26\1.1411-4(g)(5)"/>
        </w:smartTagPr>
        <w:r>
          <w:t>§1.1411-4(g)(5)</w:t>
        </w:r>
      </w:smartTag>
      <w:r>
        <w:t xml:space="preserve"> specifically states that the amount of interest excluded from net investment income under this special self-charged interest rule is limited to the amount that would have been considered passive activity gross income under the </w:t>
      </w:r>
      <w:smartTag w:uri="http://www.bna.com/sgml2word/cite" w:element="cite.usc">
        <w:smartTagPr>
          <w:attr w:name="ref" w:val="USC\26\469"/>
        </w:smartTagPr>
        <w:r>
          <w:t>§469</w:t>
        </w:r>
      </w:smartTag>
      <w:r>
        <w:t xml:space="preserve"> self-charged interest rules if the payor was a passive activity of the taxpayer. </w:t>
      </w:r>
    </w:p>
    <w:p w14:paraId="5536CB91" w14:textId="77777777" w:rsidR="00494B49" w:rsidRDefault="00494B49">
      <w:pPr>
        <w:pStyle w:val="BNormal"/>
      </w:pPr>
      <w:r>
        <w:t xml:space="preserve">There are two exceptions to the self-charged interest rule in Reg. </w:t>
      </w:r>
      <w:smartTag w:uri="http://www.bna.com/sgml2word/cite" w:element="cite.cfr">
        <w:smartTagPr>
          <w:attr w:name="ref" w:val="cfr\26\1.1411-4(g)(5)"/>
        </w:smartTagPr>
        <w:r>
          <w:t>§1.1411-4(g)(5)</w:t>
        </w:r>
      </w:smartTag>
      <w:r>
        <w:t xml:space="preserve">. First, the term nonpassive activity does not include a trade or business of trading in financial instruments or commodities under </w:t>
      </w:r>
      <w:smartTag w:uri="http://www.bna.com/sgml2word/cite" w:element="cite.usc">
        <w:smartTagPr>
          <w:attr w:name="ref" w:val="USC\26\1411(c)(2)(B)"/>
        </w:smartTagPr>
        <w:r>
          <w:t>§1411(c)(2)(B)</w:t>
        </w:r>
      </w:smartTag>
      <w:r>
        <w:t>.</w:t>
      </w:r>
      <w:r>
        <w:rPr>
          <w:rStyle w:val="FootnoteReference"/>
        </w:rPr>
        <w:footnoteReference w:id="193"/>
      </w:r>
      <w:r>
        <w:t xml:space="preserve"> Second, the special rule will not apply to situations in which the interest deduction is taken into account in determining self-employment income that is subject to tax under </w:t>
      </w:r>
      <w:smartTag w:uri="http://www.bna.com/sgml2word/cite" w:element="cite.usc">
        <w:smartTagPr>
          <w:attr w:name="ref" w:val="USC\26\1401(b)"/>
        </w:smartTagPr>
        <w:r>
          <w:t>§1401(b)</w:t>
        </w:r>
      </w:smartTag>
      <w:r>
        <w:t>.</w:t>
      </w:r>
    </w:p>
    <w:p w14:paraId="322C6892" w14:textId="77777777" w:rsidR="00494B49" w:rsidRDefault="00494B49">
      <w:pPr>
        <w:pStyle w:val="BNormal"/>
      </w:pPr>
      <w:r>
        <w:t xml:space="preserve">By tying the amount excluded to the taxpayer’s share of the deduction, any deduction limitation rules, such as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w:t>
      </w:r>
      <w:smartTag w:uri="http://www.bna.com/sgml2word/cite" w:element="cite.usc">
        <w:smartTagPr>
          <w:attr w:name="ref" w:val="USC\26\163(j)"/>
        </w:smartTagPr>
        <w:r>
          <w:t>§163(j)</w:t>
        </w:r>
      </w:smartTag>
      <w:r>
        <w:t xml:space="preserve"> or </w:t>
      </w:r>
      <w:smartTag w:uri="http://www.bna.com/sgml2word/cite" w:element="cite.usc">
        <w:smartTagPr>
          <w:attr w:name="ref" w:val="USC\26\267"/>
        </w:smartTagPr>
        <w:r>
          <w:t>§267</w:t>
        </w:r>
      </w:smartTag>
      <w:r>
        <w:t xml:space="preserve">, would be applied before applying the self-charged interest rule contained in Reg. </w:t>
      </w:r>
      <w:smartTag w:uri="http://www.bna.com/sgml2word/cite" w:element="cite.cfr">
        <w:smartTagPr>
          <w:attr w:name="ref" w:val="cfr\26\1.1411-4(g)(5)"/>
        </w:smartTagPr>
        <w:r>
          <w:t>§1.1411-4(g)(5)</w:t>
        </w:r>
      </w:smartTag>
      <w:r>
        <w:rPr>
          <w:rStyle w:val="FootnoteReference"/>
        </w:rPr>
        <w:footnoteReference w:id="194"/>
      </w:r>
      <w:r>
        <w:t xml:space="preserve"> — which is the same rule applicable to self-charged interest in Reg. </w:t>
      </w:r>
      <w:smartTag w:uri="http://www.bna.com/sgml2word/cite" w:element="cite.cfr">
        <w:smartTagPr>
          <w:attr w:name="ref" w:val="cfr\26\1.469-7"/>
        </w:smartTagPr>
        <w:r>
          <w:t>§1.469-7</w:t>
        </w:r>
      </w:smartTag>
      <w:r>
        <w:t>.</w:t>
      </w:r>
      <w:r>
        <w:rPr>
          <w:rStyle w:val="FootnoteReference"/>
        </w:rPr>
        <w:footnoteReference w:id="195"/>
      </w:r>
      <w:r>
        <w:t xml:space="preserve"> To the extent that a taxpayer receives interest income, but the deduction is limited, in full or in part, by some other provision of the Code (such as </w:t>
      </w:r>
      <w:smartTag w:uri="http://www.bna.com/sgml2word/cite" w:element="cite.usc">
        <w:smartTagPr>
          <w:attr w:name="ref" w:val="USC\26\704(d)"/>
        </w:smartTagPr>
        <w:r>
          <w:t>§704(d)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163(j)"/>
        </w:smartTagPr>
        <w:r>
          <w:t>§163(j)</w:t>
        </w:r>
      </w:smartTag>
      <w:r>
        <w:t xml:space="preserve">), the amount of interest income that can be excluded from net investment income will be negatively affected. For example, if the deduction is fully disallowed in Year 1 due to the </w:t>
      </w:r>
      <w:smartTag w:uri="http://www.bna.com/sgml2word/cite" w:element="cite.usc">
        <w:smartTagPr>
          <w:attr w:name="ref" w:val="USC\26\704(d)"/>
        </w:smartTagPr>
        <w:r>
          <w:t>§704(d)</w:t>
        </w:r>
      </w:smartTag>
      <w:r>
        <w:t xml:space="preserve"> basis limitation, the entire amount of interest income will be included in net investment income. But if the </w:t>
      </w:r>
      <w:smartTag w:uri="http://www.bna.com/sgml2word/cite" w:element="cite.usc">
        <w:smartTagPr>
          <w:attr w:name="ref" w:val="USC\26\704(d)"/>
        </w:smartTagPr>
        <w:r>
          <w:t>§704(d)</w:t>
        </w:r>
      </w:smartTag>
      <w:r>
        <w:t xml:space="preserve"> suspended deduction is allowed in Year 2 because of a basis increase, the taxpayer will not get to take that deduction into account in Year 2 to create a deduction from net investment income because there is no interest income in Year 2 associated with that deduction. </w:t>
      </w:r>
    </w:p>
    <w:p w14:paraId="6CB47C48" w14:textId="77777777" w:rsidR="00494B49" w:rsidRDefault="00494B49">
      <w:pPr>
        <w:pStyle w:val="BNormal"/>
      </w:pPr>
      <w:r>
        <w:t>Although not explicitly clear in the regulations,</w:t>
      </w:r>
      <w:r>
        <w:rPr>
          <w:rStyle w:val="FootnoteReference"/>
        </w:rPr>
        <w:footnoteReference w:id="196"/>
      </w:r>
      <w:r>
        <w:t xml:space="preserve"> a guaranteed payment for capital that is treated as </w:t>
      </w:r>
      <w:smartTag w:uri="http://www.bna.com/sgml2word/cite" w:element="cite.usc">
        <w:smartTagPr>
          <w:attr w:name="ref" w:val="USC\26\1411(c)(1)(A)(i)"/>
        </w:smartTagPr>
        <w:r>
          <w:t>§1411(c)(1)(A)(i)</w:t>
        </w:r>
      </w:smartTag>
      <w:r>
        <w:t xml:space="preserve"> income should also be considered interest income for purposes of this rule </w:t>
      </w:r>
      <w:r>
        <w:lastRenderedPageBreak/>
        <w:t>in order to mirror the passive loss treatment.</w:t>
      </w:r>
      <w:r>
        <w:rPr>
          <w:rStyle w:val="FootnoteReference"/>
        </w:rPr>
        <w:footnoteReference w:id="197"/>
      </w:r>
      <w:r>
        <w:t xml:space="preserve"> Furthermore, even though the text of Reg. </w:t>
      </w:r>
      <w:smartTag w:uri="http://www.bna.com/sgml2word/cite" w:element="cite.cfr">
        <w:smartTagPr>
          <w:attr w:name="ref" w:val="cfr\26\1.1411-4(g)(5)"/>
        </w:smartTagPr>
        <w:r>
          <w:t>§1.1411-4(g)(5)</w:t>
        </w:r>
      </w:smartTag>
      <w:r>
        <w:t xml:space="preserve"> says “[g]ross income from interest … that is received by the taxpayer,” the language was not intended to limit the self-charged interest rule solely to interest income actually received by the taxpayer (as opposed to allocated interest income from an S corporation or partnership via a Schedule K-1). Such a reading would be inconsistent with (1) the cross-</w:t>
      </w:r>
      <w:r>
        <w:br/>
        <w:t xml:space="preserve">referenced mechanics in Reg. </w:t>
      </w:r>
      <w:smartTag w:uri="http://www.bna.com/sgml2word/cite" w:element="cite.cfr">
        <w:smartTagPr>
          <w:attr w:name="ref" w:val="cfr\26\1.469-7"/>
        </w:smartTagPr>
        <w:r>
          <w:t>§1.469-7</w:t>
        </w:r>
      </w:smartTag>
      <w:r>
        <w:t>, (2) the preamble to the 2013 Final Regulations,</w:t>
      </w:r>
      <w:r>
        <w:rPr>
          <w:rStyle w:val="FootnoteReference"/>
        </w:rPr>
        <w:footnoteReference w:id="198"/>
      </w:r>
      <w:r>
        <w:t xml:space="preserve"> and (3) the situation in which a partner or shareholder is treated as receiving the interest income directly from the source from which it was received by the partnership or S corporation.</w:t>
      </w:r>
      <w:r>
        <w:rPr>
          <w:rStyle w:val="FootnoteReference"/>
        </w:rPr>
        <w:footnoteReference w:id="199"/>
      </w:r>
    </w:p>
    <w:p w14:paraId="6310CECA" w14:textId="77777777" w:rsidR="00494B49" w:rsidRDefault="00494B49">
      <w:pPr>
        <w:pStyle w:val="BNormal"/>
      </w:pPr>
      <w:r>
        <w:rPr>
          <w:i/>
        </w:rPr>
        <w:t>Comment:</w:t>
      </w:r>
      <w:r>
        <w:t xml:space="preserve"> The source of the self-charged interest exclusion in Reg. </w:t>
      </w:r>
      <w:smartTag w:uri="http://www.bna.com/sgml2word/cite" w:element="cite.cfr">
        <w:smartTagPr>
          <w:attr w:name="ref" w:val="cfr\26\1.1411-4(g)(5)"/>
        </w:smartTagPr>
        <w:r>
          <w:t>§1.1411-4(g)(5)</w:t>
        </w:r>
      </w:smartTag>
      <w:r>
        <w:t xml:space="preserve"> has its roots in an analogous situation that was identified during the 1986 enactment of the passive loss rules,</w:t>
      </w:r>
      <w:r>
        <w:rPr>
          <w:rStyle w:val="FootnoteReference"/>
        </w:rPr>
        <w:footnoteReference w:id="200"/>
      </w:r>
      <w:r>
        <w:t xml:space="preserve"> which resulted in the promulgation of the self-charged interest rules in Reg. </w:t>
      </w:r>
      <w:smartTag w:uri="http://www.bna.com/sgml2word/cite" w:element="cite.cfr">
        <w:smartTagPr>
          <w:attr w:name="ref" w:val="cfr\26\1.469-7"/>
        </w:smartTagPr>
        <w:r>
          <w:t>§1.469-7</w:t>
        </w:r>
      </w:smartTag>
      <w:r>
        <w:t xml:space="preserve">. Specifically, interest income that taxpayers were receiving from a passive activity was classified as portfolio income under </w:t>
      </w:r>
      <w:smartTag w:uri="http://www.bna.com/sgml2word/cite" w:element="cite.usc">
        <w:smartTagPr>
          <w:attr w:name="ref" w:val="USC\26\469(e)(1)(A)"/>
        </w:smartTagPr>
        <w:r>
          <w:t>§469(e)(1)(A)</w:t>
        </w:r>
      </w:smartTag>
      <w:r>
        <w:t>, but the corresponding deduction may be limited by the passive loss rules. As a result, the taxpayer is receiving current taxable income (as interest) and the corresponding deduction is suspended, resulting in a timing mismatch. In the NIIT context, the interest income would be included in net investment income, but because the nonpassive trade or business activity is outside of the scope of net investment income, the corresponding deduction is permanently lost for NIIT purposes.</w:t>
      </w:r>
      <w:r>
        <w:rPr>
          <w:rStyle w:val="FootnoteReference"/>
        </w:rPr>
        <w:footnoteReference w:id="201"/>
      </w:r>
    </w:p>
    <w:p w14:paraId="16DA064F" w14:textId="77777777" w:rsidR="00494B49" w:rsidRDefault="00494B49">
      <w:pPr>
        <w:pStyle w:val="BNormal"/>
      </w:pPr>
      <w:r>
        <w:t xml:space="preserve">Unlike the congressional grant of authority to the IRS and Treasury Department in </w:t>
      </w:r>
      <w:smartTag w:uri="http://www.bna.com/sgml2word/cite" w:element="cite.usc">
        <w:smartTagPr>
          <w:attr w:name="ref" w:val="USC\26\469(l)"/>
        </w:smartTagPr>
        <w:r>
          <w:t>§469(l)</w:t>
        </w:r>
      </w:smartTag>
      <w:r>
        <w:t xml:space="preserve">, the NIIT regulations under </w:t>
      </w:r>
      <w:smartTag w:uri="http://www.bna.com/sgml2word/cite" w:element="cite.usc">
        <w:smartTagPr>
          <w:attr w:name="ref" w:val="USC\26\1411"/>
        </w:smartTagPr>
        <w:r>
          <w:t>§1411</w:t>
        </w:r>
      </w:smartTag>
      <w:r>
        <w:t xml:space="preserve"> were issued as interpretative regulations under the general regulation writing authority of </w:t>
      </w:r>
      <w:smartTag w:uri="http://www.bna.com/sgml2word/cite" w:element="cite.usc">
        <w:smartTagPr>
          <w:attr w:name="ref" w:val="USC\26\7805"/>
        </w:smartTagPr>
        <w:r>
          <w:t>§7805</w:t>
        </w:r>
      </w:smartTag>
      <w:r>
        <w:t xml:space="preserve">. Given the limitations inherent in interpretive regulations on legal authority to deviate from the statute, the </w:t>
      </w:r>
      <w:smartTag w:uri="http://www.bna.com/sgml2word/cite" w:element="cite.usc">
        <w:smartTagPr>
          <w:attr w:name="ref" w:val="USC\26\1411"/>
        </w:smartTagPr>
        <w:r>
          <w:t>§1411</w:t>
        </w:r>
      </w:smartTag>
      <w:r>
        <w:t xml:space="preserve"> regulations could not simply exclude the interest income from the net investment income tax basis. As a workaround, the exception in Reg. </w:t>
      </w:r>
      <w:smartTag w:uri="http://www.bna.com/sgml2word/cite" w:element="cite.cfr">
        <w:smartTagPr>
          <w:attr w:name="ref" w:val="cfr\26\1.1411-4(g)(5)"/>
        </w:smartTagPr>
        <w:r>
          <w:t>§1.1411-4(g)(5)</w:t>
        </w:r>
      </w:smartTag>
      <w:r>
        <w:t xml:space="preserve"> provides that the allocable portion of the interest income is “treated” as derived in the ordinary course of a nonpassive trade or business. In essence, the regulation imputes the nonpassive trade or business status from the borrower to the lender.</w:t>
      </w:r>
      <w:r>
        <w:rPr>
          <w:rStyle w:val="FootnoteReference"/>
        </w:rPr>
        <w:footnoteReference w:id="202"/>
      </w:r>
      <w:r>
        <w:t xml:space="preserve"> However, to prevent the targeted policy from negatively affecting the regular income tax, the application of this special treatment in the 2013 Final Regulations was confined to </w:t>
      </w:r>
      <w:smartTag w:uri="http://www.bna.com/sgml2word/cite" w:element="cite.usc">
        <w:smartTagPr>
          <w:attr w:name="ref" w:val="USC\26\1411"/>
        </w:smartTagPr>
        <w:r>
          <w:t>§1411</w:t>
        </w:r>
      </w:smartTag>
      <w:r>
        <w:t xml:space="preserve"> by Reg. </w:t>
      </w:r>
      <w:smartTag w:uri="http://www.bna.com/sgml2word/cite" w:element="cite.cfr">
        <w:smartTagPr>
          <w:attr w:name="ref" w:val="cfr\26\1.1411-1(c)"/>
        </w:smartTagPr>
        <w:r>
          <w:t>§1.1411-1(c)</w:t>
        </w:r>
      </w:smartTag>
      <w:r>
        <w:t xml:space="preserve">, an approach also adopted in the </w:t>
      </w:r>
      <w:smartTag w:uri="http://www.bna.com/sgml2word/cite" w:element="cite.usc">
        <w:smartTagPr>
          <w:attr w:name="ref" w:val="USC\26\469"/>
        </w:smartTagPr>
        <w:r>
          <w:t>§469</w:t>
        </w:r>
      </w:smartTag>
      <w:r>
        <w:t xml:space="preserve"> regulations.</w:t>
      </w:r>
      <w:r>
        <w:rPr>
          <w:rStyle w:val="FootnoteReference"/>
        </w:rPr>
        <w:footnoteReference w:id="203"/>
      </w:r>
    </w:p>
    <w:p w14:paraId="4530BFE5" w14:textId="77777777" w:rsidR="00494B49" w:rsidRDefault="00494B49">
      <w:pPr>
        <w:pStyle w:val="BNormal"/>
      </w:pPr>
      <w:r>
        <w:rPr>
          <w:i/>
        </w:rPr>
        <w:lastRenderedPageBreak/>
        <w:t>Comment:</w:t>
      </w:r>
      <w:r>
        <w:t xml:space="preserve"> Although not explicit from the regulation text, the key principle underlying the treatment of the interest income is the deductibility of the interest expense. If the interest expense is an allowable deduction in calculating net investment income, then the interest income will be included in net investment income. The converse will also be true; if the interest expense is not an allowable deduction in calculating net investment income, then the interest income will be excluded from net investment income. In both situations, there is symmetry.</w:t>
      </w:r>
    </w:p>
    <w:p w14:paraId="7A3E7AB2" w14:textId="77777777" w:rsidR="00494B49" w:rsidRDefault="00494B49">
      <w:pPr>
        <w:pStyle w:val="BHead3"/>
      </w:pPr>
      <w:r>
        <w:t>d. Interest Included in Net Earnings from Self-</w:t>
      </w:r>
      <w:r>
        <w:br/>
        <w:t>Employment</w:t>
      </w:r>
    </w:p>
    <w:p w14:paraId="49F5FBF2" w14:textId="77777777" w:rsidR="00494B49" w:rsidRDefault="00494B49">
      <w:pPr>
        <w:pStyle w:val="BNormal"/>
      </w:pPr>
      <w:r>
        <w:t>Interest income is excluded from net investment income if it is included in net earnings from self-employment (NESE).</w:t>
      </w:r>
      <w:r>
        <w:rPr>
          <w:rStyle w:val="FootnoteReference"/>
        </w:rPr>
        <w:footnoteReference w:id="204"/>
      </w:r>
      <w:r>
        <w:t xml:space="preserve"> Interest income is included in NESE only if a taxpayer falls outside of the exclusion in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
        </w:smartTagPr>
        <w:r>
          <w:t>§1.1402(a)-5</w:t>
        </w:r>
      </w:smartTag>
      <w:r>
        <w:t xml:space="preserve"> (NESE includes income derived in the ordinary course of being a dealer in securities). If the taxpayer takes into account such interest in NESE, then </w:t>
      </w:r>
      <w:smartTag w:uri="http://www.bna.com/sgml2word/cite" w:element="cite.usc">
        <w:smartTagPr>
          <w:attr w:name="ref" w:val="USC\26\1411(c)(6)"/>
        </w:smartTagPr>
        <w:r>
          <w:t>§1411(c)(6)</w:t>
        </w:r>
      </w:smartTag>
      <w:r>
        <w:t xml:space="preserve"> excludes such interest from net investment income.</w:t>
      </w:r>
      <w:r>
        <w:rPr>
          <w:rStyle w:val="FootnoteReference"/>
        </w:rPr>
        <w:footnoteReference w:id="205"/>
      </w:r>
    </w:p>
    <w:p w14:paraId="7CCF415C" w14:textId="77777777" w:rsidR="00494B49" w:rsidRDefault="00494B49">
      <w:pPr>
        <w:pStyle w:val="BNormal"/>
      </w:pPr>
      <w:r>
        <w:t>However, the inclusion of interest in NESE is very rare, because even if the taxpayer’s income is attributable to dealer activities, most often derived through an ownership interest in an S corporation or limited partnership, the distributive share of such dealer-based interest income is excluded from NESE.</w:t>
      </w:r>
      <w:r>
        <w:rPr>
          <w:rStyle w:val="FootnoteReference"/>
        </w:rPr>
        <w:footnoteReference w:id="206"/>
      </w:r>
      <w:r>
        <w:t xml:space="preserve"> To the extent that the dealer-based interest income fails the exception in </w:t>
      </w:r>
      <w:smartTag w:uri="http://www.bna.com/sgml2word/cite" w:element="cite.usc">
        <w:smartTagPr>
          <w:attr w:name="ref" w:val="USC\26\1402(a)(2)"/>
        </w:smartTagPr>
        <w:r>
          <w:t>§1402(a)(2)</w:t>
        </w:r>
      </w:smartTag>
      <w:r>
        <w:t xml:space="preserve">, but is blocked from NESE (and thus not within the exclusion of </w:t>
      </w:r>
      <w:smartTag w:uri="http://www.bna.com/sgml2word/cite" w:element="cite.usc">
        <w:smartTagPr>
          <w:attr w:name="ref" w:val="USC\26\1411(c)(6)"/>
        </w:smartTagPr>
        <w:r>
          <w:t>§1411(c)(6)</w:t>
        </w:r>
      </w:smartTag>
      <w:r>
        <w:t xml:space="preserve">), it is also likely to be considered derived in the ordinary course of a trade or business for purposes of Reg. </w:t>
      </w:r>
      <w:smartTag w:uri="http://www.bna.com/sgml2word/cite" w:element="cite.cfr">
        <w:smartTagPr>
          <w:attr w:name="ref" w:val="cfr\26\1.1411-4(b)"/>
        </w:smartTagPr>
        <w:r>
          <w:t>§1.1411-4(b)</w:t>
        </w:r>
      </w:smartTag>
      <w:r>
        <w:t xml:space="preserve">,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If this is the case, then whether such income is net investment income depends on whether the activity is passive or nonpassive. </w:t>
      </w:r>
    </w:p>
    <w:p w14:paraId="360B6D72" w14:textId="77777777" w:rsidR="00494B49" w:rsidRDefault="00494B49">
      <w:pPr>
        <w:pStyle w:val="BNormal"/>
      </w:pPr>
      <w:r>
        <w:rPr>
          <w:i/>
        </w:rPr>
        <w:t>Practice Point:</w:t>
      </w:r>
      <w:r>
        <w:t xml:space="preserve"> From a tax compliance perspective,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pulls the taxable interest income from the taxpayer’s </w:t>
      </w:r>
      <w:smartTag w:uri="http://www.bna.com/sgml2word/cite" w:element="cite.agency.doc">
        <w:smartTagPr>
          <w:attr w:name="ref" w:val="irs\form1040"/>
        </w:smartTagPr>
        <w:r>
          <w:t>Form 1040</w:t>
        </w:r>
      </w:smartTag>
      <w:r>
        <w:t xml:space="preserve">. It is imperative that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match the taxpayer’s </w:t>
      </w:r>
      <w:smartTag w:uri="http://www.bna.com/sgml2word/cite" w:element="cite.fed.form">
        <w:smartTagPr>
          <w:attr w:name="ref" w:val="irs\form1040"/>
        </w:smartTagPr>
        <w:r>
          <w:t>Form 1040</w:t>
        </w:r>
      </w:smartTag>
      <w:r>
        <w:t xml:space="preserve">. To the extent a taxpayer’s interest income on </w:t>
      </w:r>
      <w:smartTag w:uri="http://www.bna.com/sgml2word/cite" w:element="cite.agency.doc">
        <w:smartTagPr>
          <w:attr w:name="ref" w:val="irs\form1040"/>
        </w:smartTagPr>
        <w:r>
          <w:t>Form 1040</w:t>
        </w:r>
      </w:smartTag>
      <w:r>
        <w:t xml:space="preserve"> does not match </w:t>
      </w:r>
      <w:smartTag w:uri="http://www.bna.com/sgml2word/cite" w:element="cite.fed.form">
        <w:smartTagPr>
          <w:attr w:name="ref" w:val="irs\form8960"/>
        </w:smartTagPr>
        <w:r>
          <w:t>Form 8960</w:t>
        </w:r>
      </w:smartTag>
      <w:r>
        <w:t xml:space="preserve">, line 1, the taxpayer is likely to get an e-file error notice or a written notice from the taxpayer’s IRS submission processing center questioning the discrepancy. However, the instructions do state that self-charged interest income (within the meaning of Reg. </w:t>
      </w:r>
      <w:smartTag w:uri="http://www.bna.com/sgml2word/cite" w:element="cite.cfr">
        <w:smartTagPr>
          <w:attr w:name="ref" w:val="cfr\26\1.1411-4(g)(5)"/>
        </w:smartTagPr>
        <w:r>
          <w:t>§1.1411-4(g)(5)</w:t>
        </w:r>
      </w:smartTag>
      <w:r>
        <w:t>) should be backed out on line 7. The instructions also state that “[i]nterest income earned in the ordinary course of your non-§1411 trade or business is excluded from net investment income. If this type of interest income is included in line 1, use line 7 to adjust your net investment income.”</w:t>
      </w:r>
    </w:p>
    <w:p w14:paraId="6F726E2D" w14:textId="77777777" w:rsidR="00494B49" w:rsidRDefault="00494B49">
      <w:pPr>
        <w:pStyle w:val="BHead2"/>
      </w:pPr>
      <w:r>
        <w:t>4. Dividends</w:t>
      </w:r>
    </w:p>
    <w:p w14:paraId="13F9A44B" w14:textId="77777777" w:rsidR="00494B49" w:rsidRDefault="00494B49">
      <w:pPr>
        <w:pStyle w:val="BHead3"/>
      </w:pPr>
      <w:r>
        <w:t>a. Definition of Dividends and Dividend-Equivalents</w:t>
      </w:r>
    </w:p>
    <w:p w14:paraId="6B20931B" w14:textId="77777777" w:rsidR="00494B49" w:rsidRDefault="00494B49">
      <w:pPr>
        <w:pStyle w:val="BNormal"/>
      </w:pPr>
      <w:r>
        <w:lastRenderedPageBreak/>
        <w:t>For NIIT purposes, “dividend income” includes any item treated as a dividend for purposes of Chapter 1.</w:t>
      </w:r>
      <w:r>
        <w:rPr>
          <w:rStyle w:val="FootnoteReference"/>
        </w:rPr>
        <w:footnoteReference w:id="207"/>
      </w:r>
      <w:r>
        <w:t xml:space="preserve"> Pursuant to Reg. </w:t>
      </w:r>
      <w:smartTag w:uri="http://www.bna.com/sgml2word/cite" w:element="cite.cfr">
        <w:smartTagPr>
          <w:attr w:name="ref" w:val="cfr\26\1.1411-1(d)(3)"/>
        </w:smartTagPr>
        <w:r>
          <w:t>§1.1411-1(d)(3)</w:t>
        </w:r>
      </w:smartTag>
      <w:r>
        <w:t>, the term dividend includes (i) amounts treated as dividends under Subchapter C that are included in gross income (including constructive dividends);</w:t>
      </w:r>
      <w:r>
        <w:rPr>
          <w:rStyle w:val="FootnoteReference"/>
        </w:rPr>
        <w:footnoteReference w:id="208"/>
      </w:r>
      <w:r>
        <w:t xml:space="preserve"> (ii) amounts recharacterized as dividends under </w:t>
      </w:r>
      <w:smartTag w:uri="http://www.bna.com/sgml2word/cite" w:element="cite.usc">
        <w:smartTagPr>
          <w:attr w:name="ref" w:val="USC\26\1248(a)"/>
        </w:smartTagPr>
        <w:r>
          <w:t>§1248(a)</w:t>
        </w:r>
      </w:smartTag>
      <w:r>
        <w:t xml:space="preserve"> (other than as provided in Reg. </w:t>
      </w:r>
      <w:smartTag w:uri="http://www.bna.com/sgml2word/cite" w:element="cite.cfr">
        <w:smartTagPr>
          <w:attr w:name="ref" w:val="cfr\26\1.1411-10"/>
        </w:smartTagPr>
        <w:r>
          <w:t>§1.1411-10</w:t>
        </w:r>
      </w:smartTag>
      <w:r>
        <w:t>);</w:t>
      </w:r>
      <w:r>
        <w:rPr>
          <w:rStyle w:val="FootnoteReference"/>
        </w:rPr>
        <w:footnoteReference w:id="209"/>
      </w:r>
      <w:r>
        <w:t xml:space="preserve"> (iii) amounts treated as dividends under Reg. </w:t>
      </w:r>
      <w:smartTag w:uri="http://www.bna.com/sgml2word/cite" w:element="cite.cfr">
        <w:smartTagPr>
          <w:attr w:name="ref" w:val="cfr\26\1.367(b)-2(e)(2)"/>
        </w:smartTagPr>
        <w:r>
          <w:t>§1.367(b)-2(e)(2)</w:t>
        </w:r>
      </w:smartTag>
      <w:r>
        <w:t>;</w:t>
      </w:r>
      <w:r>
        <w:rPr>
          <w:rStyle w:val="FootnoteReference"/>
        </w:rPr>
        <w:footnoteReference w:id="210"/>
      </w:r>
      <w:r>
        <w:t xml:space="preserve"> (iv) distributions from S corporations out of accumulated earnings and profits under </w:t>
      </w:r>
      <w:smartTag w:uri="http://www.bna.com/sgml2word/cite" w:element="cite.usc">
        <w:smartTagPr>
          <w:attr w:name="ref" w:val="USC\26\1368(c)(2)"/>
        </w:smartTagPr>
        <w:r>
          <w:t>§1368(c)(2)</w:t>
        </w:r>
      </w:smartTag>
      <w:r>
        <w:t>;</w:t>
      </w:r>
      <w:r>
        <w:rPr>
          <w:rStyle w:val="FootnoteReference"/>
        </w:rPr>
        <w:footnoteReference w:id="211"/>
      </w:r>
      <w:r>
        <w:t xml:space="preserve"> and (v) substitute dividends that represent payments made to the transferor of a security in a securities lending transaction or a sale-repurchase transaction.</w:t>
      </w:r>
      <w:r>
        <w:rPr>
          <w:rStyle w:val="FootnoteReference"/>
        </w:rPr>
        <w:footnoteReference w:id="212"/>
      </w:r>
    </w:p>
    <w:p w14:paraId="5BB8660C" w14:textId="77777777" w:rsidR="00494B49" w:rsidRDefault="00494B49">
      <w:pPr>
        <w:pStyle w:val="BNormal"/>
      </w:pPr>
      <w:r>
        <w:rPr>
          <w:i/>
        </w:rPr>
        <w:t>Comment:</w:t>
      </w:r>
      <w:r>
        <w:t xml:space="preserve"> If substitute dividend payments were not treated in this manner, the Treasury Department and the IRS believed that taxpayers could easily avoid the NIIT with respect to dividend income (and interest income) by lending their securities over a payment date. The Treasury Department and the IRS did not believe that Congress intended the imposition of the NIIT to turn on transactional formalities that are so readily manipulated by well-advised taxpayers. This approach is consistent with the approach taken in other contexts in which dividend (and interest) payments have been treated in the same manner as actual interest or dividend payments to preclude avoidance of tax. </w:t>
      </w:r>
    </w:p>
    <w:p w14:paraId="4C2FC249" w14:textId="77777777" w:rsidR="00494B49" w:rsidRDefault="00494B49">
      <w:pPr>
        <w:pStyle w:val="BNormal"/>
      </w:pPr>
      <w:r>
        <w:t xml:space="preserve">Dividends that are excluded from gross income are likewise excluded from net investment income. Examples include: </w:t>
      </w:r>
    </w:p>
    <w:p w14:paraId="5F3D41E2" w14:textId="77777777" w:rsidR="00494B49" w:rsidRDefault="00494B49">
      <w:pPr>
        <w:pStyle w:val="BListitembul"/>
      </w:pPr>
      <w:r>
        <w:t>Distributions of certain stock and certain stock rights excluded from income by §305.</w:t>
      </w:r>
    </w:p>
    <w:p w14:paraId="4C15735C" w14:textId="77777777" w:rsidR="00494B49" w:rsidRDefault="00494B49">
      <w:pPr>
        <w:pStyle w:val="BListitembul"/>
      </w:pPr>
      <w:r>
        <w:t>Certain amounts received as patronage dividends excluded by §1385(b).</w:t>
      </w:r>
      <w:r>
        <w:rPr>
          <w:rStyle w:val="FootnoteReference"/>
        </w:rPr>
        <w:footnoteReference w:id="213"/>
      </w:r>
      <w:r>
        <w:t xml:space="preserve"> and </w:t>
      </w:r>
    </w:p>
    <w:p w14:paraId="6DF77EB7" w14:textId="77777777" w:rsidR="00494B49" w:rsidRDefault="00494B49">
      <w:pPr>
        <w:pStyle w:val="BListitembul"/>
      </w:pPr>
      <w:r>
        <w:t>Dividends from CFCs and QEFs excluded by §959(d) and §1293(c), respectively, if a 10(g) Election is in effect with respect to such entities.</w:t>
      </w:r>
      <w:r>
        <w:rPr>
          <w:rStyle w:val="FootnoteReference"/>
        </w:rPr>
        <w:footnoteReference w:id="214"/>
      </w:r>
    </w:p>
    <w:p w14:paraId="4AC51AB5" w14:textId="77777777" w:rsidR="00494B49" w:rsidRDefault="00494B49">
      <w:pPr>
        <w:pStyle w:val="BNormal"/>
      </w:pPr>
      <w:r>
        <w:t>For an item to be treated as a dividend, it must be a distribution by a corporation to a shareholder with respect to its stock, and the corporation must have sufficient E&amp;P. In a traditional case, dividends are paid in cash after formal declaration by the board of directors of a corporation. However, dividends may include noncash distributions of property (including stock) and may include distributions that are not formally declared by the board. Furthermore, certain distributions may be treated as dividends by statute, or nondividends by statute. For example:</w:t>
      </w:r>
    </w:p>
    <w:p w14:paraId="069E5EB6" w14:textId="77777777" w:rsidR="00494B49" w:rsidRDefault="00494B49">
      <w:pPr>
        <w:pStyle w:val="BListitembul"/>
      </w:pPr>
      <w:r>
        <w:t xml:space="preserve"> Section 301 provides that a distribution of property by a corporation to its shareholder with respect to its stock is treated either as a dividend (if the corporation </w:t>
      </w:r>
      <w:r>
        <w:lastRenderedPageBreak/>
        <w:t>has sufficient E&amp;P), as a return of basis, or as gain from the sale or exchange of property.</w:t>
      </w:r>
    </w:p>
    <w:p w14:paraId="04A40E23" w14:textId="77777777" w:rsidR="00494B49" w:rsidRDefault="00494B49">
      <w:pPr>
        <w:pStyle w:val="BListitembul"/>
      </w:pPr>
      <w:r>
        <w:t> Section 302 provides that if a corporation redeems its stock, the corporation is treated as either making a distribution of property to which §301 applies, or a distribution in exchange for stock, depending on certain distinguishing characteristics.</w:t>
      </w:r>
    </w:p>
    <w:p w14:paraId="24BF1A07" w14:textId="77777777" w:rsidR="00494B49" w:rsidRDefault="00494B49">
      <w:pPr>
        <w:pStyle w:val="BListitembul"/>
      </w:pPr>
      <w:r>
        <w:t>Dispositions of certain stock are treated as distributions under §306.</w:t>
      </w:r>
    </w:p>
    <w:p w14:paraId="525632B1" w14:textId="77777777" w:rsidR="00494B49" w:rsidRDefault="00494B49">
      <w:pPr>
        <w:pStyle w:val="BListitembul"/>
      </w:pPr>
      <w:r>
        <w:t> Section 356(a)(2) provides that certain exchanges in the context of a reorganization that have the effect of a dividend will be treated as a dividend to the extent of the gain that would otherwise be recognized.</w:t>
      </w:r>
      <w:r>
        <w:rPr>
          <w:rStyle w:val="FootnoteReference"/>
        </w:rPr>
        <w:footnoteReference w:id="215"/>
      </w:r>
    </w:p>
    <w:p w14:paraId="4FE39A53" w14:textId="77777777" w:rsidR="00494B49" w:rsidRDefault="00494B49">
      <w:pPr>
        <w:pStyle w:val="BNormal"/>
      </w:pPr>
      <w:r>
        <w:t>In certain situations, courts and the IRS have treated a transaction that has the effect of a dividend as a constructive dividend when, for example, the transaction was either a distribution of property to a shareholder or had the same effect as a distribution.</w:t>
      </w:r>
      <w:r>
        <w:rPr>
          <w:rStyle w:val="FootnoteReference"/>
        </w:rPr>
        <w:footnoteReference w:id="216"/>
      </w:r>
      <w:r>
        <w:t xml:space="preserve"> In addition, a number of revenue rulings address specific types of distributions: </w:t>
      </w:r>
    </w:p>
    <w:p w14:paraId="69A43CD0" w14:textId="77777777" w:rsidR="00494B49" w:rsidRDefault="00494B49">
      <w:pPr>
        <w:pStyle w:val="BListitembul"/>
      </w:pPr>
      <w:r>
        <w:t>Distribution of stapled stock is a taxable dividend;</w:t>
      </w:r>
      <w:r>
        <w:rPr>
          <w:rStyle w:val="FootnoteReference"/>
        </w:rPr>
        <w:footnoteReference w:id="217"/>
      </w:r>
    </w:p>
    <w:p w14:paraId="5CBDEF85" w14:textId="77777777" w:rsidR="00494B49" w:rsidRDefault="00494B49">
      <w:pPr>
        <w:pStyle w:val="BListitembul"/>
      </w:pPr>
      <w:r>
        <w:t>Certain redemptions may be constructive dividends to the remaining shareholder(s);</w:t>
      </w:r>
      <w:r>
        <w:rPr>
          <w:rStyle w:val="FootnoteReference"/>
        </w:rPr>
        <w:footnoteReference w:id="218"/>
      </w:r>
    </w:p>
    <w:p w14:paraId="7D9ABA19" w14:textId="77777777" w:rsidR="00494B49" w:rsidRDefault="00494B49">
      <w:pPr>
        <w:pStyle w:val="BListitembul"/>
      </w:pPr>
      <w:r>
        <w:t>Bargain sales between commonly controlled corporations may be constructive dividends;</w:t>
      </w:r>
      <w:r>
        <w:rPr>
          <w:rStyle w:val="FootnoteReference"/>
        </w:rPr>
        <w:footnoteReference w:id="219"/>
      </w:r>
    </w:p>
    <w:p w14:paraId="33E249CB" w14:textId="77777777" w:rsidR="00494B49" w:rsidRDefault="00494B49">
      <w:pPr>
        <w:pStyle w:val="BListitembul"/>
      </w:pPr>
      <w:r>
        <w:t>Excess payments between commonly controlled corporations may be constructive dividends;</w:t>
      </w:r>
      <w:r>
        <w:rPr>
          <w:rStyle w:val="FootnoteReference"/>
        </w:rPr>
        <w:footnoteReference w:id="220"/>
      </w:r>
    </w:p>
    <w:p w14:paraId="0B35BC34" w14:textId="77777777" w:rsidR="00494B49" w:rsidRDefault="00494B49">
      <w:pPr>
        <w:pStyle w:val="BListitembul"/>
      </w:pPr>
      <w:r>
        <w:t>Distribution of subsidiary stock, which is then redeemed for cash, is treated as direct payment of cash dividend;</w:t>
      </w:r>
      <w:r>
        <w:rPr>
          <w:rStyle w:val="FootnoteReference"/>
        </w:rPr>
        <w:footnoteReference w:id="221"/>
      </w:r>
    </w:p>
    <w:p w14:paraId="2781C6FF" w14:textId="77777777" w:rsidR="00494B49" w:rsidRDefault="00494B49">
      <w:pPr>
        <w:pStyle w:val="BListitembul"/>
      </w:pPr>
      <w:r>
        <w:t>Conversion ratio change treated as deemed distribution;</w:t>
      </w:r>
      <w:r>
        <w:rPr>
          <w:rStyle w:val="FootnoteReference"/>
        </w:rPr>
        <w:footnoteReference w:id="222"/>
      </w:r>
    </w:p>
    <w:p w14:paraId="38BBEFA4" w14:textId="77777777" w:rsidR="00494B49" w:rsidRDefault="00494B49">
      <w:pPr>
        <w:pStyle w:val="BListitembul"/>
      </w:pPr>
      <w:r>
        <w:t>Distribution of subsidiary stock rights to parent shareholders by the subsidiary is a constructive distribution;</w:t>
      </w:r>
      <w:r>
        <w:rPr>
          <w:rStyle w:val="FootnoteReference"/>
        </w:rPr>
        <w:footnoteReference w:id="223"/>
      </w:r>
      <w:r>
        <w:t xml:space="preserve"> and</w:t>
      </w:r>
    </w:p>
    <w:p w14:paraId="1CE5399A" w14:textId="77777777" w:rsidR="00494B49" w:rsidRDefault="00494B49">
      <w:pPr>
        <w:pStyle w:val="BListitembul"/>
      </w:pPr>
      <w:r>
        <w:t>Patronage distributions from co-ops are dividends.</w:t>
      </w:r>
      <w:r>
        <w:rPr>
          <w:rStyle w:val="FootnoteReference"/>
        </w:rPr>
        <w:footnoteReference w:id="224"/>
      </w:r>
    </w:p>
    <w:p w14:paraId="20DF8650" w14:textId="77777777" w:rsidR="00494B49" w:rsidRDefault="00494B49">
      <w:pPr>
        <w:pStyle w:val="BHead3"/>
      </w:pPr>
      <w:r>
        <w:t xml:space="preserve">b. Dividends Derived in the Ordinary Course of a Trade or Business </w:t>
      </w:r>
    </w:p>
    <w:p w14:paraId="3A307BD6" w14:textId="77777777" w:rsidR="00494B49" w:rsidRDefault="00494B49">
      <w:pPr>
        <w:pStyle w:val="BNormal"/>
      </w:pPr>
      <w:r>
        <w:t xml:space="preserve">There are several situations in which dividend income can be derived in the ordinary course of a trade or business, although these situations are exceptionally rare. In each of these cases, the income is also included in net earnings from self-employment subject to self-employment tax </w:t>
      </w:r>
      <w:r>
        <w:lastRenderedPageBreak/>
        <w:t>(the income may be excluded from net earnings from self-employment if earned as a shareholder of an S corporation</w:t>
      </w:r>
      <w:r>
        <w:rPr>
          <w:rStyle w:val="FootnoteReference"/>
        </w:rPr>
        <w:footnoteReference w:id="225"/>
      </w:r>
      <w:r>
        <w:t xml:space="preserve"> or as a limited partner</w:t>
      </w:r>
      <w:r>
        <w:rPr>
          <w:rStyle w:val="FootnoteReference"/>
        </w:rPr>
        <w:footnoteReference w:id="226"/>
      </w:r>
      <w:r>
        <w:t>):</w:t>
      </w:r>
    </w:p>
    <w:p w14:paraId="710B933C" w14:textId="77777777" w:rsidR="00494B49" w:rsidRDefault="00494B49">
      <w:pPr>
        <w:pStyle w:val="BListitembul"/>
      </w:pPr>
      <w:r>
        <w:t>Dividend income from investments made in the ordinary course of a trade or business of furnishing insurance or annuity contracts or reinsuring risk underwritten by insurance companies;</w:t>
      </w:r>
      <w:r>
        <w:rPr>
          <w:rStyle w:val="FootnoteReference"/>
        </w:rPr>
        <w:footnoteReference w:id="227"/>
      </w:r>
    </w:p>
    <w:p w14:paraId="641C6479" w14:textId="77777777" w:rsidR="00494B49" w:rsidRDefault="00494B49">
      <w:pPr>
        <w:pStyle w:val="BListitembul"/>
      </w:pPr>
      <w:r>
        <w:t>Income or gain derived in the ordinary course of an activity of trading or dealing in any property if the activity constitutes a trade or business;</w:t>
      </w:r>
      <w:r>
        <w:rPr>
          <w:rStyle w:val="FootnoteReference"/>
        </w:rPr>
        <w:footnoteReference w:id="228"/>
      </w:r>
      <w:r>
        <w:t xml:space="preserve"> and </w:t>
      </w:r>
    </w:p>
    <w:p w14:paraId="30476394" w14:textId="77777777" w:rsidR="00494B49" w:rsidRDefault="00494B49">
      <w:pPr>
        <w:pStyle w:val="BListitembul"/>
      </w:pPr>
      <w:r>
        <w:t>Amounts included in the gross income of a patron of a cooperative by reason of any payment or allocation to the patron based on his or her patronage occurring with respect to a trade or business of the patron.</w:t>
      </w:r>
      <w:r>
        <w:rPr>
          <w:rStyle w:val="FootnoteReference"/>
        </w:rPr>
        <w:footnoteReference w:id="229"/>
      </w:r>
    </w:p>
    <w:p w14:paraId="3DC3F4A4" w14:textId="77777777" w:rsidR="00494B49" w:rsidRDefault="00494B49">
      <w:pPr>
        <w:pStyle w:val="BNormal"/>
      </w:pPr>
      <w:r>
        <w:rPr>
          <w:i/>
        </w:rPr>
        <w:t>Comment:</w:t>
      </w:r>
      <w:r>
        <w:t xml:space="preserve"> In </w:t>
      </w:r>
      <w:smartTag w:uri="http://www.bna.com/sgml2word/cite" w:element="cite.agency.doc">
        <w:smartTagPr>
          <w:attr w:name="ref" w:val="irs\cca\202118009"/>
        </w:smartTagPr>
        <w:r>
          <w:t>CCA 202118009</w:t>
        </w:r>
      </w:smartTag>
      <w:r>
        <w:t>, the Chief Counsel's Office advised that an individual who works in a business that is operating as a C corporation does not derive dividends in the ordinary course of his trade or business of being an employee/owner. This rule applies to a mid-level manager at a publicly traded company that owns 100 shares of his employer, as well as to a 100% owner of a privately held C corporation.</w:t>
      </w:r>
    </w:p>
    <w:p w14:paraId="218D032F" w14:textId="77777777" w:rsidR="00494B49" w:rsidRDefault="00494B49">
      <w:pPr>
        <w:pStyle w:val="BExamplepara"/>
      </w:pPr>
      <w:r>
        <w:rPr>
          <w:rStyle w:val="BExamplehead"/>
          <w:rFonts w:eastAsiaTheme="minorHAnsi"/>
          <w:i/>
        </w:rPr>
        <w:t>Example:</w:t>
      </w:r>
      <w:r>
        <w:t xml:space="preserve"> S is a shareholder in C, a C corporation. C paid S's personal expenses from corporate accounts, and the payments were reclassified as dividend income paid by C to S. S is also an employee of C and is involved in the day-to-day operations of C's manufacturing trade or business. C may be a closely held corporation within the meaning of </w:t>
      </w:r>
      <w:smartTag w:uri="http://www.bna.com/sgml2word/cite" w:element="cite.usc">
        <w:smartTagPr>
          <w:attr w:name="ref" w:val="usc\26\469(j)(1)"/>
        </w:smartTagPr>
        <w:r>
          <w:t>§469(j)(1)</w:t>
        </w:r>
      </w:smartTag>
      <w:r>
        <w:t xml:space="preserve"> as described in </w:t>
      </w:r>
      <w:smartTag w:uri="http://www.bna.com/sgml2word/cite" w:element="cite.usc">
        <w:smartTagPr>
          <w:attr w:name="ref" w:val="usc\26\465(a)(1)(B)"/>
        </w:smartTagPr>
        <w:r>
          <w:t>§465(a)(1)(B)</w:t>
        </w:r>
      </w:smartTag>
      <w:r>
        <w:t xml:space="preserve">, and S owns a majority of the shares of C. S's involvement in the day-to-day operations of C’s trade or business is not relevant to the exception in </w:t>
      </w:r>
      <w:smartTag w:uri="http://www.bna.com/sgml2word/cite" w:element="cite.usc">
        <w:smartTagPr>
          <w:attr w:name="ref" w:val="USC\26\1411(c)(1)(A)(i)"/>
        </w:smartTagPr>
        <w:r>
          <w:t>§1411(c)(1)(A)(i)</w:t>
        </w:r>
      </w:smartTag>
      <w:r>
        <w:t xml:space="preserve">—which provides that income derived in the ordinary course of a trade or business that is not a passive activity with respect to the taxpayer is exempt from the NIIT. Neither of the exceptions in Reg. </w:t>
      </w:r>
      <w:smartTag w:uri="http://www.bna.com/sgml2word/cite" w:element="cite.cfr">
        <w:smartTagPr>
          <w:attr w:name="ref" w:val="cfr\26\1.469-2T(c)(3)(ii)"/>
        </w:smartTagPr>
        <w:r>
          <w:t>§1.469-2T(c)(3)(ii)</w:t>
        </w:r>
      </w:smartTag>
      <w:r>
        <w:t xml:space="preserve"> that treat dividend income from C corporations as income from a trade or business (the </w:t>
      </w:r>
      <w:smartTag w:uri="http://www.bna.com/sgml2word/cite" w:element="cite.cfr">
        <w:smartTagPr>
          <w:attr w:name="ref" w:val="cfr\26\1.469-2T(c)(3)(ii)(D)"/>
        </w:smartTagPr>
        <w:r>
          <w:t>§1.469-2T(c)(3)(ii)(D)</w:t>
        </w:r>
      </w:smartTag>
      <w:r>
        <w:t xml:space="preserve"> exception for insurance businesses or the </w:t>
      </w:r>
      <w:smartTag w:uri="http://www.bna.com/sgml2word/cite" w:element="cite.cfr">
        <w:smartTagPr>
          <w:attr w:name="ref" w:val="cfr\26\1.469-2T(c)(3)(ii)(E)"/>
        </w:smartTagPr>
        <w:r>
          <w:t>§1.469-2T(c)(3)(ii)(E)</w:t>
        </w:r>
      </w:smartTag>
      <w:r>
        <w:t xml:space="preserve"> exception for the business of trading or dealing in property) applies. Therefore, the dividend income that S received from C is subject to the net investment income tax under </w:t>
      </w:r>
      <w:smartTag w:uri="http://www.bna.com/sgml2word/cite" w:element="cite.usc">
        <w:smartTagPr>
          <w:attr w:name="ref" w:val="USC\26\1411"/>
        </w:smartTagPr>
        <w:r>
          <w:t>§1411</w:t>
        </w:r>
      </w:smartTag>
      <w:r>
        <w:t>, even if C is a closely held corporation.</w:t>
      </w:r>
      <w:r>
        <w:rPr>
          <w:rStyle w:val="FootnoteReference"/>
        </w:rPr>
        <w:footnoteReference w:id="230"/>
      </w:r>
    </w:p>
    <w:p w14:paraId="39BFE01E" w14:textId="77777777" w:rsidR="00494B49" w:rsidRDefault="00494B49">
      <w:pPr>
        <w:pStyle w:val="BNormal"/>
      </w:pPr>
      <w:r>
        <w:lastRenderedPageBreak/>
        <w:t xml:space="preserve">The same would be true of a real estate professional (described in </w:t>
      </w:r>
      <w:smartTag w:uri="http://www.bna.com/sgml2word/cite" w:element="cite.usc">
        <w:smartTagPr>
          <w:attr w:name="ref" w:val="USC\26\469(c)(7)"/>
        </w:smartTagPr>
        <w:r>
          <w:t>§469(c)(7)</w:t>
        </w:r>
      </w:smartTag>
      <w:r>
        <w:t xml:space="preserve"> and covered by Reg. </w:t>
      </w:r>
      <w:smartTag w:uri="http://www.bna.com/sgml2word/cite" w:element="cite.cfr">
        <w:smartTagPr>
          <w:attr w:name="ref" w:val="cfr\26\1.1411-4(g)(7)"/>
        </w:smartTagPr>
        <w:r>
          <w:t>§1.1411-4(g)(7)</w:t>
        </w:r>
      </w:smartTag>
      <w:r>
        <w:t xml:space="preserve">) who derives a portion of his rental real estate income from an interest in a Real Estate Investment Trust (REIT). If the taxpayer held the rental property outright, the rental income and gain would be excluded from net investment income by reason of Reg. </w:t>
      </w:r>
      <w:smartTag w:uri="http://www.bna.com/sgml2word/cite" w:element="cite.cfr">
        <w:smartTagPr>
          <w:attr w:name="ref" w:val="cfr\26\1.1411-4(g)(7)"/>
        </w:smartTagPr>
        <w:r>
          <w:t>§1.1411-4(g)(7)</w:t>
        </w:r>
      </w:smartTag>
      <w:r>
        <w:t>, but the fact that the taxpayer receives the same net income and gain as a dividend from the REIT does not provide the same answer for NIIT purposes because the taxpayer is not in a trade or business of holding REIT stock.</w:t>
      </w:r>
    </w:p>
    <w:p w14:paraId="1105A1AA" w14:textId="77777777" w:rsidR="00494B49" w:rsidRDefault="00494B49">
      <w:pPr>
        <w:pStyle w:val="BNormal"/>
      </w:pPr>
      <w:r>
        <w:t>Consider two examples in which one can conclude that, economically, a dividend is being derived in the ordinary course of a trade or business, yet the conclusion does not hold true for NIIT purposes.</w:t>
      </w:r>
    </w:p>
    <w:p w14:paraId="2017A42B" w14:textId="77777777" w:rsidR="00494B49" w:rsidRDefault="00494B49">
      <w:pPr>
        <w:pStyle w:val="BExamplepara"/>
      </w:pPr>
      <w:r>
        <w:rPr>
          <w:rStyle w:val="BExamplehead"/>
          <w:rFonts w:eastAsiaTheme="minorHAnsi"/>
          <w:i/>
        </w:rPr>
        <w:t>Example 1:</w:t>
      </w:r>
      <w:r>
        <w:t xml:space="preserve"> A is the sole shareholder and president of an S corporation that sells mattresses to retail customers in Florida. To the extent the S corporation’s mattress business is a nonpassive activity to A, the net income or loss from its operations is excluded from net investment income. However, A was presented with the opportunity to expand his mattress franchise by acquiring the franchise rights in Alabama. The S corporation acquired the stock of an Alabama C corporation that held franchise rights for the entire state. Even though the S corporation and the C corporation were the same business in Florida and Alabama, any dividends paid by the Alabama C corporation would be included in net investment income because the S corporation (where trade or business status is determined) is not in the trade or business of holding C corporation stock. However, the earnings of the Alabama C corporation would not be included in A’s net investment income if the Alabama corporation were a qualified Subchapter S subsidiary. In this case, the </w:t>
      </w:r>
      <w:r>
        <w:rPr>
          <w:i/>
        </w:rPr>
        <w:t>form</w:t>
      </w:r>
      <w:r>
        <w:t xml:space="preserve"> of the business arrangement determines the NIIT outcome.</w:t>
      </w:r>
    </w:p>
    <w:p w14:paraId="4601BBF2" w14:textId="77777777" w:rsidR="00494B49" w:rsidRDefault="00494B49">
      <w:pPr>
        <w:pStyle w:val="BExamplepara"/>
      </w:pPr>
      <w:r>
        <w:rPr>
          <w:rStyle w:val="BExamplehead"/>
          <w:rFonts w:eastAsiaTheme="minorHAnsi"/>
          <w:i/>
        </w:rPr>
        <w:t>Example 2:</w:t>
      </w:r>
      <w:r>
        <w:t xml:space="preserve"> B is a majority shareholder and president of an S corporation that manufactures glass in Michigan for the auto industry in Michigan and Canada. The S corporation is the sole owner of an interest-charge domestic international sales corporation (IC-DISC).</w:t>
      </w:r>
      <w:r>
        <w:rPr>
          <w:rStyle w:val="FootnoteReference"/>
        </w:rPr>
        <w:footnoteReference w:id="231"/>
      </w:r>
      <w:r>
        <w:t xml:space="preserve"> Even though the IC-DISC is a statutory export incentive embodied in </w:t>
      </w:r>
      <w:smartTag w:uri="http://www.bna.com/sgml2word/cite" w:element="cite.usc">
        <w:smartTagPr>
          <w:attr w:name="ref" w:val="USC\26\995"/>
        </w:smartTagPr>
        <w:r>
          <w:t>§995</w:t>
        </w:r>
      </w:smartTag>
      <w:r>
        <w:t xml:space="preserve"> that is intended to benefit the domestic S corporation, any distributions received by the S corporation from the IC-DISC are included in net investment income because the S corporation is not in the trade or business of holding IC-DISC stock.</w:t>
      </w:r>
    </w:p>
    <w:p w14:paraId="4B9400D7" w14:textId="77777777" w:rsidR="00494B49" w:rsidRDefault="00494B49">
      <w:pPr>
        <w:pStyle w:val="BHead3"/>
      </w:pPr>
      <w:r>
        <w:t>c. Income from CFCs and PFICs</w:t>
      </w:r>
    </w:p>
    <w:p w14:paraId="07F10E5A" w14:textId="77777777" w:rsidR="00494B49" w:rsidRDefault="00494B49">
      <w:pPr>
        <w:pStyle w:val="BNormal"/>
      </w:pPr>
      <w:r>
        <w:t xml:space="preserve">Income from controlled foreign corporations (CFCs) and passive foreign investment companies (PFICs) is one of the most complicated areas of the NIIT system. In general, any income from a CFC or PFIC is included in net investment income. Because these entities are C corporations, whether the income (actual dividends or deemed inclusions under </w:t>
      </w:r>
      <w:smartTag w:uri="http://www.bna.com/sgml2word/cite" w:element="cite.usc">
        <w:smartTagPr>
          <w:attr w:name="ref" w:val="USC\26\951"/>
        </w:smartTagPr>
        <w:r>
          <w:t>§951</w:t>
        </w:r>
      </w:smartTag>
      <w:r>
        <w:t xml:space="preserve"> or </w:t>
      </w:r>
      <w:smartTag w:uri="http://www.bna.com/sgml2word/cite" w:element="cite.usc">
        <w:smartTagPr>
          <w:attr w:name="ref" w:val="USC\26\1293"/>
        </w:smartTagPr>
        <w:r>
          <w:t>§1293</w:t>
        </w:r>
      </w:smartTag>
      <w:r>
        <w:t xml:space="preserve">) is net investment income is determined under the rules identical to dividends received from a domestic corporation, discussed at length above. The complexity associated with these entities is the NIIT treatment of the anti-deferral regimes of Subpart F and Qualified Electing Funds. The treatment of these entities is covered in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p w14:paraId="45C048CB" w14:textId="77777777" w:rsidR="00494B49" w:rsidRDefault="00494B49">
      <w:pPr>
        <w:pStyle w:val="BHead3"/>
      </w:pPr>
      <w:r>
        <w:lastRenderedPageBreak/>
        <w:t>d. Dividends Included in Net Earnings from Self-</w:t>
      </w:r>
      <w:r>
        <w:br/>
        <w:t>Employment</w:t>
      </w:r>
    </w:p>
    <w:p w14:paraId="7CB57320" w14:textId="77777777" w:rsidR="00494B49" w:rsidRDefault="00494B49">
      <w:pPr>
        <w:pStyle w:val="BNormal"/>
      </w:pPr>
      <w:r>
        <w:t>Dividend income is excluded from net investment income if it is taken into account in the calculation of net earnings from self-employment.</w:t>
      </w:r>
      <w:r>
        <w:rPr>
          <w:rStyle w:val="FootnoteReference"/>
        </w:rPr>
        <w:footnoteReference w:id="232"/>
      </w:r>
      <w:r>
        <w:t xml:space="preserve"> The same analysis applicable to the inclusion of interest income in self-employment income (see </w:t>
      </w:r>
      <w:smartTag w:uri="http://www.bna.com/sgml2word/cite" w:element="cite.bna.reference">
        <w:smartTagPr>
          <w:attr w:name="bna.id.ref" w:val="TM\511.III.B.3.d"/>
        </w:smartTagPr>
        <w:r>
          <w:t>III.B.3.d.</w:t>
        </w:r>
      </w:smartTag>
      <w:smartTag w:uri="http://www.bna.com/sgml2word/cite" w:element="cite.bna.reference">
        <w:smartTagPr>
          <w:attr w:name="bna.id.ref" w:val="TM\873.III.B.3.d"/>
        </w:smartTagPr>
        <w:r>
          <w:t>III.B.3.d.</w:t>
        </w:r>
      </w:smartTag>
      <w:r>
        <w:t>, above) also applies to dividends — and the outcome is likely the same.</w:t>
      </w:r>
    </w:p>
    <w:p w14:paraId="580E9B98" w14:textId="77777777" w:rsidR="00494B49" w:rsidRDefault="00494B49">
      <w:pPr>
        <w:pStyle w:val="BHead2"/>
      </w:pPr>
      <w:r>
        <w:t>5. Annuities</w:t>
      </w:r>
    </w:p>
    <w:p w14:paraId="4373F18E" w14:textId="77777777" w:rsidR="00494B49" w:rsidRDefault="00494B49">
      <w:pPr>
        <w:pStyle w:val="BHead3"/>
      </w:pPr>
      <w:r>
        <w:t>a. Definition of Annuities</w:t>
      </w:r>
    </w:p>
    <w:p w14:paraId="5206BE89" w14:textId="77777777" w:rsidR="00494B49" w:rsidRDefault="00494B49">
      <w:pPr>
        <w:pStyle w:val="BNormal"/>
      </w:pPr>
      <w:r>
        <w:t xml:space="preserve">In the most general terms, annuities that are included in net investment income are covered by </w:t>
      </w:r>
      <w:smartTag w:uri="http://www.bna.com/sgml2word/cite" w:element="cite.usc">
        <w:smartTagPr>
          <w:attr w:name="ref" w:val="USC\26\72"/>
        </w:smartTagPr>
        <w:r>
          <w:t>§72</w:t>
        </w:r>
      </w:smartTag>
      <w:r>
        <w:t xml:space="preserve">. It is irrelevant whether the annuity was acquired before or after the effective date of </w:t>
      </w:r>
      <w:smartTag w:uri="http://www.bna.com/sgml2word/cite" w:element="cite.usc">
        <w:smartTagPr>
          <w:attr w:name="ref" w:val="USC\26\1411"/>
        </w:smartTagPr>
        <w:r>
          <w:t>§1411</w:t>
        </w:r>
      </w:smartTag>
      <w:r>
        <w:t>.</w:t>
      </w:r>
      <w:r>
        <w:rPr>
          <w:rStyle w:val="FootnoteReference"/>
        </w:rPr>
        <w:footnoteReference w:id="233"/>
      </w:r>
      <w:r>
        <w:t xml:space="preserve"> It is irrelevant whether the annuity income is received in a traditional annuitized payment stream or as a lump-sum payment. Annuity income from commercial annuities, as well as from private annuities,</w:t>
      </w:r>
      <w:r>
        <w:rPr>
          <w:rStyle w:val="FootnoteReference"/>
        </w:rPr>
        <w:footnoteReference w:id="234"/>
      </w:r>
      <w:r>
        <w:t xml:space="preserve"> is includible in net investment income unless it is derived in the ordinary course of a non-</w:t>
      </w:r>
      <w:smartTag w:uri="http://www.bna.com/sgml2word/cite" w:element="cite.usc">
        <w:smartTagPr>
          <w:attr w:name="ref" w:val="USC\26\1411(c)(2)"/>
        </w:smartTagPr>
        <w:r>
          <w:t>§1411(c)(2)</w:t>
        </w:r>
      </w:smartTag>
      <w:r>
        <w:t xml:space="preserve"> trade or business. </w:t>
      </w:r>
    </w:p>
    <w:p w14:paraId="67C86176" w14:textId="77777777" w:rsidR="00494B49" w:rsidRDefault="00494B49">
      <w:pPr>
        <w:pStyle w:val="BNormal"/>
      </w:pPr>
      <w:r>
        <w:t>Many types of economic income resemble annuities in form but are not annuities under the Code. For example, alimony, social security income, and long-term disability payments may be taxable income and paid in the form of an annuity,</w:t>
      </w:r>
      <w:r>
        <w:rPr>
          <w:rStyle w:val="FootnoteReference"/>
        </w:rPr>
        <w:footnoteReference w:id="235"/>
      </w:r>
      <w:r>
        <w:t xml:space="preserve"> but these are not annuities for NIIT purposes because their taxability is not governed by </w:t>
      </w:r>
      <w:smartTag w:uri="http://www.bna.com/sgml2word/cite" w:element="cite.usc">
        <w:smartTagPr>
          <w:attr w:name="ref" w:val="USC\26\72"/>
        </w:smartTagPr>
        <w:r>
          <w:t>§72</w:t>
        </w:r>
      </w:smartTag>
      <w:r>
        <w:t xml:space="preserve">. On the other hand, the definition of annuity by reference to </w:t>
      </w:r>
      <w:smartTag w:uri="http://www.bna.com/sgml2word/cite" w:element="cite.usc">
        <w:smartTagPr>
          <w:attr w:name="ref" w:val="USC\26\72"/>
        </w:smartTagPr>
        <w:r>
          <w:t>§72</w:t>
        </w:r>
      </w:smartTag>
      <w:r>
        <w:t xml:space="preserve"> includes income from legal contracts that are not legally annuity contracts under state law — such as modified endowment contracts and life insurance contracts.</w:t>
      </w:r>
    </w:p>
    <w:p w14:paraId="0D4FE7F4" w14:textId="77777777" w:rsidR="00494B49" w:rsidRDefault="00494B49">
      <w:pPr>
        <w:pStyle w:val="BNormal"/>
      </w:pPr>
      <w:r>
        <w:t xml:space="preserve">For NIIT purposes, “annuity income” includes the amount received as an annuity under an annuity, endowment, or life insurance contract that is includible in gross income under </w:t>
      </w:r>
      <w:smartTag w:uri="http://www.bna.com/sgml2word/cite" w:element="cite.usc">
        <w:smartTagPr>
          <w:attr w:name="ref" w:val="USC\26\72(a)"/>
        </w:smartTagPr>
        <w:r>
          <w:t>§72(a)</w:t>
        </w:r>
      </w:smartTag>
      <w:r>
        <w:t xml:space="preserve"> and </w:t>
      </w:r>
      <w:smartTag w:uri="http://www.bna.com/sgml2word/cite" w:element="cite.usc">
        <w:smartTagPr>
          <w:attr w:name="ref" w:val="USC\26\72(b)"/>
        </w:smartTagPr>
        <w:r>
          <w:t>§72(b)</w:t>
        </w:r>
      </w:smartTag>
      <w:r>
        <w:t xml:space="preserve">, and an amount not received as an annuity under an annuity contract that is includible in gross income under </w:t>
      </w:r>
      <w:smartTag w:uri="http://www.bna.com/sgml2word/cite" w:element="cite.usc">
        <w:smartTagPr>
          <w:attr w:name="ref" w:val="USC\26\72(e)"/>
        </w:smartTagPr>
        <w:r>
          <w:t>§72(e)</w:t>
        </w:r>
      </w:smartTag>
      <w:r>
        <w:t>.</w:t>
      </w:r>
      <w:r>
        <w:rPr>
          <w:rStyle w:val="FootnoteReference"/>
        </w:rPr>
        <w:footnoteReference w:id="236"/>
      </w:r>
    </w:p>
    <w:p w14:paraId="4D822753" w14:textId="77777777" w:rsidR="00494B49" w:rsidRDefault="00494B49">
      <w:pPr>
        <w:pStyle w:val="BNormal"/>
      </w:pPr>
      <w:r>
        <w:lastRenderedPageBreak/>
        <w:t xml:space="preserve">The linkage between the definition of gross income from annuities and </w:t>
      </w:r>
      <w:smartTag w:uri="http://www.bna.com/sgml2word/cite" w:element="cite.usc">
        <w:smartTagPr>
          <w:attr w:name="ref" w:val="USC\26\72"/>
        </w:smartTagPr>
        <w:r>
          <w:t>§72</w:t>
        </w:r>
      </w:smartTag>
      <w:r>
        <w:t xml:space="preserve"> implies that amounts received from qualified retirement plans would also be considered taxable annuities, were it not for the exclusion of such items from net investment income by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237"/>
      </w:r>
    </w:p>
    <w:p w14:paraId="152B7106" w14:textId="77777777" w:rsidR="00494B49" w:rsidRDefault="00494B49">
      <w:pPr>
        <w:pStyle w:val="BHead4"/>
      </w:pPr>
      <w:r>
        <w:t>(1) Foreign Pensions</w:t>
      </w:r>
    </w:p>
    <w:p w14:paraId="3E9BACCD" w14:textId="77777777" w:rsidR="00494B49" w:rsidRDefault="00494B49">
      <w:pPr>
        <w:pStyle w:val="BNormal"/>
      </w:pPr>
      <w:r>
        <w:t>The term gross income from annuities does not include amounts paid in consideration for services rendered.</w:t>
      </w:r>
      <w:r>
        <w:rPr>
          <w:rStyle w:val="FootnoteReference"/>
        </w:rPr>
        <w:footnoteReference w:id="238"/>
      </w:r>
      <w:r>
        <w:t xml:space="preserve"> For example, distributions from a foreign retirement plan that are paid in the form of an annuity and include investment income that was earned by the retirement plan are not income from an annuity within the meaning of </w:t>
      </w:r>
      <w:smartTag w:uri="http://www.bna.com/sgml2word/cite" w:element="cite.usc">
        <w:smartTagPr>
          <w:attr w:name="ref" w:val="USC\26\1411(c)(1)(A)(i)"/>
        </w:smartTagPr>
        <w:r>
          <w:t>§1411(c)(1)(A)(i)</w:t>
        </w:r>
      </w:smartTag>
      <w:r>
        <w:t>.</w:t>
      </w:r>
      <w:r>
        <w:rPr>
          <w:rStyle w:val="FootnoteReference"/>
        </w:rPr>
        <w:footnoteReference w:id="239"/>
      </w:r>
    </w:p>
    <w:p w14:paraId="75410218" w14:textId="77777777" w:rsidR="00494B49" w:rsidRDefault="00494B49">
      <w:pPr>
        <w:pStyle w:val="BNormal"/>
      </w:pPr>
      <w:r>
        <w:t>By including a reference to foreign pensions in the definition of annuity, the 2013 Final Regulations attempted to harmonize the treatment of foreign pensions with the treatment of domestic pensions for NIIT purposes. On the surface, it seems that this goal was achieved. Nonetheless, there are systemic differences between a foreign pension and a domestic pension that are often overlooked for regular tax purposes but highly relevant for net investment income purposes.</w:t>
      </w:r>
    </w:p>
    <w:p w14:paraId="59FA59D0" w14:textId="77777777" w:rsidR="00494B49" w:rsidRDefault="00494B49">
      <w:pPr>
        <w:pStyle w:val="BNormal"/>
      </w:pPr>
      <w:r>
        <w:t>Foreign pensions often need to be classified as entities for U.S. tax purposes. Depending on the characteristics of a foreign pension arrangement, these pensions can be considered associations taxable as corporations or trusts. If they are considered trusts, they can be grantor trusts to the beneficiary, grantor trusts to the employer, or nongrantor trusts. In some cases, like certain types of Canadian retirement schemes, there is ample guidance on the U.S. tax treatment.</w:t>
      </w:r>
      <w:r>
        <w:rPr>
          <w:rStyle w:val="FootnoteReference"/>
        </w:rPr>
        <w:footnoteReference w:id="240"/>
      </w:r>
    </w:p>
    <w:p w14:paraId="74546D95" w14:textId="77777777" w:rsidR="00494B49" w:rsidRDefault="00494B49">
      <w:pPr>
        <w:pStyle w:val="BNormal"/>
      </w:pPr>
      <w:r>
        <w:t>However, in many cases, the pension plan itself is concerned with its entity classification because it has made, or intends to make, investments in the United States. The plans occasionally get tax opinions from counsel or private letter rulings from the IRS.</w:t>
      </w:r>
      <w:r>
        <w:rPr>
          <w:rStyle w:val="FootnoteReference"/>
        </w:rPr>
        <w:footnoteReference w:id="241"/>
      </w:r>
      <w:r>
        <w:t xml:space="preserve"> Entity classification can affect the treatment of the pension’s beneficiaries — a situation that is often overlooked. If the beneficiaries are non-U.S. persons, the classification is not likely to matter. However, if the beneficiary is a United States person, the classification becomes relevant. If the foreign pension is a trust, and the beneficiary begins receiving retirement payments from the trust, are those payments considered distributions from a foreign trust? If so, the payments should carry out a pro rata share of the pension trust’s distributable net income (DNI) to the beneficiary. In these cases, the classification of the payments as nonannuities under Reg. </w:t>
      </w:r>
      <w:smartTag w:uri="http://www.bna.com/sgml2word/cite" w:element="cite.cfr">
        <w:smartTagPr>
          <w:attr w:name="ref" w:val="cfr\26\1.1411-1(d)(1)"/>
        </w:smartTagPr>
        <w:r>
          <w:t>§1.1411-1(d)(1)</w:t>
        </w:r>
      </w:smartTag>
      <w:r>
        <w:t xml:space="preserve"> is not helpful because the DNI is included in the beneficiary’s net investment income by reason of Reg. </w:t>
      </w:r>
      <w:smartTag w:uri="http://www.bna.com/sgml2word/cite" w:element="cite.cfr">
        <w:smartTagPr>
          <w:attr w:name="ref" w:val="cfr\26\1.1411-3(e)(3)(ii)"/>
        </w:smartTagPr>
        <w:r>
          <w:t>§1.1411-3(e)(3)(ii)</w:t>
        </w:r>
      </w:smartTag>
      <w:r>
        <w:t xml:space="preserve"> (last sentence). On the other hand, the pension payments might not be considered distributions from the trust in which the retiree has a vested present interest, but alternatively may be viewed as the payment by the trust of a liability and the receipt of deferred compensation by the employee. In this construct, the payments would likely be excluded from </w:t>
      </w:r>
      <w:r>
        <w:lastRenderedPageBreak/>
        <w:t xml:space="preserve">net investment income because they would not be distributions from the trust (within the meaning of Subchapter J), so no DNI would be allocable to such payments. </w:t>
      </w:r>
    </w:p>
    <w:p w14:paraId="65FCD1FB" w14:textId="77777777" w:rsidR="00494B49" w:rsidRDefault="00494B49">
      <w:pPr>
        <w:pStyle w:val="BNormal"/>
      </w:pPr>
      <w:r>
        <w:t xml:space="preserve">In both scenarios, the beneficiary simply reports distributions as ordinary gross income on its applicable federal tax return. The beneficiary likely has not received any information from the pension plan regarding the plan’s U.S. entity classification. But in this case, there is little risk of tax revenue loss to the United States. However, for NIIT purposes, the underlying classification of the pension fund and the classification of the payments either as distributions to a current beneficiary (which carries out DNI and possibly NII) or payment to a creditor (which does not carry out DNI) is very relevant. However, as with many other types of income covered in this Portfolio, the NIIT treatment of a particular item is based on the Chapter 1 characterization. Therefore, to properly analyze the NIIT treatment of foreign pension payments, beneficiaries first must make a determination for regular income tax purposes and the NIIT rules should ultimately fall in line. </w:t>
      </w:r>
    </w:p>
    <w:p w14:paraId="2F1076E8" w14:textId="77777777" w:rsidR="00494B49" w:rsidRDefault="00494B49">
      <w:pPr>
        <w:pStyle w:val="BHead4"/>
      </w:pPr>
      <w:r>
        <w:t>(2) Lottery Winnings</w:t>
      </w:r>
    </w:p>
    <w:p w14:paraId="25AE6B43" w14:textId="77777777" w:rsidR="00494B49" w:rsidRDefault="00494B49">
      <w:pPr>
        <w:pStyle w:val="BNormal"/>
      </w:pPr>
      <w:r>
        <w:t>The NIIT treatment of lottery winning presents an interesting intellectual exercise. If one begins with the proposition that lotteries are a form of gambling, then lottery winnings would be considered gross income from gambling.</w:t>
      </w:r>
      <w:r>
        <w:rPr>
          <w:rStyle w:val="FootnoteReference"/>
        </w:rPr>
        <w:footnoteReference w:id="242"/>
      </w:r>
      <w:r>
        <w:t xml:space="preserve"> As a matter of legal interpretation, gambling winnings are not within the Reg. </w:t>
      </w:r>
      <w:smartTag w:uri="http://www.bna.com/sgml2word/cite" w:element="cite.cfr">
        <w:smartTagPr>
          <w:attr w:name="ref" w:val="cfr\26\1.1411-1(d)"/>
        </w:smartTagPr>
        <w:r>
          <w:t>§1.1411-1(d)</w:t>
        </w:r>
      </w:smartTag>
      <w:r>
        <w:t xml:space="preserve"> definitions of interest income, dividend income, rental income, or royalty income. Additionally (and instinctively), gambling winnings are not dispositions of property.</w:t>
      </w:r>
      <w:r>
        <w:rPr>
          <w:rStyle w:val="FootnoteReference"/>
        </w:rPr>
        <w:footnoteReference w:id="243"/>
      </w:r>
    </w:p>
    <w:p w14:paraId="2F55C009" w14:textId="77777777" w:rsidR="00494B49" w:rsidRDefault="00494B49">
      <w:pPr>
        <w:pStyle w:val="BNormal"/>
      </w:pPr>
      <w:r>
        <w:t xml:space="preserve">For lottery winnings to be included in net investment income, they must either be attributable to a </w:t>
      </w:r>
      <w:smartTag w:uri="http://www.bna.com/sgml2word/cite" w:element="cite.usc">
        <w:smartTagPr>
          <w:attr w:name="ref" w:val="USC\26\1411(c)(2)"/>
        </w:smartTagPr>
        <w:r>
          <w:t>§1411(c)(2)</w:t>
        </w:r>
      </w:smartTag>
      <w:r>
        <w:t xml:space="preserve"> trade or business or be considered gross income from annuities (within the meaning of Reg. </w:t>
      </w:r>
      <w:smartTag w:uri="http://www.bna.com/sgml2word/cite" w:element="cite.cfr">
        <w:smartTagPr>
          <w:attr w:name="ref" w:val="cfr\26\1.1411-1(d)(1)"/>
        </w:smartTagPr>
        <w:r>
          <w:t>§1.1411-1(d)(1)</w:t>
        </w:r>
      </w:smartTag>
      <w:r>
        <w:t xml:space="preserve">). In the first instance, it is conceptually possible for lottery winnings to be gross income from a trade or business, if the trade or business is a financial services-type business that acquires annuitized lottery winnings from winners for a lump-sum payment. It is unlikely that such a business would be a business of trading in financial instruments or commodities; thus, net investment income excludability would turn on whether the business is a passive or nonpassive activity to the individual, estate, or trust. Another way for lottery winnings to be includible in net investment income is if the lottery ticket is acquired by a professional gambler, but somehow such gambling activity is also a passive activity to the gambler. Although it may be theoretically possible for this situation to occur, it is so extraordinarily unlikely that it is not worth further analysis. </w:t>
      </w:r>
    </w:p>
    <w:p w14:paraId="07B4D2D1" w14:textId="77777777" w:rsidR="00494B49" w:rsidRDefault="00494B49">
      <w:pPr>
        <w:pStyle w:val="BNormal"/>
      </w:pPr>
      <w:r>
        <w:t xml:space="preserve">The other way for lottery winnings to be considered net investment income is to categorize them as annuities. At first blush, there are legal merits on both sides of the argument. It is easy to conclude that lump-sum payments are not included in net investment income, but the analysis is more complicated with annuitized payments. </w:t>
      </w:r>
    </w:p>
    <w:p w14:paraId="3F086295" w14:textId="77777777" w:rsidR="00494B49" w:rsidRDefault="00494B49">
      <w:pPr>
        <w:pStyle w:val="BNormal"/>
      </w:pPr>
      <w:r>
        <w:t xml:space="preserve">Lump-sum lottery winnings (which are functionally similar to hitting a slot machine jackpot or winning on a 50-1 favorite at the race track) are not governed by </w:t>
      </w:r>
      <w:smartTag w:uri="http://www.bna.com/sgml2word/cite" w:element="cite.usc">
        <w:smartTagPr>
          <w:attr w:name="ref" w:val="USC\26\72"/>
        </w:smartTagPr>
        <w:r>
          <w:t>§72</w:t>
        </w:r>
      </w:smartTag>
      <w:r>
        <w:t xml:space="preserve">. As a result, because </w:t>
      </w:r>
      <w:r>
        <w:lastRenderedPageBreak/>
        <w:t xml:space="preserve">annuities are cross-referenced to </w:t>
      </w:r>
      <w:smartTag w:uri="http://www.bna.com/sgml2word/cite" w:element="cite.usc">
        <w:smartTagPr>
          <w:attr w:name="ref" w:val="USC\26\72"/>
        </w:smartTagPr>
        <w:r>
          <w:t>§72</w:t>
        </w:r>
      </w:smartTag>
      <w:r>
        <w:t xml:space="preserve"> in Reg. </w:t>
      </w:r>
      <w:smartTag w:uri="http://www.bna.com/sgml2word/cite" w:element="cite.cfr">
        <w:smartTagPr>
          <w:attr w:name="ref" w:val="cfr\26\1.1411-1(d)"/>
        </w:smartTagPr>
        <w:r>
          <w:t>§1.1411-1(d)</w:t>
        </w:r>
      </w:smartTag>
      <w:r>
        <w:t xml:space="preserve">, lump-sum payments cannot be considered annuities for NIIT purposes. </w:t>
      </w:r>
    </w:p>
    <w:p w14:paraId="3FBAD2FC" w14:textId="77777777" w:rsidR="00494B49" w:rsidRDefault="00494B49">
      <w:pPr>
        <w:pStyle w:val="BNormal"/>
      </w:pPr>
      <w:r>
        <w:t xml:space="preserve">Annuitized lottery winnings present a more difficult situation. Consider the following example: Taxpayer A wins $1,000 a week for life. A receives a check for $1,000 in the mail every week and reports $52,000 each year as gross income on Form </w:t>
      </w:r>
      <w:smartTag w:uri="http://www.bna.com/sgml2word/cite" w:element="cite.fed.form">
        <w:smartTagPr>
          <w:attr w:name="ref" w:val="irs\form1040"/>
        </w:smartTagPr>
        <w:r>
          <w:t>1040</w:t>
        </w:r>
      </w:smartTag>
      <w:r>
        <w:t xml:space="preserve">. </w:t>
      </w:r>
    </w:p>
    <w:p w14:paraId="7D3CD3C0" w14:textId="77777777" w:rsidR="00494B49" w:rsidRDefault="00494B49">
      <w:pPr>
        <w:pStyle w:val="BNormal"/>
      </w:pPr>
      <w:r>
        <w:t xml:space="preserve">Should the payor of the $1,000 a week for life determine the net investment income treatment? Intuitively, the answer should be no. But what if the lottery sponsor (or sweepstakes promoter) took the actuarial value of the payment stream owed to A and purchased a commercial annuity from a highly rated insurance company for which A is the irrevocable beneficiary? If this occurred, would A be the beneficiary of an annuity contract, the taxability of which is governed by </w:t>
      </w:r>
      <w:smartTag w:uri="http://www.bna.com/sgml2word/cite" w:element="cite.usc">
        <w:smartTagPr>
          <w:attr w:name="ref" w:val="USC\26\72"/>
        </w:smartTagPr>
        <w:r>
          <w:t>§72</w:t>
        </w:r>
      </w:smartTag>
      <w:r>
        <w:t xml:space="preserve">? If so, would such payments be includible in NII? If that were the case, any gambling losses allowed by </w:t>
      </w:r>
      <w:smartTag w:uri="http://www.bna.com/sgml2word/cite" w:element="cite.usc">
        <w:smartTagPr>
          <w:attr w:name="ref" w:val="USC\26\165(d)"/>
        </w:smartTagPr>
        <w:r>
          <w:t>§165(d)</w:t>
        </w:r>
      </w:smartTag>
      <w:r>
        <w:t xml:space="preserve"> as a result of such income should also be properly allocable deductions under </w:t>
      </w:r>
      <w:smartTag w:uri="http://www.bna.com/sgml2word/cite" w:element="cite.usc">
        <w:smartTagPr>
          <w:attr w:name="ref" w:val="USC\26\1411(c)(1)(B)"/>
        </w:smartTagPr>
        <w:r>
          <w:t>§1411(c)(1)(B)</w:t>
        </w:r>
      </w:smartTag>
      <w:r>
        <w:t>. If the lottery sponsor was the beneficiary of the commercial annuity, and A did not have an equity-type interest in the lottery winnings, but merely a contractual right to payments in future years, what rationale could be used to “look through” the lottery sponsor to find annuity income?</w:t>
      </w:r>
    </w:p>
    <w:p w14:paraId="21947486" w14:textId="77777777" w:rsidR="00494B49" w:rsidRDefault="00494B49">
      <w:pPr>
        <w:pStyle w:val="BNormal"/>
      </w:pPr>
      <w:r>
        <w:t>In several instances, lottery winnings were treated as annuities for estate tax valuation purposes.</w:t>
      </w:r>
      <w:r>
        <w:rPr>
          <w:rStyle w:val="FootnoteReference"/>
        </w:rPr>
        <w:footnoteReference w:id="244"/>
      </w:r>
      <w:r>
        <w:t xml:space="preserve"> In these cases, the courts analogized annuitized lottery winnings to a form of private annuity. Although private annuities are covered by </w:t>
      </w:r>
      <w:smartTag w:uri="http://www.bna.com/sgml2word/cite" w:element="cite.usc">
        <w:smartTagPr>
          <w:attr w:name="ref" w:val="USC\26\72"/>
        </w:smartTagPr>
        <w:r>
          <w:t>§72</w:t>
        </w:r>
      </w:smartTag>
      <w:r>
        <w:t xml:space="preserve">, and thus included in the definition of net investment income under Reg. </w:t>
      </w:r>
      <w:smartTag w:uri="http://www.bna.com/sgml2word/cite" w:element="cite.cfr">
        <w:smartTagPr>
          <w:attr w:name="ref" w:val="cfr\26\1.1411-1(d)(1)"/>
        </w:smartTagPr>
        <w:r>
          <w:t>§1.1411-1(d)(1)</w:t>
        </w:r>
      </w:smartTag>
      <w:r>
        <w:t xml:space="preserve">, the cases pertaining to gambling income under Chapter 1 of the Code have classified only gambling winnings as gross income (within the meaning of </w:t>
      </w:r>
      <w:smartTag w:uri="http://www.bna.com/sgml2word/cite" w:element="cite.usc">
        <w:smartTagPr>
          <w:attr w:name="ref" w:val="USC\26\61(a)"/>
        </w:smartTagPr>
        <w:r>
          <w:t>§61(a)</w:t>
        </w:r>
      </w:smartTag>
      <w:r>
        <w:t>).</w:t>
      </w:r>
      <w:r>
        <w:rPr>
          <w:rStyle w:val="FootnoteReference"/>
        </w:rPr>
        <w:footnoteReference w:id="245"/>
      </w:r>
      <w:r>
        <w:t xml:space="preserve"> There is little known authority, solely from a Chapter 1 income tax perspective, to conclude that annuitized lottery payments are NII-includible annuities.</w:t>
      </w:r>
    </w:p>
    <w:p w14:paraId="5746F140" w14:textId="77777777" w:rsidR="00494B49" w:rsidRDefault="00494B49">
      <w:pPr>
        <w:pStyle w:val="BHead4"/>
      </w:pPr>
      <w:r>
        <w:t>(3) Sales of Annuities, Endowment, and Life Insurance Contracts</w:t>
      </w:r>
    </w:p>
    <w:p w14:paraId="57A20368" w14:textId="77777777" w:rsidR="00494B49" w:rsidRDefault="00494B49">
      <w:pPr>
        <w:pStyle w:val="BNormal"/>
      </w:pPr>
      <w:r>
        <w:t xml:space="preserve">To the extent that the sales price of an annuity does not exceed its surrender value, the gain recognized is treated as gross income from an annuity within the meaning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w:t>
      </w:r>
      <w:r>
        <w:rPr>
          <w:rStyle w:val="FootnoteReference"/>
        </w:rPr>
        <w:footnoteReference w:id="246"/>
      </w:r>
      <w:r>
        <w:t xml:space="preserve"> However, if the sales price of the annuity exceeds its surrender value, the seller treats the gain equal to the difference between the basis in the annuity and the surrender value as gross income from an annuity described in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 xml:space="preserve"> and the excess of the sales price over the surrender value as gain from the disposition of property included in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247"/>
      </w:r>
    </w:p>
    <w:p w14:paraId="7D69A0D7" w14:textId="77777777" w:rsidR="00494B49" w:rsidRDefault="00494B49">
      <w:pPr>
        <w:pStyle w:val="BNormal"/>
      </w:pPr>
      <w:r>
        <w:t xml:space="preserve">As a practical matter, the gross income from the sale of annuities, endowment, and life insurance contracts is net investment income — whether the contract is redeemed by the issuer/obligor under the contract or sold to a third party (e.g., in a viatical settlement of a life insurance </w:t>
      </w:r>
      <w:r>
        <w:lastRenderedPageBreak/>
        <w:t>policy).</w:t>
      </w:r>
      <w:r>
        <w:rPr>
          <w:rStyle w:val="FootnoteReference"/>
        </w:rPr>
        <w:footnoteReference w:id="248"/>
      </w:r>
      <w:r>
        <w:t xml:space="preserve"> The regulations, when defining gross income from annuities, make a distinction between gross income from annuities and gain from the disposition of a contract. The distinction states that annuity income is included in net investment income under </w:t>
      </w:r>
      <w:smartTag w:uri="http://www.bna.com/sgml2word/cite" w:element="cite.usc">
        <w:smartTagPr>
          <w:attr w:name="ref" w:val="USC\26\1411(c)(1)(A)(i)"/>
        </w:smartTagPr>
        <w:r>
          <w:t>§1411(c)(1)(A)(i)</w:t>
        </w:r>
      </w:smartTag>
      <w:r>
        <w:t xml:space="preserve">, while the gain is included in net investment income under </w:t>
      </w:r>
      <w:smartTag w:uri="http://www.bna.com/sgml2word/cite" w:element="cite.usc">
        <w:smartTagPr>
          <w:attr w:name="ref" w:val="USC\26\1411(c)(1)(A)(iii)"/>
        </w:smartTagPr>
        <w:r>
          <w:t>§1411(c)(1)(A)(iii)</w:t>
        </w:r>
      </w:smartTag>
      <w:r>
        <w:t>.</w:t>
      </w:r>
    </w:p>
    <w:p w14:paraId="584C662B" w14:textId="77777777" w:rsidR="00494B49" w:rsidRDefault="00494B49">
      <w:pPr>
        <w:pStyle w:val="BNormal"/>
      </w:pPr>
      <w:r>
        <w:t>The differentiation is a relic carried over from the 2012 Proposed Regulations, but once the 2013 Final Regulations were issued, the differentiation between the two became largely meaningless.</w:t>
      </w:r>
      <w:r>
        <w:rPr>
          <w:rStyle w:val="FootnoteReference"/>
        </w:rPr>
        <w:footnoteReference w:id="249"/>
      </w:r>
      <w:r>
        <w:t xml:space="preserve"> In the context of a redemption, the issuer/obligor will likely issue a </w:t>
      </w:r>
      <w:smartTag w:uri="http://www.bna.com/sgml2word/cite" w:element="cite.fed.form">
        <w:smartTagPr>
          <w:attr w:name="ref" w:val="irs\form1099-R"/>
        </w:smartTagPr>
        <w:r>
          <w:t>Form 1099-R</w:t>
        </w:r>
      </w:smartTag>
      <w:r>
        <w:t xml:space="preserve"> to the redeemed party and will indicate, using code D in box 7, whether the amount is includible in net investment income. The taxpayer will report the amount as ordinary income on its income tax return and report the same (that is, the amount reported on </w:t>
      </w:r>
      <w:smartTag w:uri="http://www.bna.com/sgml2word/cite" w:element="cite.fed.form">
        <w:smartTagPr>
          <w:attr w:name="ref" w:val="irs\form1099R"/>
        </w:smartTagPr>
        <w:r>
          <w:t>Form 1099-R</w:t>
        </w:r>
      </w:smartTag>
      <w:r>
        <w:t xml:space="preserve">, box 2a) on line 3 of </w:t>
      </w:r>
      <w:smartTag w:uri="http://www.bna.com/sgml2word/cite" w:element="cite.fed.form">
        <w:smartTagPr>
          <w:attr w:name="ref" w:val="irs\form8960"/>
        </w:smartTagPr>
        <w:r>
          <w:t>Form 8960</w:t>
        </w:r>
      </w:smartTag>
      <w:r>
        <w:t xml:space="preserve">, </w:t>
      </w:r>
      <w:r>
        <w:rPr>
          <w:i/>
        </w:rPr>
        <w:t>Net Investment Income Tax—Individuals, Estates, and Trusts</w:t>
      </w:r>
      <w:r>
        <w:t>.</w:t>
      </w:r>
    </w:p>
    <w:p w14:paraId="05F86873" w14:textId="77777777" w:rsidR="00494B49" w:rsidRDefault="00494B49">
      <w:pPr>
        <w:pStyle w:val="BHead4"/>
      </w:pPr>
      <w:r>
        <w:t>(4) Foreign Life Insurance Contacts</w:t>
      </w:r>
    </w:p>
    <w:p w14:paraId="25CBBBAD" w14:textId="77777777" w:rsidR="00494B49" w:rsidRDefault="00494B49">
      <w:pPr>
        <w:pStyle w:val="BNormal"/>
      </w:pPr>
      <w:r>
        <w:t xml:space="preserve">Generally, </w:t>
      </w:r>
      <w:smartTag w:uri="http://www.bna.com/sgml2word/cite" w:element="cite.usc">
        <w:smartTagPr>
          <w:attr w:name="ref" w:val="USC\26\7702"/>
        </w:smartTagPr>
        <w:r>
          <w:t>§7702</w:t>
        </w:r>
      </w:smartTag>
      <w:r>
        <w:t xml:space="preserve"> of the Code defines what constitutes a life insurance contact. It should not be surprising to learn that the definition of a life insurance contact can vary by jurisdiction. In some cases, an individual can own a lift insurance contract issued under the laws of a foreign country, but if that person is, or becomes, a U.S. citizen or resident, the Code would not respect such insurance as a valid life insurance contract. In such an instance, </w:t>
      </w:r>
      <w:smartTag w:uri="http://www.bna.com/sgml2word/cite" w:element="cite.usc">
        <w:smartTagPr>
          <w:attr w:name="ref" w:val="USC\26\7702(g)"/>
        </w:smartTagPr>
        <w:r>
          <w:t>§7702(g)</w:t>
        </w:r>
      </w:smartTag>
      <w:r>
        <w:t xml:space="preserve"> comes into play. Section </w:t>
      </w:r>
      <w:smartTag w:uri="http://www.bna.com/sgml2word/cite" w:element="cite.usc">
        <w:smartTagPr>
          <w:attr w:name="ref" w:val="USC\26\7702(g)(1)(A)"/>
        </w:smartTagPr>
        <w:r>
          <w:t>§ 7702(g)(1)(A)</w:t>
        </w:r>
      </w:smartTag>
      <w:r>
        <w:t xml:space="preserve"> provides that, if at any time any contract which is a life insurance contract under the applicable law does not meet the definition of life insurance contract under </w:t>
      </w:r>
      <w:smartTag w:uri="http://www.bna.com/sgml2word/cite" w:element="cite.usc">
        <w:smartTagPr>
          <w:attr w:name="ref" w:val="USC\26\7702(a)"/>
        </w:smartTagPr>
        <w:r>
          <w:t>§7702(a)</w:t>
        </w:r>
      </w:smartTag>
      <w:r>
        <w:t xml:space="preserve">, the income on the contract for any taxable year of the policyholder shall be treated as ordinary income received or accrued by the policyholder during such year. Section </w:t>
      </w:r>
      <w:smartTag w:uri="http://www.bna.com/sgml2word/cite" w:element="cite.usc">
        <w:smartTagPr>
          <w:attr w:name="ref" w:val="USC\26\7702(g)(1)(B)"/>
        </w:smartTagPr>
        <w:r>
          <w:t>7702(g)(1)(B)</w:t>
        </w:r>
      </w:smartTag>
      <w:r>
        <w:t xml:space="preserve"> goes on to define the term “income on the contract” means, with respect to any taxable year of the policyholder, the excess of the sum of the increase in the net surrender value of the contract during the taxable year, and the cost of life insurance protection provided under the contract during the taxable year, over the premiums paid</w:t>
      </w:r>
      <w:r>
        <w:rPr>
          <w:rStyle w:val="FootnoteReference"/>
        </w:rPr>
        <w:footnoteReference w:id="250"/>
      </w:r>
      <w:r>
        <w:t xml:space="preserve"> under the contract during the taxable year.</w:t>
      </w:r>
    </w:p>
    <w:p w14:paraId="13EBA2A8" w14:textId="77777777" w:rsidR="00494B49" w:rsidRDefault="00494B49">
      <w:pPr>
        <w:pStyle w:val="BNormal"/>
      </w:pPr>
      <w:r>
        <w:t xml:space="preserve">This code provision, much like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simply deems what is, essentially, the inside build up in the nonconforming contract during the year as ordinary gross income. It does not refer to it as income from interest, dividends or annuities. It does not cross-reference </w:t>
      </w:r>
      <w:smartTag w:uri="http://www.bna.com/sgml2word/cite" w:element="cite.usc">
        <w:smartTagPr>
          <w:attr w:name="ref" w:val="USC\26\72"/>
        </w:smartTagPr>
        <w:r>
          <w:t>§72</w:t>
        </w:r>
      </w:smartTag>
      <w:r>
        <w:t xml:space="preserve">. In this situation, the gross income that is imputed to the U.S. person by reason of </w:t>
      </w:r>
      <w:smartTag w:uri="http://www.bna.com/sgml2word/cite" w:element="cite.usc">
        <w:smartTagPr>
          <w:attr w:name="ref" w:val="USC\26\7702(g)"/>
        </w:smartTagPr>
        <w:r>
          <w:t>§7702(g)</w:t>
        </w:r>
      </w:smartTag>
      <w:r>
        <w:t xml:space="preserve"> should not be considered NII because: (a) there has not been a disposition, so it cannot be a gain; (b) it is not trade or business income, so it cannot be associated with a passive activity or trading business; and (c) it is not included in the definitions on interest, dividends, rents, royalties, or annuities under Reg. </w:t>
      </w:r>
      <w:smartTag w:uri="http://www.bna.com/sgml2word/cite" w:element="cite.cfr">
        <w:smartTagPr>
          <w:attr w:name="ref" w:val="cfr\26\1.1411-1(d)"/>
        </w:smartTagPr>
        <w:r>
          <w:t>§1.1411-1(d).</w:t>
        </w:r>
      </w:smartTag>
      <w:r>
        <w:t xml:space="preserve"> It is, for lack of a better word, a nothing for NIIT purposes. Maybe, to </w:t>
      </w:r>
      <w:r>
        <w:lastRenderedPageBreak/>
        <w:t xml:space="preserve">be more technically precise, it is likely excluded income under Reg. </w:t>
      </w:r>
      <w:smartTag w:uri="http://www.bna.com/sgml2word/cite" w:element="cite.cfr">
        <w:smartTagPr>
          <w:attr w:name="ref" w:val="cfr\26\1.1411-1(d)(4)(ii)"/>
        </w:smartTagPr>
        <w:r>
          <w:t>§1.1411-1(d)(4)(ii)</w:t>
        </w:r>
      </w:smartTag>
      <w:r>
        <w:t xml:space="preserve"> (items of income not included in net investment income, as determined under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r>
        <w:t>).</w:t>
      </w:r>
    </w:p>
    <w:p w14:paraId="51CBD375" w14:textId="77777777" w:rsidR="00494B49" w:rsidRDefault="00494B49">
      <w:pPr>
        <w:pStyle w:val="BHead3"/>
      </w:pPr>
      <w:r>
        <w:t xml:space="preserve">b. Annuities Derived in the Ordinary Course of a Trade or Business </w:t>
      </w:r>
    </w:p>
    <w:p w14:paraId="137C13D6" w14:textId="77777777" w:rsidR="00494B49" w:rsidRDefault="00494B49">
      <w:pPr>
        <w:pStyle w:val="BNormal"/>
      </w:pPr>
      <w:r>
        <w:t xml:space="preserve">Outside of the employment context, it is rare for income from annuities to be derived in the ordinary course of a trade or business. The exceptions to the working capital rules in Reg. </w:t>
      </w:r>
      <w:smartTag w:uri="http://www.bna.com/sgml2word/cite" w:element="cite.cfr">
        <w:smartTagPr>
          <w:attr w:name="ref" w:val="cfr\26\1.469-2T(c)(3)(ii)"/>
        </w:smartTagPr>
        <w:r>
          <w:t>§1.469-2T(c)(3)(ii)</w:t>
        </w:r>
      </w:smartTag>
      <w:r>
        <w:t xml:space="preserve"> do not specifically mention annuities (but do refer to interest, dividends, and royalties). As a practical matter, it is hard to imagine a trade or business that would be earning annuity income in the ordinary course. The definition of annuity explains that annuities received in the ordinary course of being an employee, which should cover distributions from qualified plans, foreign pensions, social security, and disability plans, should be excluded under this logic. </w:t>
      </w:r>
    </w:p>
    <w:p w14:paraId="1A11B48A" w14:textId="77777777" w:rsidR="00494B49" w:rsidRDefault="00494B49">
      <w:pPr>
        <w:pStyle w:val="BHead3"/>
      </w:pPr>
      <w:r>
        <w:t>c. Information Reporting</w:t>
      </w:r>
    </w:p>
    <w:p w14:paraId="3447C3A9" w14:textId="77777777" w:rsidR="00494B49" w:rsidRDefault="00494B49">
      <w:pPr>
        <w:pStyle w:val="BNormal"/>
      </w:pPr>
      <w:r>
        <w:t xml:space="preserve">Annuities that are included in net investment income are reported on Form </w:t>
      </w:r>
      <w:smartTag w:uri="http://www.bna.com/sgml2word/cite" w:element="cite.fed.form">
        <w:smartTagPr>
          <w:attr w:name="ref" w:val="irs\form8960"/>
        </w:smartTagPr>
        <w:r>
          <w:t>8960</w:t>
        </w:r>
      </w:smartTag>
      <w:r>
        <w:t xml:space="preserve">, </w:t>
      </w:r>
      <w:r>
        <w:rPr>
          <w:i/>
        </w:rPr>
        <w:t>Net Investment Income Tax—Individuals, Estates, and Trusts,</w:t>
      </w:r>
      <w:r>
        <w:t xml:space="preserve"> line 3. Annuities traditionally are reported on Form </w:t>
      </w:r>
      <w:smartTag w:uri="http://www.bna.com/sgml2word/cite" w:element="cite.fed.form">
        <w:smartTagPr>
          <w:attr w:name="ref" w:val="irs\form1099-R"/>
        </w:smartTagPr>
        <w:r>
          <w:t>1099-R</w:t>
        </w:r>
      </w:smartTag>
      <w:r>
        <w:t xml:space="preserve">, </w:t>
      </w:r>
      <w:r>
        <w:rPr>
          <w:i/>
        </w:rPr>
        <w:t xml:space="preserve">Distributions From Pensions, Annuities, Retirement or Profit-Sharing Plans, IRAs, Insurance Contracts, etc. </w:t>
      </w:r>
      <w:r>
        <w:t xml:space="preserve">However, because the Form </w:t>
      </w:r>
      <w:smartTag w:uri="http://www.bna.com/sgml2word/cite" w:element="cite.fed.form">
        <w:smartTagPr>
          <w:attr w:name="ref" w:val="irs\form1099-R"/>
        </w:smartTagPr>
        <w:r>
          <w:t>1099-R</w:t>
        </w:r>
      </w:smartTag>
      <w:r>
        <w:t xml:space="preserve"> includes other types of taxable income that are not included in net investment income, the IRS created a new code on Form </w:t>
      </w:r>
      <w:smartTag w:uri="http://www.bna.com/sgml2word/cite" w:element="cite.fed.form">
        <w:smartTagPr>
          <w:attr w:name="ref" w:val="irs\form1099-R"/>
        </w:smartTagPr>
        <w:r>
          <w:t>1099-R</w:t>
        </w:r>
      </w:smartTag>
      <w:r>
        <w:t xml:space="preserve"> to help taxpayers determine whether a taxable amount reported on Form </w:t>
      </w:r>
      <w:smartTag w:uri="http://www.bna.com/sgml2word/cite" w:element="cite.fed.form">
        <w:smartTagPr>
          <w:attr w:name="ref" w:val="irs\form1099-R"/>
        </w:smartTagPr>
        <w:r>
          <w:t>1099-R</w:t>
        </w:r>
      </w:smartTag>
      <w:r>
        <w:t xml:space="preserve"> should be included on Form 8960, line 3. The new code “D” entered on Form </w:t>
      </w:r>
      <w:smartTag w:uri="http://www.bna.com/sgml2word/cite" w:element="cite.fed.form">
        <w:smartTagPr>
          <w:attr w:name="ref" w:val="irs\form1099-R"/>
        </w:smartTagPr>
        <w:r>
          <w:t>1099-R</w:t>
        </w:r>
      </w:smartTag>
      <w:r>
        <w:t xml:space="preserve">, box 7 indicates “Annuity payments from nonqualified annuities that may be subject to tax under </w:t>
      </w:r>
      <w:smartTag w:uri="http://www.bna.com/sgml2word/cite" w:element="cite.usc">
        <w:smartTagPr>
          <w:attr w:name="ref" w:val="USC\26\1411"/>
        </w:smartTagPr>
        <w:r>
          <w:t>section 1411</w:t>
        </w:r>
      </w:smartTag>
      <w:r>
        <w:t>.”</w:t>
      </w:r>
    </w:p>
    <w:p w14:paraId="402A06B5" w14:textId="77777777" w:rsidR="00494B49" w:rsidRDefault="00494B49">
      <w:pPr>
        <w:pStyle w:val="BHead2"/>
      </w:pPr>
      <w:r>
        <w:t>6. Royalties</w:t>
      </w:r>
    </w:p>
    <w:p w14:paraId="27501F34" w14:textId="77777777" w:rsidR="00494B49" w:rsidRDefault="00494B49">
      <w:pPr>
        <w:pStyle w:val="BHead3"/>
      </w:pPr>
      <w:r>
        <w:t>a. Definition of Royalties</w:t>
      </w:r>
    </w:p>
    <w:p w14:paraId="47C9D260" w14:textId="77777777" w:rsidR="00494B49" w:rsidRDefault="00494B49">
      <w:pPr>
        <w:pStyle w:val="BNormal"/>
      </w:pPr>
      <w:r>
        <w:t>For NIIT purposes, “royalty income” includes amounts received from mineral, oil, and gas royalties, and amounts received for the privilege of using patents, copyrights, secret processes and formulas, goodwill, trademarks, tradebrands, franchises, and other like property.</w:t>
      </w:r>
      <w:r>
        <w:rPr>
          <w:rStyle w:val="FootnoteReference"/>
        </w:rPr>
        <w:footnoteReference w:id="251"/>
      </w:r>
    </w:p>
    <w:p w14:paraId="24988777" w14:textId="77777777" w:rsidR="00494B49" w:rsidRDefault="00494B49">
      <w:pPr>
        <w:pStyle w:val="BNormal"/>
      </w:pPr>
      <w:r>
        <w:t xml:space="preserve">Similar to the definition of interest and dividend, an amount should constitute royalty income under </w:t>
      </w:r>
      <w:smartTag w:uri="http://www.bna.com/sgml2word/cite" w:element="cite.usc">
        <w:smartTagPr>
          <w:attr w:name="ref" w:val="USC\26\1411(c)(1)(A)(i)"/>
        </w:smartTagPr>
        <w:r>
          <w:t>§1411(c)(1)(A)(i)</w:t>
        </w:r>
      </w:smartTag>
      <w:r>
        <w:t xml:space="preserve"> if it is classified as such for Chapter 1 purposes.</w:t>
      </w:r>
      <w:r>
        <w:rPr>
          <w:rStyle w:val="FootnoteReference"/>
        </w:rPr>
        <w:footnoteReference w:id="252"/>
      </w:r>
      <w:r>
        <w:t xml:space="preserve"> Royalties may be received from books, stories, plays, copyrights, trademarks, formulas, patents, and from the exploitation of natural resources, such as coal, gas, oil, copper, or timber.</w:t>
      </w:r>
      <w:r>
        <w:rPr>
          <w:rStyle w:val="FootnoteReference"/>
        </w:rPr>
        <w:footnoteReference w:id="253"/>
      </w:r>
    </w:p>
    <w:p w14:paraId="0A91AADD" w14:textId="77777777" w:rsidR="00494B49" w:rsidRDefault="00494B49">
      <w:pPr>
        <w:pStyle w:val="BHead3"/>
      </w:pPr>
      <w:r>
        <w:t>b. Royalties Derived in the Ordinary Course of a Trade or Business</w:t>
      </w:r>
    </w:p>
    <w:p w14:paraId="11549078" w14:textId="77777777" w:rsidR="00494B49" w:rsidRDefault="00494B49">
      <w:pPr>
        <w:pStyle w:val="BHead4"/>
      </w:pPr>
      <w:r>
        <w:t>(1) Royalties from Intangibles Licensing</w:t>
      </w:r>
    </w:p>
    <w:p w14:paraId="7436F733" w14:textId="77777777" w:rsidR="00494B49" w:rsidRDefault="00494B49">
      <w:pPr>
        <w:pStyle w:val="BNormal"/>
      </w:pPr>
      <w:r>
        <w:t xml:space="preserve">Reg. </w:t>
      </w:r>
      <w:smartTag w:uri="http://www.bna.com/sgml2word/cite" w:element="cite.cfr">
        <w:smartTagPr>
          <w:attr w:name="ref" w:val="cfr\26\1.469-2T(c)(3)(iii)(B)"/>
        </w:smartTagPr>
        <w:r>
          <w:t>§1.469-2T(c)(3)(iii)(B)</w:t>
        </w:r>
      </w:smartTag>
      <w:r>
        <w:t xml:space="preserve"> establishes certain tests that must be met in order for royalties from licensing intangible property to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xml:space="preserve">. Royalty income received by a pass-through entity from the licensing </w:t>
      </w:r>
      <w:r>
        <w:lastRenderedPageBreak/>
        <w:t>of intangible property may be treated as income derived in the ordinary course of a trade or business only if the entity (i) created the property or (ii) performed substantial services or incurred substantial costs with respect to the development or marketing of the property.</w:t>
      </w:r>
      <w:r>
        <w:rPr>
          <w:rStyle w:val="FootnoteReference"/>
        </w:rPr>
        <w:footnoteReference w:id="254"/>
      </w:r>
      <w:r>
        <w:t xml:space="preserve"> The preamble to the 1988 Temporary Regulations stated that this “treatment is appropriate in the case of a taxpayer who owns an interest in such an entity at the time that the entity creates such property, performs such services, or incurs such costs.”</w:t>
      </w:r>
      <w:r>
        <w:rPr>
          <w:rStyle w:val="FootnoteReference"/>
        </w:rPr>
        <w:footnoteReference w:id="255"/>
      </w:r>
      <w:r>
        <w:t xml:space="preserve"> For purposes of testing whether intangible royalties are earned by an S corporation in the ordinary course of a trade or business under Reg. </w:t>
      </w:r>
      <w:smartTag w:uri="http://www.bna.com/sgml2word/cite" w:element="cite.cfr">
        <w:smartTagPr>
          <w:attr w:name="ref" w:val="cfr\26\1.469-2T(c)(3)(iii)(B)"/>
        </w:smartTagPr>
        <w:r>
          <w:t>§1.469-2T(c)(3)(iii)(B)</w:t>
        </w:r>
      </w:smartTag>
      <w:r>
        <w:t>, the determination is made by applying the rules to the S corporation and not to any shareholder.</w:t>
      </w:r>
      <w:r>
        <w:rPr>
          <w:rStyle w:val="FootnoteReference"/>
        </w:rPr>
        <w:footnoteReference w:id="256"/>
      </w:r>
    </w:p>
    <w:p w14:paraId="7BB654C9" w14:textId="77777777" w:rsidR="00494B49" w:rsidRDefault="00494B49">
      <w:pPr>
        <w:pStyle w:val="BNormal"/>
      </w:pPr>
      <w:r>
        <w:t>As a general rule, the determination of whether a person has performed substantial services or incurred substantial costs with respect to the development or marketing of an item of intangible property is made based on all the facts and circumstances.</w:t>
      </w:r>
      <w:r>
        <w:rPr>
          <w:rStyle w:val="FootnoteReference"/>
        </w:rPr>
        <w:footnoteReference w:id="257"/>
      </w:r>
      <w:r>
        <w:t xml:space="preserve"> As a form of safe harbor to the facts-and-circumstances determination, a person is considered to have performed substantial services or incurred substantial costs for a tax year with respect to the development or marketing of an item of intangible property if:</w:t>
      </w:r>
    </w:p>
    <w:p w14:paraId="1CDFAD90" w14:textId="77777777" w:rsidR="00494B49" w:rsidRDefault="00494B49">
      <w:pPr>
        <w:pStyle w:val="BListitemorig"/>
      </w:pPr>
      <w:r>
        <w:t>(a) The expenditures reasonably incurred by such person in such tax year with respect to the development or marketing of the property exceed 50% of the gross royalties from licensing such property that are includible in such person’s gross income for the tax year;</w:t>
      </w:r>
      <w:r>
        <w:rPr>
          <w:rStyle w:val="FootnoteReference"/>
        </w:rPr>
        <w:footnoteReference w:id="258"/>
      </w:r>
      <w:r>
        <w:t xml:space="preserve"> or</w:t>
      </w:r>
    </w:p>
    <w:p w14:paraId="4C12419B" w14:textId="77777777" w:rsidR="00494B49" w:rsidRDefault="00494B49">
      <w:pPr>
        <w:pStyle w:val="BListitemorig"/>
      </w:pPr>
      <w:r>
        <w:t>(b) The expenditures reasonably incurred by such person in such tax year and all prior tax years with respect to the development or marketing of the property exceed 25% of the aggregate capital expenditures (without any adjustment of amortization) made by such person with respect to the property in all such tax years.</w:t>
      </w:r>
      <w:r>
        <w:rPr>
          <w:rStyle w:val="FootnoteReference"/>
        </w:rPr>
        <w:footnoteReference w:id="259"/>
      </w:r>
    </w:p>
    <w:p w14:paraId="736BBE68" w14:textId="77777777" w:rsidR="00494B49" w:rsidRDefault="00494B49">
      <w:pPr>
        <w:pStyle w:val="BNormal"/>
      </w:pPr>
      <w:r>
        <w:t xml:space="preserve">For purposes of the safe harbor, the term “expenditures” in a tax year includes amounts chargeable to capital account for that year without regard to the year or years (if any) in which any deduction for such expenditure is allowed. However, satisfaction of one of these two tests is not the only way to establish the existence of substantial costs and substantial services.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facts-and-circumstances test in Reg. </w:t>
      </w:r>
      <w:smartTag w:uri="http://www.bna.com/sgml2word/cite" w:element="cite.cfr">
        <w:smartTagPr>
          <w:attr w:name="ref" w:val="cfr\26\1.469-2T(c)(3)(iii)(B)(2)(i)"/>
        </w:smartTagPr>
        <w:r>
          <w:t>§1.469-2T(c)(3)(iii)(B)(2)(i)</w:t>
        </w:r>
      </w:smartTag>
      <w:r>
        <w:t>.</w:t>
      </w:r>
    </w:p>
    <w:p w14:paraId="07749997" w14:textId="77777777" w:rsidR="00494B49" w:rsidRDefault="00494B49">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development entity has created intangible property, performed substantial services with respect to the development or marketing of intangible property, or incurred substantial costs with respect to the development or marketing of intangible property. In these cases, the </w:t>
      </w:r>
      <w:smartTag w:uri="http://www.bna.com/sgml2word/cite" w:element="cite.usc">
        <w:smartTagPr>
          <w:attr w:name="ref" w:val="USC\26\469"/>
        </w:smartTagPr>
        <w:r>
          <w:t>§469</w:t>
        </w:r>
      </w:smartTag>
      <w:r>
        <w:t xml:space="preserv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an amount of the taxpayer’s gross income from such property equal to the taxpayer’s net passive income from such property is </w:t>
      </w:r>
      <w:r>
        <w:lastRenderedPageBreak/>
        <w:t xml:space="preserve">generally treated as not from a passive activity.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p>
    <w:p w14:paraId="1F34E86F" w14:textId="77777777" w:rsidR="00494B49" w:rsidRDefault="00494B49">
      <w:pPr>
        <w:pStyle w:val="BNormal"/>
      </w:pPr>
      <w:r>
        <w:t xml:space="preserve">Although, through the interaction among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such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as nonpassive income, and then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then Reg. </w:t>
      </w:r>
      <w:smartTag w:uri="http://www.bna.com/sgml2word/cite" w:element="cite.cfr">
        <w:smartTagPr>
          <w:attr w:name="ref" w:val="cfr\26\1.469-2T(f)(7)"/>
        </w:smartTagPr>
        <w:r>
          <w:t>§1.469-2T(f)(7)</w:t>
        </w:r>
      </w:smartTag>
      <w:r>
        <w:t xml:space="preserve"> cannot apply. It then follows that because Reg. </w:t>
      </w:r>
      <w:smartTag w:uri="http://www.bna.com/sgml2word/cite" w:element="cite.cfr">
        <w:smartTagPr>
          <w:attr w:name="ref" w:val="cfr\26\1.469-2T(f)(7)"/>
        </w:smartTagPr>
        <w:r>
          <w:t>§1.469-2T(f)(7)</w:t>
        </w:r>
      </w:smartTag>
      <w:r>
        <w:t xml:space="preserve"> does not apply, the operative NIIT rule in Reg. </w:t>
      </w:r>
      <w:smartTag w:uri="http://www.bna.com/sgml2word/cite" w:element="cite.cfr">
        <w:smartTagPr>
          <w:attr w:name="ref" w:val="cfr\26\1.1411-5(b)(2)"/>
        </w:smartTagPr>
        <w:r>
          <w:t>§1.1411-5(b)(2)</w:t>
        </w:r>
      </w:smartTag>
      <w:r>
        <w:t xml:space="preserve"> (discussed in </w:t>
      </w:r>
      <w:smartTag w:uri="http://www.bna.com/sgml2word/cite" w:element="cite.bna.reference">
        <w:smartTagPr>
          <w:attr w:name="bna.id.ref" w:val="TM\511.II.D.1.b.(1)"/>
        </w:smartTagPr>
        <w:r>
          <w:t>II.D.1.b.(1)</w:t>
        </w:r>
      </w:smartTag>
      <w:smartTag w:uri="http://www.bna.com/sgml2word/cite" w:element="cite.bna.reference">
        <w:smartTagPr>
          <w:attr w:name="bna.id.ref" w:val="TM\873.II.D.1.b.(1)"/>
        </w:smartTagPr>
        <w:r>
          <w:t>II.D.1.b.(1)</w:t>
        </w:r>
      </w:smartTag>
      <w:r>
        <w:t xml:space="preserve">, above) does not apply. As a result, if the royalty income is not income from a passive activity, then the royalty income is excluded from net investment income because it is derived in the ordinary course of a nonpassive trade or business. </w:t>
      </w:r>
    </w:p>
    <w:p w14:paraId="4BC5B51A" w14:textId="77777777" w:rsidR="00494B49" w:rsidRDefault="00494B49">
      <w:pPr>
        <w:pStyle w:val="BHead4"/>
      </w:pPr>
      <w:r>
        <w:t>(2) Mineral Royalties</w:t>
      </w:r>
    </w:p>
    <w:p w14:paraId="7AC18AEC" w14:textId="77777777" w:rsidR="00494B49" w:rsidRDefault="00494B49">
      <w:pPr>
        <w:pStyle w:val="BNormal"/>
      </w:pPr>
      <w:r>
        <w:t xml:space="preserve">The preamble to Reg. </w:t>
      </w:r>
      <w:smartTag w:uri="http://www.bna.com/sgml2word/cite" w:element="cite.cfr">
        <w:smartTagPr>
          <w:attr w:name="ref" w:val="cfr\26\1.469-2T(c)(3)"/>
        </w:smartTagPr>
        <w:r>
          <w:t>§1.469-2T(c)(3)</w:t>
        </w:r>
      </w:smartTag>
      <w:r>
        <w:t xml:space="preserve"> specifically addresses royalty income, as follows: </w:t>
      </w:r>
    </w:p>
    <w:p w14:paraId="6DFB6FD3" w14:textId="77777777" w:rsidR="00494B49" w:rsidRDefault="00494B49">
      <w:pPr>
        <w:pStyle w:val="BQuotelong"/>
      </w:pPr>
      <w:r>
        <w:t xml:space="preserve">The </w:t>
      </w:r>
      <w:smartTag w:uri="http://www.bna.com/sgml2word/cite" w:element="cite.usc">
        <w:smartTagPr>
          <w:attr w:name="ref" w:val="USC\26\469"/>
        </w:smartTagPr>
        <w:r>
          <w:t>§469</w:t>
        </w:r>
      </w:smartTag>
      <w:r>
        <w:t xml:space="preserve"> regulations do not include special rules for determining whether mineral royalties are derived in the ordinary course of a trade or business because the [IRS] is continuing to develop criteria for making this determination.</w:t>
      </w:r>
      <w:r>
        <w:rPr>
          <w:rStyle w:val="FootnoteReference"/>
        </w:rPr>
        <w:footnoteReference w:id="260"/>
      </w:r>
      <w:r>
        <w:t xml:space="preserve"> </w:t>
      </w:r>
    </w:p>
    <w:p w14:paraId="61FDE7AA" w14:textId="77777777" w:rsidR="00494B49" w:rsidRDefault="00494B49">
      <w:pPr>
        <w:pStyle w:val="BNormal"/>
      </w:pPr>
      <w:r>
        <w:t xml:space="preserve">The only type of royalty income identified in Reg. </w:t>
      </w:r>
      <w:smartTag w:uri="http://www.bna.com/sgml2word/cite" w:element="cite.cfr">
        <w:smartTagPr>
          <w:attr w:name="ref" w:val="cfr\26\1.469-2T(c)(3)(ii)"/>
        </w:smartTagPr>
        <w:r>
          <w:t>§1.469-2T(c)(3)(ii)</w:t>
        </w:r>
      </w:smartTag>
      <w:r>
        <w:t xml:space="preserve"> as excluded from portfolio income is royalties derived by the taxpayer in the ordinary course of a trade or business of licensing intangible property. As noted above, 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§1.469-2T(c)(3)(i)</w:t>
        </w:r>
      </w:smartTag>
      <w:r>
        <w:t xml:space="preserve">. </w:t>
      </w:r>
    </w:p>
    <w:p w14:paraId="64AD41E4" w14:textId="77777777" w:rsidR="00494B49" w:rsidRDefault="00494B49">
      <w:pPr>
        <w:pStyle w:val="BNormal"/>
      </w:pPr>
      <w:r>
        <w:t xml:space="preserve">The 1988 preamble goes on to state: </w:t>
      </w:r>
    </w:p>
    <w:p w14:paraId="65C5BF90" w14:textId="77777777" w:rsidR="00494B49" w:rsidRDefault="00494B49">
      <w:pPr>
        <w:pStyle w:val="BQuotelong"/>
      </w:pPr>
      <w:r>
        <w:t xml:space="preserve">Under Reg. </w:t>
      </w:r>
      <w:smartTag w:uri="http://www.bna.com/sgml2word/cite" w:element="cite.cfr">
        <w:smartTagPr>
          <w:attr w:name="ref" w:val="cfr\26\1.469-2T(c)(3)(ii)"/>
        </w:smartTagPr>
        <w:r>
          <w:t>§1.469-2T(c)(3)(ii)</w:t>
        </w:r>
      </w:smartTag>
      <w:r>
        <w:t xml:space="preserve">, the only other mineral royalties treated as income derived in the ordinary course of a trade or business are those identified by the Commissioner. Therefore, unless and until these regulations are amended, taxpayers may not treat mineral royalties (other than royalties derived from a trade or business of trading or dealing in royalty interests) as derived in the ordinary course of a trade or business without obtaining a ruling. </w:t>
      </w:r>
    </w:p>
    <w:p w14:paraId="6E52DB30" w14:textId="77777777" w:rsidR="00494B49" w:rsidRDefault="00494B49">
      <w:pPr>
        <w:pStyle w:val="BNormal"/>
      </w:pPr>
      <w:r>
        <w:t xml:space="preserve">Nonetheless, the IRS believes that it may be appropriate to treat a portion of a mineral royalty payment as derived in the ordinary course of a trade or business in some cases not involving a </w:t>
      </w:r>
      <w:r>
        <w:lastRenderedPageBreak/>
        <w:t xml:space="preserve">trade or business of trading or dealing in royalty interests. Assume, for example, that royalty income is derived from an overriding royalty interest created on the transfer of a working interest by a partnership engaged in the trade or business of oil and gas development, and that the partnership is not taxed upon receipt of the royalty interest. In such a case, it may be appropriate to treat the royalty payments, by analogy to </w:t>
      </w:r>
      <w:smartTag w:uri="http://www.bna.com/sgml2word/cite" w:element="cite.usc">
        <w:smartTagPr>
          <w:attr w:name="ref" w:val="USC\26\483"/>
        </w:smartTagPr>
        <w:r>
          <w:t>§483</w:t>
        </w:r>
      </w:smartTag>
      <w:r>
        <w:t xml:space="preserve"> and </w:t>
      </w:r>
      <w:smartTag w:uri="http://www.bna.com/sgml2word/cite" w:element="cite.usc">
        <w:smartTagPr>
          <w:attr w:name="ref" w:val="USC\26\1274"/>
        </w:smartTagPr>
        <w:r>
          <w:t>§1274</w:t>
        </w:r>
      </w:smartTag>
      <w:r>
        <w:t>, as deferred payments with respect to the sale of the working interest. Under this approach, the portion of each royalty payment that represents consideration paid to the partnership for the working interest would be treated as income derived in the ordinary course of a trade or business, and only the interest element in the payments would be treated as portfolio income. The IRS invited public comments on whether and how such distinctions should be made, and how depletion deductions should be allocated between portfolio and nonportfolio components of royalty payments.</w:t>
      </w:r>
      <w:r>
        <w:rPr>
          <w:rStyle w:val="FootnoteReference"/>
        </w:rPr>
        <w:footnoteReference w:id="261"/>
      </w:r>
    </w:p>
    <w:p w14:paraId="7BAFC582" w14:textId="77777777" w:rsidR="00494B49" w:rsidRDefault="00494B49">
      <w:pPr>
        <w:pStyle w:val="BNormal"/>
      </w:pPr>
      <w:r>
        <w:t xml:space="preserve">However, as also noted above, Reg. </w:t>
      </w:r>
      <w:smartTag w:uri="http://www.bna.com/sgml2word/cite" w:element="cite.cfr">
        <w:smartTagPr>
          <w:attr w:name="ref" w:val="cfr\26\1.1411-6(a)"/>
        </w:smartTagPr>
        <w:r>
          <w:t>§1.1411-6(a)</w:t>
        </w:r>
      </w:smartTag>
      <w:r>
        <w:t xml:space="preserve"> does not make Reg. </w:t>
      </w:r>
      <w:smartTag w:uri="http://www.bna.com/sgml2word/cite" w:element="cite.cfr">
        <w:smartTagPr>
          <w:attr w:name="ref" w:val="cfr\26\1.469-2T(c)(3)(ii)"/>
        </w:smartTagPr>
        <w:r>
          <w:t>§1.469-2T(c)(3)(ii)</w:t>
        </w:r>
      </w:smartTag>
      <w:r>
        <w:t xml:space="preserve"> specifically applicable; it simply provides that </w:t>
      </w:r>
      <w:r>
        <w:rPr>
          <w:i/>
        </w:rPr>
        <w:t>principles similar to those</w:t>
      </w:r>
      <w:r>
        <w:t xml:space="preserve"> described in Reg. </w:t>
      </w:r>
      <w:smartTag w:uri="http://www.bna.com/sgml2word/cite" w:element="cite.cfr">
        <w:smartTagPr>
          <w:attr w:name="ref" w:val="cfr\26\1.469-2T(c)(3)(ii)"/>
        </w:smartTagPr>
        <w:r>
          <w:t>§1.469-2T(c)(3)(ii)</w:t>
        </w:r>
      </w:smartTag>
      <w:r>
        <w:t xml:space="preserve"> apply. As a result, mineral royalties (along with rents) are the two types of gross income covered by </w:t>
      </w:r>
      <w:smartTag w:uri="http://www.bna.com/sgml2word/cite" w:element="cite.usc">
        <w:smartTagPr>
          <w:attr w:name="ref" w:val="USC\26\1411(c)(1)(A)(i)"/>
        </w:smartTagPr>
        <w:r>
          <w:t>§1411(c)(1)(A)(i)</w:t>
        </w:r>
      </w:smartTag>
      <w:r>
        <w:t xml:space="preserve"> that are outside of the scope of Reg.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w:t>
      </w:r>
    </w:p>
    <w:p w14:paraId="2138FCD9" w14:textId="77777777" w:rsidR="00494B49" w:rsidRDefault="00494B49">
      <w:pPr>
        <w:pStyle w:val="BNormal"/>
      </w:pPr>
      <w:r>
        <w:t xml:space="preserve">In </w:t>
      </w:r>
      <w:r>
        <w:rPr>
          <w:rStyle w:val="BCasenamefull"/>
        </w:rPr>
        <w:t>Oderio v. Commissioner</w:t>
      </w:r>
      <w:r>
        <w:t>,</w:t>
      </w:r>
      <w:r>
        <w:rPr>
          <w:rStyle w:val="FootnoteReference"/>
        </w:rPr>
        <w:footnoteReference w:id="262"/>
      </w:r>
      <w:r>
        <w:t xml:space="preserve"> the Tax Court cited two statutory canons of construction. The first cited statutory canon of construction was “expressio unius est exclusio alterius,” which means that if a statute provides specific exceptions to a general rule, the court may infer that Congress intended to exclude any further exception “in the absence of contrary legislative intent.”</w:t>
      </w:r>
      <w:r>
        <w:rPr>
          <w:rStyle w:val="FootnoteReference"/>
        </w:rPr>
        <w:footnoteReference w:id="263"/>
      </w:r>
      <w:r>
        <w:t xml:space="preserve"> The second cited statutory canon of construction was that a statute ought to be construed so that no clause, sentence or word is rendered superfluous, void or insignificant.</w:t>
      </w:r>
      <w:r>
        <w:rPr>
          <w:rStyle w:val="FootnoteReference"/>
        </w:rPr>
        <w:footnoteReference w:id="264"/>
      </w:r>
      <w:r>
        <w:t xml:space="preserve"> Based on these canons of statutory construction, gross income derived in the ordinary course of a trade or business may include items not specifically enumerated in Reg. </w:t>
      </w:r>
      <w:smartTag w:uri="http://www.bna.com/sgml2word/cite" w:element="cite.cfr">
        <w:smartTagPr>
          <w:attr w:name="ref" w:val="cfr\26\1.469-2T(c)(3)(ii)"/>
        </w:smartTagPr>
        <w:r>
          <w:t>§1.469-2T(c)(3)(ii)</w:t>
        </w:r>
      </w:smartTag>
      <w:r>
        <w:t xml:space="preserve"> if such income would be considered as derived in the ordinary course of a trade or business under </w:t>
      </w:r>
      <w:r>
        <w:rPr>
          <w:i/>
        </w:rPr>
        <w:t>principles similar to</w:t>
      </w:r>
      <w:r>
        <w:t xml:space="preserve"> those described in Reg. </w:t>
      </w:r>
      <w:smartTag w:uri="http://www.bna.com/sgml2word/cite" w:element="cite.cfr">
        <w:smartTagPr>
          <w:attr w:name="ref" w:val="cfr\26\1.469-2T(c)(3)(ii)"/>
        </w:smartTagPr>
        <w:r>
          <w:t>§1.469-2T(c)(3)(ii)</w:t>
        </w:r>
      </w:smartTag>
      <w:r>
        <w:t xml:space="preserve">. Therefore, IRS guidance and case law under other Code sections that contain similar language to </w:t>
      </w:r>
      <w:smartTag w:uri="http://www.bna.com/sgml2word/cite" w:element="cite.usc">
        <w:smartTagPr>
          <w:attr w:name="ref" w:val="USC\26\1411(c)(1)(A)(i)"/>
        </w:smartTagPr>
        <w:r>
          <w:t>§1411(c)(1)(A)(i)</w:t>
        </w:r>
      </w:smartTag>
      <w:r>
        <w:t xml:space="preserve"> are the most logical sources of analogous precedent. </w:t>
      </w:r>
    </w:p>
    <w:p w14:paraId="2248C49C" w14:textId="77777777" w:rsidR="00494B49" w:rsidRDefault="00494B49">
      <w:pPr>
        <w:pStyle w:val="BNormal"/>
      </w:pPr>
      <w:r>
        <w:t xml:space="preserve">Under </w:t>
      </w:r>
      <w:smartTag w:uri="http://www.bna.com/sgml2word/cite" w:element="cite.usc">
        <w:smartTagPr>
          <w:attr w:name="ref" w:val="USC\26\543"/>
        </w:smartTagPr>
        <w:r>
          <w:t>§543</w:t>
        </w:r>
      </w:smartTag>
      <w:r>
        <w:t xml:space="preserve">, income from mineral, oil, and gas royalties are excluded from the definition of personal holding company income if (1) such adjusted income constitutes 50% or more of the adjusted ordinary gross income, (2) the personal holding company income for the tax year (without regard to the possible exclusion for mineral, oil, and gas royalties, and computed by including as personal holding company income copyright royalties and the adjusted income from rents) is not more than 10% of the ordinary gross income, and (3) the sum of the deductions that are allowed under </w:t>
      </w:r>
      <w:smartTag w:uri="http://www.bna.com/sgml2word/cite" w:element="cite.usc">
        <w:smartTagPr>
          <w:attr w:name="ref" w:val="USC\26\162"/>
        </w:smartTagPr>
        <w:r>
          <w:t>§162</w:t>
        </w:r>
      </w:smartTag>
      <w:r>
        <w:t xml:space="preserve">, other than the deductions for compensation for personal services rendered by the shareholders and deductions that are specifically allowable under sections other than </w:t>
      </w:r>
      <w:smartTag w:uri="http://www.bna.com/sgml2word/cite" w:element="cite.usc">
        <w:smartTagPr>
          <w:attr w:name="ref" w:val="USC\26\162"/>
        </w:smartTagPr>
        <w:r>
          <w:t>§162</w:t>
        </w:r>
      </w:smartTag>
      <w:r>
        <w:t xml:space="preserve">, equals or exceeds 15% of the adjusted ordinary gross income. </w:t>
      </w:r>
    </w:p>
    <w:p w14:paraId="5CAB5BDA" w14:textId="77777777" w:rsidR="00494B49" w:rsidRDefault="00494B49">
      <w:pPr>
        <w:pStyle w:val="BNormal"/>
      </w:pPr>
      <w:r>
        <w:lastRenderedPageBreak/>
        <w:t xml:space="preserve">Under Reg. </w:t>
      </w:r>
      <w:smartTag w:uri="http://www.bna.com/sgml2word/cite" w:element="cite.cfr">
        <w:smartTagPr>
          <w:attr w:name="ref" w:val="cfr\26\1.1362-2(c)(5)(ii)(A)(3)"/>
        </w:smartTagPr>
        <w:r>
          <w:t>§1.1362-2(c)(5)(ii)(A)(3)</w:t>
        </w:r>
      </w:smartTag>
      <w:r>
        <w:t xml:space="preserve">, “royalties” does not include mineral, oil and gas royalties if the income from those royalties would not be treated as (1) personal holding company income under </w:t>
      </w:r>
      <w:smartTag w:uri="http://www.bna.com/sgml2word/cite" w:element="cite.usc">
        <w:smartTagPr>
          <w:attr w:name="ref" w:val="USC\26\543(a)(3)"/>
        </w:smartTagPr>
        <w:r>
          <w:t>§543(a)(3)</w:t>
        </w:r>
      </w:smartTag>
      <w:r>
        <w:t xml:space="preserve"> and </w:t>
      </w:r>
      <w:smartTag w:uri="http://www.bna.com/sgml2word/cite" w:element="cite.usc">
        <w:smartTagPr>
          <w:attr w:name="ref" w:val="USC\26\543(a)(4)"/>
        </w:smartTagPr>
        <w:r>
          <w:t>§543(a)(4)</w:t>
        </w:r>
      </w:smartTag>
      <w:r>
        <w:t xml:space="preserve"> if the corporation were a C corporation; or (2) amounts received upon disposal of timber, coal, or domestic iron ore with respect to which the special rules of </w:t>
      </w:r>
      <w:smartTag w:uri="http://www.bna.com/sgml2word/cite" w:element="cite.usc">
        <w:smartTagPr>
          <w:attr w:name="ref" w:val="USC\26\631(b)"/>
        </w:smartTagPr>
        <w:r>
          <w:t>§631(b)</w:t>
        </w:r>
      </w:smartTag>
      <w:r>
        <w:t xml:space="preserve"> and </w:t>
      </w:r>
      <w:smartTag w:uri="http://www.bna.com/sgml2word/cite" w:element="cite.usc">
        <w:smartTagPr>
          <w:attr w:name="ref" w:val="USC\26\631(c)"/>
        </w:smartTagPr>
        <w:r>
          <w:t>§631(c)</w:t>
        </w:r>
      </w:smartTag>
      <w:r>
        <w:t xml:space="preserve"> apply. </w:t>
      </w:r>
    </w:p>
    <w:p w14:paraId="34EFA977" w14:textId="77777777" w:rsidR="00494B49" w:rsidRDefault="00494B49">
      <w:pPr>
        <w:pStyle w:val="BNormal"/>
      </w:pPr>
      <w:r>
        <w:t xml:space="preserve">For a more comprehensive discussion of personal holding company income, see </w:t>
      </w:r>
      <w:smartTag w:uri="http://www.bna.com/sgml2word/cite" w:element="cite.bna.reference">
        <w:smartTagPr>
          <w:attr w:name="bna.id.ref" w:val="TM\797"/>
        </w:smartTagPr>
        <w:r>
          <w:t>797</w:t>
        </w:r>
      </w:smartTag>
      <w:r>
        <w:t xml:space="preserve"> T.M., </w:t>
      </w:r>
      <w:r>
        <w:rPr>
          <w:i/>
        </w:rPr>
        <w:t>Personal Holding Companies</w:t>
      </w:r>
      <w:r>
        <w:t xml:space="preserve">. For a more comprehensive discussion of excess passive investment income, see </w:t>
      </w:r>
      <w:smartTag w:uri="http://www.bna.com/sgml2word/cite" w:element="cite.bna.reference">
        <w:smartTagPr>
          <w:attr w:name="bna.id.ref" w:val="TM\731"/>
        </w:smartTagPr>
        <w:r>
          <w:t>731</w:t>
        </w:r>
      </w:smartTag>
      <w:r>
        <w:t xml:space="preserve"> T.M., </w:t>
      </w:r>
      <w:r>
        <w:rPr>
          <w:i/>
        </w:rPr>
        <w:t>S Corporations; Corporate Tax Issues</w:t>
      </w:r>
      <w:r>
        <w:t>.</w:t>
      </w:r>
    </w:p>
    <w:p w14:paraId="694509F4" w14:textId="77777777" w:rsidR="00494B49" w:rsidRDefault="00494B49">
      <w:pPr>
        <w:pStyle w:val="BHead3"/>
      </w:pPr>
      <w:r>
        <w:t>c. Self-Charged Royalties</w:t>
      </w:r>
    </w:p>
    <w:p w14:paraId="189BB9AC" w14:textId="77777777" w:rsidR="00494B49" w:rsidRDefault="00494B49">
      <w:pPr>
        <w:pStyle w:val="BHead4"/>
      </w:pPr>
      <w:r>
        <w:t xml:space="preserve">(1) Existing Passive Loss Self-Charged Royalty Rules </w:t>
      </w:r>
    </w:p>
    <w:p w14:paraId="292EC1C5" w14:textId="77777777" w:rsidR="00494B49" w:rsidRDefault="00494B49">
      <w:pPr>
        <w:pStyle w:val="BNormal"/>
      </w:pPr>
      <w:r>
        <w:t xml:space="preserve">In determining whether royalties from licensing intangible property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xml:space="preserve">, Reg. </w:t>
      </w:r>
      <w:smartTag w:uri="http://www.bna.com/sgml2word/cite" w:element="cite.cfr">
        <w:smartTagPr>
          <w:attr w:name="ref" w:val="cfr\26\1.469-2T(c)(3)(iii)(B)"/>
        </w:smartTagPr>
        <w:r>
          <w:t>§1.469-2T(c)(3)(iii)(B)</w:t>
        </w:r>
      </w:smartTag>
      <w:r>
        <w:t xml:space="preserve"> establishes certain tests that must be met. Reg. </w:t>
      </w:r>
      <w:smartTag w:uri="http://www.bna.com/sgml2word/cite" w:element="cite.cfr">
        <w:smartTagPr>
          <w:attr w:name="ref" w:val="cfr\26\1.469-2T(c)(3)(iii)(B)"/>
        </w:smartTagPr>
        <w:r>
          <w:t>§1.469-2T(c)(3)(iii)(B)</w:t>
        </w:r>
      </w:smartTag>
      <w:r>
        <w:t xml:space="preserve"> provides that royalty income received by a pass-through entity from the licensing of intangible property may be treated as income derived in the ordinary course of a trade or business if the entity (a) created the property or (b) performed </w:t>
      </w:r>
      <w:r>
        <w:rPr>
          <w:i/>
        </w:rPr>
        <w:t>substantial services</w:t>
      </w:r>
      <w:r>
        <w:t xml:space="preserve"> or incurred </w:t>
      </w:r>
      <w:r>
        <w:rPr>
          <w:i/>
        </w:rPr>
        <w:t>substantial costs</w:t>
      </w:r>
      <w:r>
        <w:t xml:space="preserve"> with respect to the development or marketing of the property.</w:t>
      </w:r>
      <w:r>
        <w:rPr>
          <w:rStyle w:val="FootnoteReference"/>
        </w:rPr>
        <w:footnoteReference w:id="265"/>
      </w:r>
      <w:r>
        <w:t xml:space="preserve"> The preamble to the 1988 Temporary Regulations stated that this “treatment is appropriate in the case of a taxpayer who owns an interest in such an entity at the time that the entity creates such property, performs such services, or incurs such costs.” The determination of whether an S corporation has earned intangible royalties in the ordinary course of a trade or business under Reg. </w:t>
      </w:r>
      <w:smartTag w:uri="http://www.bna.com/sgml2word/cite" w:element="cite.cfr">
        <w:smartTagPr>
          <w:attr w:name="ref" w:val="cfr\26\1.469-2T(c)(3)(iii)(B)"/>
        </w:smartTagPr>
        <w:r>
          <w:t>§1.469-2T(c)(3)(iii)(B)</w:t>
        </w:r>
      </w:smartTag>
      <w:r>
        <w:t>, must be made by applying the rules to the S corporation and not to any shareholder.</w:t>
      </w:r>
      <w:r>
        <w:rPr>
          <w:rStyle w:val="FootnoteReference"/>
        </w:rPr>
        <w:footnoteReference w:id="266"/>
      </w:r>
    </w:p>
    <w:p w14:paraId="01CC6495" w14:textId="77777777" w:rsidR="00494B49" w:rsidRDefault="00494B49">
      <w:pPr>
        <w:pStyle w:val="BNormal"/>
      </w:pPr>
      <w:r>
        <w:t xml:space="preserve">As a general rule, Reg. </w:t>
      </w:r>
      <w:smartTag w:uri="http://www.bna.com/sgml2word/cite" w:element="cite.cfr">
        <w:smartTagPr>
          <w:attr w:name="ref" w:val="cfr\26\1.469-2T(c)(3)(iii)(B)(2)(i)"/>
        </w:smartTagPr>
        <w:r>
          <w:t>§1.469-2T(c)(3)(iii)(B)(2)(i)</w:t>
        </w:r>
      </w:smartTag>
      <w:r>
        <w:t xml:space="preserve"> provides that the determination of whether a person has performed substantial services or incurred substantial costs with respect to the development or marketing of an item of intangible property is made on the basis of all the facts and circumstances. As a form of safe harbor to the facts and circumstances determination required by Reg. </w:t>
      </w:r>
      <w:smartTag w:uri="http://www.bna.com/sgml2word/cite" w:element="cite.cfr">
        <w:smartTagPr>
          <w:attr w:name="ref" w:val="cfr\26\1.469-2T(c)(3)(iii)(B)(2)(i)"/>
        </w:smartTagPr>
        <w:r>
          <w:t>§1.469-2T(c)(3)(iii)(B)(2)(i)</w:t>
        </w:r>
      </w:smartTag>
      <w:r>
        <w:t xml:space="preserve">, Reg. </w:t>
      </w:r>
      <w:smartTag w:uri="http://www.bna.com/sgml2word/cite" w:element="cite.cfr">
        <w:smartTagPr>
          <w:attr w:name="ref" w:val="cfr\26\1.469-2T(c)(3)(iii)(B)(2)(ii)"/>
        </w:smartTagPr>
        <w:r>
          <w:t>§1.469-2T(c)(3)(iii)(B)(2)(ii)</w:t>
        </w:r>
      </w:smartTag>
      <w:r>
        <w:t xml:space="preserve"> considers a person to have performed substantial services or incurred substantial costs for a tax year with respect to the development or marketing of an item of intangible property if:</w:t>
      </w:r>
    </w:p>
    <w:p w14:paraId="193B5C95" w14:textId="77777777" w:rsidR="00494B49" w:rsidRDefault="00494B49">
      <w:pPr>
        <w:pStyle w:val="BListitemorig"/>
      </w:pPr>
      <w:r>
        <w:t>(a) The expenditures the person reasonably incurred in the tax year in developing or marketing the property exceed 50% of the gross royalties includible in the person’s gross income for the year from licensing the property; or</w:t>
      </w:r>
    </w:p>
    <w:p w14:paraId="155B794E" w14:textId="77777777" w:rsidR="00494B49" w:rsidRDefault="00494B49">
      <w:pPr>
        <w:pStyle w:val="BListitemorig"/>
      </w:pPr>
      <w:r>
        <w:t>(b) The expenditures the person reasonably incurred in the tax year and all prior tax years to develop or market the property exceed 25% of the aggregate capital expenditures (without any adjustment of amortization) that the person made with respect to the property in all such tax years.</w:t>
      </w:r>
    </w:p>
    <w:p w14:paraId="71496027" w14:textId="77777777" w:rsidR="00494B49" w:rsidRDefault="00494B49">
      <w:pPr>
        <w:pStyle w:val="BNormal"/>
      </w:pPr>
      <w:r>
        <w:t xml:space="preserve">For purposes of the safe harbor, the term “expenditures” in a tax year includes amounts chargeable to the capital account for such year without regard to the year or years (if any) in </w:t>
      </w:r>
      <w:r>
        <w:lastRenderedPageBreak/>
        <w:t>which any deduction for the expenditure is allowed.</w:t>
      </w:r>
      <w:r>
        <w:rPr>
          <w:rStyle w:val="FootnoteReference"/>
        </w:rPr>
        <w:footnoteReference w:id="267"/>
      </w:r>
      <w:r>
        <w:t xml:space="preserve"> However, these two tests are not the exclusive tests for determining the existence of substantial costs and substantial services, and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 and circumstances test in Reg. </w:t>
      </w:r>
      <w:smartTag w:uri="http://www.bna.com/sgml2word/cite" w:element="cite.cfr">
        <w:smartTagPr>
          <w:attr w:name="ref" w:val="cfr\26\1.469-2T(c)(3)(iii)(B)(2)(i)"/>
        </w:smartTagPr>
        <w:r>
          <w:t>§1.469-2T(c)(3)(iii)(B)(2)(i)</w:t>
        </w:r>
      </w:smartTag>
      <w:r>
        <w:t>.</w:t>
      </w:r>
    </w:p>
    <w:p w14:paraId="26FAA890" w14:textId="77777777" w:rsidR="00494B49" w:rsidRDefault="00494B49">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entity creates such property, performs such services, or incurs such costs. In these cases, the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the taxpayer’s net passive income from the property is generally treated as not from a passive activity.</w:t>
      </w:r>
      <w:r>
        <w:rPr>
          <w:rStyle w:val="FootnoteReference"/>
        </w:rPr>
        <w:footnoteReference w:id="268"/>
      </w:r>
      <w:r>
        <w:t xml:space="preserve">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w:t>
      </w:r>
      <w:r>
        <w:rPr>
          <w:rStyle w:val="FootnoteReference"/>
        </w:rPr>
        <w:footnoteReference w:id="269"/>
      </w:r>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r>
        <w:rPr>
          <w:rStyle w:val="FootnoteReference"/>
        </w:rPr>
        <w:footnoteReference w:id="270"/>
      </w:r>
    </w:p>
    <w:p w14:paraId="79216178" w14:textId="77777777" w:rsidR="00494B49" w:rsidRDefault="00494B49">
      <w:pPr>
        <w:pStyle w:val="BNormal"/>
      </w:pPr>
      <w:r>
        <w:rPr>
          <w:i/>
        </w:rPr>
        <w:t>Comment:</w:t>
      </w:r>
      <w:r>
        <w:t xml:space="preserve"> Although through the interaction of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the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into nonpassive income, and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Reg. </w:t>
      </w:r>
      <w:smartTag w:uri="http://www.bna.com/sgml2word/cite" w:element="cite.cfr">
        <w:smartTagPr>
          <w:attr w:name="ref" w:val="cfr\26\1.469-2T(f)(7)"/>
        </w:smartTagPr>
        <w:r>
          <w:t>§1.469-2T(f)(7)</w:t>
        </w:r>
      </w:smartTag>
      <w:r>
        <w:t xml:space="preserve"> cannot apply. Because Reg. </w:t>
      </w:r>
      <w:smartTag w:uri="http://www.bna.com/sgml2word/cite" w:element="cite.cfr">
        <w:smartTagPr>
          <w:attr w:name="ref" w:val="cfr\26\1.469-2T(f)(7)"/>
        </w:smartTagPr>
        <w:r>
          <w:t>§1.469-2T(f)(7)</w:t>
        </w:r>
      </w:smartTag>
      <w:r>
        <w:t xml:space="preserve"> would not apply, it follows that the operative NIIT rule in Reg. </w:t>
      </w:r>
      <w:smartTag w:uri="http://www.bna.com/sgml2word/cite" w:element="cite.cfr">
        <w:smartTagPr>
          <w:attr w:name="ref" w:val="cfr\26\1.1411-5(b)(2)"/>
        </w:smartTagPr>
        <w:r>
          <w:t>§1.1411-5(b)(2)</w:t>
        </w:r>
      </w:smartTag>
      <w:r>
        <w:t xml:space="preserve">, discussed above, would not apply. As a result, the royalty income would be excluded from net investment income because it is derived in the ordinary course of a nonpassive trade or business. </w:t>
      </w:r>
    </w:p>
    <w:p w14:paraId="10A52B89" w14:textId="77777777" w:rsidR="00494B49" w:rsidRDefault="00494B49">
      <w:pPr>
        <w:pStyle w:val="BHead4"/>
      </w:pPr>
      <w:r>
        <w:lastRenderedPageBreak/>
        <w:t>(2) Self-Charged Royalty Rules Under NIIT</w:t>
      </w:r>
    </w:p>
    <w:p w14:paraId="2B83F2D3" w14:textId="77777777" w:rsidR="00494B49" w:rsidRDefault="00494B49">
      <w:pPr>
        <w:pStyle w:val="BNormal"/>
      </w:pPr>
      <w:r>
        <w:t>The NIIT (</w:t>
      </w:r>
      <w:smartTag w:uri="http://www.bna.com/sgml2word/cite" w:element="cite.usc">
        <w:smartTagPr>
          <w:attr w:name="ref" w:val="USC\26\1411"/>
        </w:smartTagPr>
        <w:r>
          <w:t>§1411</w:t>
        </w:r>
      </w:smartTag>
      <w:r>
        <w:t xml:space="preserve">) regulations do not contain any special provisions for self-charged royalties, so the taxpayer must look to the applicable rules under </w:t>
      </w:r>
      <w:smartTag w:uri="http://www.bna.com/sgml2word/cite" w:element="cite.usc">
        <w:smartTagPr>
          <w:attr w:name="ref" w:val="USC\26\469"/>
        </w:smartTagPr>
        <w:r>
          <w:t>§469</w:t>
        </w:r>
      </w:smartTag>
      <w:r>
        <w:t xml:space="preserve"> and the general guidance under Reg. </w:t>
      </w:r>
      <w:smartTag w:uri="http://www.bna.com/sgml2word/cite" w:element="cite.cfr">
        <w:smartTagPr>
          <w:attr w:name="ref" w:val="cfr\26\1.1411-4(b)"/>
        </w:smartTagPr>
        <w:r>
          <w:t>§1.1411-4(b)</w:t>
        </w:r>
      </w:smartTag>
      <w:r>
        <w:t xml:space="preserve">. </w:t>
      </w:r>
    </w:p>
    <w:p w14:paraId="00074A25" w14:textId="77777777" w:rsidR="00494B49" w:rsidRDefault="00494B49">
      <w:pPr>
        <w:pStyle w:val="BNormal"/>
      </w:pPr>
      <w:r>
        <w:t xml:space="preserve">As described in more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above,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w:t>
      </w:r>
      <w:r>
        <w:rPr>
          <w:rStyle w:val="FootnoteReference"/>
        </w:rPr>
        <w:footnoteReference w:id="271"/>
      </w:r>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in Reg. </w:t>
      </w:r>
      <w:smartTag w:uri="http://www.bna.com/sgml2word/cite" w:element="cite.cfr">
        <w:smartTagPr>
          <w:attr w:name="ref" w:val="cfr\26\1.469-2T(c)(3)(ii)"/>
        </w:smartTagPr>
        <w:r>
          <w:t>§1.469-2T(c)(3)(ii)</w:t>
        </w:r>
      </w:smartTag>
      <w:r>
        <w:t xml:space="preserve">, then the income is derived in the ordinary course of a trade or business for purposes of </w:t>
      </w:r>
      <w:smartTag w:uri="http://www.bna.com/sgml2word/cite" w:element="cite.usc">
        <w:smartTagPr>
          <w:attr w:name="ref" w:val="USC\26\469"/>
        </w:smartTagPr>
        <w:r>
          <w:t>§469</w:t>
        </w:r>
      </w:smartTag>
      <w:r>
        <w:t xml:space="preserve">,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For purposes of this analysis, Example 4 in Reg. </w:t>
      </w:r>
      <w:smartTag w:uri="http://www.bna.com/sgml2word/cite" w:element="cite.cfr">
        <w:smartTagPr>
          <w:attr w:name="ref" w:val="cfr\26\1.1411-4(b)(3)"/>
        </w:smartTagPr>
        <w:r>
          <w:t>§1.1411-4(b)(3)</w:t>
        </w:r>
      </w:smartTag>
      <w:r>
        <w:t xml:space="preserve"> is most instructive.</w:t>
      </w:r>
      <w:r>
        <w:rPr>
          <w:rStyle w:val="FootnoteReference"/>
        </w:rPr>
        <w:footnoteReference w:id="272"/>
      </w:r>
      <w:r>
        <w:t xml:space="preserve"> In the royalty context, one must analogize royalties with the interest income determined to be derived in the ordinary course of a trade or business. Although not determinative of trade or business status under </w:t>
      </w:r>
      <w:smartTag w:uri="http://www.bna.com/sgml2word/cite" w:element="cite.usc">
        <w:smartTagPr>
          <w:attr w:name="ref" w:val="USC\26\162"/>
        </w:smartTagPr>
        <w:r>
          <w:t>§162</w:t>
        </w:r>
      </w:smartTag>
      <w:r>
        <w:t xml:space="preserve">, the cross-referenced rules in </w:t>
      </w:r>
      <w:smartTag w:uri="http://www.bna.com/sgml2word/cite" w:element="cite.usc">
        <w:smartTagPr>
          <w:attr w:name="ref" w:val="USC\26\469"/>
        </w:smartTagPr>
        <w:r>
          <w:t>§469</w:t>
        </w:r>
      </w:smartTag>
      <w:r>
        <w:t xml:space="preserve"> provide a form of proxy for the phrase “derived in the ordinary course of a trade or business” that is instructive for NIIT purposes.</w:t>
      </w:r>
      <w:r>
        <w:rPr>
          <w:rStyle w:val="FootnoteReference"/>
        </w:rPr>
        <w:footnoteReference w:id="273"/>
      </w:r>
    </w:p>
    <w:p w14:paraId="32B4177A" w14:textId="77777777" w:rsidR="00494B49" w:rsidRDefault="00494B49">
      <w:pPr>
        <w:pStyle w:val="BNormal"/>
      </w:pPr>
      <w:r>
        <w:t xml:space="preserve">In Example 4 of Reg. </w:t>
      </w:r>
      <w:smartTag w:uri="http://www.bna.com/sgml2word/cite" w:element="cite.cfr">
        <w:smartTagPr>
          <w:attr w:name="ref" w:val="cfr\26\1.1411-4(b)(3)"/>
        </w:smartTagPr>
        <w:r>
          <w:t>§1.1411-4(b)(3)</w:t>
        </w:r>
      </w:smartTag>
      <w:r>
        <w:t xml:space="preserve">, a bank’s interest income was determined to be derived in the ordinary course of an S corporation’s banking trade or business because the interest income was excluded from the definition of portfolio income under Reg. </w:t>
      </w:r>
      <w:smartTag w:uri="http://www.bna.com/sgml2word/cite" w:element="cite.cfr">
        <w:smartTagPr>
          <w:attr w:name="ref" w:val="cfr\26\1.469-2T(c)(3)(ii)(A)"/>
        </w:smartTagPr>
        <w:r>
          <w:t>§1.469-2T(c)(3)(ii)(A)</w:t>
        </w:r>
      </w:smartTag>
      <w:r>
        <w:t>.</w:t>
      </w:r>
      <w:r>
        <w:rPr>
          <w:rStyle w:val="FootnoteReference"/>
        </w:rPr>
        <w:footnoteReference w:id="274"/>
      </w:r>
      <w:r>
        <w:t xml:space="preserve"> In the corollary case of royalties, royalty income must be excludible from the definition of portfolio income under Reg. </w:t>
      </w:r>
      <w:smartTag w:uri="http://www.bna.com/sgml2word/cite" w:element="cite.cfr">
        <w:smartTagPr>
          <w:attr w:name="ref" w:val="cfr\26\1.469-2T(c)(3)(ii)(E)"/>
        </w:smartTagPr>
        <w:r>
          <w:t>§1.469-2T(c)(3)(ii)(E)</w:t>
        </w:r>
      </w:smartTag>
      <w:r>
        <w:t>.</w:t>
      </w:r>
      <w:r>
        <w:rPr>
          <w:rStyle w:val="FootnoteReference"/>
        </w:rPr>
        <w:footnoteReference w:id="275"/>
      </w:r>
      <w:r>
        <w:t xml:space="preserve"> Pursuant to the cross-reference in Reg. </w:t>
      </w:r>
      <w:smartTag w:uri="http://www.bna.com/sgml2word/cite" w:element="cite.cfr">
        <w:smartTagPr>
          <w:attr w:name="ref" w:val="cfr\26\1.469-2T(c)(3)(ii)(E)"/>
        </w:smartTagPr>
        <w:r>
          <w:t>§1.469-2T(c)(3)(ii)(E)</w:t>
        </w:r>
      </w:smartTag>
      <w:r>
        <w:t xml:space="preserve"> to Reg. </w:t>
      </w:r>
      <w:smartTag w:uri="http://www.bna.com/sgml2word/cite" w:element="cite.cfr">
        <w:smartTagPr>
          <w:attr w:name="ref" w:val="cfr\26\1.469-2T(c)(3)(iii)(B)"/>
        </w:smartTagPr>
        <w:r>
          <w:t>§1.469-2T(c)(3)(iii)(B)</w:t>
        </w:r>
      </w:smartTag>
      <w:r>
        <w:t xml:space="preserve">, in order to be excluded from working capital, the royalty income must meet the requirements of Reg. </w:t>
      </w:r>
      <w:smartTag w:uri="http://www.bna.com/sgml2word/cite" w:element="cite.cfr">
        <w:smartTagPr>
          <w:attr w:name="ref" w:val="cfr\26\1.469-2T(c)(3)(iii)(B)"/>
        </w:smartTagPr>
        <w:r>
          <w:t>§1.469-2T(c)(3)(iii)(B)</w:t>
        </w:r>
      </w:smartTag>
      <w:r>
        <w:t>.</w:t>
      </w:r>
      <w:r>
        <w:rPr>
          <w:rStyle w:val="FootnoteReference"/>
        </w:rPr>
        <w:footnoteReference w:id="276"/>
      </w:r>
      <w:r>
        <w:t xml:space="preserve"> If those tests are </w:t>
      </w:r>
      <w:r>
        <w:lastRenderedPageBreak/>
        <w:t xml:space="preserve">met, the income can be presumed to be derived in the ordinary course of a trade or business for NIIT purposes. </w:t>
      </w:r>
    </w:p>
    <w:p w14:paraId="41F57957" w14:textId="77777777" w:rsidR="00494B49" w:rsidRDefault="00494B49">
      <w:pPr>
        <w:pStyle w:val="BNormal"/>
      </w:pPr>
      <w:r>
        <w:t xml:space="preserve">If the safe harbor in Reg. </w:t>
      </w:r>
      <w:smartTag w:uri="http://www.bna.com/sgml2word/cite" w:element="cite.cfr">
        <w:smartTagPr>
          <w:attr w:name="ref" w:val="cfr\26\1.469-2T(c)(3)(iii)(B)"/>
        </w:smartTagPr>
        <w:r>
          <w:t>§1.469-2T(c)(3)(iii)(B)</w:t>
        </w:r>
      </w:smartTag>
      <w:r>
        <w:t xml:space="preserve"> is not met, the taxpayer would have to make a facts-and-circumstances case under both </w:t>
      </w:r>
      <w:smartTag w:uri="http://www.bna.com/sgml2word/cite" w:element="cite.usc">
        <w:smartTagPr>
          <w:attr w:name="ref" w:val="USC\26\162"/>
        </w:smartTagPr>
        <w:r>
          <w:t>§162</w:t>
        </w:r>
      </w:smartTag>
      <w:r>
        <w:t xml:space="preserve"> and Reg. </w:t>
      </w:r>
      <w:smartTag w:uri="http://www.bna.com/sgml2word/cite" w:element="cite.cfr">
        <w:smartTagPr>
          <w:attr w:name="ref" w:val="cfr\26\1.469-2T(c)(3)(iii)(B)(2)(i)"/>
        </w:smartTagPr>
        <w:r>
          <w:t>§1.469-2T(c)(3)(iii)(B)(2)(i)</w:t>
        </w:r>
      </w:smartTag>
      <w:r>
        <w:t>. Although the facts-and-circumstances test may be satisfied, there is the risk that the IRS may contend that the royalty income earned should be subject to self-employment tax.</w:t>
      </w:r>
      <w:r>
        <w:rPr>
          <w:rStyle w:val="FootnoteReference"/>
        </w:rPr>
        <w:footnoteReference w:id="277"/>
      </w:r>
    </w:p>
    <w:p w14:paraId="013CD3CE" w14:textId="77777777" w:rsidR="00494B49" w:rsidRDefault="00494B49">
      <w:pPr>
        <w:pStyle w:val="BNormal"/>
      </w:pPr>
      <w:r>
        <w:t xml:space="preserve">Under this line of thinking, </w:t>
      </w:r>
      <w:smartTag w:uri="http://www.bna.com/sgml2word/cite" w:element="cite.usc">
        <w:smartTagPr>
          <w:attr w:name="ref" w:val="USC\26\1402(a)"/>
        </w:smartTagPr>
        <w:r>
          <w:t>§1402(a)</w:t>
        </w:r>
      </w:smartTag>
      <w:r>
        <w:t xml:space="preserve"> provides, in part, that the term “net earnings from self-employment” means the gross income that an individual derives from any trade or business the individual carries on, less the deductions allowed by Subtitle A of the Code that are attributable to the trade or business.</w:t>
      </w:r>
      <w:r>
        <w:rPr>
          <w:rStyle w:val="FootnoteReference"/>
        </w:rPr>
        <w:footnoteReference w:id="278"/>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net earnings from self-employment, has the same meaning as when it is used in </w:t>
      </w:r>
      <w:smartTag w:uri="http://www.bna.com/sgml2word/cite" w:element="cite.usc">
        <w:smartTagPr>
          <w:attr w:name="ref" w:val="USC\26\162"/>
        </w:smartTagPr>
        <w:r>
          <w:t>§162</w:t>
        </w:r>
      </w:smartTag>
      <w:r>
        <w:t xml:space="preserve">. </w:t>
      </w:r>
    </w:p>
    <w:p w14:paraId="1596271B" w14:textId="77777777" w:rsidR="00494B49" w:rsidRDefault="00494B49">
      <w:pPr>
        <w:pStyle w:val="BNormal"/>
      </w:pPr>
      <w:r>
        <w:t xml:space="preserve">In </w:t>
      </w:r>
      <w:smartTag w:uri="http://www.bna.com/sgml2word/cite" w:element="cite.agency.doc">
        <w:smartTagPr>
          <w:attr w:name="ref" w:val="IRS\RevRul\68-498"/>
        </w:smartTagPr>
        <w:r>
          <w:t>Rev. Rul. 68-498</w:t>
        </w:r>
      </w:smartTag>
      <w:r>
        <w:t xml:space="preserve">, the IRS ruled that an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had written and published 28 books, from which he had received royalties in excess of $400 each year. Nothing in formal or informal IRS guidance has indicated that the deciding factor was the individual’s creation of the intangible, as opposed to the individual’s continuity of involvement. </w:t>
      </w:r>
    </w:p>
    <w:p w14:paraId="3C67032A" w14:textId="77777777" w:rsidR="00494B49" w:rsidRDefault="00494B49">
      <w:pPr>
        <w:pStyle w:val="BNormal"/>
      </w:pPr>
      <w:r>
        <w:t xml:space="preserve">Therefore, it is possible that managing an active intangible property portfolio may be a trade or business for self-employment tax purposes, absent another </w:t>
      </w:r>
      <w:smartTag w:uri="http://www.bna.com/sgml2word/cite" w:element="cite.usc">
        <w:smartTagPr>
          <w:attr w:name="ref" w:val="USC\26\1402"/>
        </w:smartTagPr>
        <w:r>
          <w:t>§1402</w:t>
        </w:r>
      </w:smartTag>
      <w:r>
        <w:t xml:space="preserve"> exclusion, such as earning the royalty income through a limited partnership</w:t>
      </w:r>
      <w:r>
        <w:rPr>
          <w:rStyle w:val="FootnoteReference"/>
        </w:rPr>
        <w:footnoteReference w:id="279"/>
      </w:r>
      <w:r>
        <w:t xml:space="preserve"> or S corporation.</w:t>
      </w:r>
      <w:r>
        <w:rPr>
          <w:rStyle w:val="FootnoteReference"/>
        </w:rPr>
        <w:footnoteReference w:id="280"/>
      </w:r>
    </w:p>
    <w:p w14:paraId="56F124C1" w14:textId="77777777" w:rsidR="00494B49" w:rsidRDefault="00494B49">
      <w:pPr>
        <w:pStyle w:val="BHead3"/>
      </w:pPr>
      <w:r>
        <w:t>d. Royalty Income Included in Net Earnings from Self-Employment</w:t>
      </w:r>
    </w:p>
    <w:p w14:paraId="7C1BF500" w14:textId="77777777" w:rsidR="00494B49" w:rsidRDefault="00494B49">
      <w:pPr>
        <w:pStyle w:val="BNormal"/>
      </w:pPr>
      <w:r>
        <w:t xml:space="preserve">Royalty income may be excluded from net investment income if it is taken into account in the calculation of net earnings from self-employment. </w:t>
      </w:r>
      <w:smartTag w:uri="http://www.bna.com/sgml2word/cite" w:element="cite.usc">
        <w:smartTagPr>
          <w:attr w:name="ref" w:val="USC\26\1411(c)(6)"/>
        </w:smartTagPr>
        <w:r>
          <w:t>Section 1411(c)(6)</w:t>
        </w:r>
      </w:smartTag>
      <w:r>
        <w:t xml:space="preserve"> provides that net investment income does not include any item taken into account in determining self-employment income for a tax year on which a tax is imposed by </w:t>
      </w:r>
      <w:smartTag w:uri="http://www.bna.com/sgml2word/cite" w:element="cite.usc">
        <w:smartTagPr>
          <w:attr w:name="ref" w:val="USC\26\1401(b)"/>
        </w:smartTagPr>
        <w:r>
          <w:t>§1401(b)</w:t>
        </w:r>
      </w:smartTag>
      <w:r>
        <w:t>.</w:t>
      </w:r>
      <w:r>
        <w:rPr>
          <w:rStyle w:val="FootnoteReference"/>
        </w:rPr>
        <w:footnoteReference w:id="281"/>
      </w:r>
      <w:r>
        <w:t xml:space="preserve"> The general rule under Reg. </w:t>
      </w:r>
      <w:smartTag w:uri="http://www.bna.com/sgml2word/cite" w:element="cite.cfr">
        <w:smartTagPr>
          <w:attr w:name="ref" w:val="cfr\26\1.1411-9(a)"/>
        </w:smartTagPr>
        <w:r>
          <w:t>§1.1411-9(a)</w:t>
        </w:r>
      </w:smartTag>
      <w:r>
        <w:t xml:space="preserve"> provides that,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net earnings from self-employment (NESE) under </w:t>
      </w:r>
      <w:smartTag w:uri="http://www.bna.com/sgml2word/cite" w:element="cite.usc">
        <w:smartTagPr>
          <w:attr w:name="ref" w:val="USC\26\1402(a)"/>
        </w:smartTagPr>
        <w:r>
          <w:t>§1402(a)</w:t>
        </w:r>
      </w:smartTag>
      <w:r>
        <w:t xml:space="preserve"> for purposes of determining self-</w:t>
      </w:r>
      <w:r>
        <w:br/>
        <w:t xml:space="preserve">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w:t>
      </w:r>
      <w:r>
        <w:rPr>
          <w:rStyle w:val="FootnoteReference"/>
        </w:rPr>
        <w:footnoteReference w:id="282"/>
      </w:r>
    </w:p>
    <w:p w14:paraId="5792E8A0" w14:textId="77777777" w:rsidR="00494B49" w:rsidRDefault="00494B49">
      <w:pPr>
        <w:pStyle w:val="BNormal"/>
      </w:pPr>
      <w:smartTag w:uri="http://www.bna.com/sgml2word/cite" w:element="cite.usc">
        <w:smartTagPr>
          <w:attr w:name="ref" w:val="USC\26\1402(a)"/>
        </w:smartTagPr>
        <w:r>
          <w:lastRenderedPageBreak/>
          <w:t>Section 1402(a)</w:t>
        </w:r>
      </w:smartTag>
      <w:r>
        <w:t xml:space="preserve"> provides, in part, that the term “net earnings from self-employment” means the gross income an individual derives from any trade or business the individual carries on, less the deductions allowed by Subtitle A of the Code that are attributable to the trade or business.</w:t>
      </w:r>
      <w:r>
        <w:rPr>
          <w:rStyle w:val="FootnoteReference"/>
        </w:rPr>
        <w:footnoteReference w:id="283"/>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NESE, shall have the same meaning as when used in </w:t>
      </w:r>
      <w:smartTag w:uri="http://www.bna.com/sgml2word/cite" w:element="cite.usc">
        <w:smartTagPr>
          <w:attr w:name="ref" w:val="USC\26\162"/>
        </w:smartTagPr>
        <w:r>
          <w:t>§162</w:t>
        </w:r>
      </w:smartTag>
      <w:r>
        <w:t xml:space="preserve"> (relating to trade or business expenses), with certain exceptions. Reg. </w:t>
      </w:r>
      <w:smartTag w:uri="http://www.bna.com/sgml2word/cite" w:element="cite.cfr">
        <w:smartTagPr>
          <w:attr w:name="ref" w:val="cfr\26\1.1402(a)-1(c)"/>
        </w:smartTagPr>
        <w:r>
          <w:t>§1.1402(a)-1(c)</w:t>
        </w:r>
      </w:smartTag>
      <w:r>
        <w:t xml:space="preserve"> provides, in part, that gross income an individual derives from a trade or business includes gross income received or accrued in the tax year from a trade or business, even though such income may be attributable in whole or in part to services rendered or other acts performed in a prior tax year as to which the individual was not subject to the tax on self-employment income.</w:t>
      </w:r>
    </w:p>
    <w:p w14:paraId="39F3240F" w14:textId="77777777" w:rsidR="00494B49" w:rsidRDefault="00494B49">
      <w:pPr>
        <w:pStyle w:val="BNormal"/>
      </w:pPr>
      <w:r>
        <w:t xml:space="preserve">In </w:t>
      </w:r>
      <w:smartTag w:uri="http://www.bna.com/sgml2word/cite" w:element="cite.agency.doc">
        <w:smartTagPr>
          <w:attr w:name="ref" w:val="IRS\RevRul\68-498"/>
        </w:smartTagPr>
        <w:r>
          <w:t>Rev. Rul. 68-498</w:t>
        </w:r>
      </w:smartTag>
      <w:r>
        <w:t xml:space="preserve">, the IRS ruled that in the case of book royalties, the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wrote and had published 28 books, from which he had received royalties exceeding $400 for each year. Although purchased intangible royalties have not been addressed in formal or informal IRS guidance, there has been nothing to indicate that the fact that the individual created the intangible, as compared to the continuity of involvement in exploitation of the intangible asset, was the deciding factor. Therefore, it is possible that management of an active intangible property portfolio may be a trade or business for self-employment tax purposes. </w:t>
      </w:r>
    </w:p>
    <w:p w14:paraId="3FBB166F" w14:textId="77777777" w:rsidR="00494B49" w:rsidRDefault="00494B49">
      <w:pPr>
        <w:pStyle w:val="BHead2"/>
      </w:pPr>
      <w:r>
        <w:t>7. Rents</w:t>
      </w:r>
    </w:p>
    <w:p w14:paraId="07588901" w14:textId="77777777" w:rsidR="00494B49" w:rsidRDefault="00494B49">
      <w:pPr>
        <w:pStyle w:val="BHead3"/>
      </w:pPr>
      <w:r>
        <w:t>a. Definition of Rents</w:t>
      </w:r>
    </w:p>
    <w:p w14:paraId="6A8C9552" w14:textId="77777777" w:rsidR="00494B49" w:rsidRDefault="00494B49">
      <w:pPr>
        <w:pStyle w:val="BNormal"/>
      </w:pPr>
      <w:r>
        <w:t>For NIIT purposes, income from rents includes amounts paid or to be paid principally for the use of (or the right to use) tangible property.</w:t>
      </w:r>
      <w:r>
        <w:rPr>
          <w:rStyle w:val="FootnoteReference"/>
        </w:rPr>
        <w:footnoteReference w:id="284"/>
      </w:r>
      <w:r>
        <w:t xml:space="preserve"> Similar to the definition of interest and dividend, an amount should constitute rent under </w:t>
      </w:r>
      <w:smartTag w:uri="http://www.bna.com/sgml2word/cite" w:element="cite.usc">
        <w:smartTagPr>
          <w:attr w:name="ref" w:val="USC\26\1411(c)(1)(A)(i)"/>
        </w:smartTagPr>
        <w:r>
          <w:t>§1411(c)(1)(A)(i)</w:t>
        </w:r>
      </w:smartTag>
      <w:r>
        <w:t xml:space="preserve"> if it is classified as such for Chapter 1 purposes. For example, an amount a lessor receives from a lessee for cancelling a lease constitutes gross income for the year in which it is received, because it is essentially a substitute for rental payments.</w:t>
      </w:r>
      <w:r>
        <w:rPr>
          <w:rStyle w:val="FootnoteReference"/>
        </w:rPr>
        <w:footnoteReference w:id="285"/>
      </w:r>
      <w:r>
        <w:t xml:space="preserve"> Additionally, if a lessee pays any of the lessor’s expenses, these payments are considered additional rental income to the lessor.</w:t>
      </w:r>
      <w:r>
        <w:rPr>
          <w:rStyle w:val="FootnoteReference"/>
        </w:rPr>
        <w:footnoteReference w:id="286"/>
      </w:r>
      <w:r>
        <w:t xml:space="preserve"> If a lessee places improvements on real estate that constitute, in whole or in part, a substitute for rent, the improvements constitute rental income to the lessor.</w:t>
      </w:r>
      <w:r>
        <w:rPr>
          <w:rStyle w:val="FootnoteReference"/>
        </w:rPr>
        <w:footnoteReference w:id="287"/>
      </w:r>
    </w:p>
    <w:p w14:paraId="2E496034" w14:textId="77777777" w:rsidR="00494B49" w:rsidRDefault="00494B49">
      <w:pPr>
        <w:pStyle w:val="BNormal"/>
      </w:pPr>
      <w:r>
        <w:lastRenderedPageBreak/>
        <w:t xml:space="preserve">It is important to keep in mind that rents must be included in gross income to come within the purview of </w:t>
      </w:r>
      <w:smartTag w:uri="http://www.bna.com/sgml2word/cite" w:element="cite.usc">
        <w:smartTagPr>
          <w:attr w:name="ref" w:val="USC\26\1411(c)(1)(A)(i)"/>
        </w:smartTagPr>
        <w:r>
          <w:t>§1411(c)(1)(A)(i)</w:t>
        </w:r>
      </w:smartTag>
      <w:r>
        <w:t xml:space="preserve">. For example, </w:t>
      </w:r>
      <w:smartTag w:uri="http://www.bna.com/sgml2word/cite" w:element="cite.usc">
        <w:smartTagPr>
          <w:attr w:name="ref" w:val="USC\26\280A(g)(2)"/>
        </w:smartTagPr>
        <w:r>
          <w:t>§280A(g)(2)</w:t>
        </w:r>
      </w:smartTag>
      <w:r>
        <w:t xml:space="preserve"> excludes rental income received from the rental of a residence for fewer than 15 days during the year. Despite being gross income from rents (within the meaning of Reg. </w:t>
      </w:r>
      <w:smartTag w:uri="http://www.bna.com/sgml2word/cite" w:element="cite.cfr">
        <w:smartTagPr>
          <w:attr w:name="ref" w:val="cfr\26\1.1411-1(d)(10)"/>
        </w:smartTagPr>
        <w:r>
          <w:t>§1.1411-1(d)(10)</w:t>
        </w:r>
      </w:smartTag>
      <w:r>
        <w:t xml:space="preserve">), this rental income constitutes excluded income (within the meaning of Reg. </w:t>
      </w:r>
      <w:smartTag w:uri="http://www.bna.com/sgml2word/cite" w:element="cite.cfr">
        <w:smartTagPr>
          <w:attr w:name="ref" w:val="cfr\26\1.1411-1(d)(4)"/>
        </w:smartTagPr>
        <w:r>
          <w:t>§1.1411-1(d)(4)</w:t>
        </w:r>
      </w:smartTag>
      <w:r>
        <w:t>) and thus is not net investment income.</w:t>
      </w:r>
      <w:r>
        <w:rPr>
          <w:rStyle w:val="FootnoteReference"/>
        </w:rPr>
        <w:footnoteReference w:id="288"/>
      </w:r>
    </w:p>
    <w:p w14:paraId="4FFC7691" w14:textId="77777777" w:rsidR="00494B49" w:rsidRDefault="00494B49">
      <w:pPr>
        <w:pStyle w:val="BHead3"/>
      </w:pPr>
      <w:r>
        <w:t xml:space="preserve">b. Rents Derived in the Ordinary Course of a Trade or Business </w:t>
      </w:r>
    </w:p>
    <w:p w14:paraId="235D840D" w14:textId="77777777" w:rsidR="00494B49" w:rsidRDefault="00494B49">
      <w:pPr>
        <w:pStyle w:val="BNormal"/>
      </w:pPr>
      <w:r>
        <w:t xml:space="preserve">Unlike interest, dividends, royalties, and annuities that use Reg. </w:t>
      </w:r>
      <w:smartTag w:uri="http://www.bna.com/sgml2word/cite" w:element="cite.cfr">
        <w:smartTagPr>
          <w:attr w:name="ref" w:val="cfr\26\1.469-2T(c)(3)(ii)"/>
        </w:smartTagPr>
        <w:r>
          <w:t>§1.469-2T(c)(3)(ii)</w:t>
        </w:r>
      </w:smartTag>
      <w:r>
        <w:t xml:space="preserve"> as a proxy for “derived in the ordinary course of a trade or business,” rental activities tend to be per se passive activities by reason of </w:t>
      </w:r>
      <w:smartTag w:uri="http://www.bna.com/sgml2word/cite" w:element="cite.usc">
        <w:smartTagPr>
          <w:attr w:name="ref" w:val="USC\26\469(c)(2)"/>
        </w:smartTagPr>
        <w:r>
          <w:t>§469(c)(2)</w:t>
        </w:r>
      </w:smartTag>
      <w:r>
        <w:t>. Therefore, the more practical approach for rents is to consider first whether the rental income is nonpassive. If so, then the taxpayer should consider whether the rent is derived in the ordinary course of a trade or business.</w:t>
      </w:r>
    </w:p>
    <w:p w14:paraId="559FA55D" w14:textId="77777777" w:rsidR="00494B49" w:rsidRDefault="00494B49">
      <w:pPr>
        <w:pStyle w:val="BNormal"/>
      </w:pPr>
      <w:r>
        <w:t xml:space="preserve">If rent is nonpassive, there are two circumstances in which it may be considered derived in the ordinary course of a trade or business. First, as discussed further below, Reg. </w:t>
      </w:r>
      <w:smartTag w:uri="http://www.bna.com/sgml2word/cite" w:element="cite.cfr">
        <w:smartTagPr>
          <w:attr w:name="ref" w:val="cfr\26\1.1411-4(g)"/>
        </w:smartTagPr>
        <w:r>
          <w:t>§1.1411-4(g)</w:t>
        </w:r>
      </w:smartTag>
      <w:r>
        <w:t xml:space="preserve"> deems self-charged rent and rents received from a rental activity that is grouped with a nonpassive activity,</w:t>
      </w:r>
      <w:r>
        <w:rPr>
          <w:rStyle w:val="FootnoteReference"/>
        </w:rPr>
        <w:footnoteReference w:id="289"/>
      </w:r>
      <w:r>
        <w:t xml:space="preserve"> as well as rents received by certain real estate professionals,</w:t>
      </w:r>
      <w:r>
        <w:rPr>
          <w:rStyle w:val="FootnoteReference"/>
        </w:rPr>
        <w:footnoteReference w:id="290"/>
      </w:r>
      <w:r>
        <w:t xml:space="preserve"> as derived in the ordinary course of a trade or business regardless of whether a trade or business actually exists for other purposes of the Code. In these cases, the analysis is complete; the rent is excluded from net investment income.</w:t>
      </w:r>
    </w:p>
    <w:p w14:paraId="6897B4ED" w14:textId="77777777" w:rsidR="00494B49" w:rsidRDefault="00494B49">
      <w:pPr>
        <w:pStyle w:val="BNormal"/>
      </w:pPr>
      <w:r>
        <w:t xml:space="preserve">The second way is to independently determine whether the rents are derived in a </w:t>
      </w:r>
      <w:smartTag w:uri="http://www.bna.com/sgml2word/cite" w:element="cite.usc">
        <w:smartTagPr>
          <w:attr w:name="ref" w:val="USC\26\162"/>
        </w:smartTagPr>
        <w:r>
          <w:t>§162</w:t>
        </w:r>
      </w:smartTag>
      <w:r>
        <w:t xml:space="preserve"> trade or business or a </w:t>
      </w:r>
      <w:smartTag w:uri="http://www.bna.com/sgml2word/cite" w:element="cite.usc">
        <w:smartTagPr>
          <w:attr w:name="ref" w:val="USC\26\212"/>
        </w:smartTagPr>
        <w:r>
          <w:t>§212</w:t>
        </w:r>
      </w:smartTag>
      <w:r>
        <w:t xml:space="preserve"> activity. However, as stated above, the path of least resistance is to first determine which rents could be considered nonpassive income under the </w:t>
      </w:r>
      <w:smartTag w:uri="http://www.bna.com/sgml2word/cite" w:element="cite.usc">
        <w:smartTagPr>
          <w:attr w:name="ref" w:val="USC\26\469"/>
        </w:smartTagPr>
        <w:r>
          <w:t>§469</w:t>
        </w:r>
      </w:smartTag>
      <w:r>
        <w:t xml:space="preserve"> rules (other than those covered by Reg. </w:t>
      </w:r>
      <w:smartTag w:uri="http://www.bna.com/sgml2word/cite" w:element="cite.cfr">
        <w:smartTagPr>
          <w:attr w:name="ref" w:val="cfr\26\1.1411-4(g)(6)"/>
        </w:smartTagPr>
        <w:r>
          <w:t>§1.1411-4(g)(6)</w:t>
        </w:r>
      </w:smartTag>
      <w:r>
        <w:t>–</w:t>
      </w:r>
      <w:smartTag w:uri="http://www.bna.com/sgml2word/cite" w:element="cite.cfr">
        <w:smartTagPr>
          <w:attr w:name="ref" w:val="cfr\26\1.1411-4(g)(7)"/>
        </w:smartTagPr>
        <w:r>
          <w:t>§1.1411-4(g)(7)</w:t>
        </w:r>
      </w:smartTag>
      <w:r>
        <w:t xml:space="preserve"> discussed immediately above). This approach begins with a review of Reg. </w:t>
      </w:r>
      <w:smartTag w:uri="http://www.bna.com/sgml2word/cite" w:element="cite.cfr">
        <w:smartTagPr>
          <w:attr w:name="ref" w:val="cfr\26\1.469-1T(e)(3)"/>
        </w:smartTagPr>
        <w:r>
          <w:t>§1.469-1T(e)(3)</w:t>
        </w:r>
      </w:smartTag>
      <w:r>
        <w:t xml:space="preserve">. </w:t>
      </w:r>
    </w:p>
    <w:p w14:paraId="1F04E7A1" w14:textId="77777777" w:rsidR="00494B49" w:rsidRDefault="00494B49">
      <w:pPr>
        <w:pStyle w:val="BNormal"/>
      </w:pPr>
      <w:r>
        <w:t xml:space="preserve"> By way of background, Reg. </w:t>
      </w:r>
      <w:smartTag w:uri="http://www.bna.com/sgml2word/cite" w:element="cite.cfr">
        <w:smartTagPr>
          <w:attr w:name="ref" w:val="cfr\26\1.469-1T(e)(3)(i)"/>
        </w:smartTagPr>
        <w:r>
          <w:t>§1.469-1T(e)(3)(i)</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291"/>
      </w:r>
      <w:r>
        <w:t xml:space="preserve"> In addition, an activity may be a rental activity if tangible property in the activity is held for rent and the expected gross income from the activity will represent payments principally for the use of such property.</w:t>
      </w:r>
      <w:r>
        <w:rPr>
          <w:rStyle w:val="FootnoteReference"/>
        </w:rPr>
        <w:footnoteReference w:id="292"/>
      </w:r>
      <w:r>
        <w:t xml:space="preserve"> Reg. </w:t>
      </w:r>
      <w:smartTag w:uri="http://www.bna.com/sgml2word/cite" w:element="cite.cfr">
        <w:smartTagPr>
          <w:attr w:name="ref" w:val="cfr\26\1.469-1T(e)(3)(ii)"/>
        </w:smartTagPr>
        <w:r>
          <w:t>§1.469-1T(e)(3)(ii)</w:t>
        </w:r>
      </w:smartTag>
      <w:r>
        <w:t xml:space="preserve"> provides six exceptions to the general rule.</w:t>
      </w:r>
    </w:p>
    <w:p w14:paraId="1A36C4D0" w14:textId="77777777" w:rsidR="00494B49" w:rsidRDefault="00494B49">
      <w:pPr>
        <w:pStyle w:val="BNormal"/>
      </w:pPr>
      <w:r>
        <w:t>The first exception provides that an activity involving the use of tangible property is not a rental activity if, on the average, the period for which each customer uses the property is seven days or less.</w:t>
      </w:r>
      <w:r>
        <w:rPr>
          <w:rStyle w:val="FootnoteReference"/>
        </w:rPr>
        <w:footnoteReference w:id="293"/>
      </w:r>
      <w:r>
        <w:t xml:space="preserve"> The rationale for the “seven-day rule” is that a customer’s use of property for seven days or less generally will require the person furnishing the property to provide services significant enough to justify the conclusion that the person is engaged in a service business rather than a </w:t>
      </w:r>
      <w:r>
        <w:lastRenderedPageBreak/>
        <w:t xml:space="preserve">rental activity. In these cases, it is relatively likely that such activity is a trade or business due to the level of personal services required.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42291151" w14:textId="77777777" w:rsidR="00494B49" w:rsidRDefault="00494B49">
      <w:pPr>
        <w:pStyle w:val="BNormal"/>
      </w:pPr>
      <w:r>
        <w:t>The second exception provides that an activity involving the use of tangible property is not a rental activity if (a) on the average, the period for which each customer uses the property is more than seven days, but not more than 30 days; and (b) significant personal services are provided.</w:t>
      </w:r>
      <w:r>
        <w:rPr>
          <w:rStyle w:val="FootnoteReference"/>
        </w:rPr>
        <w:footnoteReference w:id="294"/>
      </w:r>
      <w:r>
        <w:t xml:space="preserve"> Thus, for example, a taxpayer operating a hotel is not treated as engaged in a rental activity, even if guests stay for an average period that exceeds seven days, if significant personal services are provided. Again, similar to the first exception, the presence of significant personal services is a good indication that regular, continuous, and substantial activity is occurring to operate the activity.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3C8A1B48" w14:textId="77777777" w:rsidR="00494B49" w:rsidRDefault="00494B49">
      <w:pPr>
        <w:pStyle w:val="BNormal"/>
      </w:pPr>
      <w:r>
        <w:t>The third exception provides that an activity involving the use of tangible property is not a rental activity if extraordinary personal services are provided by or on behalf of the owner in connection with making property available for use by customers.</w:t>
      </w:r>
      <w:r>
        <w:rPr>
          <w:rStyle w:val="FootnoteReference"/>
        </w:rPr>
        <w:footnoteReference w:id="295"/>
      </w:r>
      <w:r>
        <w:t xml:space="preserve"> For example, the use by patients of a hospital’s boarding facilities generally is incidental to their receipt of the personal services provided by the hospital’s medical staff. Using the same logic as the first and second exceptions, to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19455E3E" w14:textId="77777777" w:rsidR="00494B49" w:rsidRDefault="00494B49">
      <w:pPr>
        <w:pStyle w:val="BNormal"/>
      </w:pPr>
      <w:r>
        <w:t>The fourth exception applies to rentals incidental to certain nonrental activities of the taxpayer.</w:t>
      </w:r>
      <w:r>
        <w:rPr>
          <w:rStyle w:val="FootnoteReference"/>
        </w:rPr>
        <w:footnoteReference w:id="296"/>
      </w:r>
      <w:r>
        <w:t xml:space="preserve"> This exception applies in four situations: </w:t>
      </w:r>
    </w:p>
    <w:p w14:paraId="153D3622" w14:textId="77777777" w:rsidR="00494B49" w:rsidRDefault="00494B49">
      <w:pPr>
        <w:pStyle w:val="BListitemorig"/>
      </w:pPr>
      <w:r>
        <w:t xml:space="preserve">(i) an insubstantial amount of rental income is derived from renting property incidental to an activity of holding the property for investment; </w:t>
      </w:r>
    </w:p>
    <w:p w14:paraId="6852865F" w14:textId="77777777" w:rsidR="00494B49" w:rsidRDefault="00494B49">
      <w:pPr>
        <w:pStyle w:val="BListitemorig"/>
      </w:pPr>
      <w:r>
        <w:t>(ii) the rented property is lodging provided to the taxpayer’s employees for the convenience of the taxpayer;</w:t>
      </w:r>
    </w:p>
    <w:p w14:paraId="40F9EA6A" w14:textId="77777777" w:rsidR="00494B49" w:rsidRDefault="00494B49">
      <w:pPr>
        <w:pStyle w:val="BListitemorig"/>
      </w:pPr>
      <w:r>
        <w:t xml:space="preserve">(iii) an insubstantial amount of rental income is derived from property that was recently used in the taxpayer’s trade or business activity and is temporarily rented; or </w:t>
      </w:r>
    </w:p>
    <w:p w14:paraId="4EA2C0AB" w14:textId="77777777" w:rsidR="00494B49" w:rsidRDefault="00494B49">
      <w:pPr>
        <w:pStyle w:val="BListitemorig"/>
      </w:pPr>
      <w:r>
        <w:t xml:space="preserve">(iv) the property is held for sale to customers in the ordinary course of a trade or business and is, in fact, sold during the tax year. </w:t>
      </w:r>
    </w:p>
    <w:p w14:paraId="54C649FE" w14:textId="77777777" w:rsidR="00494B49" w:rsidRDefault="00494B49">
      <w:pPr>
        <w:pStyle w:val="BNormal"/>
      </w:pPr>
      <w:r>
        <w:t xml:space="preserve">Unlike the first three exceptions, the fourth exception is not necessarily a good proxy for a trade or business. As a practical matter, situations (ii), (iii), and (iv) may be decent proxies for rents derived in the ordinary course of a trade or business. Situation (i), on the other hand, is not. If holding property for investment is a </w:t>
      </w:r>
      <w:smartTag w:uri="http://www.bna.com/sgml2word/cite" w:element="cite.usc">
        <w:smartTagPr>
          <w:attr w:name="ref" w:val="USC\26\212"/>
        </w:smartTagPr>
        <w:r>
          <w:t>§212</w:t>
        </w:r>
      </w:smartTag>
      <w:r>
        <w:t xml:space="preserve"> activity, it follows that it is highly unlikely that renting </w:t>
      </w:r>
      <w:r>
        <w:lastRenderedPageBreak/>
        <w:t xml:space="preserve">the property for an insubstantial sum would be anything other than a </w:t>
      </w:r>
      <w:smartTag w:uri="http://www.bna.com/sgml2word/cite" w:element="cite.usc">
        <w:smartTagPr>
          <w:attr w:name="ref" w:val="USC\26\212"/>
        </w:smartTagPr>
        <w:r>
          <w:t>§212</w:t>
        </w:r>
      </w:smartTag>
      <w:r>
        <w:t xml:space="preserve"> activity.</w:t>
      </w:r>
      <w:r>
        <w:rPr>
          <w:rStyle w:val="FootnoteReference"/>
        </w:rPr>
        <w:footnoteReference w:id="297"/>
      </w:r>
      <w:r>
        <w:t xml:space="preserve"> As a result, the rental income is included in net investment income in situation (i), but likely excluded from net investment income in situations (ii), (iii), and (iv) under the ordinary-course-of-a-trade-or-business exception in Reg. </w:t>
      </w:r>
      <w:smartTag w:uri="http://www.bna.com/sgml2word/cite" w:element="cite.cfr">
        <w:smartTagPr>
          <w:attr w:name="ref" w:val="cfr\26\1.1411-4(b)"/>
        </w:smartTagPr>
        <w:r>
          <w:t>§1.1411-4(b)</w:t>
        </w:r>
      </w:smartTag>
      <w:r>
        <w:t xml:space="preserve"> if (ii), (iii), or (iv) are nonpassive activities of the taxpayer.</w:t>
      </w:r>
    </w:p>
    <w:p w14:paraId="5611885D" w14:textId="77777777" w:rsidR="00494B49" w:rsidRDefault="00494B49">
      <w:pPr>
        <w:pStyle w:val="BNormal"/>
      </w:pPr>
      <w:r>
        <w:t>Under the fifth exception, an activity of making property available for use by customers is not a rental activity if the taxpayer customarily makes the property available during defined business hours for nonexclusive use by various customers.</w:t>
      </w:r>
      <w:r>
        <w:rPr>
          <w:rStyle w:val="FootnoteReference"/>
        </w:rPr>
        <w:footnoteReference w:id="298"/>
      </w:r>
      <w:r>
        <w:t xml:space="preserve"> For example, operating a facility (such as a golf course) that is used by customers who would normally be characterized as invitees or licensees rather than lessees or tenants is not a rental activity. Again, employing the same logic that applied in the first three exceptions, to the extent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79A9319F" w14:textId="77777777" w:rsidR="00494B49" w:rsidRDefault="00494B49">
      <w:pPr>
        <w:pStyle w:val="BNormal"/>
      </w:pPr>
      <w:r>
        <w:t>The sixth exception relates to property provided for use in a nonrental activity of a partnership, S corporation, or joint venture in which the taxpayer owns an interest.</w:t>
      </w:r>
      <w:r>
        <w:rPr>
          <w:rStyle w:val="FootnoteReference"/>
        </w:rPr>
        <w:footnoteReference w:id="299"/>
      </w:r>
      <w:r>
        <w:t xml:space="preserve"> Providing such property is not a rental activity if the taxpayer does not rent the property to the partnership, S corporation, or joint venture, but provides the property in the taxpayer’s capacity as an owner of an interest. To the extent the taxpayer is receiving a distributable share of items of income, gain, loss, and deduction, it is unlikely that the taxpayer is receiving gross income from rents within the meaning of Reg. </w:t>
      </w:r>
      <w:smartTag w:uri="http://www.bna.com/sgml2word/cite" w:element="cite.cfr">
        <w:smartTagPr>
          <w:attr w:name="ref" w:val="cfr\26\1.1411-1(d)(10)"/>
        </w:smartTagPr>
        <w:r>
          <w:t>§1.1411-1(d)(10)</w:t>
        </w:r>
      </w:smartTag>
      <w:r>
        <w:t>. Alternatively, if the taxpayer is receiving guaranteed payments for the use of the property,</w:t>
      </w:r>
      <w:r>
        <w:rPr>
          <w:rStyle w:val="FootnoteReference"/>
        </w:rPr>
        <w:footnoteReference w:id="300"/>
      </w:r>
      <w:r>
        <w:t xml:space="preserve"> the income would be considered net investment income.</w:t>
      </w:r>
      <w:r>
        <w:rPr>
          <w:rStyle w:val="FootnoteReference"/>
        </w:rPr>
        <w:footnoteReference w:id="301"/>
      </w:r>
    </w:p>
    <w:p w14:paraId="6AE198CB" w14:textId="77777777" w:rsidR="00494B49" w:rsidRDefault="00494B49">
      <w:pPr>
        <w:pStyle w:val="BNormal"/>
      </w:pPr>
      <w:r>
        <w:t xml:space="preserve">In addition to the nonrental activities covered in Reg. </w:t>
      </w:r>
      <w:smartTag w:uri="http://www.bna.com/sgml2word/cite" w:element="cite.cfr">
        <w:smartTagPr>
          <w:attr w:name="ref" w:val="cfr\26\1.469-1T(e)(3)(ii)"/>
        </w:smartTagPr>
        <w:r>
          <w:t>§1.469-1T(e)(3)(ii)</w:t>
        </w:r>
      </w:smartTag>
      <w:r>
        <w:t xml:space="preserve">, several other provisions in </w:t>
      </w:r>
      <w:smartTag w:uri="http://www.bna.com/sgml2word/cite" w:element="cite.usc">
        <w:smartTagPr>
          <w:attr w:name="ref" w:val="USC\26\469"/>
        </w:smartTagPr>
        <w:r>
          <w:t>§469</w:t>
        </w:r>
      </w:smartTag>
      <w:r>
        <w:t xml:space="preserve"> are relevant. For example, Reg. </w:t>
      </w:r>
      <w:smartTag w:uri="http://www.bna.com/sgml2word/cite" w:element="cite.cfr">
        <w:smartTagPr>
          <w:attr w:name="ref" w:val="cfr\26\1.469-2T(f)(3)"/>
        </w:smartTagPr>
        <w:r>
          <w:t>§1.469-2T(f)(3)</w:t>
        </w:r>
      </w:smartTag>
      <w:r>
        <w:t xml:space="preserve"> and </w:t>
      </w:r>
      <w:smartTag w:uri="http://www.bna.com/sgml2word/cite" w:element="cite.cfr">
        <w:smartTagPr>
          <w:attr w:name="ref" w:val="cfr\26\1.469-2(f)(5)"/>
        </w:smartTagPr>
        <w:r>
          <w:t>§1.469-2(f)(5)</w:t>
        </w:r>
      </w:smartTag>
      <w:r>
        <w:t xml:space="preserve"> deem net income from nondepreciable property rentals and development rentals, respectively, to be per se nonpassive income. In a majority of cases, the rental of undeveloped land or short-term rental of property between construction and sale probably would not be considered regular, continuous, and substantial activities.</w:t>
      </w:r>
      <w:r>
        <w:rPr>
          <w:rStyle w:val="FootnoteReference"/>
        </w:rPr>
        <w:footnoteReference w:id="302"/>
      </w:r>
      <w:r>
        <w:t xml:space="preserve"> However, in the development rental context of Reg. </w:t>
      </w:r>
      <w:smartTag w:uri="http://www.bna.com/sgml2word/cite" w:element="cite.cfr">
        <w:smartTagPr>
          <w:attr w:name="ref" w:val="cfr\26\1.469-2(f)(5)"/>
        </w:smartTagPr>
        <w:r>
          <w:t>§1.469-2(f)(5)</w:t>
        </w:r>
      </w:smartTag>
      <w:r>
        <w:t>, if a taxpayer’s business model involves regularly occurring construction-rental-sale transactions, it is more likely that such rental would be part of a trade or business.</w:t>
      </w:r>
    </w:p>
    <w:p w14:paraId="6BAFA3A5" w14:textId="77777777" w:rsidR="00494B49" w:rsidRDefault="00494B49">
      <w:pPr>
        <w:pStyle w:val="BHead3"/>
      </w:pPr>
      <w:r>
        <w:t>c. Self-Charged Rents</w:t>
      </w:r>
    </w:p>
    <w:p w14:paraId="4C25F38A" w14:textId="77777777" w:rsidR="00494B49" w:rsidRDefault="00494B49">
      <w:pPr>
        <w:pStyle w:val="BHead4"/>
      </w:pPr>
      <w:r>
        <w:t xml:space="preserve">(1) Existing Passive Loss Self-Charged Rent Rules </w:t>
      </w:r>
    </w:p>
    <w:p w14:paraId="66FCE60C" w14:textId="77777777" w:rsidR="00494B49" w:rsidRDefault="00494B49">
      <w:pPr>
        <w:pStyle w:val="BNormal"/>
      </w:pPr>
      <w:r>
        <w:t xml:space="preserve">Generally, Reg. </w:t>
      </w:r>
      <w:smartTag w:uri="http://www.bna.com/sgml2word/cite" w:element="cite.cfr">
        <w:smartTagPr>
          <w:attr w:name="ref" w:val="cfr\26\1.469-2(f)(6)"/>
        </w:smartTagPr>
        <w:r>
          <w:t>§1.469-2(f)(6)</w:t>
        </w:r>
      </w:smartTag>
      <w:r>
        <w:t xml:space="preserve"> provides a special income recharacterization rule for property rented to a nonpassive activity (commonly referred to as the self-charged rents). For a more detailed discussion of self-charged rents under Reg. </w:t>
      </w:r>
      <w:smartTag w:uri="http://www.bna.com/sgml2word/cite" w:element="cite.cfr">
        <w:smartTagPr>
          <w:attr w:name="ref" w:val="cfr\26\1.469-2(f)(6)"/>
        </w:smartTagPr>
        <w:r>
          <w:t>§1.469-2(f)(6)</w:t>
        </w:r>
      </w:smartTag>
      <w:r>
        <w:t xml:space="preserve">, see </w:t>
      </w:r>
      <w:smartTag w:uri="http://www.bna.com/sgml2word/cite" w:element="cite.bna.reference">
        <w:smartTagPr>
          <w:attr w:name="bna.id.ref" w:val="TM\549"/>
        </w:smartTagPr>
        <w:r>
          <w:t>549</w:t>
        </w:r>
      </w:smartTag>
      <w:r>
        <w:t xml:space="preserve"> T.M., </w:t>
      </w:r>
      <w:r>
        <w:rPr>
          <w:i/>
        </w:rPr>
        <w:t xml:space="preserve">Passive Loss </w:t>
      </w:r>
      <w:r>
        <w:rPr>
          <w:i/>
        </w:rPr>
        <w:lastRenderedPageBreak/>
        <w:t>Rules</w:t>
      </w:r>
      <w:r>
        <w:t>. Under this rule, the net rental activity income from the property for the tax year, if positive, is treated as nonpassive income.</w:t>
      </w:r>
      <w:r>
        <w:rPr>
          <w:rStyle w:val="FootnoteReference"/>
        </w:rPr>
        <w:footnoteReference w:id="303"/>
      </w:r>
    </w:p>
    <w:p w14:paraId="0F12504D" w14:textId="77777777" w:rsidR="00494B49" w:rsidRDefault="00494B49">
      <w:pPr>
        <w:pStyle w:val="BNormal"/>
      </w:pPr>
      <w:r>
        <w:t>Several nuances to this seemingly simple rule are important to understand in order to apply the special self-charged rent rules for NIIT purposes:</w:t>
      </w:r>
    </w:p>
    <w:p w14:paraId="4C9F49B4" w14:textId="77777777" w:rsidR="00494B49" w:rsidRDefault="00494B49">
      <w:pPr>
        <w:pStyle w:val="BListitembul"/>
      </w:pPr>
      <w:r>
        <w:t>To be subject to the income recharacterization rule in Reg. §1.469-2(f)(6), the rental income must be passive rental income. Although the preceding sentence might seem intuitive, it is important to note:</w:t>
      </w:r>
    </w:p>
    <w:p w14:paraId="15DB4CEB" w14:textId="77777777" w:rsidR="00494B49" w:rsidRDefault="00494B49">
      <w:pPr>
        <w:pStyle w:val="BListitembul"/>
      </w:pPr>
      <w:r>
        <w:t xml:space="preserve">If the rental activity is nonpassive by some other provision in §469 (such as rental income of a real estate professional), the recharacterization rule does not apply because the income is already nonpassive. </w:t>
      </w:r>
    </w:p>
    <w:p w14:paraId="192294A3" w14:textId="77777777" w:rsidR="00494B49" w:rsidRDefault="00494B49">
      <w:pPr>
        <w:pStyle w:val="BListitembul"/>
      </w:pPr>
      <w:r>
        <w:t>If the rental activity is grouped with a trade or business under Reg. §1.469-4(d)(1) because of identical ownership or the rental is insubstantial to the trade or business activity, the activity is not a rental activity for purposes of §469. Therefore, the recharacterization rule does not apply.</w:t>
      </w:r>
    </w:p>
    <w:p w14:paraId="5EACECB5" w14:textId="77777777" w:rsidR="00494B49" w:rsidRDefault="00494B49">
      <w:pPr>
        <w:pStyle w:val="BListitembul"/>
      </w:pPr>
      <w:r>
        <w:t xml:space="preserve">The income recharacterization rule in Reg. §1.469-2(f)(6) recharacterizes only the profit as nonpassive income. It does not recharacterize all of the gross income and deductions as nonpassive. For example, if a taxpayer receives $10,000 of annual rent and has deductions totaling $8,000, Reg. §1.469-2(f)(6) operates as follows: </w:t>
      </w:r>
    </w:p>
    <w:p w14:paraId="2B01BE23" w14:textId="77777777" w:rsidR="00494B49" w:rsidRDefault="00494B49" w:rsidP="006951DA"/>
    <w:tbl>
      <w:tblPr>
        <w:tblStyle w:val="TableGrid"/>
        <w:tblW w:w="0" w:type="auto"/>
        <w:tblLook w:val="04A0" w:firstRow="1" w:lastRow="0" w:firstColumn="1" w:lastColumn="0" w:noHBand="0" w:noVBand="1"/>
      </w:tblPr>
      <w:tblGrid>
        <w:gridCol w:w="2378"/>
        <w:gridCol w:w="2310"/>
        <w:gridCol w:w="2352"/>
        <w:gridCol w:w="2310"/>
      </w:tblGrid>
      <w:tr w:rsidR="00494B49" w14:paraId="206FC7D2" w14:textId="77777777">
        <w:tc>
          <w:tcPr>
            <w:tcW w:w="2520" w:type="dxa"/>
          </w:tcPr>
          <w:p w14:paraId="7CE80B25" w14:textId="77777777" w:rsidR="00494B49" w:rsidRDefault="00494B49"/>
        </w:tc>
        <w:tc>
          <w:tcPr>
            <w:tcW w:w="2520" w:type="dxa"/>
          </w:tcPr>
          <w:p w14:paraId="6D0080C0" w14:textId="77777777" w:rsidR="00494B49" w:rsidRDefault="00494B49">
            <w:r>
              <w:t xml:space="preserve"> </w:t>
            </w:r>
            <w:r>
              <w:rPr>
                <w:b/>
              </w:rPr>
              <w:t>Passive</w:t>
            </w:r>
          </w:p>
        </w:tc>
        <w:tc>
          <w:tcPr>
            <w:tcW w:w="2520" w:type="dxa"/>
          </w:tcPr>
          <w:p w14:paraId="47583EC2" w14:textId="77777777" w:rsidR="00494B49" w:rsidRDefault="00494B49">
            <w:r>
              <w:t xml:space="preserve"> </w:t>
            </w:r>
            <w:r>
              <w:rPr>
                <w:b/>
              </w:rPr>
              <w:t>Nonpassive</w:t>
            </w:r>
          </w:p>
        </w:tc>
        <w:tc>
          <w:tcPr>
            <w:tcW w:w="2520" w:type="dxa"/>
          </w:tcPr>
          <w:p w14:paraId="1F6C7FCE" w14:textId="77777777" w:rsidR="00494B49" w:rsidRDefault="00494B49">
            <w:r>
              <w:t xml:space="preserve"> </w:t>
            </w:r>
            <w:r>
              <w:rPr>
                <w:b/>
              </w:rPr>
              <w:t>Total</w:t>
            </w:r>
          </w:p>
        </w:tc>
      </w:tr>
      <w:tr w:rsidR="00494B49" w14:paraId="54F834F6" w14:textId="77777777">
        <w:tc>
          <w:tcPr>
            <w:tcW w:w="2520" w:type="dxa"/>
          </w:tcPr>
          <w:p w14:paraId="7B518FCA" w14:textId="77777777" w:rsidR="00494B49" w:rsidRDefault="00494B49">
            <w:r>
              <w:t xml:space="preserve"> </w:t>
            </w:r>
            <w:r>
              <w:rPr>
                <w:b/>
              </w:rPr>
              <w:t>Income</w:t>
            </w:r>
          </w:p>
        </w:tc>
        <w:tc>
          <w:tcPr>
            <w:tcW w:w="2520" w:type="dxa"/>
          </w:tcPr>
          <w:p w14:paraId="030623AF" w14:textId="77777777" w:rsidR="00494B49" w:rsidRDefault="00494B49">
            <w:r>
              <w:t>$8,000</w:t>
            </w:r>
          </w:p>
        </w:tc>
        <w:tc>
          <w:tcPr>
            <w:tcW w:w="2520" w:type="dxa"/>
          </w:tcPr>
          <w:p w14:paraId="1D93A840" w14:textId="77777777" w:rsidR="00494B49" w:rsidRDefault="00494B49">
            <w:r>
              <w:t>$2,000</w:t>
            </w:r>
          </w:p>
        </w:tc>
        <w:tc>
          <w:tcPr>
            <w:tcW w:w="2520" w:type="dxa"/>
          </w:tcPr>
          <w:p w14:paraId="44AA5128" w14:textId="77777777" w:rsidR="00494B49" w:rsidRDefault="00494B49">
            <w:r>
              <w:t>$10,000</w:t>
            </w:r>
          </w:p>
        </w:tc>
      </w:tr>
      <w:tr w:rsidR="00494B49" w14:paraId="303CB572" w14:textId="77777777">
        <w:tc>
          <w:tcPr>
            <w:tcW w:w="2520" w:type="dxa"/>
          </w:tcPr>
          <w:p w14:paraId="51149B81" w14:textId="77777777" w:rsidR="00494B49" w:rsidRDefault="00494B49">
            <w:r>
              <w:t xml:space="preserve"> </w:t>
            </w:r>
            <w:r>
              <w:rPr>
                <w:b/>
              </w:rPr>
              <w:t>Deductions</w:t>
            </w:r>
          </w:p>
        </w:tc>
        <w:tc>
          <w:tcPr>
            <w:tcW w:w="2520" w:type="dxa"/>
          </w:tcPr>
          <w:p w14:paraId="1E9E9169" w14:textId="77777777" w:rsidR="00494B49" w:rsidRDefault="00494B49">
            <w:r>
              <w:t>($8,000)</w:t>
            </w:r>
          </w:p>
        </w:tc>
        <w:tc>
          <w:tcPr>
            <w:tcW w:w="2520" w:type="dxa"/>
          </w:tcPr>
          <w:p w14:paraId="443D320D" w14:textId="77777777" w:rsidR="00494B49" w:rsidRDefault="00494B49">
            <w:r>
              <w:t>$0</w:t>
            </w:r>
          </w:p>
        </w:tc>
        <w:tc>
          <w:tcPr>
            <w:tcW w:w="2520" w:type="dxa"/>
          </w:tcPr>
          <w:p w14:paraId="7AB5EC71" w14:textId="77777777" w:rsidR="00494B49" w:rsidRDefault="00494B49">
            <w:r>
              <w:t>($8,000)</w:t>
            </w:r>
          </w:p>
        </w:tc>
      </w:tr>
      <w:tr w:rsidR="00494B49" w14:paraId="776C9ED3" w14:textId="77777777">
        <w:tc>
          <w:tcPr>
            <w:tcW w:w="2520" w:type="dxa"/>
          </w:tcPr>
          <w:p w14:paraId="24099CC6" w14:textId="77777777" w:rsidR="00494B49" w:rsidRDefault="00494B49">
            <w:r>
              <w:t xml:space="preserve"> </w:t>
            </w:r>
            <w:r>
              <w:rPr>
                <w:b/>
              </w:rPr>
              <w:t>Net Income/(Loss)</w:t>
            </w:r>
          </w:p>
        </w:tc>
        <w:tc>
          <w:tcPr>
            <w:tcW w:w="2520" w:type="dxa"/>
          </w:tcPr>
          <w:p w14:paraId="1FD020EA" w14:textId="77777777" w:rsidR="00494B49" w:rsidRDefault="00494B49">
            <w:r>
              <w:t>$0</w:t>
            </w:r>
          </w:p>
        </w:tc>
        <w:tc>
          <w:tcPr>
            <w:tcW w:w="2520" w:type="dxa"/>
          </w:tcPr>
          <w:p w14:paraId="0E8B6157" w14:textId="77777777" w:rsidR="00494B49" w:rsidRDefault="00494B49">
            <w:r>
              <w:t>$2,000</w:t>
            </w:r>
          </w:p>
        </w:tc>
        <w:tc>
          <w:tcPr>
            <w:tcW w:w="2520" w:type="dxa"/>
          </w:tcPr>
          <w:p w14:paraId="14220027" w14:textId="77777777" w:rsidR="00494B49" w:rsidRDefault="00494B49">
            <w:r>
              <w:t>$2,000</w:t>
            </w:r>
          </w:p>
        </w:tc>
      </w:tr>
    </w:tbl>
    <w:p w14:paraId="1D15E982" w14:textId="77777777" w:rsidR="00494B49" w:rsidRDefault="00494B49">
      <w:pPr>
        <w:pStyle w:val="BNormal"/>
      </w:pPr>
    </w:p>
    <w:p w14:paraId="6CABE695" w14:textId="77777777" w:rsidR="00494B49" w:rsidRDefault="00494B49">
      <w:pPr>
        <w:pStyle w:val="BListitembul"/>
      </w:pPr>
      <w:r>
        <w:t xml:space="preserve">If the property is rented at a net loss, the loss is a passive loss and is subject to the general passive loss rules regarding use and carryforward. </w:t>
      </w:r>
    </w:p>
    <w:p w14:paraId="19B9D17A" w14:textId="77777777" w:rsidR="00494B49" w:rsidRDefault="00494B49">
      <w:pPr>
        <w:pStyle w:val="BListitembul"/>
      </w:pPr>
      <w:r>
        <w:t xml:space="preserve">If the property is rented at a net loss and the suspended passive loss is carried forward to a year when the property is rented at a profit, the suspended loss is taken into account in determining the profit or loss for purposes of applying the income recharacterization rule in Reg. §1.469-2(f)(6). If there is a profit, after the use of any carryforward loss, the net profit is recharacterized as nonpassive under Reg. §1.469-2(f)(6). </w:t>
      </w:r>
    </w:p>
    <w:p w14:paraId="08A5E5CD" w14:textId="77777777" w:rsidR="00494B49" w:rsidRDefault="00494B49">
      <w:pPr>
        <w:pStyle w:val="BListitembul"/>
      </w:pPr>
      <w:r>
        <w:t xml:space="preserve">The income recharacterization rule in Reg. §1.469-2(f)(6) does not recharacterize the rental activity as a nonpassive activity; it merely recharacterizes the net profit (income in excess of deductions) as nonpassive. </w:t>
      </w:r>
    </w:p>
    <w:p w14:paraId="5F6DB0F4" w14:textId="77777777" w:rsidR="00494B49" w:rsidRDefault="00494B49" w:rsidP="006951DA">
      <w:pPr>
        <w:pStyle w:val="BHead4"/>
        <w:keepNext/>
        <w:keepLines/>
      </w:pPr>
      <w:r>
        <w:lastRenderedPageBreak/>
        <w:t>(2) Self-Charged Rent Rules for NIIT Purposes</w:t>
      </w:r>
    </w:p>
    <w:p w14:paraId="0E2A656C" w14:textId="77777777" w:rsidR="00494B49" w:rsidRDefault="00494B49" w:rsidP="006951DA">
      <w:pPr>
        <w:pStyle w:val="BNormal"/>
        <w:keepNext/>
        <w:keepLines/>
      </w:pPr>
      <w:r>
        <w:t xml:space="preserve">The 2013 Final Regulations provide special rules for self-charged rental income. In general, income or gain treated as nonpassive by reason of Reg. </w:t>
      </w:r>
      <w:smartTag w:uri="http://www.bna.com/sgml2word/cite" w:element="cite.cfr">
        <w:smartTagPr>
          <w:attr w:name="ref" w:val="cfr\26\1.469-2(f)(6)"/>
        </w:smartTagPr>
        <w:r>
          <w:t>§1.469-2(f)(6)</w:t>
        </w:r>
      </w:smartTag>
      <w:r>
        <w:t xml:space="preserve"> is excluded from net investment income.</w:t>
      </w:r>
      <w:r>
        <w:rPr>
          <w:rStyle w:val="FootnoteReference"/>
        </w:rPr>
        <w:footnoteReference w:id="304"/>
      </w:r>
    </w:p>
    <w:p w14:paraId="0B819F7A" w14:textId="77777777" w:rsidR="00494B49" w:rsidRDefault="00494B49">
      <w:pPr>
        <w:pStyle w:val="BHead5"/>
      </w:pPr>
      <w:r>
        <w:t>(a) Excluded Rental Income</w:t>
      </w:r>
    </w:p>
    <w:p w14:paraId="06CFCA7D" w14:textId="77777777" w:rsidR="00494B49" w:rsidRDefault="00494B49">
      <w:pPr>
        <w:pStyle w:val="BNormal"/>
      </w:pPr>
      <w:r>
        <w:t xml:space="preserve">The 2013 Final Regulations provide that, for rental income treated as nonpassive under Reg. </w:t>
      </w:r>
      <w:smartTag w:uri="http://www.bna.com/sgml2word/cite" w:element="cite.cfr">
        <w:smartTagPr>
          <w:attr w:name="ref" w:val="cfr\26\1.469-2(f)(6)"/>
        </w:smartTagPr>
        <w:r>
          <w:t>§1.469-2(f)(6)</w:t>
        </w:r>
      </w:smartTag>
      <w:r>
        <w:t xml:space="preserve"> (which generally recharacterizes otherwise passive rental income from a taxpayer’s property as nonpassive when the taxpayer rents the property for use in an activity in which the taxpayer materially participates), the gross rental income is deemed to be derived in the ordinary course of a trade or business.</w:t>
      </w:r>
      <w:r>
        <w:rPr>
          <w:rStyle w:val="FootnoteReference"/>
        </w:rPr>
        <w:footnoteReference w:id="305"/>
      </w:r>
    </w:p>
    <w:p w14:paraId="6C97D59B" w14:textId="77777777" w:rsidR="00494B49" w:rsidRDefault="00494B49" w:rsidP="006951DA">
      <w:pPr>
        <w:pStyle w:val="BNormal"/>
      </w:pPr>
      <w:r>
        <w:t xml:space="preserve">Interestingly, the 2013 Final Regulations deem only the portion of the rental income that is recharacterized as nonpassive to be derived in a trade or business (versus the entire activity). Reconsider the example above: </w:t>
      </w:r>
    </w:p>
    <w:p w14:paraId="17EA7DFE" w14:textId="77777777" w:rsidR="00494B49" w:rsidRDefault="00494B49" w:rsidP="006951DA">
      <w:pPr>
        <w:pStyle w:val="BNormal"/>
      </w:pPr>
    </w:p>
    <w:tbl>
      <w:tblPr>
        <w:tblStyle w:val="TableGrid"/>
        <w:tblW w:w="0" w:type="auto"/>
        <w:tblLook w:val="04A0" w:firstRow="1" w:lastRow="0" w:firstColumn="1" w:lastColumn="0" w:noHBand="0" w:noVBand="1"/>
      </w:tblPr>
      <w:tblGrid>
        <w:gridCol w:w="2378"/>
        <w:gridCol w:w="2310"/>
        <w:gridCol w:w="2352"/>
        <w:gridCol w:w="2310"/>
      </w:tblGrid>
      <w:tr w:rsidR="00494B49" w14:paraId="5B09FF83" w14:textId="77777777">
        <w:tc>
          <w:tcPr>
            <w:tcW w:w="2520" w:type="dxa"/>
          </w:tcPr>
          <w:p w14:paraId="19F0354B" w14:textId="77777777" w:rsidR="00494B49" w:rsidRDefault="00494B49"/>
        </w:tc>
        <w:tc>
          <w:tcPr>
            <w:tcW w:w="2520" w:type="dxa"/>
          </w:tcPr>
          <w:p w14:paraId="2F3944AE" w14:textId="77777777" w:rsidR="00494B49" w:rsidRDefault="00494B49">
            <w:r>
              <w:t xml:space="preserve"> </w:t>
            </w:r>
            <w:r>
              <w:rPr>
                <w:b/>
              </w:rPr>
              <w:t>Passive</w:t>
            </w:r>
          </w:p>
        </w:tc>
        <w:tc>
          <w:tcPr>
            <w:tcW w:w="2520" w:type="dxa"/>
          </w:tcPr>
          <w:p w14:paraId="430C9729" w14:textId="77777777" w:rsidR="00494B49" w:rsidRDefault="00494B49">
            <w:r>
              <w:t xml:space="preserve"> </w:t>
            </w:r>
            <w:r>
              <w:rPr>
                <w:b/>
              </w:rPr>
              <w:t>Nonpassive</w:t>
            </w:r>
          </w:p>
        </w:tc>
        <w:tc>
          <w:tcPr>
            <w:tcW w:w="2520" w:type="dxa"/>
          </w:tcPr>
          <w:p w14:paraId="550FD277" w14:textId="77777777" w:rsidR="00494B49" w:rsidRDefault="00494B49">
            <w:r>
              <w:t xml:space="preserve"> </w:t>
            </w:r>
            <w:r>
              <w:rPr>
                <w:b/>
              </w:rPr>
              <w:t>Total</w:t>
            </w:r>
          </w:p>
        </w:tc>
      </w:tr>
      <w:tr w:rsidR="00494B49" w14:paraId="27173CA0" w14:textId="77777777">
        <w:tc>
          <w:tcPr>
            <w:tcW w:w="2520" w:type="dxa"/>
          </w:tcPr>
          <w:p w14:paraId="299C2E17" w14:textId="77777777" w:rsidR="00494B49" w:rsidRDefault="00494B49">
            <w:r>
              <w:t xml:space="preserve"> </w:t>
            </w:r>
            <w:r>
              <w:rPr>
                <w:b/>
              </w:rPr>
              <w:t>Income</w:t>
            </w:r>
          </w:p>
        </w:tc>
        <w:tc>
          <w:tcPr>
            <w:tcW w:w="2520" w:type="dxa"/>
          </w:tcPr>
          <w:p w14:paraId="67A0F89A" w14:textId="77777777" w:rsidR="00494B49" w:rsidRDefault="00494B49">
            <w:r>
              <w:t>$8,000</w:t>
            </w:r>
          </w:p>
        </w:tc>
        <w:tc>
          <w:tcPr>
            <w:tcW w:w="2520" w:type="dxa"/>
          </w:tcPr>
          <w:p w14:paraId="256E1A64" w14:textId="77777777" w:rsidR="00494B49" w:rsidRDefault="00494B49">
            <w:r>
              <w:t>$2,000</w:t>
            </w:r>
          </w:p>
        </w:tc>
        <w:tc>
          <w:tcPr>
            <w:tcW w:w="2520" w:type="dxa"/>
          </w:tcPr>
          <w:p w14:paraId="0BF73E21" w14:textId="77777777" w:rsidR="00494B49" w:rsidRDefault="00494B49">
            <w:r>
              <w:t>$10,000</w:t>
            </w:r>
          </w:p>
        </w:tc>
      </w:tr>
      <w:tr w:rsidR="00494B49" w14:paraId="17166FC0" w14:textId="77777777">
        <w:tc>
          <w:tcPr>
            <w:tcW w:w="2520" w:type="dxa"/>
          </w:tcPr>
          <w:p w14:paraId="417D8849" w14:textId="77777777" w:rsidR="00494B49" w:rsidRDefault="00494B49">
            <w:r>
              <w:t xml:space="preserve"> </w:t>
            </w:r>
            <w:r>
              <w:rPr>
                <w:b/>
              </w:rPr>
              <w:t>Deductions</w:t>
            </w:r>
          </w:p>
        </w:tc>
        <w:tc>
          <w:tcPr>
            <w:tcW w:w="2520" w:type="dxa"/>
          </w:tcPr>
          <w:p w14:paraId="07E24146" w14:textId="77777777" w:rsidR="00494B49" w:rsidRDefault="00494B49">
            <w:r>
              <w:t>($8,000)</w:t>
            </w:r>
          </w:p>
        </w:tc>
        <w:tc>
          <w:tcPr>
            <w:tcW w:w="2520" w:type="dxa"/>
          </w:tcPr>
          <w:p w14:paraId="0DEECB5C" w14:textId="77777777" w:rsidR="00494B49" w:rsidRDefault="00494B49">
            <w:r>
              <w:t>$0</w:t>
            </w:r>
          </w:p>
        </w:tc>
        <w:tc>
          <w:tcPr>
            <w:tcW w:w="2520" w:type="dxa"/>
          </w:tcPr>
          <w:p w14:paraId="1CFC535A" w14:textId="77777777" w:rsidR="00494B49" w:rsidRDefault="00494B49">
            <w:r>
              <w:t>($8,000)</w:t>
            </w:r>
          </w:p>
        </w:tc>
      </w:tr>
      <w:tr w:rsidR="00494B49" w14:paraId="53FCB20D" w14:textId="77777777">
        <w:tc>
          <w:tcPr>
            <w:tcW w:w="2520" w:type="dxa"/>
          </w:tcPr>
          <w:p w14:paraId="52C9DA3D" w14:textId="77777777" w:rsidR="00494B49" w:rsidRDefault="00494B49">
            <w:r>
              <w:t xml:space="preserve"> </w:t>
            </w:r>
            <w:r>
              <w:rPr>
                <w:b/>
              </w:rPr>
              <w:t>Net Income/(Loss)</w:t>
            </w:r>
          </w:p>
        </w:tc>
        <w:tc>
          <w:tcPr>
            <w:tcW w:w="2520" w:type="dxa"/>
          </w:tcPr>
          <w:p w14:paraId="24C6268F" w14:textId="77777777" w:rsidR="00494B49" w:rsidRDefault="00494B49">
            <w:r>
              <w:t>$0</w:t>
            </w:r>
          </w:p>
        </w:tc>
        <w:tc>
          <w:tcPr>
            <w:tcW w:w="2520" w:type="dxa"/>
          </w:tcPr>
          <w:p w14:paraId="60C211F7" w14:textId="77777777" w:rsidR="00494B49" w:rsidRDefault="00494B49">
            <w:r>
              <w:t>$2,000</w:t>
            </w:r>
          </w:p>
        </w:tc>
        <w:tc>
          <w:tcPr>
            <w:tcW w:w="2520" w:type="dxa"/>
          </w:tcPr>
          <w:p w14:paraId="10381EA7" w14:textId="77777777" w:rsidR="00494B49" w:rsidRDefault="00494B49">
            <w:r>
              <w:t>$2,000</w:t>
            </w:r>
          </w:p>
        </w:tc>
      </w:tr>
    </w:tbl>
    <w:p w14:paraId="20477E35" w14:textId="77777777" w:rsidR="00494B49" w:rsidRDefault="00494B49">
      <w:pPr>
        <w:pStyle w:val="BNormal"/>
      </w:pPr>
    </w:p>
    <w:p w14:paraId="71C176CA" w14:textId="77777777" w:rsidR="00494B49" w:rsidRDefault="00494B49">
      <w:pPr>
        <w:pStyle w:val="BNormal"/>
      </w:pPr>
      <w:r>
        <w:t xml:space="preserve">The regulations treat the $2,000 that is classified a nonpassive as derived in the ordinary course of a trade or business not described in </w:t>
      </w:r>
      <w:smartTag w:uri="http://www.bna.com/sgml2word/cite" w:element="cite.usc">
        <w:smartTagPr>
          <w:attr w:name="ref" w:val="USC\26\1411(c)(2)"/>
        </w:smartTagPr>
        <w:r>
          <w:t>§1411(c)(2)</w:t>
        </w:r>
      </w:smartTag>
      <w:r>
        <w:t xml:space="preserve">. The end result of the rule is that the entire self-charged rental activity is excluded. Despite the simplicity of the outcome, the underlying mechanics are complicated. </w:t>
      </w:r>
    </w:p>
    <w:p w14:paraId="25F724C9" w14:textId="77777777" w:rsidR="00494B49" w:rsidRDefault="00494B49">
      <w:pPr>
        <w:pStyle w:val="BNormal"/>
      </w:pPr>
      <w:r>
        <w:t xml:space="preserve">In the example above, the rule in Reg. </w:t>
      </w:r>
      <w:smartTag w:uri="http://www.bna.com/sgml2word/cite" w:element="cite.cfr">
        <w:smartTagPr>
          <w:attr w:name="ref" w:val="cfr\26\1.1411-4(g)(6)(i)"/>
        </w:smartTagPr>
        <w:r>
          <w:t>§1.1411-4(g)(6)(i)</w:t>
        </w:r>
      </w:smartTag>
      <w:r>
        <w:t xml:space="preserve"> leaves the gross rental income that is considered passive ($8,000 in the example) as </w:t>
      </w:r>
      <w:smartTag w:uri="http://www.bna.com/sgml2word/cite" w:element="cite.usc">
        <w:smartTagPr>
          <w:attr w:name="ref" w:val="USC\26\1411(c)(1)(A)(i)"/>
        </w:smartTagPr>
        <w:r>
          <w:t>§1411(c)(1)(A)(i)</w:t>
        </w:r>
      </w:smartTag>
      <w:r>
        <w:t xml:space="preserve"> income and the $8,000 that is deductible under </w:t>
      </w:r>
      <w:smartTag w:uri="http://www.bna.com/sgml2word/cite" w:element="cite.usc">
        <w:smartTagPr>
          <w:attr w:name="ref" w:val="USC\26\1411(c)(1)(B)"/>
        </w:smartTagPr>
        <w:r>
          <w:t>§1411(c)(1)(B)</w:t>
        </w:r>
      </w:smartTag>
      <w:r>
        <w:t xml:space="preserve"> as “properly allocable” to the $8,000 of includible net investment income. </w:t>
      </w:r>
    </w:p>
    <w:p w14:paraId="154B012C" w14:textId="77777777" w:rsidR="00494B49" w:rsidRDefault="00494B49">
      <w:pPr>
        <w:pStyle w:val="BNormal"/>
      </w:pPr>
      <w:r>
        <w:t xml:space="preserve">To the casual observer, these mechanics may seem academic. But they are relevant, particularly because self-rental is not always considered nonpassive. Consider the following two-year example: </w:t>
      </w:r>
    </w:p>
    <w:p w14:paraId="7978B9C4" w14:textId="77777777" w:rsidR="00494B49" w:rsidRDefault="00494B49" w:rsidP="006951DA">
      <w:pPr>
        <w:pStyle w:val="BNormal"/>
        <w:rPr>
          <w:b/>
        </w:rPr>
      </w:pPr>
      <w:r>
        <w:t xml:space="preserve"> </w:t>
      </w:r>
      <w:r>
        <w:rPr>
          <w:b/>
        </w:rPr>
        <w:t xml:space="preserve">Year 1 </w:t>
      </w:r>
    </w:p>
    <w:p w14:paraId="277B8AAB" w14:textId="77777777" w:rsidR="00494B49" w:rsidRDefault="00494B49" w:rsidP="006951DA">
      <w:pPr>
        <w:pStyle w:val="BNormal"/>
      </w:pPr>
    </w:p>
    <w:tbl>
      <w:tblPr>
        <w:tblStyle w:val="TableGrid"/>
        <w:tblW w:w="0" w:type="auto"/>
        <w:tblLook w:val="04A0" w:firstRow="1" w:lastRow="0" w:firstColumn="1" w:lastColumn="0" w:noHBand="0" w:noVBand="1"/>
      </w:tblPr>
      <w:tblGrid>
        <w:gridCol w:w="2372"/>
        <w:gridCol w:w="2316"/>
        <w:gridCol w:w="2346"/>
        <w:gridCol w:w="2316"/>
      </w:tblGrid>
      <w:tr w:rsidR="00494B49" w14:paraId="352396D2" w14:textId="77777777">
        <w:tc>
          <w:tcPr>
            <w:tcW w:w="2520" w:type="dxa"/>
          </w:tcPr>
          <w:p w14:paraId="49837C57" w14:textId="77777777" w:rsidR="00494B49" w:rsidRDefault="00494B49"/>
        </w:tc>
        <w:tc>
          <w:tcPr>
            <w:tcW w:w="2520" w:type="dxa"/>
          </w:tcPr>
          <w:p w14:paraId="5445F49D" w14:textId="77777777" w:rsidR="00494B49" w:rsidRDefault="00494B49">
            <w:r>
              <w:t xml:space="preserve"> </w:t>
            </w:r>
            <w:r>
              <w:rPr>
                <w:b/>
              </w:rPr>
              <w:t>Passive</w:t>
            </w:r>
          </w:p>
        </w:tc>
        <w:tc>
          <w:tcPr>
            <w:tcW w:w="2520" w:type="dxa"/>
          </w:tcPr>
          <w:p w14:paraId="1AC6112A" w14:textId="77777777" w:rsidR="00494B49" w:rsidRDefault="00494B49">
            <w:r>
              <w:t xml:space="preserve"> </w:t>
            </w:r>
            <w:r>
              <w:rPr>
                <w:b/>
              </w:rPr>
              <w:t>Nonpassive</w:t>
            </w:r>
          </w:p>
        </w:tc>
        <w:tc>
          <w:tcPr>
            <w:tcW w:w="2520" w:type="dxa"/>
          </w:tcPr>
          <w:p w14:paraId="3B8D41D7" w14:textId="77777777" w:rsidR="00494B49" w:rsidRDefault="00494B49">
            <w:r>
              <w:t xml:space="preserve"> </w:t>
            </w:r>
            <w:r>
              <w:rPr>
                <w:b/>
              </w:rPr>
              <w:t>Total</w:t>
            </w:r>
          </w:p>
        </w:tc>
      </w:tr>
      <w:tr w:rsidR="00494B49" w14:paraId="0DC03AEA" w14:textId="77777777">
        <w:tc>
          <w:tcPr>
            <w:tcW w:w="2520" w:type="dxa"/>
          </w:tcPr>
          <w:p w14:paraId="315DB53B" w14:textId="77777777" w:rsidR="00494B49" w:rsidRDefault="00494B49">
            <w:r>
              <w:t xml:space="preserve"> </w:t>
            </w:r>
            <w:r>
              <w:rPr>
                <w:b/>
              </w:rPr>
              <w:t>Income</w:t>
            </w:r>
          </w:p>
        </w:tc>
        <w:tc>
          <w:tcPr>
            <w:tcW w:w="2520" w:type="dxa"/>
          </w:tcPr>
          <w:p w14:paraId="72FE6216" w14:textId="77777777" w:rsidR="00494B49" w:rsidRDefault="00494B49">
            <w:r>
              <w:t>$10,000</w:t>
            </w:r>
          </w:p>
        </w:tc>
        <w:tc>
          <w:tcPr>
            <w:tcW w:w="2520" w:type="dxa"/>
          </w:tcPr>
          <w:p w14:paraId="2405D50A" w14:textId="77777777" w:rsidR="00494B49" w:rsidRDefault="00494B49">
            <w:r>
              <w:t>$0</w:t>
            </w:r>
          </w:p>
        </w:tc>
        <w:tc>
          <w:tcPr>
            <w:tcW w:w="2520" w:type="dxa"/>
          </w:tcPr>
          <w:p w14:paraId="0ECA9B9B" w14:textId="77777777" w:rsidR="00494B49" w:rsidRDefault="00494B49">
            <w:r>
              <w:t>$10,000</w:t>
            </w:r>
          </w:p>
        </w:tc>
      </w:tr>
      <w:tr w:rsidR="00494B49" w14:paraId="0C994E94" w14:textId="77777777">
        <w:tc>
          <w:tcPr>
            <w:tcW w:w="2520" w:type="dxa"/>
          </w:tcPr>
          <w:p w14:paraId="22A0DFED" w14:textId="77777777" w:rsidR="00494B49" w:rsidRDefault="00494B49">
            <w:r>
              <w:t xml:space="preserve"> </w:t>
            </w:r>
            <w:r>
              <w:rPr>
                <w:b/>
              </w:rPr>
              <w:t>Deductions</w:t>
            </w:r>
          </w:p>
        </w:tc>
        <w:tc>
          <w:tcPr>
            <w:tcW w:w="2520" w:type="dxa"/>
          </w:tcPr>
          <w:p w14:paraId="10BB546D" w14:textId="77777777" w:rsidR="00494B49" w:rsidRDefault="00494B49">
            <w:r>
              <w:t>($11,000)</w:t>
            </w:r>
          </w:p>
        </w:tc>
        <w:tc>
          <w:tcPr>
            <w:tcW w:w="2520" w:type="dxa"/>
          </w:tcPr>
          <w:p w14:paraId="7DA29E74" w14:textId="77777777" w:rsidR="00494B49" w:rsidRDefault="00494B49">
            <w:r>
              <w:t>$0</w:t>
            </w:r>
          </w:p>
        </w:tc>
        <w:tc>
          <w:tcPr>
            <w:tcW w:w="2520" w:type="dxa"/>
          </w:tcPr>
          <w:p w14:paraId="62A5C592" w14:textId="77777777" w:rsidR="00494B49" w:rsidRDefault="00494B49">
            <w:r>
              <w:t>($11,000)</w:t>
            </w:r>
          </w:p>
        </w:tc>
      </w:tr>
      <w:tr w:rsidR="00494B49" w14:paraId="6B9922B2" w14:textId="77777777">
        <w:tc>
          <w:tcPr>
            <w:tcW w:w="2520" w:type="dxa"/>
          </w:tcPr>
          <w:p w14:paraId="706843C0" w14:textId="77777777" w:rsidR="00494B49" w:rsidRDefault="00494B49">
            <w:r>
              <w:t xml:space="preserve"> </w:t>
            </w:r>
            <w:r>
              <w:rPr>
                <w:b/>
              </w:rPr>
              <w:t xml:space="preserve">Loss Suspended </w:t>
            </w:r>
          </w:p>
        </w:tc>
        <w:tc>
          <w:tcPr>
            <w:tcW w:w="2520" w:type="dxa"/>
          </w:tcPr>
          <w:p w14:paraId="6AFC2198" w14:textId="77777777" w:rsidR="00494B49" w:rsidRDefault="00494B49">
            <w:r>
              <w:t>$1,000</w:t>
            </w:r>
          </w:p>
        </w:tc>
        <w:tc>
          <w:tcPr>
            <w:tcW w:w="2520" w:type="dxa"/>
          </w:tcPr>
          <w:p w14:paraId="65A1C65E" w14:textId="77777777" w:rsidR="00494B49" w:rsidRDefault="00494B49">
            <w:r>
              <w:t>$0</w:t>
            </w:r>
          </w:p>
        </w:tc>
        <w:tc>
          <w:tcPr>
            <w:tcW w:w="2520" w:type="dxa"/>
          </w:tcPr>
          <w:p w14:paraId="0A43F19F" w14:textId="77777777" w:rsidR="00494B49" w:rsidRDefault="00494B49">
            <w:r>
              <w:t>$1,000</w:t>
            </w:r>
          </w:p>
        </w:tc>
      </w:tr>
      <w:tr w:rsidR="00494B49" w14:paraId="2A11A884" w14:textId="77777777">
        <w:tc>
          <w:tcPr>
            <w:tcW w:w="2520" w:type="dxa"/>
          </w:tcPr>
          <w:p w14:paraId="6CD500DF" w14:textId="77777777" w:rsidR="00494B49" w:rsidRDefault="00494B49">
            <w:r>
              <w:t xml:space="preserve"> </w:t>
            </w:r>
            <w:r>
              <w:rPr>
                <w:b/>
              </w:rPr>
              <w:t>Net Income/(Loss)</w:t>
            </w:r>
          </w:p>
        </w:tc>
        <w:tc>
          <w:tcPr>
            <w:tcW w:w="2520" w:type="dxa"/>
          </w:tcPr>
          <w:p w14:paraId="428F4EBE" w14:textId="77777777" w:rsidR="00494B49" w:rsidRDefault="00494B49">
            <w:r>
              <w:t>$0</w:t>
            </w:r>
          </w:p>
        </w:tc>
        <w:tc>
          <w:tcPr>
            <w:tcW w:w="2520" w:type="dxa"/>
          </w:tcPr>
          <w:p w14:paraId="0ECC9FE0" w14:textId="77777777" w:rsidR="00494B49" w:rsidRDefault="00494B49">
            <w:r>
              <w:t>$0</w:t>
            </w:r>
          </w:p>
        </w:tc>
        <w:tc>
          <w:tcPr>
            <w:tcW w:w="2520" w:type="dxa"/>
          </w:tcPr>
          <w:p w14:paraId="5B1E077A" w14:textId="77777777" w:rsidR="00494B49" w:rsidRDefault="00494B49">
            <w:r>
              <w:t>$0</w:t>
            </w:r>
          </w:p>
        </w:tc>
      </w:tr>
    </w:tbl>
    <w:p w14:paraId="027A9797" w14:textId="77777777" w:rsidR="00494B49" w:rsidRDefault="00494B49">
      <w:pPr>
        <w:pStyle w:val="BNormal"/>
      </w:pPr>
    </w:p>
    <w:p w14:paraId="341621D8" w14:textId="77777777" w:rsidR="00494B49" w:rsidRDefault="00494B49" w:rsidP="006951DA">
      <w:pPr>
        <w:pStyle w:val="BNormal"/>
        <w:rPr>
          <w:b/>
        </w:rPr>
      </w:pPr>
      <w:r>
        <w:lastRenderedPageBreak/>
        <w:t xml:space="preserve"> </w:t>
      </w:r>
      <w:r>
        <w:rPr>
          <w:b/>
        </w:rPr>
        <w:t>Year 2</w:t>
      </w:r>
    </w:p>
    <w:p w14:paraId="501D38D5" w14:textId="77777777" w:rsidR="00494B49" w:rsidRDefault="00494B49" w:rsidP="006951DA">
      <w:pPr>
        <w:pStyle w:val="BNormal"/>
      </w:pPr>
    </w:p>
    <w:tbl>
      <w:tblPr>
        <w:tblStyle w:val="TableGrid"/>
        <w:tblW w:w="0" w:type="auto"/>
        <w:tblLook w:val="04A0" w:firstRow="1" w:lastRow="0" w:firstColumn="1" w:lastColumn="0" w:noHBand="0" w:noVBand="1"/>
      </w:tblPr>
      <w:tblGrid>
        <w:gridCol w:w="2378"/>
        <w:gridCol w:w="2310"/>
        <w:gridCol w:w="2352"/>
        <w:gridCol w:w="2310"/>
      </w:tblGrid>
      <w:tr w:rsidR="00494B49" w14:paraId="03E6E208" w14:textId="77777777">
        <w:tc>
          <w:tcPr>
            <w:tcW w:w="2520" w:type="dxa"/>
          </w:tcPr>
          <w:p w14:paraId="0C1A1A4D" w14:textId="77777777" w:rsidR="00494B49" w:rsidRDefault="00494B49"/>
        </w:tc>
        <w:tc>
          <w:tcPr>
            <w:tcW w:w="2520" w:type="dxa"/>
          </w:tcPr>
          <w:p w14:paraId="606FA40F" w14:textId="77777777" w:rsidR="00494B49" w:rsidRDefault="00494B49">
            <w:r>
              <w:t xml:space="preserve"> </w:t>
            </w:r>
            <w:r>
              <w:rPr>
                <w:b/>
              </w:rPr>
              <w:t>Passive</w:t>
            </w:r>
          </w:p>
        </w:tc>
        <w:tc>
          <w:tcPr>
            <w:tcW w:w="2520" w:type="dxa"/>
          </w:tcPr>
          <w:p w14:paraId="35F5B41C" w14:textId="77777777" w:rsidR="00494B49" w:rsidRDefault="00494B49">
            <w:r>
              <w:t xml:space="preserve"> </w:t>
            </w:r>
            <w:r>
              <w:rPr>
                <w:b/>
              </w:rPr>
              <w:t>Nonpassive</w:t>
            </w:r>
          </w:p>
        </w:tc>
        <w:tc>
          <w:tcPr>
            <w:tcW w:w="2520" w:type="dxa"/>
          </w:tcPr>
          <w:p w14:paraId="2E0B55CA" w14:textId="77777777" w:rsidR="00494B49" w:rsidRDefault="00494B49">
            <w:r>
              <w:t xml:space="preserve"> </w:t>
            </w:r>
            <w:r>
              <w:rPr>
                <w:b/>
              </w:rPr>
              <w:t>Total</w:t>
            </w:r>
          </w:p>
        </w:tc>
      </w:tr>
      <w:tr w:rsidR="00494B49" w14:paraId="4523B27B" w14:textId="77777777">
        <w:tc>
          <w:tcPr>
            <w:tcW w:w="2520" w:type="dxa"/>
          </w:tcPr>
          <w:p w14:paraId="4B79F07F" w14:textId="77777777" w:rsidR="00494B49" w:rsidRDefault="00494B49">
            <w:r>
              <w:t xml:space="preserve"> </w:t>
            </w:r>
            <w:r>
              <w:rPr>
                <w:b/>
              </w:rPr>
              <w:t>Income</w:t>
            </w:r>
          </w:p>
        </w:tc>
        <w:tc>
          <w:tcPr>
            <w:tcW w:w="2520" w:type="dxa"/>
          </w:tcPr>
          <w:p w14:paraId="200C1CB1" w14:textId="77777777" w:rsidR="00494B49" w:rsidRDefault="00494B49">
            <w:r>
              <w:t>$9,000</w:t>
            </w:r>
          </w:p>
        </w:tc>
        <w:tc>
          <w:tcPr>
            <w:tcW w:w="2520" w:type="dxa"/>
          </w:tcPr>
          <w:p w14:paraId="0BB58301" w14:textId="77777777" w:rsidR="00494B49" w:rsidRDefault="00494B49">
            <w:r>
              <w:t>$1,000</w:t>
            </w:r>
          </w:p>
        </w:tc>
        <w:tc>
          <w:tcPr>
            <w:tcW w:w="2520" w:type="dxa"/>
          </w:tcPr>
          <w:p w14:paraId="4D6F6287" w14:textId="77777777" w:rsidR="00494B49" w:rsidRDefault="00494B49">
            <w:r>
              <w:t>$10,000</w:t>
            </w:r>
          </w:p>
        </w:tc>
      </w:tr>
      <w:tr w:rsidR="00494B49" w14:paraId="669B5FD0" w14:textId="77777777">
        <w:tc>
          <w:tcPr>
            <w:tcW w:w="2520" w:type="dxa"/>
          </w:tcPr>
          <w:p w14:paraId="0582DF92" w14:textId="77777777" w:rsidR="00494B49" w:rsidRDefault="00494B49">
            <w:r>
              <w:t xml:space="preserve"> </w:t>
            </w:r>
            <w:r>
              <w:rPr>
                <w:b/>
              </w:rPr>
              <w:t>Deductions</w:t>
            </w:r>
          </w:p>
        </w:tc>
        <w:tc>
          <w:tcPr>
            <w:tcW w:w="2520" w:type="dxa"/>
          </w:tcPr>
          <w:p w14:paraId="08C79113" w14:textId="77777777" w:rsidR="00494B49" w:rsidRDefault="00494B49">
            <w:r>
              <w:t>($8,000)</w:t>
            </w:r>
          </w:p>
        </w:tc>
        <w:tc>
          <w:tcPr>
            <w:tcW w:w="2520" w:type="dxa"/>
          </w:tcPr>
          <w:p w14:paraId="6B153FBF" w14:textId="77777777" w:rsidR="00494B49" w:rsidRDefault="00494B49">
            <w:r>
              <w:t>$0</w:t>
            </w:r>
          </w:p>
        </w:tc>
        <w:tc>
          <w:tcPr>
            <w:tcW w:w="2520" w:type="dxa"/>
          </w:tcPr>
          <w:p w14:paraId="293B64EB" w14:textId="77777777" w:rsidR="00494B49" w:rsidRDefault="00494B49">
            <w:r>
              <w:t>($8,000)</w:t>
            </w:r>
          </w:p>
        </w:tc>
      </w:tr>
      <w:tr w:rsidR="00494B49" w14:paraId="0BC3E8A1" w14:textId="77777777">
        <w:tc>
          <w:tcPr>
            <w:tcW w:w="2520" w:type="dxa"/>
          </w:tcPr>
          <w:p w14:paraId="71B7A399" w14:textId="77777777" w:rsidR="00494B49" w:rsidRDefault="00494B49">
            <w:r>
              <w:t xml:space="preserve"> </w:t>
            </w:r>
            <w:r>
              <w:rPr>
                <w:b/>
              </w:rPr>
              <w:t>Year 1 Loss Allowed</w:t>
            </w:r>
          </w:p>
        </w:tc>
        <w:tc>
          <w:tcPr>
            <w:tcW w:w="2520" w:type="dxa"/>
          </w:tcPr>
          <w:p w14:paraId="2D0C1A25" w14:textId="77777777" w:rsidR="00494B49" w:rsidRDefault="00494B49">
            <w:r>
              <w:t>($1,000)</w:t>
            </w:r>
          </w:p>
        </w:tc>
        <w:tc>
          <w:tcPr>
            <w:tcW w:w="2520" w:type="dxa"/>
          </w:tcPr>
          <w:p w14:paraId="4453D721" w14:textId="77777777" w:rsidR="00494B49" w:rsidRDefault="00494B49">
            <w:r>
              <w:t>$0</w:t>
            </w:r>
          </w:p>
        </w:tc>
        <w:tc>
          <w:tcPr>
            <w:tcW w:w="2520" w:type="dxa"/>
          </w:tcPr>
          <w:p w14:paraId="5F70F716" w14:textId="77777777" w:rsidR="00494B49" w:rsidRDefault="00494B49">
            <w:r>
              <w:t>($8,000)</w:t>
            </w:r>
          </w:p>
        </w:tc>
      </w:tr>
      <w:tr w:rsidR="00494B49" w14:paraId="58671E5B" w14:textId="77777777">
        <w:tc>
          <w:tcPr>
            <w:tcW w:w="2520" w:type="dxa"/>
          </w:tcPr>
          <w:p w14:paraId="75C00F99" w14:textId="77777777" w:rsidR="00494B49" w:rsidRDefault="00494B49">
            <w:r>
              <w:t xml:space="preserve"> </w:t>
            </w:r>
            <w:r>
              <w:rPr>
                <w:b/>
              </w:rPr>
              <w:t>Net Income/(Loss)</w:t>
            </w:r>
          </w:p>
        </w:tc>
        <w:tc>
          <w:tcPr>
            <w:tcW w:w="2520" w:type="dxa"/>
          </w:tcPr>
          <w:p w14:paraId="642359BD" w14:textId="77777777" w:rsidR="00494B49" w:rsidRDefault="00494B49">
            <w:r>
              <w:t>$0</w:t>
            </w:r>
          </w:p>
        </w:tc>
        <w:tc>
          <w:tcPr>
            <w:tcW w:w="2520" w:type="dxa"/>
          </w:tcPr>
          <w:p w14:paraId="3B369CEC" w14:textId="77777777" w:rsidR="00494B49" w:rsidRDefault="00494B49">
            <w:r>
              <w:t>$1,000</w:t>
            </w:r>
          </w:p>
        </w:tc>
        <w:tc>
          <w:tcPr>
            <w:tcW w:w="2520" w:type="dxa"/>
          </w:tcPr>
          <w:p w14:paraId="392EEDD7" w14:textId="77777777" w:rsidR="00494B49" w:rsidRDefault="00494B49">
            <w:r>
              <w:t>$1,000</w:t>
            </w:r>
          </w:p>
        </w:tc>
      </w:tr>
    </w:tbl>
    <w:p w14:paraId="07046D51" w14:textId="77777777" w:rsidR="00494B49" w:rsidRDefault="00494B49">
      <w:pPr>
        <w:pStyle w:val="BNormal"/>
      </w:pPr>
    </w:p>
    <w:p w14:paraId="4FE27140" w14:textId="77777777" w:rsidR="00494B49" w:rsidRDefault="00494B49">
      <w:pPr>
        <w:pStyle w:val="BNormal"/>
      </w:pPr>
      <w:r>
        <w:t xml:space="preserve">In the example above, none of the taxpayer’s income is recharacterized as nonpassive because the self-rental has passive deductions ($11,000) in excess of passive income ($10,000). Therefore, the special rule in Reg. </w:t>
      </w:r>
      <w:smartTag w:uri="http://www.bna.com/sgml2word/cite" w:element="cite.cfr">
        <w:smartTagPr>
          <w:attr w:name="ref" w:val="cfr\26\1.1411-4(g)(6)(i)"/>
        </w:smartTagPr>
        <w:r>
          <w:t>§1.1411-4(g)(6)(i)</w:t>
        </w:r>
      </w:smartTag>
      <w:r>
        <w:t xml:space="preserve"> is not activated. For net investment income purposes, the taxpayer has $10,000 of </w:t>
      </w:r>
      <w:smartTag w:uri="http://www.bna.com/sgml2word/cite" w:element="cite.usc">
        <w:smartTagPr>
          <w:attr w:name="ref" w:val="USC\26\1411(c)(1)(A)(i)"/>
        </w:smartTagPr>
        <w:r>
          <w:t>§1411(c)(1)(A)(i)</w:t>
        </w:r>
      </w:smartTag>
      <w:r>
        <w:t xml:space="preserve"> income and $10,000 of </w:t>
      </w:r>
      <w:smartTag w:uri="http://www.bna.com/sgml2word/cite" w:element="cite.usc">
        <w:smartTagPr>
          <w:attr w:name="ref" w:val="USC\26\1411(c)(1)(B)"/>
        </w:smartTagPr>
        <w:r>
          <w:t>§1411(c)(1)(B)</w:t>
        </w:r>
      </w:smartTag>
      <w:r>
        <w:t xml:space="preserve"> deductions. </w:t>
      </w:r>
    </w:p>
    <w:p w14:paraId="3D1F8043" w14:textId="77777777" w:rsidR="00494B49" w:rsidRDefault="00494B49">
      <w:pPr>
        <w:pStyle w:val="BNormal"/>
      </w:pPr>
      <w:r>
        <w:t>In Year 2, due to the mechanics of the passive loss rules, the suspended $1,000 of deductions from Year 1 are treated as accruing in Year 2.</w:t>
      </w:r>
      <w:r>
        <w:rPr>
          <w:rStyle w:val="FootnoteReference"/>
        </w:rPr>
        <w:footnoteReference w:id="306"/>
      </w:r>
      <w:r>
        <w:t xml:space="preserve"> Because the taxpayer’s passive deductions were $9,000 in Year 2, only $9,000 of the rental income is considered passive, and the remaining $1,000 is recharacterized as nonpassive under Reg. </w:t>
      </w:r>
      <w:smartTag w:uri="http://www.bna.com/sgml2word/cite" w:element="cite.cfr">
        <w:smartTagPr>
          <w:attr w:name="ref" w:val="cfr\26\1.469-2(f)(6)"/>
        </w:smartTagPr>
        <w:r>
          <w:t>§1.469-2(f)(6)</w:t>
        </w:r>
      </w:smartTag>
      <w:r>
        <w:t xml:space="preserve">. For net investment income purposes, the taxpayer has $9,000 of </w:t>
      </w:r>
      <w:smartTag w:uri="http://www.bna.com/sgml2word/cite" w:element="cite.usc">
        <w:smartTagPr>
          <w:attr w:name="ref" w:val="USC\26\1411(c)(1)(A)(i)"/>
        </w:smartTagPr>
        <w:r>
          <w:t>§1411(c)(1)(A)(i)</w:t>
        </w:r>
      </w:smartTag>
      <w:r>
        <w:t xml:space="preserve"> income and $9,000 of </w:t>
      </w:r>
      <w:smartTag w:uri="http://www.bna.com/sgml2word/cite" w:element="cite.usc">
        <w:smartTagPr>
          <w:attr w:name="ref" w:val="USC\26\1411(c)(1)(B)"/>
        </w:smartTagPr>
        <w:r>
          <w:t>§1411(c)(1)(B)</w:t>
        </w:r>
      </w:smartTag>
      <w:r>
        <w:t xml:space="preserve"> deductions. Reg. </w:t>
      </w:r>
      <w:smartTag w:uri="http://www.bna.com/sgml2word/cite" w:element="cite.cfr">
        <w:smartTagPr>
          <w:attr w:name="ref" w:val="cfr\26\1.1411-4(g)(6)(i)"/>
        </w:smartTagPr>
        <w:r>
          <w:t>§1.1411-4(g)(6)(i)</w:t>
        </w:r>
      </w:smartTag>
      <w:r>
        <w:t xml:space="preserve"> excludes the $1,000 of nonpassive rental income. </w:t>
      </w:r>
    </w:p>
    <w:p w14:paraId="7C886646" w14:textId="77777777" w:rsidR="00494B49" w:rsidRDefault="00494B49">
      <w:pPr>
        <w:pStyle w:val="BHead5"/>
      </w:pPr>
      <w:r>
        <w:t>(b) Exclusion of Gain on Disposition of Self-Rented Property</w:t>
      </w:r>
    </w:p>
    <w:p w14:paraId="17C886C4" w14:textId="77777777" w:rsidR="00494B49" w:rsidRDefault="00494B49">
      <w:pPr>
        <w:pStyle w:val="BNormal"/>
      </w:pPr>
      <w:r>
        <w:t>The 2013 Final Regulations provide that any gain or loss from the assets associated with the rental activity that is treated as nonpassive will be treated as gain or loss attributable to the disposition of property held in a nonpassive trade or business.</w:t>
      </w:r>
      <w:r>
        <w:rPr>
          <w:rStyle w:val="FootnoteReference"/>
        </w:rPr>
        <w:footnoteReference w:id="307"/>
      </w:r>
    </w:p>
    <w:p w14:paraId="02E6C015" w14:textId="77777777" w:rsidR="00494B49" w:rsidRDefault="00494B49">
      <w:pPr>
        <w:pStyle w:val="BNormal"/>
      </w:pPr>
      <w:r>
        <w:t xml:space="preserve">As with the self-rental income, only the portion of the gain that is considered nonpassive is excluded from net investment income. This may appear intuitive, but consider the following example: </w:t>
      </w:r>
    </w:p>
    <w:p w14:paraId="6963A5EA" w14:textId="77777777" w:rsidR="00494B49" w:rsidRDefault="00494B49" w:rsidP="006951DA">
      <w:pPr>
        <w:pStyle w:val="BNormal"/>
        <w:rPr>
          <w:b/>
        </w:rPr>
      </w:pPr>
      <w:r>
        <w:t xml:space="preserve"> </w:t>
      </w:r>
      <w:r>
        <w:rPr>
          <w:b/>
        </w:rPr>
        <w:t xml:space="preserve">Year 1 </w:t>
      </w:r>
    </w:p>
    <w:p w14:paraId="2EE0FC5F" w14:textId="77777777" w:rsidR="00494B49" w:rsidRDefault="00494B49" w:rsidP="006951DA">
      <w:pPr>
        <w:pStyle w:val="BNormal"/>
      </w:pPr>
    </w:p>
    <w:tbl>
      <w:tblPr>
        <w:tblStyle w:val="TableGrid"/>
        <w:tblW w:w="0" w:type="auto"/>
        <w:tblLook w:val="04A0" w:firstRow="1" w:lastRow="0" w:firstColumn="1" w:lastColumn="0" w:noHBand="0" w:noVBand="1"/>
      </w:tblPr>
      <w:tblGrid>
        <w:gridCol w:w="2369"/>
        <w:gridCol w:w="2317"/>
        <w:gridCol w:w="2347"/>
        <w:gridCol w:w="2317"/>
      </w:tblGrid>
      <w:tr w:rsidR="00494B49" w14:paraId="1BB88C94" w14:textId="77777777">
        <w:tc>
          <w:tcPr>
            <w:tcW w:w="2520" w:type="dxa"/>
          </w:tcPr>
          <w:p w14:paraId="083E8462" w14:textId="77777777" w:rsidR="00494B49" w:rsidRDefault="00494B49"/>
        </w:tc>
        <w:tc>
          <w:tcPr>
            <w:tcW w:w="2520" w:type="dxa"/>
          </w:tcPr>
          <w:p w14:paraId="61695C19" w14:textId="77777777" w:rsidR="00494B49" w:rsidRDefault="00494B49">
            <w:r>
              <w:t xml:space="preserve"> </w:t>
            </w:r>
            <w:r>
              <w:rPr>
                <w:b/>
              </w:rPr>
              <w:t>Passive</w:t>
            </w:r>
          </w:p>
        </w:tc>
        <w:tc>
          <w:tcPr>
            <w:tcW w:w="2520" w:type="dxa"/>
          </w:tcPr>
          <w:p w14:paraId="21FF0346" w14:textId="77777777" w:rsidR="00494B49" w:rsidRDefault="00494B49">
            <w:r>
              <w:t xml:space="preserve"> </w:t>
            </w:r>
            <w:r>
              <w:rPr>
                <w:b/>
              </w:rPr>
              <w:t>Nonpassive</w:t>
            </w:r>
          </w:p>
        </w:tc>
        <w:tc>
          <w:tcPr>
            <w:tcW w:w="2520" w:type="dxa"/>
          </w:tcPr>
          <w:p w14:paraId="4F2D6640" w14:textId="77777777" w:rsidR="00494B49" w:rsidRDefault="00494B49">
            <w:r>
              <w:t xml:space="preserve"> </w:t>
            </w:r>
            <w:r>
              <w:rPr>
                <w:b/>
              </w:rPr>
              <w:t>Total</w:t>
            </w:r>
          </w:p>
        </w:tc>
      </w:tr>
      <w:tr w:rsidR="00494B49" w14:paraId="25078C75" w14:textId="77777777">
        <w:tc>
          <w:tcPr>
            <w:tcW w:w="2520" w:type="dxa"/>
          </w:tcPr>
          <w:p w14:paraId="11F5CFC0" w14:textId="77777777" w:rsidR="00494B49" w:rsidRDefault="00494B49">
            <w:r>
              <w:t xml:space="preserve"> </w:t>
            </w:r>
            <w:r>
              <w:rPr>
                <w:b/>
              </w:rPr>
              <w:t>Income</w:t>
            </w:r>
          </w:p>
        </w:tc>
        <w:tc>
          <w:tcPr>
            <w:tcW w:w="2520" w:type="dxa"/>
          </w:tcPr>
          <w:p w14:paraId="1E2FC541" w14:textId="77777777" w:rsidR="00494B49" w:rsidRDefault="00494B49">
            <w:r>
              <w:t>$10,000</w:t>
            </w:r>
          </w:p>
        </w:tc>
        <w:tc>
          <w:tcPr>
            <w:tcW w:w="2520" w:type="dxa"/>
          </w:tcPr>
          <w:p w14:paraId="29AF138D" w14:textId="77777777" w:rsidR="00494B49" w:rsidRDefault="00494B49">
            <w:r>
              <w:t>$0</w:t>
            </w:r>
          </w:p>
        </w:tc>
        <w:tc>
          <w:tcPr>
            <w:tcW w:w="2520" w:type="dxa"/>
          </w:tcPr>
          <w:p w14:paraId="3C8DBFE5" w14:textId="77777777" w:rsidR="00494B49" w:rsidRDefault="00494B49">
            <w:r>
              <w:t>$10,000</w:t>
            </w:r>
          </w:p>
        </w:tc>
      </w:tr>
      <w:tr w:rsidR="00494B49" w14:paraId="52B4D560" w14:textId="77777777">
        <w:tc>
          <w:tcPr>
            <w:tcW w:w="2520" w:type="dxa"/>
          </w:tcPr>
          <w:p w14:paraId="2DA43D4C" w14:textId="77777777" w:rsidR="00494B49" w:rsidRDefault="00494B49">
            <w:r>
              <w:t xml:space="preserve"> </w:t>
            </w:r>
            <w:r>
              <w:rPr>
                <w:b/>
              </w:rPr>
              <w:t>Deductions</w:t>
            </w:r>
          </w:p>
        </w:tc>
        <w:tc>
          <w:tcPr>
            <w:tcW w:w="2520" w:type="dxa"/>
          </w:tcPr>
          <w:p w14:paraId="10D04974" w14:textId="77777777" w:rsidR="00494B49" w:rsidRDefault="00494B49">
            <w:r>
              <w:t>($11,000)</w:t>
            </w:r>
          </w:p>
        </w:tc>
        <w:tc>
          <w:tcPr>
            <w:tcW w:w="2520" w:type="dxa"/>
          </w:tcPr>
          <w:p w14:paraId="219EAD80" w14:textId="77777777" w:rsidR="00494B49" w:rsidRDefault="00494B49">
            <w:r>
              <w:t>$0</w:t>
            </w:r>
          </w:p>
        </w:tc>
        <w:tc>
          <w:tcPr>
            <w:tcW w:w="2520" w:type="dxa"/>
          </w:tcPr>
          <w:p w14:paraId="5F72D07B" w14:textId="77777777" w:rsidR="00494B49" w:rsidRDefault="00494B49">
            <w:r>
              <w:t>($11,000)</w:t>
            </w:r>
          </w:p>
        </w:tc>
      </w:tr>
      <w:tr w:rsidR="00494B49" w14:paraId="7C5E4107" w14:textId="77777777">
        <w:tc>
          <w:tcPr>
            <w:tcW w:w="2520" w:type="dxa"/>
          </w:tcPr>
          <w:p w14:paraId="7E6AA3C8" w14:textId="77777777" w:rsidR="00494B49" w:rsidRDefault="00494B49">
            <w:r>
              <w:t xml:space="preserve"> </w:t>
            </w:r>
            <w:r>
              <w:rPr>
                <w:b/>
              </w:rPr>
              <w:t xml:space="preserve">Loss suspended </w:t>
            </w:r>
          </w:p>
        </w:tc>
        <w:tc>
          <w:tcPr>
            <w:tcW w:w="2520" w:type="dxa"/>
          </w:tcPr>
          <w:p w14:paraId="5C1A1CAD" w14:textId="77777777" w:rsidR="00494B49" w:rsidRDefault="00494B49">
            <w:r>
              <w:t>$1,000</w:t>
            </w:r>
          </w:p>
        </w:tc>
        <w:tc>
          <w:tcPr>
            <w:tcW w:w="2520" w:type="dxa"/>
          </w:tcPr>
          <w:p w14:paraId="70CAFDC6" w14:textId="77777777" w:rsidR="00494B49" w:rsidRDefault="00494B49">
            <w:r>
              <w:t>$0</w:t>
            </w:r>
          </w:p>
        </w:tc>
        <w:tc>
          <w:tcPr>
            <w:tcW w:w="2520" w:type="dxa"/>
          </w:tcPr>
          <w:p w14:paraId="36768878" w14:textId="77777777" w:rsidR="00494B49" w:rsidRDefault="00494B49">
            <w:r>
              <w:t>$1,000</w:t>
            </w:r>
          </w:p>
        </w:tc>
      </w:tr>
      <w:tr w:rsidR="00494B49" w14:paraId="3FEF84AE" w14:textId="77777777">
        <w:tc>
          <w:tcPr>
            <w:tcW w:w="2520" w:type="dxa"/>
          </w:tcPr>
          <w:p w14:paraId="46F196CA" w14:textId="77777777" w:rsidR="00494B49" w:rsidRDefault="00494B49">
            <w:r>
              <w:t xml:space="preserve"> </w:t>
            </w:r>
            <w:r>
              <w:rPr>
                <w:b/>
              </w:rPr>
              <w:t>Net income/(loss)</w:t>
            </w:r>
          </w:p>
        </w:tc>
        <w:tc>
          <w:tcPr>
            <w:tcW w:w="2520" w:type="dxa"/>
          </w:tcPr>
          <w:p w14:paraId="3D3296EE" w14:textId="77777777" w:rsidR="00494B49" w:rsidRDefault="00494B49">
            <w:r>
              <w:t>$0</w:t>
            </w:r>
          </w:p>
        </w:tc>
        <w:tc>
          <w:tcPr>
            <w:tcW w:w="2520" w:type="dxa"/>
          </w:tcPr>
          <w:p w14:paraId="58D4F03E" w14:textId="77777777" w:rsidR="00494B49" w:rsidRDefault="00494B49">
            <w:r>
              <w:t>$0</w:t>
            </w:r>
          </w:p>
        </w:tc>
        <w:tc>
          <w:tcPr>
            <w:tcW w:w="2520" w:type="dxa"/>
          </w:tcPr>
          <w:p w14:paraId="7C1154CF" w14:textId="77777777" w:rsidR="00494B49" w:rsidRDefault="00494B49">
            <w:r>
              <w:t>$0</w:t>
            </w:r>
          </w:p>
        </w:tc>
      </w:tr>
    </w:tbl>
    <w:p w14:paraId="62C1EE3C" w14:textId="77777777" w:rsidR="00494B49" w:rsidRDefault="00494B49">
      <w:pPr>
        <w:pStyle w:val="BNormal"/>
      </w:pPr>
    </w:p>
    <w:p w14:paraId="44DD6AA2" w14:textId="77777777" w:rsidR="00494B49" w:rsidRDefault="00494B49" w:rsidP="006951DA">
      <w:pPr>
        <w:pStyle w:val="BNormal"/>
        <w:rPr>
          <w:b/>
        </w:rPr>
      </w:pPr>
      <w:r>
        <w:t xml:space="preserve"> </w:t>
      </w:r>
      <w:r>
        <w:rPr>
          <w:b/>
        </w:rPr>
        <w:t>Year 2</w:t>
      </w:r>
    </w:p>
    <w:p w14:paraId="7D50A5D6" w14:textId="77777777" w:rsidR="00494B49" w:rsidRDefault="00494B49" w:rsidP="006951DA">
      <w:pPr>
        <w:pStyle w:val="BNormal"/>
      </w:pPr>
    </w:p>
    <w:tbl>
      <w:tblPr>
        <w:tblStyle w:val="TableGrid"/>
        <w:tblW w:w="0" w:type="auto"/>
        <w:tblLook w:val="04A0" w:firstRow="1" w:lastRow="0" w:firstColumn="1" w:lastColumn="0" w:noHBand="0" w:noVBand="1"/>
      </w:tblPr>
      <w:tblGrid>
        <w:gridCol w:w="2373"/>
        <w:gridCol w:w="2312"/>
        <w:gridCol w:w="2353"/>
        <w:gridCol w:w="2312"/>
      </w:tblGrid>
      <w:tr w:rsidR="00494B49" w14:paraId="7E9188EF" w14:textId="77777777">
        <w:tc>
          <w:tcPr>
            <w:tcW w:w="2520" w:type="dxa"/>
          </w:tcPr>
          <w:p w14:paraId="19F6EC8B" w14:textId="77777777" w:rsidR="00494B49" w:rsidRDefault="00494B49"/>
        </w:tc>
        <w:tc>
          <w:tcPr>
            <w:tcW w:w="2520" w:type="dxa"/>
          </w:tcPr>
          <w:p w14:paraId="30DD5641" w14:textId="77777777" w:rsidR="00494B49" w:rsidRDefault="00494B49">
            <w:r>
              <w:t xml:space="preserve"> </w:t>
            </w:r>
            <w:r>
              <w:rPr>
                <w:b/>
              </w:rPr>
              <w:t>Passive</w:t>
            </w:r>
          </w:p>
        </w:tc>
        <w:tc>
          <w:tcPr>
            <w:tcW w:w="2520" w:type="dxa"/>
          </w:tcPr>
          <w:p w14:paraId="3642D993" w14:textId="77777777" w:rsidR="00494B49" w:rsidRDefault="00494B49">
            <w:r>
              <w:t xml:space="preserve"> </w:t>
            </w:r>
            <w:r>
              <w:rPr>
                <w:b/>
              </w:rPr>
              <w:t>Nonpassive</w:t>
            </w:r>
          </w:p>
        </w:tc>
        <w:tc>
          <w:tcPr>
            <w:tcW w:w="2520" w:type="dxa"/>
          </w:tcPr>
          <w:p w14:paraId="3DA1ADB3" w14:textId="77777777" w:rsidR="00494B49" w:rsidRDefault="00494B49">
            <w:r>
              <w:t xml:space="preserve"> </w:t>
            </w:r>
            <w:r>
              <w:rPr>
                <w:b/>
              </w:rPr>
              <w:t>Total</w:t>
            </w:r>
          </w:p>
        </w:tc>
      </w:tr>
      <w:tr w:rsidR="00494B49" w14:paraId="5EF4F2E5" w14:textId="77777777">
        <w:tc>
          <w:tcPr>
            <w:tcW w:w="2520" w:type="dxa"/>
          </w:tcPr>
          <w:p w14:paraId="303F4205" w14:textId="77777777" w:rsidR="00494B49" w:rsidRDefault="00494B49">
            <w:r>
              <w:t xml:space="preserve"> </w:t>
            </w:r>
            <w:r>
              <w:rPr>
                <w:b/>
              </w:rPr>
              <w:t>Gain on the sale</w:t>
            </w:r>
          </w:p>
        </w:tc>
        <w:tc>
          <w:tcPr>
            <w:tcW w:w="2520" w:type="dxa"/>
          </w:tcPr>
          <w:p w14:paraId="05D483C6" w14:textId="77777777" w:rsidR="00494B49" w:rsidRDefault="00494B49">
            <w:r>
              <w:t>$1,000</w:t>
            </w:r>
          </w:p>
        </w:tc>
        <w:tc>
          <w:tcPr>
            <w:tcW w:w="2520" w:type="dxa"/>
          </w:tcPr>
          <w:p w14:paraId="44D0011F" w14:textId="77777777" w:rsidR="00494B49" w:rsidRDefault="00494B49">
            <w:r>
              <w:t>$9,000</w:t>
            </w:r>
          </w:p>
        </w:tc>
        <w:tc>
          <w:tcPr>
            <w:tcW w:w="2520" w:type="dxa"/>
          </w:tcPr>
          <w:p w14:paraId="7AC7D2F5" w14:textId="77777777" w:rsidR="00494B49" w:rsidRDefault="00494B49">
            <w:r>
              <w:t>$10,000</w:t>
            </w:r>
          </w:p>
        </w:tc>
      </w:tr>
      <w:tr w:rsidR="00494B49" w14:paraId="525AC798" w14:textId="77777777">
        <w:tc>
          <w:tcPr>
            <w:tcW w:w="2520" w:type="dxa"/>
          </w:tcPr>
          <w:p w14:paraId="761718A0" w14:textId="77777777" w:rsidR="00494B49" w:rsidRDefault="00494B49">
            <w:r>
              <w:lastRenderedPageBreak/>
              <w:t xml:space="preserve"> </w:t>
            </w:r>
            <w:r>
              <w:rPr>
                <w:b/>
              </w:rPr>
              <w:t>Deductions</w:t>
            </w:r>
          </w:p>
        </w:tc>
        <w:tc>
          <w:tcPr>
            <w:tcW w:w="2520" w:type="dxa"/>
          </w:tcPr>
          <w:p w14:paraId="6F189F5E" w14:textId="77777777" w:rsidR="00494B49" w:rsidRDefault="00494B49">
            <w:r>
              <w:t>$0</w:t>
            </w:r>
          </w:p>
        </w:tc>
        <w:tc>
          <w:tcPr>
            <w:tcW w:w="2520" w:type="dxa"/>
          </w:tcPr>
          <w:p w14:paraId="1EA6D30F" w14:textId="77777777" w:rsidR="00494B49" w:rsidRDefault="00494B49">
            <w:r>
              <w:t>$0</w:t>
            </w:r>
          </w:p>
        </w:tc>
        <w:tc>
          <w:tcPr>
            <w:tcW w:w="2520" w:type="dxa"/>
          </w:tcPr>
          <w:p w14:paraId="00FBAE4F" w14:textId="77777777" w:rsidR="00494B49" w:rsidRDefault="00494B49">
            <w:r>
              <w:t>$0</w:t>
            </w:r>
          </w:p>
        </w:tc>
      </w:tr>
      <w:tr w:rsidR="00494B49" w14:paraId="32852351" w14:textId="77777777">
        <w:tc>
          <w:tcPr>
            <w:tcW w:w="2520" w:type="dxa"/>
          </w:tcPr>
          <w:p w14:paraId="7FA7E337" w14:textId="77777777" w:rsidR="00494B49" w:rsidRDefault="00494B49">
            <w:r>
              <w:t xml:space="preserve"> </w:t>
            </w:r>
            <w:r>
              <w:rPr>
                <w:b/>
              </w:rPr>
              <w:t>Year 1 loss allowed</w:t>
            </w:r>
          </w:p>
        </w:tc>
        <w:tc>
          <w:tcPr>
            <w:tcW w:w="2520" w:type="dxa"/>
          </w:tcPr>
          <w:p w14:paraId="66C4A7D8" w14:textId="77777777" w:rsidR="00494B49" w:rsidRDefault="00494B49">
            <w:r>
              <w:t>($1,000)</w:t>
            </w:r>
          </w:p>
        </w:tc>
        <w:tc>
          <w:tcPr>
            <w:tcW w:w="2520" w:type="dxa"/>
          </w:tcPr>
          <w:p w14:paraId="2167F4D8" w14:textId="77777777" w:rsidR="00494B49" w:rsidRDefault="00494B49">
            <w:r>
              <w:t>$0</w:t>
            </w:r>
          </w:p>
        </w:tc>
        <w:tc>
          <w:tcPr>
            <w:tcW w:w="2520" w:type="dxa"/>
          </w:tcPr>
          <w:p w14:paraId="2C28C11C" w14:textId="77777777" w:rsidR="00494B49" w:rsidRDefault="00494B49">
            <w:r>
              <w:t>($1,000)</w:t>
            </w:r>
          </w:p>
        </w:tc>
      </w:tr>
      <w:tr w:rsidR="00494B49" w14:paraId="116F43E5" w14:textId="77777777">
        <w:tc>
          <w:tcPr>
            <w:tcW w:w="2520" w:type="dxa"/>
          </w:tcPr>
          <w:p w14:paraId="38A8B397" w14:textId="77777777" w:rsidR="00494B49" w:rsidRDefault="00494B49">
            <w:r>
              <w:t xml:space="preserve"> </w:t>
            </w:r>
            <w:r>
              <w:rPr>
                <w:b/>
              </w:rPr>
              <w:t>Net income/(loss)</w:t>
            </w:r>
          </w:p>
        </w:tc>
        <w:tc>
          <w:tcPr>
            <w:tcW w:w="2520" w:type="dxa"/>
          </w:tcPr>
          <w:p w14:paraId="3AFE878A" w14:textId="77777777" w:rsidR="00494B49" w:rsidRDefault="00494B49">
            <w:r>
              <w:t>$0</w:t>
            </w:r>
          </w:p>
        </w:tc>
        <w:tc>
          <w:tcPr>
            <w:tcW w:w="2520" w:type="dxa"/>
          </w:tcPr>
          <w:p w14:paraId="51A2913F" w14:textId="77777777" w:rsidR="00494B49" w:rsidRDefault="00494B49">
            <w:r>
              <w:t>$9,000</w:t>
            </w:r>
          </w:p>
        </w:tc>
        <w:tc>
          <w:tcPr>
            <w:tcW w:w="2520" w:type="dxa"/>
          </w:tcPr>
          <w:p w14:paraId="64AB0F1A" w14:textId="77777777" w:rsidR="00494B49" w:rsidRDefault="00494B49">
            <w:r>
              <w:t>$9,000</w:t>
            </w:r>
          </w:p>
        </w:tc>
      </w:tr>
    </w:tbl>
    <w:p w14:paraId="748C6DCC" w14:textId="77777777" w:rsidR="00494B49" w:rsidRDefault="00494B49">
      <w:pPr>
        <w:pStyle w:val="BNormal"/>
      </w:pPr>
    </w:p>
    <w:p w14:paraId="4A5D217F" w14:textId="77777777" w:rsidR="00494B49" w:rsidRDefault="00494B49">
      <w:pPr>
        <w:pStyle w:val="BNormal"/>
      </w:pPr>
      <w:r>
        <w:t xml:space="preserve">Under the </w:t>
      </w:r>
      <w:smartTag w:uri="http://www.bna.com/sgml2word/cite" w:element="cite.usc">
        <w:smartTagPr>
          <w:attr w:name="ref" w:val="USC\26\469"/>
        </w:smartTagPr>
        <w:r>
          <w:t>§469</w:t>
        </w:r>
      </w:smartTag>
      <w:r>
        <w:t xml:space="preserve"> rules, gain from the disposition of property used in a passive activity is treated as passive activity income.</w:t>
      </w:r>
      <w:r>
        <w:rPr>
          <w:rStyle w:val="FootnoteReference"/>
        </w:rPr>
        <w:footnoteReference w:id="308"/>
      </w:r>
      <w:r>
        <w:t xml:space="preserve"> When this concept is combined with Reg. </w:t>
      </w:r>
      <w:smartTag w:uri="http://www.bna.com/sgml2word/cite" w:element="cite.cfr">
        <w:smartTagPr>
          <w:attr w:name="ref" w:val="cfr\26\1.469-2(f)(6)"/>
        </w:smartTagPr>
        <w:r>
          <w:t>§1.469-2(f)(6)</w:t>
        </w:r>
      </w:smartTag>
      <w:r>
        <w:t xml:space="preserve">, only a portion of the $10,000 gain is excluded. In this case, the suspended loss from Year 1 will be allowed as a deduction under </w:t>
      </w:r>
      <w:smartTag w:uri="http://www.bna.com/sgml2word/cite" w:element="cite.usc">
        <w:smartTagPr>
          <w:attr w:name="ref" w:val="USC\26\1411(c)(1)(B)"/>
        </w:smartTagPr>
        <w:r>
          <w:t>§1411(c)(1)(B)</w:t>
        </w:r>
      </w:smartTag>
      <w:r>
        <w:t xml:space="preserve"> and $1,000 of the gain will be included in net gain under </w:t>
      </w:r>
      <w:smartTag w:uri="http://www.bna.com/sgml2word/cite" w:element="cite.usc">
        <w:smartTagPr>
          <w:attr w:name="ref" w:val="USC\26\1411(c)(1)(A)(iii)"/>
        </w:smartTagPr>
        <w:r>
          <w:t>§1411(c)(1)(A)(iii)</w:t>
        </w:r>
      </w:smartTag>
      <w:r>
        <w:t xml:space="preserve"> because it is attributable to property used in a passive activity.</w:t>
      </w:r>
      <w:r>
        <w:rPr>
          <w:rStyle w:val="FootnoteReference"/>
        </w:rPr>
        <w:footnoteReference w:id="309"/>
      </w:r>
      <w:r>
        <w:t xml:space="preserve"> Reg. </w:t>
      </w:r>
      <w:smartTag w:uri="http://www.bna.com/sgml2word/cite" w:element="cite.cfr">
        <w:smartTagPr>
          <w:attr w:name="ref" w:val="cfr\26\1.1411-4(g)(6)(ii)"/>
        </w:smartTagPr>
        <w:r>
          <w:t>§1.1411-4(g)(6)(ii)</w:t>
        </w:r>
      </w:smartTag>
      <w:r>
        <w:t xml:space="preserve"> excludes the $9,000 from net investment income. </w:t>
      </w:r>
    </w:p>
    <w:p w14:paraId="71DADEAC" w14:textId="77777777" w:rsidR="00494B49" w:rsidRDefault="00494B49">
      <w:pPr>
        <w:pStyle w:val="BHead3"/>
      </w:pPr>
      <w:r>
        <w:t>d. Rents Received by Real Estate Professionals</w:t>
      </w:r>
    </w:p>
    <w:p w14:paraId="749D6F02" w14:textId="77777777" w:rsidR="00494B49" w:rsidRDefault="00494B49">
      <w:pPr>
        <w:pStyle w:val="BHead4"/>
      </w:pPr>
      <w:r>
        <w:t>(1) Overview of Section 469 Treatment of Real Estate Professionals</w:t>
      </w:r>
    </w:p>
    <w:p w14:paraId="56B889C0" w14:textId="77777777" w:rsidR="00494B49" w:rsidRDefault="00494B49">
      <w:pPr>
        <w:pStyle w:val="BNormal"/>
      </w:pPr>
      <w:r>
        <w:t xml:space="preserve">In general, </w:t>
      </w:r>
      <w:smartTag w:uri="http://www.bna.com/sgml2word/cite" w:element="cite.usc">
        <w:smartTagPr>
          <w:attr w:name="ref" w:val="USC\26\469(c)(7)"/>
        </w:smartTagPr>
        <w:r>
          <w:t>§469(c)(7)</w:t>
        </w:r>
      </w:smartTag>
      <w:r>
        <w:t xml:space="preserve"> and Reg. </w:t>
      </w:r>
      <w:smartTag w:uri="http://www.bna.com/sgml2word/cite" w:element="cite.cfr">
        <w:smartTagPr>
          <w:attr w:name="ref" w:val="cfr\26\1.469-9"/>
        </w:smartTagPr>
        <w:r>
          <w:t>§1.469-9</w:t>
        </w:r>
      </w:smartTag>
      <w:r>
        <w:t xml:space="preserve"> provide special rules for certain individual taxpayers involved in the conduct of real property trades or businesses (real estate professionals). If a taxpayer meets the requirements to be a real estate professional in </w:t>
      </w:r>
      <w:smartTag w:uri="http://www.bna.com/sgml2word/cite" w:element="cite.usc">
        <w:smartTagPr>
          <w:attr w:name="ref" w:val="USC\26\469(c)(7)(B)"/>
        </w:smartTagPr>
        <w:r>
          <w:t>§469(c)(7)(B)</w:t>
        </w:r>
      </w:smartTag>
      <w:r>
        <w:t xml:space="preserve">, the taxpayer’s interests in rental real estate are no longer subject to </w:t>
      </w:r>
      <w:smartTag w:uri="http://www.bna.com/sgml2word/cite" w:element="cite.usc">
        <w:smartTagPr>
          <w:attr w:name="ref" w:val="USC\26\469(c)(2)"/>
        </w:smartTagPr>
        <w:r>
          <w:t>§469(c)(2)</w:t>
        </w:r>
      </w:smartTag>
      <w:r>
        <w:t>, and the rental real estate activities of the taxpayer will not be passive activities if the taxpayer materially participates in each of those activities. Real estate professional status is determined yearly.</w:t>
      </w:r>
      <w:r>
        <w:rPr>
          <w:rStyle w:val="FootnoteReference"/>
        </w:rPr>
        <w:footnoteReference w:id="310"/>
      </w:r>
    </w:p>
    <w:p w14:paraId="0089657E" w14:textId="77777777" w:rsidR="00494B49" w:rsidRDefault="00494B49">
      <w:pPr>
        <w:pStyle w:val="BNormal"/>
      </w:pPr>
      <w:r>
        <w:t xml:space="preserve">To qualify as a real estate professional under </w:t>
      </w:r>
      <w:smartTag w:uri="http://www.bna.com/sgml2word/cite" w:element="cite.usc">
        <w:smartTagPr>
          <w:attr w:name="ref" w:val="USC\26\469(c)(7)(B)"/>
        </w:smartTagPr>
        <w:r>
          <w:t>§469(c)(7)(B)</w:t>
        </w:r>
      </w:smartTag>
      <w:r>
        <w:t>, an individual must meet two tests: (i) more than half of the “personal services”</w:t>
      </w:r>
      <w:r>
        <w:rPr>
          <w:rStyle w:val="FootnoteReference"/>
        </w:rPr>
        <w:footnoteReference w:id="311"/>
      </w:r>
      <w:r>
        <w:t xml:space="preserve"> the taxpayer performs during the tax year must be performed in real property trades or businesses in which the taxpayer materially participates;</w:t>
      </w:r>
      <w:r>
        <w:rPr>
          <w:rStyle w:val="FootnoteReference"/>
        </w:rPr>
        <w:footnoteReference w:id="312"/>
      </w:r>
      <w:r>
        <w:t xml:space="preserve"> and (ii) the taxpayer must perform more than 750 hours of services during the tax year in real property trades or businesses in which the taxpayer materially participates.</w:t>
      </w:r>
      <w:r>
        <w:rPr>
          <w:rStyle w:val="FootnoteReference"/>
        </w:rPr>
        <w:footnoteReference w:id="313"/>
      </w:r>
      <w:r>
        <w:t xml:space="preserve"> For purposes of this test, real property trades or businesses are real property development, redevelopment, construction, reconstruction, acquisition, conversion, rental, operation, management, leasing, or brokerage trade or business.</w:t>
      </w:r>
      <w:r>
        <w:rPr>
          <w:rStyle w:val="FootnoteReference"/>
        </w:rPr>
        <w:footnoteReference w:id="314"/>
      </w:r>
    </w:p>
    <w:p w14:paraId="320744FA" w14:textId="77777777" w:rsidR="00494B49" w:rsidRDefault="00494B49">
      <w:pPr>
        <w:pStyle w:val="BNormal"/>
      </w:pPr>
      <w:r>
        <w:t xml:space="preserve">In general, “personal services” include any work an individual performed in connection with a trade or business included in </w:t>
      </w:r>
      <w:smartTag w:uri="http://www.bna.com/sgml2word/cite" w:element="cite.usc">
        <w:smartTagPr>
          <w:attr w:name="ref" w:val="USC\26\469(c)(7)(C)"/>
        </w:smartTagPr>
        <w:r>
          <w:t>§469(c)(7)(C)</w:t>
        </w:r>
      </w:smartTag>
      <w:r>
        <w:t>, but not investor hours</w:t>
      </w:r>
      <w:r>
        <w:rPr>
          <w:rStyle w:val="FootnoteReference"/>
        </w:rPr>
        <w:footnoteReference w:id="315"/>
      </w:r>
      <w:r>
        <w:t xml:space="preserve"> or certain employee hours</w:t>
      </w:r>
      <w:r>
        <w:rPr>
          <w:rStyle w:val="FootnoteReference"/>
        </w:rPr>
        <w:footnoteReference w:id="316"/>
      </w:r>
      <w:r>
        <w:t xml:space="preserve"> that would not count in determining material participation. However, for purposes of </w:t>
      </w:r>
      <w:r>
        <w:lastRenderedPageBreak/>
        <w:t xml:space="preserve">testing “personal services” and trades or businesses in </w:t>
      </w:r>
      <w:smartTag w:uri="http://www.bna.com/sgml2word/cite" w:element="cite.usc">
        <w:smartTagPr>
          <w:attr w:name="ref" w:val="USC\26\469(c)(7)(C)"/>
        </w:smartTagPr>
        <w:r>
          <w:t>§469(c)(7)(C)</w:t>
        </w:r>
      </w:smartTag>
      <w:r>
        <w:t xml:space="preserve">, </w:t>
      </w:r>
      <w:smartTag w:uri="http://www.bna.com/sgml2word/cite" w:element="cite.usc">
        <w:smartTagPr>
          <w:attr w:name="ref" w:val="USC\26\212"/>
        </w:smartTagPr>
        <w:r>
          <w:t>§212</w:t>
        </w:r>
      </w:smartTag>
      <w:r>
        <w:t xml:space="preserve"> real estate activities are included.</w:t>
      </w:r>
      <w:r>
        <w:rPr>
          <w:rStyle w:val="FootnoteReference"/>
        </w:rPr>
        <w:footnoteReference w:id="317"/>
      </w:r>
    </w:p>
    <w:p w14:paraId="5BEDF91F" w14:textId="77777777" w:rsidR="00494B49" w:rsidRDefault="00494B49">
      <w:pPr>
        <w:pStyle w:val="BNormal"/>
      </w:pPr>
      <w:r>
        <w:t xml:space="preserve">Once an individual establishes real estate professional status, that status allows the taxpayer to treat rental real estate activities as nonpassive only if the taxpayer satisfies at least one of the tests for material participation in Reg. </w:t>
      </w:r>
      <w:smartTag w:uri="http://www.bna.com/sgml2word/cite" w:element="cite.cfr">
        <w:smartTagPr>
          <w:attr w:name="ref" w:val="cfr\26\1.469-5T"/>
        </w:smartTagPr>
        <w:r>
          <w:t>§1.469-5T</w:t>
        </w:r>
      </w:smartTag>
      <w:r>
        <w:t>.</w:t>
      </w:r>
      <w:r>
        <w:rPr>
          <w:rStyle w:val="FootnoteReference"/>
        </w:rPr>
        <w:footnoteReference w:id="318"/>
      </w:r>
    </w:p>
    <w:p w14:paraId="537AF87C" w14:textId="77777777" w:rsidR="00494B49" w:rsidRDefault="00494B49">
      <w:pPr>
        <w:pStyle w:val="BHead4"/>
      </w:pPr>
      <w:r>
        <w:t xml:space="preserve">(2) Disconnects Between Sections 469 and 1411 </w:t>
      </w:r>
    </w:p>
    <w:p w14:paraId="2F9B8384" w14:textId="77777777" w:rsidR="00494B49" w:rsidRDefault="00494B49">
      <w:pPr>
        <w:pStyle w:val="BNormal"/>
      </w:pPr>
      <w:r>
        <w:t xml:space="preserve">There are several definitional problems for real estate professionals that prove problematic for a clean integration of the passive loss rule and the NIIT system. These issues involve the Reg. </w:t>
      </w:r>
      <w:smartTag w:uri="http://www.bna.com/sgml2word/cite" w:element="cite.cfr">
        <w:smartTagPr>
          <w:attr w:name="ref" w:val="cfr\26\1.469-9"/>
        </w:smartTagPr>
        <w:r>
          <w:t>§1.469-9</w:t>
        </w:r>
      </w:smartTag>
      <w:r>
        <w:t xml:space="preserve"> definition of a real property trade or business for purposes of </w:t>
      </w:r>
      <w:smartTag w:uri="http://www.bna.com/sgml2word/cite" w:element="cite.usc">
        <w:smartTagPr>
          <w:attr w:name="ref" w:val="USC\26\469(c)(7)"/>
        </w:smartTagPr>
        <w:r>
          <w:t>§469(c)(7)</w:t>
        </w:r>
      </w:smartTag>
      <w:r>
        <w:t xml:space="preserve"> that are not easily aligned with the statutory language in </w:t>
      </w:r>
      <w:smartTag w:uri="http://www.bna.com/sgml2word/cite" w:element="cite.usc">
        <w:smartTagPr>
          <w:attr w:name="ref" w:val="USC\26\1411"/>
        </w:smartTagPr>
        <w:r>
          <w:t>§1411</w:t>
        </w:r>
      </w:smartTag>
      <w:r>
        <w:t>.</w:t>
      </w:r>
    </w:p>
    <w:p w14:paraId="7C1129F4" w14:textId="77777777" w:rsidR="00494B49" w:rsidRDefault="00494B49">
      <w:pPr>
        <w:pStyle w:val="BNormal"/>
      </w:pPr>
      <w:r>
        <w:t xml:space="preserve">First, Reg. </w:t>
      </w:r>
      <w:smartTag w:uri="http://www.bna.com/sgml2word/cite" w:element="cite.cfr">
        <w:smartTagPr>
          <w:attr w:name="ref" w:val="cfr\26\1.469-9(b)(1)"/>
        </w:smartTagPr>
        <w:r>
          <w:t>§1.469-9(b)(1)</w:t>
        </w:r>
      </w:smartTag>
      <w:r>
        <w:t xml:space="preserve"> deems any interest in real estate giving rise to </w:t>
      </w:r>
      <w:smartTag w:uri="http://www.bna.com/sgml2word/cite" w:element="cite.usc">
        <w:smartTagPr>
          <w:attr w:name="ref" w:val="USC\26\212"/>
        </w:smartTagPr>
        <w:r>
          <w:t>§212</w:t>
        </w:r>
      </w:smartTag>
      <w:r>
        <w:t xml:space="preserve"> deductions to qualify as a trade or business for purposes of testing real estate professional status, which is very problematic for NIIT purposes. As discussed above, whether rent constitutes net investment income turns on whether the rent is derived in the ordinary course of a trade or business. One of the most controversial aspects of the NIIT system is the heavy emphasis on the factual determination of whether a rental property constitutes a trade or business. The </w:t>
      </w:r>
      <w:smartTag w:uri="http://www.bna.com/sgml2word/cite" w:element="cite.usc">
        <w:smartTagPr>
          <w:attr w:name="ref" w:val="USC\26\469(c)(7)"/>
        </w:smartTagPr>
        <w:r>
          <w:t>§469(c)(7)</w:t>
        </w:r>
      </w:smartTag>
      <w:r>
        <w:t xml:space="preserve"> regulations dodge this critical issue by deeming </w:t>
      </w:r>
      <w:smartTag w:uri="http://www.bna.com/sgml2word/cite" w:element="cite.usc">
        <w:smartTagPr>
          <w:attr w:name="ref" w:val="USC\26\212"/>
        </w:smartTagPr>
        <w:r>
          <w:t>§212</w:t>
        </w:r>
      </w:smartTag>
      <w:r>
        <w:t xml:space="preserve"> activities as a trade or business for real estate professional testing.</w:t>
      </w:r>
    </w:p>
    <w:p w14:paraId="39836F06" w14:textId="77777777" w:rsidR="00494B49" w:rsidRDefault="00494B49">
      <w:pPr>
        <w:pStyle w:val="BNormal"/>
      </w:pPr>
      <w:r>
        <w:t xml:space="preserve">Second, Reg. </w:t>
      </w:r>
      <w:smartTag w:uri="http://www.bna.com/sgml2word/cite" w:element="cite.cfr">
        <w:smartTagPr>
          <w:attr w:name="ref" w:val="cfr\26\1.469-9(d)(1)"/>
        </w:smartTagPr>
        <w:r>
          <w:t>§1.469-9(d)(1)</w:t>
        </w:r>
      </w:smartTag>
      <w:r>
        <w:t xml:space="preserve"> provides that the determination of a taxpayer’s real property trades or businesses is based on all of the relevant facts and circumstances. To that end, a taxpayer may use any reasonable method of applying the facts and circumstances in determining the real property trades or businesses in which the taxpayer provides personal services.</w:t>
      </w:r>
      <w:r>
        <w:rPr>
          <w:rStyle w:val="FootnoteReference"/>
        </w:rPr>
        <w:footnoteReference w:id="319"/>
      </w:r>
      <w:r>
        <w:t xml:space="preserve"> Depending on the facts and circumstances, a real property trade or business consists of one or more trade or business specifically described in </w:t>
      </w:r>
      <w:smartTag w:uri="http://www.bna.com/sgml2word/cite" w:element="cite.usc">
        <w:smartTagPr>
          <w:attr w:name="ref" w:val="USC\26\469(c)(7)(C)"/>
        </w:smartTagPr>
        <w:r>
          <w:t>§469(c)(7)(C)</w:t>
        </w:r>
      </w:smartTag>
      <w:r>
        <w:t xml:space="preserve">. However, a taxpayer’s grouping of activities under Reg. </w:t>
      </w:r>
      <w:smartTag w:uri="http://www.bna.com/sgml2word/cite" w:element="cite.cfr">
        <w:smartTagPr>
          <w:attr w:name="ref" w:val="cfr\26\1.469-4"/>
        </w:smartTagPr>
        <w:r>
          <w:t>§1.469-4</w:t>
        </w:r>
      </w:smartTag>
      <w:r>
        <w:t xml:space="preserve"> does not control the determination of the taxpayer’s real property trades or businesses for purposes of Reg. </w:t>
      </w:r>
      <w:smartTag w:uri="http://www.bna.com/sgml2word/cite" w:element="cite.cfr">
        <w:smartTagPr>
          <w:attr w:name="ref" w:val="cfr\26\1.469-9(d)"/>
        </w:smartTagPr>
        <w:r>
          <w:t>§1.469-9(d)</w:t>
        </w:r>
      </w:smartTag>
      <w:r>
        <w:t>.</w:t>
      </w:r>
      <w:r>
        <w:rPr>
          <w:rStyle w:val="FootnoteReference"/>
        </w:rPr>
        <w:footnoteReference w:id="320"/>
      </w:r>
      <w:r>
        <w:t xml:space="preserve"> Similar to the deeming problem discussed above, a determination of whether a trade or business exists (within the </w:t>
      </w:r>
      <w:smartTag w:uri="http://www.bna.com/sgml2word/cite" w:element="cite.usc">
        <w:smartTagPr>
          <w:attr w:name="ref" w:val="USC\26\162"/>
        </w:smartTagPr>
        <w:r>
          <w:t>§162</w:t>
        </w:r>
      </w:smartTag>
      <w:r>
        <w:t xml:space="preserve"> meaning that was adopted for NIIT purposes) is not as critical for determining under Reg. </w:t>
      </w:r>
      <w:smartTag w:uri="http://www.bna.com/sgml2word/cite" w:element="cite.cfr">
        <w:smartTagPr>
          <w:attr w:name="ref" w:val="cfr\26\1.469-9(d)(1)"/>
        </w:smartTagPr>
        <w:r>
          <w:t>§1.469-9(d)(1)</w:t>
        </w:r>
      </w:smartTag>
      <w:r>
        <w:t xml:space="preserve">. </w:t>
      </w:r>
    </w:p>
    <w:p w14:paraId="02471CEA" w14:textId="77777777" w:rsidR="00494B49" w:rsidRDefault="00494B49">
      <w:pPr>
        <w:pStyle w:val="BNormal"/>
      </w:pPr>
      <w:r>
        <w:t xml:space="preserve">Third, </w:t>
      </w:r>
      <w:smartTag w:uri="http://www.bna.com/sgml2word/cite" w:element="cite.usc">
        <w:smartTagPr>
          <w:attr w:name="ref" w:val="USC\26\469(c)(7)(C)"/>
        </w:smartTagPr>
        <w:r>
          <w:t>§469(c)(7)(C)</w:t>
        </w:r>
      </w:smartTag>
      <w:r>
        <w:t xml:space="preserve"> lists 11 types of activities that constitute a real property trade or business. Only a few of the 11 enumerated activities (e.g., rental and leasing) may be relevant in determining whether rents are derived in the ordinary course of a trade or business. Some of the other enumerated items have little, if any, relation to rental activities.</w:t>
      </w:r>
      <w:r>
        <w:rPr>
          <w:rStyle w:val="FootnoteReference"/>
        </w:rPr>
        <w:footnoteReference w:id="321"/>
      </w:r>
    </w:p>
    <w:p w14:paraId="7D2CE76A" w14:textId="77777777" w:rsidR="00494B49" w:rsidRDefault="00494B49">
      <w:pPr>
        <w:pStyle w:val="BNormal"/>
      </w:pPr>
      <w:r>
        <w:t xml:space="preserve">The sum of these three aspects of the definition of real estate professional was the primary reason why the Treasury Department and IRS did not consider the blanket use of a taxpayer’s real estate professional status as an acceptable proxy for being engaged in the trade or business of rental. Furthermore, wholesale adoption by </w:t>
      </w:r>
      <w:smartTag w:uri="http://www.bna.com/sgml2word/cite" w:element="cite.usc">
        <w:smartTagPr>
          <w:attr w:name="ref" w:val="USC\26\1411"/>
        </w:smartTagPr>
        <w:r>
          <w:t>§1411</w:t>
        </w:r>
      </w:smartTag>
      <w:r>
        <w:t xml:space="preserve"> of the real estate professional rules in Reg. </w:t>
      </w:r>
      <w:smartTag w:uri="http://www.bna.com/sgml2word/cite" w:element="cite.cfr">
        <w:smartTagPr>
          <w:attr w:name="ref" w:val="cfr\26\1.469-9"/>
        </w:smartTagPr>
        <w:r>
          <w:t>§1.469-9</w:t>
        </w:r>
      </w:smartTag>
      <w:r>
        <w:t xml:space="preserve"> </w:t>
      </w:r>
      <w:r>
        <w:lastRenderedPageBreak/>
        <w:t xml:space="preserve">was hampered by the fact that (i) the Treasury Department and the IRS were given wide latitude under </w:t>
      </w:r>
      <w:smartTag w:uri="http://www.bna.com/sgml2word/cite" w:element="cite.usc">
        <w:smartTagPr>
          <w:attr w:name="ref" w:val="USC\26\469(l)"/>
        </w:smartTagPr>
        <w:r>
          <w:t>§469(l)</w:t>
        </w:r>
      </w:smartTag>
      <w:r>
        <w:t xml:space="preserve"> in drafting the real estate professionals regulations but had only general interpretative regulation-writing authority under </w:t>
      </w:r>
      <w:smartTag w:uri="http://www.bna.com/sgml2word/cite" w:element="cite.usc">
        <w:smartTagPr>
          <w:attr w:name="ref" w:val="USC\26\7805"/>
        </w:smartTagPr>
        <w:r>
          <w:t>§7805</w:t>
        </w:r>
      </w:smartTag>
      <w:r>
        <w:t xml:space="preserve"> for the NIIT (</w:t>
      </w:r>
      <w:smartTag w:uri="http://www.bna.com/sgml2word/cite" w:element="cite.usc">
        <w:smartTagPr>
          <w:attr w:name="ref" w:val="USC\26\1411"/>
        </w:smartTagPr>
        <w:r>
          <w:t>§1411</w:t>
        </w:r>
      </w:smartTag>
      <w:r>
        <w:t xml:space="preserve">) regulations; and (ii) the general passive loss rule in Reg. </w:t>
      </w:r>
      <w:smartTag w:uri="http://www.bna.com/sgml2word/cite" w:element="cite.cfr">
        <w:smartTagPr>
          <w:attr w:name="ref" w:val="cfr\26\1.469-1T(d)(1)"/>
        </w:smartTagPr>
        <w:r>
          <w:t>§1.469-1T(d)(1)</w:t>
        </w:r>
      </w:smartTag>
      <w:r>
        <w:t xml:space="preserve"> that restricted any special rules developed with </w:t>
      </w:r>
      <w:smartTag w:uri="http://www.bna.com/sgml2word/cite" w:element="cite.usc">
        <w:smartTagPr>
          <w:attr w:name="ref" w:val="USC\26\469"/>
        </w:smartTagPr>
        <w:r>
          <w:t>§469</w:t>
        </w:r>
      </w:smartTag>
      <w:r>
        <w:t xml:space="preserve"> as applying only for passive loss purposes are not applicable outside of </w:t>
      </w:r>
      <w:smartTag w:uri="http://www.bna.com/sgml2word/cite" w:element="cite.usc">
        <w:smartTagPr>
          <w:attr w:name="ref" w:val="USC\26\469"/>
        </w:smartTagPr>
        <w:r>
          <w:t>§469</w:t>
        </w:r>
      </w:smartTag>
      <w:r>
        <w:t>.</w:t>
      </w:r>
    </w:p>
    <w:p w14:paraId="3EB6C65F" w14:textId="77777777" w:rsidR="00494B49" w:rsidRDefault="00494B49">
      <w:pPr>
        <w:pStyle w:val="BNormal"/>
      </w:pPr>
      <w:r>
        <w:t xml:space="preserve">In addition to the definitional issues with real estate professionals described above, Reg. </w:t>
      </w:r>
      <w:smartTag w:uri="http://www.bna.com/sgml2word/cite" w:element="cite.cfr">
        <w:smartTagPr>
          <w:attr w:name="ref" w:val="cfr\26\1.469-5T(a)"/>
        </w:smartTagPr>
        <w:r>
          <w:t>§1.469-5T(a)</w:t>
        </w:r>
      </w:smartTag>
      <w:r>
        <w:t xml:space="preserve"> provides seven tests to establish material participation. However, not all of the material participation tests provide conclusive evidence that a taxpayer is regularly, continuously, and substantially involved in a rental trade or business (within the meaning of </w:t>
      </w:r>
      <w:smartTag w:uri="http://www.bna.com/sgml2word/cite" w:element="cite.usc">
        <w:smartTagPr>
          <w:attr w:name="ref" w:val="USC\26\162"/>
        </w:smartTagPr>
        <w:r>
          <w:t>§162</w:t>
        </w:r>
      </w:smartTag>
      <w:r>
        <w:t>) for NIIT purposes.</w:t>
      </w:r>
      <w:r>
        <w:rPr>
          <w:rStyle w:val="FootnoteReference"/>
        </w:rPr>
        <w:footnoteReference w:id="322"/>
      </w:r>
      <w:r>
        <w:t xml:space="preserve"> As a result, and similar to the case of defining real estate trade or business, the Treasury Department and the IRS did not believe it was appropriate to apply the material participation tests in Reg. </w:t>
      </w:r>
      <w:smartTag w:uri="http://www.bna.com/sgml2word/cite" w:element="cite.cfr">
        <w:smartTagPr>
          <w:attr w:name="ref" w:val="cfr\26\1.469-5T"/>
        </w:smartTagPr>
        <w:r>
          <w:t>§1.469-5T</w:t>
        </w:r>
      </w:smartTag>
      <w:r>
        <w:t xml:space="preserve"> to establish regular, continuous, and substantial activity for NIIT purposes.</w:t>
      </w:r>
    </w:p>
    <w:p w14:paraId="04E4F478" w14:textId="77777777" w:rsidR="00494B49" w:rsidRDefault="00494B49">
      <w:pPr>
        <w:pStyle w:val="BHead4"/>
      </w:pPr>
      <w:r>
        <w:t>(3) Treatment of Real Estate Professionals Who Meet NIIT Safe Harbor</w:t>
      </w:r>
    </w:p>
    <w:p w14:paraId="5E835DC8" w14:textId="77777777" w:rsidR="00494B49" w:rsidRDefault="00494B49">
      <w:pPr>
        <w:pStyle w:val="BNormal"/>
      </w:pPr>
      <w:r>
        <w:t>In response to the 2012 Proposed Regulations, many commentators recommended the 2013 Final Regulations provide that if a real estate professional materially participates in his or her rental real estate activities, the rental income is excluded from net investment income. The general theory behind the commentators’ recommendation was that such rental income must be derived in the ordinary course of a trade or business because a taxpayer who qualifies as a real estate professional is necessarily engaged in a real property trade or business. Treasury and the IRS agreed that, in certain situations, some real estate professionals derive rental income in the ordinary course of the real property trade or business. However, a one-size-fits-all approach to real estate professionals was not possible. As a result, the 2013 Final Regulations provide a safe harbor for certain real estate professionals.</w:t>
      </w:r>
    </w:p>
    <w:p w14:paraId="70B1B8B7" w14:textId="77777777" w:rsidR="00494B49" w:rsidRDefault="00494B49">
      <w:pPr>
        <w:pStyle w:val="BHead5"/>
      </w:pPr>
      <w:r>
        <w:t>(a) Safe Harbor Requirements</w:t>
      </w:r>
    </w:p>
    <w:p w14:paraId="6D08365E" w14:textId="77777777" w:rsidR="00494B49" w:rsidRDefault="00494B49">
      <w:pPr>
        <w:pStyle w:val="BNormal"/>
      </w:pPr>
      <w:r>
        <w:t xml:space="preserve">The safe harbor test provides that, if a real estate professional (within the meaning of </w:t>
      </w:r>
      <w:smartTag w:uri="http://www.bna.com/sgml2word/cite" w:element="cite.usc">
        <w:smartTagPr>
          <w:attr w:name="ref" w:val="USC\26\469(c)(7)"/>
        </w:smartTagPr>
        <w:r>
          <w:t>§469(c)(7)</w:t>
        </w:r>
      </w:smartTag>
      <w:r>
        <w:t>) participates in a rental real estate activity for more than 500 hours per year, the rental income associated with that activity will be deemed to be derived in the ordinary course of a trade or business.</w:t>
      </w:r>
      <w:r>
        <w:rPr>
          <w:rStyle w:val="FootnoteReference"/>
        </w:rPr>
        <w:footnoteReference w:id="323"/>
      </w:r>
      <w:r>
        <w:t xml:space="preserve"> Alternatively, if the taxpayer has participated in a rental real estate activity for more than 500 hours per year in five of the last 10 tax years (one or more of which may be tax years before the NIIT), the rental income associated with that activity will be deemed to be derived in the ordinary course of a trade or business. In addition, the safe harbor provides that the real property is considered as used in a trade or business for purposes of calculating net gain under </w:t>
      </w:r>
      <w:smartTag w:uri="http://www.bna.com/sgml2word/cite" w:element="cite.usc">
        <w:smartTagPr>
          <w:attr w:name="ref" w:val="USC\26\1411(c)(1)(A)(iii)"/>
        </w:smartTagPr>
        <w:r>
          <w:t>§1411(c)(1)(A)(iii)</w:t>
        </w:r>
      </w:smartTag>
      <w:r>
        <w:t>.</w:t>
      </w:r>
      <w:r>
        <w:rPr>
          <w:rStyle w:val="FootnoteReference"/>
        </w:rPr>
        <w:footnoteReference w:id="324"/>
      </w:r>
    </w:p>
    <w:p w14:paraId="6F1AB7F2" w14:textId="77777777" w:rsidR="00494B49" w:rsidRDefault="00494B49">
      <w:pPr>
        <w:pStyle w:val="BNormal"/>
      </w:pPr>
      <w:r>
        <w:lastRenderedPageBreak/>
        <w:t xml:space="preserve">For purposes of establishing 500 hours of participation under this safe harbor, any participation in the activity that would count toward establishing material participation for </w:t>
      </w:r>
      <w:smartTag w:uri="http://www.bna.com/sgml2word/cite" w:element="cite.usc">
        <w:smartTagPr>
          <w:attr w:name="ref" w:val="USC\26\469"/>
        </w:smartTagPr>
        <w:r>
          <w:t>§469</w:t>
        </w:r>
      </w:smartTag>
      <w:r>
        <w:t xml:space="preserve"> purposes is considered participation for NIIT purposes.</w:t>
      </w:r>
      <w:r>
        <w:rPr>
          <w:rStyle w:val="FootnoteReference"/>
        </w:rPr>
        <w:footnoteReference w:id="325"/>
      </w:r>
    </w:p>
    <w:p w14:paraId="6F0FAC3B" w14:textId="77777777" w:rsidR="00494B49" w:rsidRDefault="00494B49">
      <w:pPr>
        <w:pStyle w:val="BNormal"/>
      </w:pPr>
      <w:r>
        <w:t xml:space="preserve">For purposes of the safe harbor, Reg. </w:t>
      </w:r>
      <w:smartTag w:uri="http://www.bna.com/sgml2word/cite" w:element="cite.cfr">
        <w:smartTagPr>
          <w:attr w:name="ref" w:val="cfr\26\1.1411-4(g)(7)(ii)(B)"/>
        </w:smartTagPr>
        <w:r>
          <w:t>§1.1411-4(g)(7)(ii)(B)</w:t>
        </w:r>
      </w:smartTag>
      <w:r>
        <w:t xml:space="preserve"> provides that the term rental real estate activity is a rental activity within the meaning of Reg. </w:t>
      </w:r>
      <w:smartTag w:uri="http://www.bna.com/sgml2word/cite" w:element="cite.cfr">
        <w:smartTagPr>
          <w:attr w:name="ref" w:val="cfr\26\1.469-1T(e)(3)"/>
        </w:smartTagPr>
        <w:r>
          <w:t>§1.469-1T(e)(3)</w:t>
        </w:r>
      </w:smartTag>
      <w:r>
        <w:t xml:space="preserve">. Additionally, an election to treat all rental real estate as a single rental activity under Reg. </w:t>
      </w:r>
      <w:smartTag w:uri="http://www.bna.com/sgml2word/cite" w:element="cite.cfr">
        <w:smartTagPr>
          <w:attr w:name="ref" w:val="cfr\26\1.469-9(g)"/>
        </w:smartTagPr>
        <w:r>
          <w:t>§1.469-9(g)</w:t>
        </w:r>
      </w:smartTag>
      <w:r>
        <w:t xml:space="preserve"> also applies.</w:t>
      </w:r>
      <w:r>
        <w:rPr>
          <w:rStyle w:val="FootnoteReference"/>
        </w:rPr>
        <w:footnoteReference w:id="326"/>
      </w:r>
      <w:r>
        <w:t xml:space="preserve"> However, any rental real estate that the taxpayer grouped with a trade or business activity</w:t>
      </w:r>
      <w:r>
        <w:rPr>
          <w:rStyle w:val="FootnoteReference"/>
        </w:rPr>
        <w:footnoteReference w:id="327"/>
      </w:r>
      <w:r>
        <w:t xml:space="preserve"> is not a rental real estate activity.</w:t>
      </w:r>
    </w:p>
    <w:p w14:paraId="474F543C" w14:textId="77777777" w:rsidR="00494B49" w:rsidRDefault="00494B49">
      <w:pPr>
        <w:pStyle w:val="BNormal"/>
      </w:pPr>
      <w:r>
        <w:rPr>
          <w:i/>
        </w:rPr>
        <w:t>Comment:</w:t>
      </w:r>
      <w:r>
        <w:t xml:space="preserve"> It is important to keep in mind that real estate professional status is tested, for regular tax purposes, on an annual basis. Therefore, whether a taxpayer meets the real estate professional safe harbor for NIIT purposes is also tested on an annual basis. Note that real estate professionals are tested somewhat differently than non-real-estate-professional business owners, which may be somewhat detrimental during retirement. A non-real-estate-professional business owner (e.g., an owner of a retail business) will be treated as materially participating in the retail business for five years following retirement under the “nickel-and-dime test” in Reg. </w:t>
      </w:r>
      <w:smartTag w:uri="http://www.bna.com/sgml2word/cite" w:element="cite.cfr">
        <w:smartTagPr>
          <w:attr w:name="ref" w:val="cfr\26\1.469-5T(a)(5)"/>
        </w:smartTagPr>
        <w:r>
          <w:t>§1.469-5T(a)(5)</w:t>
        </w:r>
      </w:smartTag>
      <w:r>
        <w:t xml:space="preserve">. In this case, any nonpassive income from the activity (if the taxpayer holds the interest through retirement) or gain or loss (if the taxpayer sells the interest following retirement) will be excluded from net investment income during the five years covered by Reg. </w:t>
      </w:r>
      <w:smartTag w:uri="http://www.bna.com/sgml2word/cite" w:element="cite.cfr">
        <w:smartTagPr>
          <w:attr w:name="ref" w:val="cfr\26\1.469-5T(a)(5)"/>
        </w:smartTagPr>
        <w:r>
          <w:t>§1.469-5T(a)(5)</w:t>
        </w:r>
      </w:smartTag>
      <w:r>
        <w:t xml:space="preserve">. However, although Reg. </w:t>
      </w:r>
      <w:smartTag w:uri="http://www.bna.com/sgml2word/cite" w:element="cite.cfr">
        <w:smartTagPr>
          <w:attr w:name="ref" w:val="cfr\26\1.469-5T(a)(5)"/>
        </w:smartTagPr>
        <w:r>
          <w:t>§1.469-5T(a)(5)</w:t>
        </w:r>
      </w:smartTag>
      <w:r>
        <w:t xml:space="preserve"> applies for determining material participation in real estate trades or businesses (within the meaning of </w:t>
      </w:r>
      <w:smartTag w:uri="http://www.bna.com/sgml2word/cite" w:element="cite.usc">
        <w:smartTagPr>
          <w:attr w:name="ref" w:val="USC\26\469(c)(7)(C)"/>
        </w:smartTagPr>
        <w:r>
          <w:t>§469(c)(7)(C)</w:t>
        </w:r>
      </w:smartTag>
      <w:r>
        <w:t xml:space="preserve">) and the rental real estate for the five years following retirement, a fully retired real estate professional will fail the 750-hour test in </w:t>
      </w:r>
      <w:smartTag w:uri="http://www.bna.com/sgml2word/cite" w:element="cite.usc">
        <w:smartTagPr>
          <w:attr w:name="ref" w:val="USC\26\469(c)(7)(B)"/>
        </w:smartTagPr>
        <w:r>
          <w:t>§469(c)(7)(B)</w:t>
        </w:r>
      </w:smartTag>
      <w:r>
        <w:t xml:space="preserve">, and thus not constitute a real estate professional. As a result, the retirement terminates the taxpayer’s status as a real estate professional and thus precludes the taxpayer’s use of real estate professional safe harbor in Reg. </w:t>
      </w:r>
      <w:smartTag w:uri="http://www.bna.com/sgml2word/cite" w:element="cite.cfr">
        <w:smartTagPr>
          <w:attr w:name="ref" w:val="cfr\26\1.1411-4(g)(7)"/>
        </w:smartTagPr>
        <w:r>
          <w:t>§1.1411-4(g)(7)</w:t>
        </w:r>
      </w:smartTag>
      <w:r>
        <w:t xml:space="preserve"> to exclude income and gain from net investment income. </w:t>
      </w:r>
    </w:p>
    <w:p w14:paraId="495F64ED" w14:textId="77777777" w:rsidR="00494B49" w:rsidRDefault="00494B49">
      <w:pPr>
        <w:pStyle w:val="BHead5"/>
      </w:pPr>
      <w:r>
        <w:t xml:space="preserve">(b) Consequences of Meeting Safe Harbor </w:t>
      </w:r>
    </w:p>
    <w:p w14:paraId="6BAFBDD9" w14:textId="77777777" w:rsidR="00494B49" w:rsidRDefault="00494B49">
      <w:pPr>
        <w:pStyle w:val="BNormal"/>
      </w:pPr>
      <w:r>
        <w:t>For real estate professionals who meet the safe harbor, rental income and associated expenses are excluded from net investment income.</w:t>
      </w:r>
      <w:r>
        <w:rPr>
          <w:rStyle w:val="FootnoteReference"/>
        </w:rPr>
        <w:footnoteReference w:id="328"/>
      </w:r>
      <w:r>
        <w:t xml:space="preserve"> In addition, the gain or loss from the disposition of rental properties is also excluded.</w:t>
      </w:r>
      <w:r>
        <w:rPr>
          <w:rStyle w:val="FootnoteReference"/>
        </w:rPr>
        <w:footnoteReference w:id="329"/>
      </w:r>
    </w:p>
    <w:p w14:paraId="5013214C" w14:textId="77777777" w:rsidR="00494B49" w:rsidRDefault="00494B49">
      <w:pPr>
        <w:pStyle w:val="BHead4"/>
      </w:pPr>
      <w:r>
        <w:t>(4) Treatment of Real Estate Professionals Who Do Not Meet NIIT Safe Harbor</w:t>
      </w:r>
    </w:p>
    <w:p w14:paraId="08F13701" w14:textId="77777777" w:rsidR="00494B49" w:rsidRDefault="00494B49">
      <w:pPr>
        <w:pStyle w:val="BNormal"/>
      </w:pPr>
      <w:r>
        <w:t xml:space="preserve">In developing the safe harbor in Reg. </w:t>
      </w:r>
      <w:smartTag w:uri="http://www.bna.com/sgml2word/cite" w:element="cite.cfr">
        <w:smartTagPr>
          <w:attr w:name="ref" w:val="cfr\26\1.1411-4(g)(7)(i)"/>
        </w:smartTagPr>
        <w:r>
          <w:t>§1.1411-4(g)(7)(i)</w:t>
        </w:r>
      </w:smartTag>
      <w:r>
        <w:t xml:space="preserve">, the Treasury Department and the IRS recognized that some real estate professionals with substantial rental activities may derive rental income in the ordinary course of a trade or business, even though they fail to satisfy the 500-hour requirement in the safe harbor test. As a result, the 2013 Final Regulations specifically provide that such failure will not preclude a taxpayer from establishing that gross rental income and gain </w:t>
      </w:r>
      <w:r>
        <w:lastRenderedPageBreak/>
        <w:t>or loss from the disposition of real property, as applicable, is not included in net investment income.</w:t>
      </w:r>
      <w:r>
        <w:rPr>
          <w:rStyle w:val="FootnoteReference"/>
        </w:rPr>
        <w:footnoteReference w:id="330"/>
      </w:r>
    </w:p>
    <w:p w14:paraId="28D7E566" w14:textId="77777777" w:rsidR="00494B49" w:rsidRDefault="00494B49">
      <w:pPr>
        <w:pStyle w:val="BNormal"/>
      </w:pPr>
      <w:r>
        <w:t xml:space="preserve">The 2013 Final Regulations do not, however, provide any direct insight into “how” a taxpayer will exclude rental income and gain from net investment income. For the income and gain to be excluded from net investment income, both of the following must occur: </w:t>
      </w:r>
    </w:p>
    <w:p w14:paraId="7D885131" w14:textId="77777777" w:rsidR="00494B49" w:rsidRDefault="00494B49">
      <w:pPr>
        <w:pStyle w:val="BListitembul"/>
      </w:pPr>
      <w:r>
        <w:t>the rental income and/or gain must be considered nonpassive under §469; and</w:t>
      </w:r>
    </w:p>
    <w:p w14:paraId="719FCE84" w14:textId="77777777" w:rsidR="00494B49" w:rsidRDefault="00494B49">
      <w:pPr>
        <w:pStyle w:val="BListitembul"/>
      </w:pPr>
      <w:r>
        <w:t xml:space="preserve">either (i) the rental income must be derived in the ordinary course of a trade or business or (ii) the gain must be associated with property held in a nonpassive trade or business. </w:t>
      </w:r>
    </w:p>
    <w:p w14:paraId="1AC298C3" w14:textId="77777777" w:rsidR="00494B49" w:rsidRDefault="00494B49">
      <w:pPr>
        <w:pStyle w:val="BNormal"/>
      </w:pPr>
      <w:r>
        <w:t xml:space="preserve">The requirements for net investment income exclusion listed above are the same for all taxpayers that operate businesses in pass-through structures or directly, but for real estate, the question of whether a trade or business exists for each property makes the analysis much more daunting. As an initial matter, for taxpayers who do not meet the safe harbor, the Reg. </w:t>
      </w:r>
      <w:smartTag w:uri="http://www.bna.com/sgml2word/cite" w:element="cite.cfr">
        <w:smartTagPr>
          <w:attr w:name="ref" w:val="cfr\26\1.469-9(g)"/>
        </w:smartTagPr>
        <w:r>
          <w:t>§1.469-9(g)</w:t>
        </w:r>
      </w:smartTag>
      <w:r>
        <w:t xml:space="preserve"> aggregation election will be only partially respected. A taxpayer’s Reg. </w:t>
      </w:r>
      <w:smartTag w:uri="http://www.bna.com/sgml2word/cite" w:element="cite.cfr">
        <w:smartTagPr>
          <w:attr w:name="ref" w:val="cfr\26\1.469-9(g)"/>
        </w:smartTagPr>
        <w:r>
          <w:t>§1.469-9(g)</w:t>
        </w:r>
      </w:smartTag>
      <w:r>
        <w:t xml:space="preserve"> aggregation election will be respected in determining whether the rental income or gain is nonpassive. However, the taxpayer’s Reg. </w:t>
      </w:r>
      <w:smartTag w:uri="http://www.bna.com/sgml2word/cite" w:element="cite.cfr">
        <w:smartTagPr>
          <w:attr w:name="ref" w:val="cfr\26\1.469-9(g)"/>
        </w:smartTagPr>
        <w:r>
          <w:t>§1.469-9(g)</w:t>
        </w:r>
      </w:smartTag>
      <w:r>
        <w:t xml:space="preserve"> aggregation election will not be respected in the context of treating all of the taxpayer’s real estate activities as a single activity for testing whether a trade or business exists.</w:t>
      </w:r>
      <w:r>
        <w:rPr>
          <w:rStyle w:val="FootnoteReference"/>
        </w:rPr>
        <w:footnoteReference w:id="331"/>
      </w:r>
    </w:p>
    <w:p w14:paraId="366B3F97" w14:textId="77777777" w:rsidR="00494B49" w:rsidRDefault="00494B49">
      <w:pPr>
        <w:pStyle w:val="BNormal"/>
      </w:pPr>
      <w:r>
        <w:t>Testing whether a trade or business exists on a property-by-property basis for real estate professionals may not be a major issue for some taxpayers. On the other hand, the determination could be difficult for real estate professionals who spend a majority of their time on several projects, but have, for example, multiple properties that are triple-net leased.</w:t>
      </w:r>
      <w:r>
        <w:rPr>
          <w:rStyle w:val="FootnoteReference"/>
        </w:rPr>
        <w:footnoteReference w:id="332"/>
      </w:r>
      <w:r>
        <w:t xml:space="preserve"> Because the rental income and gain needs to be tested on a property-by-property basis, a taxpayer’s Reg. </w:t>
      </w:r>
      <w:smartTag w:uri="http://www.bna.com/sgml2word/cite" w:element="cite.cfr">
        <w:smartTagPr>
          <w:attr w:name="ref" w:val="cfr\26\1.469-9(g)"/>
        </w:smartTagPr>
        <w:r>
          <w:t>§1.469-9(g)</w:t>
        </w:r>
      </w:smartTag>
      <w:r>
        <w:t xml:space="preserve"> aggregation election may treat the net leases as nonpassive, but they likely will not constitute a trade or business. </w:t>
      </w:r>
    </w:p>
    <w:p w14:paraId="4B735A06" w14:textId="77777777" w:rsidR="00494B49" w:rsidRDefault="00494B49">
      <w:pPr>
        <w:pStyle w:val="BNormal"/>
      </w:pPr>
      <w:r>
        <w:t xml:space="preserve">The largest practical issue that non-safe-harbor real estate professionals raise involves pass-through reporting on Schedule K-1s. For example, NIIT footnotes required on the Form </w:t>
      </w:r>
      <w:smartTag w:uri="http://www.bna.com/sgml2word/cite" w:element="cite.fed.form">
        <w:smartTagPr>
          <w:attr w:name="ref" w:val="irs\form1065"/>
        </w:smartTagPr>
        <w:r>
          <w:t>1065</w:t>
        </w:r>
      </w:smartTag>
      <w:r>
        <w:t xml:space="preserve">, Schedule K-1, under Code Y, include “Net rental real estate income reported on Form </w:t>
      </w:r>
      <w:smartTag w:uri="http://www.bna.com/sgml2word/cite" w:element="cite.fed.form">
        <w:smartTagPr>
          <w:attr w:name="ref" w:val="irs\form1065"/>
        </w:smartTagPr>
        <w:r>
          <w:t>1065</w:t>
        </w:r>
      </w:smartTag>
      <w:r>
        <w:t xml:space="preserve">, Schedule K, Line 2, and other net rental income reported on Form </w:t>
      </w:r>
      <w:smartTag w:uri="http://www.bna.com/sgml2word/cite" w:element="cite.fed.form">
        <w:smartTagPr>
          <w:attr w:name="ref" w:val="irs\form1065"/>
        </w:smartTagPr>
        <w:r>
          <w:t>1065</w:t>
        </w:r>
      </w:smartTag>
      <w:r>
        <w:t xml:space="preserve">, Schedule K, Line 3c, derived from a </w:t>
      </w:r>
      <w:smartTag w:uri="http://www.bna.com/sgml2word/cite" w:element="cite.usc">
        <w:smartTagPr>
          <w:attr w:name="ref" w:val="USC\26\212"/>
        </w:smartTagPr>
        <w:r>
          <w:t>section 212</w:t>
        </w:r>
      </w:smartTag>
      <w:r>
        <w:t xml:space="preserve"> for-profit activity (and not from a </w:t>
      </w:r>
      <w:smartTag w:uri="http://www.bna.com/sgml2word/cite" w:element="cite.usc">
        <w:smartTagPr>
          <w:attr w:name="ref" w:val="USC\26\162"/>
        </w:smartTagPr>
        <w:r>
          <w:t>section 162</w:t>
        </w:r>
      </w:smartTag>
      <w:r>
        <w:t xml:space="preserve"> trade or business).”</w:t>
      </w:r>
      <w:r>
        <w:rPr>
          <w:rStyle w:val="FootnoteReference"/>
        </w:rPr>
        <w:footnoteReference w:id="333"/>
      </w:r>
      <w:r>
        <w:t xml:space="preserve"> This example was specifically added to the instructions for non-safe-harbor real estate professionals.</w:t>
      </w:r>
      <w:r>
        <w:rPr>
          <w:rStyle w:val="FootnoteReference"/>
        </w:rPr>
        <w:footnoteReference w:id="334"/>
      </w:r>
      <w:r>
        <w:t xml:space="preserve"> As a result, any pass-through entity that has rental real estate and may have an owner (directly or indirectly) that is a real estate professional will have to determine whether the rental activity (or multiple rental properties) is a trade or business and report the non-trade-or-businesses separately under Code Y.</w:t>
      </w:r>
    </w:p>
    <w:p w14:paraId="23516DAD" w14:textId="77777777" w:rsidR="00494B49" w:rsidRDefault="00494B49">
      <w:pPr>
        <w:pStyle w:val="BHead3"/>
      </w:pPr>
      <w:r>
        <w:lastRenderedPageBreak/>
        <w:t xml:space="preserve">e. Rental of Farm Land </w:t>
      </w:r>
    </w:p>
    <w:p w14:paraId="05E942FE" w14:textId="77777777" w:rsidR="00494B49" w:rsidRDefault="00494B49">
      <w:pPr>
        <w:pStyle w:val="BNormal"/>
      </w:pPr>
      <w:r>
        <w:t>The rental of farm land can be, in the NIIT context, a complicated analysis. As an introductory matter, there are generally two types of leases for farm land — fixed-rate leases and share-cropping.</w:t>
      </w:r>
      <w:r>
        <w:rPr>
          <w:rStyle w:val="FootnoteReference"/>
        </w:rPr>
        <w:footnoteReference w:id="335"/>
      </w:r>
      <w:r>
        <w:t xml:space="preserve"> In the case of fixed-rate leases, the tenant pays a fixed price that is not tied to the production of the land during the lease term. For NIIT purposes, the rent attributable to these leases is almost certainly net investment income.</w:t>
      </w:r>
      <w:r>
        <w:rPr>
          <w:rStyle w:val="FootnoteReference"/>
        </w:rPr>
        <w:footnoteReference w:id="336"/>
      </w:r>
    </w:p>
    <w:p w14:paraId="60BBC624" w14:textId="77777777" w:rsidR="00494B49" w:rsidRDefault="00494B49">
      <w:pPr>
        <w:pStyle w:val="BNormal"/>
      </w:pPr>
      <w:r>
        <w:t xml:space="preserve">A much more complicated situation arises in the context of share-cropping. For a casual observer, a share-cropping arrangement is functionally similar to a variable rate lease. The amount of rental income the landlord receives is based on the land’s production, as a share of the crop. The landlord may receive its agreed share of the crop (e.g., delivered to the grain elevator and placed in its name), or the tenant may market the entire crop, paying cash to the landlord for its share. Oftentimes, the landlord will also share in specific, defined expenses of raising the crop, such as sharing in fertilizer and/or chemical expenses. The measurement period could be on a yearly basis, a rolling multi-year look back basis, or any other type agreed upon by the parties. There are two key factors in the analysis for NIIT purposes: (1) the variability of the payments based on production; and (2) the amount of involvement of the landlord in the share-cropping arrangement. </w:t>
      </w:r>
    </w:p>
    <w:p w14:paraId="1EAD31F1" w14:textId="77777777" w:rsidR="00494B49" w:rsidRDefault="00494B49">
      <w:pPr>
        <w:pStyle w:val="BNormal"/>
      </w:pPr>
      <w:r>
        <w:t xml:space="preserve">As discussed more fully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above, the 2013 Final NIIT Regulations do not provide guidance on the definition of a trade or business within the context of rentals. </w:t>
      </w:r>
      <w:smartTag w:uri="http://www.bna.com/sgml2word/cite" w:element="cite.usc">
        <w:smartTagPr>
          <w:attr w:name="ref" w:val="USC\26\469(c)(2)"/>
        </w:smartTagPr>
        <w:r>
          <w:t>Section 469(c)(2)</w:t>
        </w:r>
      </w:smartTag>
      <w:r>
        <w:t xml:space="preserve"> treats rental activities as per se passive, so the trade-or-business issue is relevant only to the extent that the rental activities are nonpassive under the </w:t>
      </w:r>
      <w:smartTag w:uri="http://www.bna.com/sgml2word/cite" w:element="cite.usc">
        <w:smartTagPr>
          <w:attr w:name="ref" w:val="USC\26\469"/>
        </w:smartTagPr>
        <w:r>
          <w:t>§469</w:t>
        </w:r>
      </w:smartTag>
      <w:r>
        <w:t xml:space="preserve"> rules. Self-rentals and grouped rentals are deemed to be trades or businesses for NIIT purposes.</w:t>
      </w:r>
      <w:r>
        <w:rPr>
          <w:rStyle w:val="FootnoteReference"/>
        </w:rPr>
        <w:footnoteReference w:id="337"/>
      </w:r>
      <w:r>
        <w:t xml:space="preserve"> In the case of more traditional land leases, trade or business status of these activities is irrelevant because they are treated as net investment income by reason of Reg. </w:t>
      </w:r>
      <w:smartTag w:uri="http://www.bna.com/sgml2word/cite" w:element="cite.cfr">
        <w:smartTagPr>
          <w:attr w:name="ref" w:val="cfr\26\1.1411-5(b)(2)(iii)"/>
        </w:smartTagPr>
        <w:r>
          <w:t>§1.1411-5(b)(2)(iii)</w:t>
        </w:r>
      </w:smartTag>
      <w:r>
        <w:t xml:space="preserve">. </w:t>
      </w:r>
    </w:p>
    <w:p w14:paraId="75619C60" w14:textId="77777777" w:rsidR="00494B49" w:rsidRDefault="00494B49">
      <w:pPr>
        <w:pStyle w:val="BNormal"/>
      </w:pPr>
      <w:r>
        <w:t xml:space="preserve">Unlike the rental activities described above, the treatment of crop share arrangements under </w:t>
      </w:r>
      <w:smartTag w:uri="http://www.bna.com/sgml2word/cite" w:element="cite.usc">
        <w:smartTagPr>
          <w:attr w:name="ref" w:val="USC\26\469"/>
        </w:smartTagPr>
        <w:r>
          <w:t>§469</w:t>
        </w:r>
      </w:smartTag>
      <w:r>
        <w:t xml:space="preserve"> is curiously different. Recall that </w:t>
      </w:r>
      <w:smartTag w:uri="http://www.bna.com/sgml2word/cite" w:element="cite.usc">
        <w:smartTagPr>
          <w:attr w:name="ref" w:val="USC\26\469(j)(8)"/>
        </w:smartTagPr>
        <w:r>
          <w:t>§469(j)(8)</w:t>
        </w:r>
      </w:smartTag>
      <w:r>
        <w:t xml:space="preserve"> defines a rental activity as any activity where payments are principally for the use of tangible property. Reg. </w:t>
      </w:r>
      <w:smartTag w:uri="http://www.bna.com/sgml2word/cite" w:element="cite.cfr">
        <w:smartTagPr>
          <w:attr w:name="ref" w:val="cfr\26\1.1411-1(d)"/>
        </w:smartTagPr>
        <w:r>
          <w:t>§1.1411-1(d)</w:t>
        </w:r>
      </w:smartTag>
      <w:r>
        <w:t xml:space="preserve"> defines rental activity in the same way. Reg. </w:t>
      </w:r>
      <w:smartTag w:uri="http://www.bna.com/sgml2word/cite" w:element="cite.cfr">
        <w:smartTagPr>
          <w:attr w:name="ref" w:val="cfr\26\1.469-1T(e)(3)"/>
        </w:smartTagPr>
        <w:r>
          <w:t>§1.469-1T(e)(3)</w:t>
        </w:r>
      </w:smartTag>
      <w:r>
        <w:t xml:space="preserve"> provides a list of exceptions to the definition of rental activity, one which is relevant to crop-sharing arrangements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which is cross-referenced in Reg. </w:t>
      </w:r>
      <w:smartTag w:uri="http://www.bna.com/sgml2word/cite" w:element="cite.cfr">
        <w:smartTagPr>
          <w:attr w:name="ref" w:val="cfr\26\1.469-1T(e)(3)(ii)(F)"/>
        </w:smartTagPr>
        <w:r>
          <w:t>§1.469-1T(e)(3)(ii)(F)</w:t>
        </w:r>
      </w:smartTag>
      <w:r>
        <w:t xml:space="preserve">, provides that if (a) a taxpayer owns an interest in a partnership, S corporation, or joint venture conducting an activity other than a rental activity, and (b) the taxpayer provides property for use in the activity in the taxpayer’s capacity as an owner of an interest in such partnership, S corporation, </w:t>
      </w:r>
      <w:r>
        <w:lastRenderedPageBreak/>
        <w:t>or joint venture, then provision of such property is not a rental activity.</w:t>
      </w:r>
      <w:r>
        <w:rPr>
          <w:rStyle w:val="FootnoteReference"/>
        </w:rPr>
        <w:footnoteReference w:id="338"/>
      </w:r>
      <w:r>
        <w:t xml:space="preserve"> The effect of this provision is to turn off the per se passive activity treatment of these purported rental arrangements.</w:t>
      </w:r>
      <w:r>
        <w:rPr>
          <w:rStyle w:val="FootnoteReference"/>
        </w:rPr>
        <w:footnoteReference w:id="339"/>
      </w:r>
    </w:p>
    <w:p w14:paraId="3CB9070F" w14:textId="77777777" w:rsidR="00494B49" w:rsidRDefault="00494B49">
      <w:pPr>
        <w:pStyle w:val="BNormal"/>
      </w:pPr>
      <w:r>
        <w:t xml:space="preserve">On its face, Reg. </w:t>
      </w:r>
      <w:smartTag w:uri="http://www.bna.com/sgml2word/cite" w:element="cite.cfr">
        <w:smartTagPr>
          <w:attr w:name="ref" w:val="cfr\26\1.469-1T(e)(3)(vii)"/>
        </w:smartTagPr>
        <w:r>
          <w:t>§1.469-1T(e)(3)(vii)</w:t>
        </w:r>
      </w:smartTag>
      <w:r>
        <w:t xml:space="preserve"> would not seem to apply to a share-cropping arrangement. One example in the §469 regulations, however, indicates that it does.</w:t>
      </w:r>
      <w:r>
        <w:rPr>
          <w:rStyle w:val="FootnoteReference"/>
        </w:rPr>
        <w:footnoteReference w:id="340"/>
      </w:r>
      <w:r>
        <w:t xml:space="preserve"> This example provides: </w:t>
      </w:r>
    </w:p>
    <w:p w14:paraId="2150B1C7" w14:textId="77777777" w:rsidR="00494B49" w:rsidRDefault="00494B49">
      <w:pPr>
        <w:pStyle w:val="BQuotelong"/>
      </w:pPr>
      <w:r>
        <w:t xml:space="preserve">The taxpayer makes farmland available to a tenant farmer pursuant to an arrangement designated a “crop-share lease.” Under the arrangement, the tenant is required to use the tenant’s best efforts to farm the land and produce marketable crops. The taxpayer is obligated to pay 50 percent of the costs incurred in the activity (without regard to whether any crops are successfully produced or marketed), and is entitled to 50 percent of the crops produced (or 50 percent of the proceeds from marketing the crops). For purposes of paragraph (e)(3)(vii) of this section, the taxpayer is treated as providing the farmland for use in a farming activity conducted by a joint venture in the taxpayer’s capacity as an owner of an interest in the joint venture. Accordingly, under [Reg. </w:t>
      </w:r>
      <w:smartTag w:uri="http://www.bna.com/sgml2word/cite" w:element="cite.cfr">
        <w:smartTagPr>
          <w:attr w:name="ref" w:val="cfr\26\1.469-1T"/>
        </w:smartTagPr>
        <w:r>
          <w:t>§1.469-1T</w:t>
        </w:r>
      </w:smartTag>
      <w:r>
        <w:t xml:space="preserve"> (e)(3)(ii)(F)], the taxpayer is not engaged in a rental activity, without regard to whether the taxpayer performs any services in the farming activity. </w:t>
      </w:r>
    </w:p>
    <w:p w14:paraId="2FC0E547" w14:textId="77777777" w:rsidR="00494B49" w:rsidRDefault="00494B49">
      <w:pPr>
        <w:pStyle w:val="BNormal"/>
      </w:pPr>
      <w:r>
        <w:t xml:space="preserve">This regulation stands for the proposition that a lease with variable consideration based on production is treated, for purposes of </w:t>
      </w:r>
      <w:smartTag w:uri="http://www.bna.com/sgml2word/cite" w:element="cite.usc">
        <w:smartTagPr>
          <w:attr w:name="ref" w:val="USC\26\469"/>
        </w:smartTagPr>
        <w:r>
          <w:t>§469</w:t>
        </w:r>
      </w:smartTag>
      <w:r>
        <w:t xml:space="preserve">, as a joint venture and not as a per se rental activity. Thus, the first key factor described above (variable consideration based on production) is relevant to an evaluation of a crop-sharing arrangement for NIIT purposes. Based on the example above, the crop-sharing arrangement is not a per se passive rental activity. Thus, in order to determine whether the crop-share income is net investment income, one needs to determine whether the nonrental activity is a nonpassive activity. </w:t>
      </w:r>
    </w:p>
    <w:p w14:paraId="1628A14C" w14:textId="77777777" w:rsidR="00494B49" w:rsidRDefault="00494B49">
      <w:pPr>
        <w:pStyle w:val="BNormal"/>
      </w:pPr>
      <w:r>
        <w:t>The second key factor is the amount of activity the taxpayer performs in the farming activity. This will determine whether the crop-share activity is nonpassive. If the taxpayer does not materially participate, or significantly participate in the activity, then the gross income will be considered derived from a passive activity.</w:t>
      </w:r>
      <w:r>
        <w:rPr>
          <w:rStyle w:val="FootnoteReference"/>
        </w:rPr>
        <w:footnoteReference w:id="341"/>
      </w:r>
      <w:r>
        <w:t xml:space="preserve"> In this case, the gross income will be net investment income under either </w:t>
      </w:r>
      <w:smartTag w:uri="http://www.bna.com/sgml2word/cite" w:element="cite.usc">
        <w:smartTagPr>
          <w:attr w:name="ref" w:val="USC\26\1411(c)(1)(A)(i)"/>
        </w:smartTagPr>
        <w:r>
          <w:t>§1411(c)(1)(A)(i)</w:t>
        </w:r>
      </w:smartTag>
      <w:r>
        <w:t xml:space="preserve"> (gross income from rents) or </w:t>
      </w:r>
      <w:smartTag w:uri="http://www.bna.com/sgml2word/cite" w:element="cite.usc">
        <w:smartTagPr>
          <w:attr w:name="ref" w:val="USC\26\1411(c)(1)(A)(ii)"/>
        </w:smartTagPr>
        <w:r>
          <w:t>§1411(c)(1)(A)(ii)</w:t>
        </w:r>
      </w:smartTag>
      <w:r>
        <w:t xml:space="preserve"> (gross income from a passive activity). </w:t>
      </w:r>
    </w:p>
    <w:p w14:paraId="2FC0A58B" w14:textId="77777777" w:rsidR="00494B49" w:rsidRDefault="00494B49">
      <w:pPr>
        <w:pStyle w:val="BNormal"/>
      </w:pPr>
      <w:r>
        <w:lastRenderedPageBreak/>
        <w:t xml:space="preserve">Because, under </w:t>
      </w:r>
      <w:smartTag w:uri="http://www.bna.com/sgml2word/cite" w:element="cite.usc">
        <w:smartTagPr>
          <w:attr w:name="ref" w:val="USC\26\469"/>
        </w:smartTagPr>
        <w:r>
          <w:t>§469</w:t>
        </w:r>
      </w:smartTag>
      <w:r>
        <w:t xml:space="preserve">, the crop-share is not a rental activity, the taxpayer must determine whether the activity is nonpassive under general </w:t>
      </w:r>
      <w:smartTag w:uri="http://www.bna.com/sgml2word/cite" w:element="cite.usc">
        <w:smartTagPr>
          <w:attr w:name="ref" w:val="USC\26\469"/>
        </w:smartTagPr>
        <w:r>
          <w:t>§469</w:t>
        </w:r>
      </w:smartTag>
      <w:r>
        <w:t xml:space="preserve"> principles. If the activity is nonpassive, then the crop-share income is not included in net investment income. As the crop-share is not a rental activity, the limitations on grouping rental activities with other trade or business activities in Reg. </w:t>
      </w:r>
      <w:smartTag w:uri="http://www.bna.com/sgml2word/cite" w:element="cite.cfr">
        <w:smartTagPr>
          <w:attr w:name="ref" w:val="cfr\26\1.469-4(d)"/>
        </w:smartTagPr>
        <w:r>
          <w:t>§1.469-4(d)</w:t>
        </w:r>
      </w:smartTag>
      <w:r>
        <w:t xml:space="preserve"> do not apply. Therefore, there is an opportunity for the crop-share arrangement to be nonpassive (and consequently excluded from net investment income) if it forms an appropriate economic unit with the taxpayer’s other nonpassive business activities, regardless of the amount of time spent on the crop-share activity.</w:t>
      </w:r>
      <w:r>
        <w:rPr>
          <w:rStyle w:val="FootnoteReference"/>
        </w:rPr>
        <w:footnoteReference w:id="342"/>
      </w:r>
    </w:p>
    <w:p w14:paraId="0C9BA389" w14:textId="77777777" w:rsidR="00494B49" w:rsidRDefault="00494B49">
      <w:pPr>
        <w:pStyle w:val="BNormal"/>
      </w:pPr>
      <w:r>
        <w:t>It is important to note that if the taxpayer participates in the crop-share arrangement, it might cause the crop-share income to be included in net earnings from self-employment.</w:t>
      </w:r>
      <w:r>
        <w:rPr>
          <w:rStyle w:val="FootnoteReference"/>
        </w:rPr>
        <w:footnoteReference w:id="343"/>
      </w:r>
      <w:r>
        <w:t xml:space="preserve"> In this circumstance, if the crop-share is determined to be includible in NESE, then </w:t>
      </w:r>
      <w:smartTag w:uri="http://www.bna.com/sgml2word/cite" w:element="cite.usc">
        <w:smartTagPr>
          <w:attr w:name="ref" w:val="USC\26\1411(c)(6)"/>
        </w:smartTagPr>
        <w:r>
          <w:t>§1411(c)(6)</w:t>
        </w:r>
      </w:smartTag>
      <w:r>
        <w:t xml:space="preserve"> would prevent the income from being included in net investment income. Consequently, unless the crop-share arrangement is grouped with the taxpayer’s other business activities, the taxpayer will avoid </w:t>
      </w:r>
      <w:smartTag w:uri="http://www.bna.com/sgml2word/cite" w:element="cite.usc">
        <w:smartTagPr>
          <w:attr w:name="ref" w:val="USC\26\1411"/>
        </w:smartTagPr>
        <w:r>
          <w:t>§1411</w:t>
        </w:r>
      </w:smartTag>
      <w:r>
        <w:t xml:space="preserve"> (NIIT) and </w:t>
      </w:r>
      <w:smartTag w:uri="http://www.bna.com/sgml2word/cite" w:element="cite.usc">
        <w:smartTagPr>
          <w:attr w:name="ref" w:val="USC\26\1402"/>
        </w:smartTagPr>
        <w:r>
          <w:t>§1402</w:t>
        </w:r>
      </w:smartTag>
      <w:r>
        <w:t xml:space="preserve"> (SE tax) only by significantly participating in the crop-share. Material participation will expose the landlord to SE tax under </w:t>
      </w:r>
      <w:smartTag w:uri="http://www.bna.com/sgml2word/cite" w:element="cite.usc">
        <w:smartTagPr>
          <w:attr w:name="ref" w:val="USC\26\1401"/>
        </w:smartTagPr>
        <w:r>
          <w:t>§1401</w:t>
        </w:r>
      </w:smartTag>
      <w:r>
        <w:t xml:space="preserve">. Passive participation will subject the crop-share income to NIIT under </w:t>
      </w:r>
      <w:smartTag w:uri="http://www.bna.com/sgml2word/cite" w:element="cite.usc">
        <w:smartTagPr>
          <w:attr w:name="ref" w:val="USC\26\1411"/>
        </w:smartTagPr>
        <w:r>
          <w:t>§1411</w:t>
        </w:r>
      </w:smartTag>
      <w:r>
        <w:t>.</w:t>
      </w:r>
    </w:p>
    <w:p w14:paraId="49DD70AC" w14:textId="77777777" w:rsidR="00494B49" w:rsidRDefault="00494B49">
      <w:pPr>
        <w:pStyle w:val="BHead3"/>
      </w:pPr>
      <w:r>
        <w:t>f. Difference Between ‘Rents’ and Income from a §469 ‘Rental Activity’</w:t>
      </w:r>
    </w:p>
    <w:p w14:paraId="4F384F46" w14:textId="77777777" w:rsidR="00494B49" w:rsidRDefault="00494B49">
      <w:pPr>
        <w:pStyle w:val="BNormal"/>
      </w:pPr>
      <w:r>
        <w:t xml:space="preserve">In most instances, amounts that constitute “rents” for NIIT purposes are substantially similar to income from a </w:t>
      </w:r>
      <w:smartTag w:uri="http://www.bna.com/sgml2word/cite" w:element="cite.usc">
        <w:smartTagPr>
          <w:attr w:name="ref" w:val="USC\26\469"/>
        </w:smartTagPr>
        <w:r>
          <w:t>§469</w:t>
        </w:r>
      </w:smartTag>
      <w:r>
        <w:t xml:space="preserve"> “rental activity.” But that is not always the case.</w:t>
      </w:r>
    </w:p>
    <w:p w14:paraId="3E4613A3" w14:textId="77777777" w:rsidR="00494B49" w:rsidRDefault="00494B49">
      <w:pPr>
        <w:pStyle w:val="BNormal"/>
      </w:pPr>
      <w:r>
        <w:t xml:space="preserve">Beginning with a </w:t>
      </w:r>
      <w:smartTag w:uri="http://www.bna.com/sgml2word/cite" w:element="cite.usc">
        <w:smartTagPr>
          <w:attr w:name="ref" w:val="USC\26\469"/>
        </w:smartTagPr>
        <w:r>
          <w:t>§469</w:t>
        </w:r>
      </w:smartTag>
      <w:r>
        <w:t xml:space="preserve"> rental activity, recall that under </w:t>
      </w:r>
      <w:smartTag w:uri="http://www.bna.com/sgml2word/cite" w:element="cite.usc">
        <w:smartTagPr>
          <w:attr w:name="ref" w:val="USC\26\469(j)(8)"/>
        </w:smartTagPr>
        <w:r>
          <w:t>§469(j)(8)</w:t>
        </w:r>
      </w:smartTag>
      <w:r>
        <w:t xml:space="preserve"> the term “rental activity” means any activity in which payments are principally for the use of tangible property. Reg. </w:t>
      </w:r>
      <w:smartTag w:uri="http://www.bna.com/sgml2word/cite" w:element="cite.cfr">
        <w:smartTagPr>
          <w:attr w:name="ref" w:val="cfr\26\1.469-1T(e)(3)(i)"/>
        </w:smartTagPr>
        <w:r>
          <w:t>§1.469-1T(e)(3)(i)</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344"/>
      </w:r>
      <w:r>
        <w:t xml:space="preserve"> In addition, an activity may be a rental activity if tangible property in the activity is held for rent and the expected gross income from the activity will represent payments principally for the use of the property.</w:t>
      </w:r>
      <w:r>
        <w:rPr>
          <w:rStyle w:val="FootnoteReference"/>
        </w:rPr>
        <w:footnoteReference w:id="345"/>
      </w:r>
      <w:r>
        <w:t xml:space="preserve"> Within this context, the </w:t>
      </w:r>
      <w:smartTag w:uri="http://www.bna.com/sgml2word/cite" w:element="cite.usc">
        <w:smartTagPr>
          <w:attr w:name="ref" w:val="USC\26\469"/>
        </w:smartTagPr>
        <w:r>
          <w:t>§469</w:t>
        </w:r>
      </w:smartTag>
      <w:r>
        <w:t xml:space="preserve"> regulations state that, except as otherwise provided, all items of gross income from a passive activity are included in passive activity gross income,</w:t>
      </w:r>
      <w:r>
        <w:rPr>
          <w:rStyle w:val="FootnoteReference"/>
        </w:rPr>
        <w:footnoteReference w:id="346"/>
      </w:r>
      <w:r>
        <w:t xml:space="preserve"> and all deductions arising in connection with a passive activity are passive activity deductions.</w:t>
      </w:r>
      <w:r>
        <w:rPr>
          <w:rStyle w:val="FootnoteReference"/>
        </w:rPr>
        <w:footnoteReference w:id="347"/>
      </w:r>
      <w:r>
        <w:t xml:space="preserve"> The </w:t>
      </w:r>
      <w:smartTag w:uri="http://www.bna.com/sgml2word/cite" w:element="cite.usc">
        <w:smartTagPr>
          <w:attr w:name="ref" w:val="USC\26\469"/>
        </w:smartTagPr>
        <w:r>
          <w:t>§469</w:t>
        </w:r>
      </w:smartTag>
      <w:r>
        <w:t xml:space="preserve"> regulations do not require any particular method be employed in determining (a) whether items of income are derived from an activity, (b) whether deductions arise in connection with an activity, or (c) how </w:t>
      </w:r>
      <w:r>
        <w:lastRenderedPageBreak/>
        <w:t>shared costs should be allocated among activities.</w:t>
      </w:r>
      <w:r>
        <w:rPr>
          <w:rStyle w:val="FootnoteReference"/>
        </w:rPr>
        <w:footnoteReference w:id="348"/>
      </w:r>
      <w:r>
        <w:t xml:space="preserve"> The concept embodied by Reg. </w:t>
      </w:r>
      <w:smartTag w:uri="http://www.bna.com/sgml2word/cite" w:element="cite.cfr">
        <w:smartTagPr>
          <w:attr w:name="ref" w:val="cfr\26\1.469-1T(e)(3)"/>
        </w:smartTagPr>
        <w:r>
          <w:t>§1.469-1T(e)(3)</w:t>
        </w:r>
      </w:smartTag>
      <w:r>
        <w:t xml:space="preserve"> and </w:t>
      </w:r>
      <w:smartTag w:uri="http://www.bna.com/sgml2word/cite" w:element="cite.cfr">
        <w:smartTagPr>
          <w:attr w:name="ref" w:val="cfr\26\1.469-2T(c)"/>
        </w:smartTagPr>
        <w:r>
          <w:t>§1.469-2T(c)</w:t>
        </w:r>
      </w:smartTag>
      <w:r>
        <w:t xml:space="preserve"> is that a rental activity covers the activity of renting property, and thus its coverage over income and deduction is broader than simply the rental income received from the activity. </w:t>
      </w:r>
    </w:p>
    <w:p w14:paraId="216C1A93" w14:textId="77777777" w:rsidR="00494B49" w:rsidRDefault="00494B49">
      <w:pPr>
        <w:pStyle w:val="BNormal"/>
      </w:pPr>
      <w:r>
        <w:t xml:space="preserve">The NIIT rules pertaining to </w:t>
      </w:r>
      <w:smartTag w:uri="http://www.bna.com/sgml2word/cite" w:element="cite.usc">
        <w:smartTagPr>
          <w:attr w:name="ref" w:val="USC\26\1411(c)(1)(A)(i)"/>
        </w:smartTagPr>
        <w:r>
          <w:t>§1411(c)(1)(A)(i)</w:t>
        </w:r>
      </w:smartTag>
      <w:r>
        <w:t xml:space="preserve">, on the other hand, are based on gross rental income. There is no concept of an “activity.” As a result, there may be situations in which gross income from a rental activity may be broader than net investment income. However, such mismatches can only occur in passive </w:t>
      </w:r>
      <w:smartTag w:uri="http://www.bna.com/sgml2word/cite" w:element="cite.usc">
        <w:smartTagPr>
          <w:attr w:name="ref" w:val="USC\26\212"/>
        </w:smartTagPr>
        <w:r>
          <w:t>§212</w:t>
        </w:r>
      </w:smartTag>
      <w:r>
        <w:t xml:space="preserve"> rental activities, because income from passive </w:t>
      </w:r>
      <w:smartTag w:uri="http://www.bna.com/sgml2word/cite" w:element="cite.usc">
        <w:smartTagPr>
          <w:attr w:name="ref" w:val="USC\26\162"/>
        </w:smartTagPr>
        <w:r>
          <w:t>§162</w:t>
        </w:r>
      </w:smartTag>
      <w:r>
        <w:t xml:space="preserve"> rental activities will be caught by </w:t>
      </w:r>
      <w:smartTag w:uri="http://www.bna.com/sgml2word/cite" w:element="cite.usc">
        <w:smartTagPr>
          <w:attr w:name="ref" w:val="USC\26\1411(c)(1)(A)(ii)"/>
        </w:smartTagPr>
        <w:r>
          <w:t>§1411(c)(1)(A)(ii)</w:t>
        </w:r>
      </w:smartTag>
      <w:r>
        <w:t xml:space="preserve"> if not squarely within </w:t>
      </w:r>
      <w:smartTag w:uri="http://www.bna.com/sgml2word/cite" w:element="cite.usc">
        <w:smartTagPr>
          <w:attr w:name="ref" w:val="USC\26\1411(c)(1)(A)(i)"/>
        </w:smartTagPr>
        <w:r>
          <w:t>§1411(c)(1)(A)(i)</w:t>
        </w:r>
      </w:smartTag>
      <w:r>
        <w:t>.</w:t>
      </w:r>
      <w:r>
        <w:rPr>
          <w:rStyle w:val="FootnoteReference"/>
        </w:rPr>
        <w:footnoteReference w:id="349"/>
      </w:r>
      <w:r>
        <w:t xml:space="preserve"> Consider the following scenarios: </w:t>
      </w:r>
    </w:p>
    <w:p w14:paraId="4B444262" w14:textId="77777777" w:rsidR="00494B49" w:rsidRDefault="00494B49">
      <w:pPr>
        <w:pStyle w:val="BExamplepara"/>
      </w:pPr>
      <w:r>
        <w:rPr>
          <w:rStyle w:val="BExamplehead"/>
          <w:rFonts w:eastAsiaTheme="minorHAnsi"/>
          <w:i/>
        </w:rPr>
        <w:t>Example 1:</w:t>
      </w:r>
      <w:r>
        <w:t xml:space="preserve"> A rents a single townhouse to an unrelated tenant. In Year 1, A pays landlord’s insurance for the period June 1, Year 1 through May 31, Year 2. A deducted the insurance cost on his Year 1 tax return. In February of Year 2, A sells the townhouse. A is refunded the portion of the insurance premium relating to the period March through May. In this case, the refund of the insurance premium would be </w:t>
      </w:r>
      <w:smartTag w:uri="http://www.bna.com/sgml2word/cite" w:element="cite.usc">
        <w:smartTagPr>
          <w:attr w:name="ref" w:val="USC\26\61(a)"/>
        </w:smartTagPr>
        <w:r>
          <w:t>§61(a)</w:t>
        </w:r>
      </w:smartTag>
      <w:r>
        <w:t xml:space="preserve"> gross income. For </w:t>
      </w:r>
      <w:smartTag w:uri="http://www.bna.com/sgml2word/cite" w:element="cite.usc">
        <w:smartTagPr>
          <w:attr w:name="ref" w:val="USC\26\469"/>
        </w:smartTagPr>
        <w:r>
          <w:t>§469</w:t>
        </w:r>
      </w:smartTag>
      <w:r>
        <w:t xml:space="preserve"> purposes, this would be considered gross income from a passive rental activity. For NIIT purposes, however, the refund of the insurance is not gross income from rents within the meaning of Reg. </w:t>
      </w:r>
      <w:smartTag w:uri="http://www.bna.com/sgml2word/cite" w:element="cite.cfr">
        <w:smartTagPr>
          <w:attr w:name="ref" w:val="cfr\26\1.1411-1(d)(10)"/>
        </w:smartTagPr>
        <w:r>
          <w:t>§1.1411-1(d)(10)</w:t>
        </w:r>
      </w:smartTag>
      <w:r>
        <w:t xml:space="preserve">. Without more, the gross income from the rental activities (within the meaning of </w:t>
      </w:r>
      <w:smartTag w:uri="http://www.bna.com/sgml2word/cite" w:element="cite.usc">
        <w:smartTagPr>
          <w:attr w:name="ref" w:val="USC\26\469"/>
        </w:smartTagPr>
        <w:r>
          <w:t>§469</w:t>
        </w:r>
      </w:smartTag>
      <w:r>
        <w:t xml:space="preserve">) is larger than the gross income from rents captured by </w:t>
      </w:r>
      <w:smartTag w:uri="http://www.bna.com/sgml2word/cite" w:element="cite.usc">
        <w:smartTagPr>
          <w:attr w:name="ref" w:val="USC\26\1411(c)(1)(A)(i)"/>
        </w:smartTagPr>
        <w:r>
          <w:t>§1411(c)(1)(A)(i)</w:t>
        </w:r>
      </w:smartTag>
      <w:r>
        <w:t>.</w:t>
      </w:r>
    </w:p>
    <w:p w14:paraId="14B3804C" w14:textId="77777777" w:rsidR="00494B49" w:rsidRDefault="00494B49">
      <w:pPr>
        <w:pStyle w:val="BExamplepara"/>
      </w:pPr>
      <w:r>
        <w:t xml:space="preserve">This does not mean, however, that net investment income does not include the insurance premium refund. First, if the rental of the townhouse is considered a </w:t>
      </w:r>
      <w:smartTag w:uri="http://www.bna.com/sgml2word/cite" w:element="cite.usc">
        <w:smartTagPr>
          <w:attr w:name="ref" w:val="USC\26\162"/>
        </w:smartTagPr>
        <w:r>
          <w:t>§162</w:t>
        </w:r>
      </w:smartTag>
      <w:r>
        <w:t xml:space="preserve"> trade or business, then the refund is “other income” from a passive activity within the meaning of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However, if the townhouse rental is a </w:t>
      </w:r>
      <w:smartTag w:uri="http://www.bna.com/sgml2word/cite" w:element="cite.usc">
        <w:smartTagPr>
          <w:attr w:name="ref" w:val="USC\26\212"/>
        </w:smartTagPr>
        <w:r>
          <w:t>§212</w:t>
        </w:r>
      </w:smartTag>
      <w:r>
        <w:t xml:space="preserve"> activity, the recovery rule in Reg. </w:t>
      </w:r>
      <w:smartTag w:uri="http://www.bna.com/sgml2word/cite" w:element="cite.cfr">
        <w:smartTagPr>
          <w:attr w:name="ref" w:val="cfr\26\1.1411-4(g)(2)"/>
        </w:smartTagPr>
        <w:r>
          <w:t>§1.1411-4(g)(2)</w:t>
        </w:r>
      </w:smartTag>
      <w:r>
        <w:t xml:space="preserve"> will cause A’s properly allocable deductions to be reduced by the refund amount (which is functionally equivalent to including the refund in gross income). </w:t>
      </w:r>
    </w:p>
    <w:p w14:paraId="454D9D28" w14:textId="77777777" w:rsidR="00494B49" w:rsidRDefault="00494B49">
      <w:pPr>
        <w:pStyle w:val="BExamplepara"/>
      </w:pPr>
      <w:r>
        <w:rPr>
          <w:rStyle w:val="BExamplehead"/>
          <w:rFonts w:eastAsiaTheme="minorHAnsi"/>
          <w:i/>
        </w:rPr>
        <w:t>Example 2:</w:t>
      </w:r>
      <w:r>
        <w:t xml:space="preserve"> B rents a single warehouse to a large corporation on a triple-net basis. The tenant is having financial difficulty and is unable to fulfill its obligations under the lease. As a consequence, B defaults on the loan secured by the warehouse. B renegotiates the terms of the loan with the bank, which results in a material modification of the loan under Reg. </w:t>
      </w:r>
      <w:smartTag w:uri="http://www.bna.com/sgml2word/cite" w:element="cite.cfr">
        <w:smartTagPr>
          <w:attr w:name="ref" w:val="cfr\26\1.1001-3"/>
        </w:smartTagPr>
        <w:r>
          <w:t>§1.1001-3</w:t>
        </w:r>
      </w:smartTag>
      <w:r>
        <w:t xml:space="preserve"> and deemed cancellation of indebtedness income to B. Assume that B is unable to exclude the cancellation of debt (COD) from gross income under </w:t>
      </w:r>
      <w:smartTag w:uri="http://www.bna.com/sgml2word/cite" w:element="cite.usc">
        <w:smartTagPr>
          <w:attr w:name="ref" w:val="USC\26\108"/>
        </w:smartTagPr>
        <w:r>
          <w:t>§108</w:t>
        </w:r>
      </w:smartTag>
      <w:r>
        <w:t xml:space="preserve">. </w:t>
      </w:r>
    </w:p>
    <w:p w14:paraId="4D92CE30" w14:textId="77777777" w:rsidR="00494B49" w:rsidRDefault="00494B49">
      <w:pPr>
        <w:pStyle w:val="BExamplepara"/>
      </w:pPr>
      <w:r>
        <w:t xml:space="preserve">In this case, the COD is gross income from a passive rental activity. For NIIT purposes, however, the COD is not gross income from rents within the meaning of Reg. </w:t>
      </w:r>
      <w:smartTag w:uri="http://www.bna.com/sgml2word/cite" w:element="cite.cfr">
        <w:smartTagPr>
          <w:attr w:name="ref" w:val="cfr\26\1.1411-1(d)(10)"/>
        </w:smartTagPr>
        <w:r>
          <w:t>§1.1411-1(d)(10)</w:t>
        </w:r>
      </w:smartTag>
      <w:r>
        <w:t xml:space="preserve">. To the extent the warehouse rental activity is a </w:t>
      </w:r>
      <w:smartTag w:uri="http://www.bna.com/sgml2word/cite" w:element="cite.usc">
        <w:smartTagPr>
          <w:attr w:name="ref" w:val="USC\26\212"/>
        </w:smartTagPr>
        <w:r>
          <w:t>§212</w:t>
        </w:r>
      </w:smartTag>
      <w:r>
        <w:t xml:space="preserve"> activity, </w:t>
      </w:r>
      <w:smartTag w:uri="http://www.bna.com/sgml2word/cite" w:element="cite.usc">
        <w:smartTagPr>
          <w:attr w:name="ref" w:val="USC\26\1411(c)(1)(A)(ii)"/>
        </w:smartTagPr>
        <w:r>
          <w:t>§1411(c)(1)(A)(ii)</w:t>
        </w:r>
      </w:smartTag>
      <w:r>
        <w:t xml:space="preserve"> does not capture the COD because it is not associated with a passive trade or business activity. The refund recapture rule discussed in Example 1, above, does not apply because </w:t>
      </w:r>
      <w:r>
        <w:lastRenderedPageBreak/>
        <w:t>COD is not a recapture of a previously deducted item. Thus, it would appear in this situation that the COD is not included in net investment income.</w:t>
      </w:r>
    </w:p>
    <w:p w14:paraId="13FCEC4B" w14:textId="77777777" w:rsidR="00494B49" w:rsidRDefault="00494B49">
      <w:pPr>
        <w:pStyle w:val="BHead1"/>
      </w:pPr>
      <w:r>
        <w:t>C. Other Income Items Derived from §1411(c)(2) Trades or Businesses — §1411(c)(1)(A)(ii)</w:t>
      </w:r>
    </w:p>
    <w:p w14:paraId="6901BF74" w14:textId="77777777" w:rsidR="00494B49" w:rsidRDefault="00494B49">
      <w:pPr>
        <w:pStyle w:val="BNormal"/>
      </w:pPr>
      <w:r>
        <w:t xml:space="preserve">The second category of </w:t>
      </w:r>
      <w:smartTag w:uri="http://www.bna.com/sgml2word/cite" w:element="cite.usc">
        <w:smartTagPr>
          <w:attr w:name="ref" w:val="USC\26\1411"/>
        </w:smartTagPr>
        <w:r>
          <w:t>§1411</w:t>
        </w:r>
      </w:smartTag>
      <w:r>
        <w:t xml:space="preserve"> investment income is “other gross income derived from a trade or business” described in </w:t>
      </w:r>
      <w:smartTag w:uri="http://www.bna.com/sgml2word/cite" w:element="cite.usc">
        <w:smartTagPr>
          <w:attr w:name="ref" w:val="USC\26\1411(c)(2)"/>
        </w:smartTagPr>
        <w:r>
          <w:t>§1411(c)(2)</w:t>
        </w:r>
      </w:smartTag>
      <w:r>
        <w:t>.</w:t>
      </w:r>
      <w:r>
        <w:rPr>
          <w:rStyle w:val="FootnoteReference"/>
        </w:rPr>
        <w:footnoteReference w:id="350"/>
      </w:r>
      <w:r>
        <w:t xml:space="preserve"> If a trade or business is a passive activity with respect to the taxpayer or is a trade or business of trading in financial instruments or commodities, </w:t>
      </w:r>
      <w:r>
        <w:rPr>
          <w:i/>
        </w:rPr>
        <w:t>all</w:t>
      </w:r>
      <w:r>
        <w:t xml:space="preserve"> income items are considered </w:t>
      </w:r>
      <w:smartTag w:uri="http://www.bna.com/sgml2word/cite" w:element="cite.usc">
        <w:smartTagPr>
          <w:attr w:name="ref" w:val="USC\26\1411"/>
        </w:smartTagPr>
        <w:r>
          <w:t>§1411</w:t>
        </w:r>
      </w:smartTag>
      <w:r>
        <w:t xml:space="preserve"> investment income — not just interest, dividends, annuities, royalties, and rents. The phrase “other gross income” means all other gross income within the meaning of </w:t>
      </w:r>
      <w:smartTag w:uri="http://www.bna.com/sgml2word/cite" w:element="cite.usc">
        <w:smartTagPr>
          <w:attr w:name="ref" w:val="USC\26\61"/>
        </w:smartTagPr>
        <w:r>
          <w:t>§61</w:t>
        </w:r>
      </w:smartTag>
      <w:r>
        <w:t xml:space="preserve"> that is not interest, dividends, annuities, royalties, or rents (described in </w:t>
      </w:r>
      <w:smartTag w:uri="http://www.bna.com/sgml2word/cite" w:element="cite.usc">
        <w:smartTagPr>
          <w:attr w:name="ref" w:val="USC\26\1411(c)(1)(A)(i)"/>
        </w:smartTagPr>
        <w:r>
          <w:t>§1411(c)(1)(A)(i)</w:t>
        </w:r>
      </w:smartTag>
      <w:r>
        <w:t xml:space="preserve">) or net gain (described in </w:t>
      </w:r>
      <w:smartTag w:uri="http://www.bna.com/sgml2word/cite" w:element="cite.usc">
        <w:smartTagPr>
          <w:attr w:name="ref" w:val="USC\26\1411(c)(1)(A)(iii)"/>
        </w:smartTagPr>
        <w:r>
          <w:t>§1411(c)(1)(A)(iii)</w:t>
        </w:r>
      </w:smartTag>
      <w:r>
        <w:t>).</w:t>
      </w:r>
      <w:r>
        <w:rPr>
          <w:rStyle w:val="FootnoteReference"/>
        </w:rPr>
        <w:footnoteReference w:id="351"/>
      </w:r>
      <w:r>
        <w:t xml:space="preserve"> Thus, if an item of gross income or net gain is subject to </w:t>
      </w:r>
      <w:smartTag w:uri="http://www.bna.com/sgml2word/cite" w:element="cite.usc">
        <w:smartTagPr>
          <w:attr w:name="ref" w:val="USC\26\1411(c)(1)(A)(i)"/>
        </w:smartTagPr>
        <w:r>
          <w:t>§1411(c)(1)(A)(i)</w:t>
        </w:r>
      </w:smartTag>
      <w:r>
        <w:t xml:space="preserve"> or (iii), it is generally not other gross income described in </w:t>
      </w:r>
      <w:smartTag w:uri="http://www.bna.com/sgml2word/cite" w:element="cite.usc">
        <w:smartTagPr>
          <w:attr w:name="ref" w:val="USC\26\1411(c)(1)(A)(ii)"/>
        </w:smartTagPr>
        <w:r>
          <w:t>§1411(c)(1)(A)(ii)</w:t>
        </w:r>
      </w:smartTag>
      <w:r>
        <w:t>.</w:t>
      </w:r>
    </w:p>
    <w:p w14:paraId="031AA68D" w14:textId="77777777" w:rsidR="00494B49" w:rsidRDefault="00494B49">
      <w:pPr>
        <w:pStyle w:val="BNormal"/>
      </w:pPr>
      <w:r>
        <w:rPr>
          <w:i/>
        </w:rPr>
        <w:t>Comment:</w:t>
      </w:r>
      <w:r>
        <w:t xml:space="preserve"> With respect to an activity that does not rise to the level of a trade or business, even though interest, dividends, annuities, royalties, and rents may be included in investment income under </w:t>
      </w:r>
      <w:smartTag w:uri="http://www.bna.com/sgml2word/cite" w:element="cite.usc">
        <w:smartTagPr>
          <w:attr w:name="ref" w:val="USC\26\1411(c)(1)(A)(i)"/>
        </w:smartTagPr>
        <w:r>
          <w:t>§1411(c)(1)(A)(i)</w:t>
        </w:r>
      </w:smartTag>
      <w:r>
        <w:t xml:space="preserve">, other types of gross income are </w:t>
      </w:r>
      <w:r>
        <w:rPr>
          <w:i/>
        </w:rPr>
        <w:t xml:space="preserve">not </w:t>
      </w:r>
      <w:r>
        <w:t xml:space="preserve">included in investment income under </w:t>
      </w:r>
      <w:smartTag w:uri="http://www.bna.com/sgml2word/cite" w:element="cite.usc">
        <w:smartTagPr>
          <w:attr w:name="ref" w:val="USC\26\1411(c)(1)(A)(ii)"/>
        </w:smartTagPr>
        <w:r>
          <w:t>§1411(c)(1)(A)(ii)</w:t>
        </w:r>
      </w:smartTag>
      <w:r>
        <w:t>.</w:t>
      </w:r>
    </w:p>
    <w:p w14:paraId="307427CB" w14:textId="77777777" w:rsidR="00494B49" w:rsidRDefault="00494B49">
      <w:pPr>
        <w:pStyle w:val="BHead2"/>
      </w:pPr>
      <w:r>
        <w:t>1. Scope of Category II</w:t>
      </w:r>
    </w:p>
    <w:p w14:paraId="732775E8" w14:textId="77777777" w:rsidR="00494B49" w:rsidRDefault="00494B49">
      <w:pPr>
        <w:pStyle w:val="BNormal"/>
      </w:pPr>
      <w:r>
        <w:t xml:space="preserve">The statutory language of </w:t>
      </w:r>
      <w:smartTag w:uri="http://www.bna.com/sgml2word/cite" w:element="cite.usc">
        <w:smartTagPr>
          <w:attr w:name="ref" w:val="USC\26\1411(c)(1)(A)(ii)"/>
        </w:smartTagPr>
        <w:r>
          <w:t>§1411(c)(1)(A)(ii)</w:t>
        </w:r>
      </w:smartTag>
      <w:r>
        <w:t xml:space="preserve"> simply provides that net investment income includes “other gross income derived from a trade or business” described in </w:t>
      </w:r>
      <w:smartTag w:uri="http://www.bna.com/sgml2word/cite" w:element="cite.usc">
        <w:smartTagPr>
          <w:attr w:name="ref" w:val="USC\26\1411(c)(2)"/>
        </w:smartTagPr>
        <w:r>
          <w:t>§1411(c)(2)</w:t>
        </w:r>
      </w:smartTag>
      <w:r>
        <w:t xml:space="preserve">. Reg. </w:t>
      </w:r>
      <w:smartTag w:uri="http://www.bna.com/sgml2word/cite" w:element="cite.cfr">
        <w:smartTagPr>
          <w:attr w:name="ref" w:val="cfr\26\1.1411-4(c)"/>
        </w:smartTagPr>
        <w:r>
          <w:t>§1.1411-4(c)</w:t>
        </w:r>
      </w:smartTag>
      <w:r>
        <w:t xml:space="preserve"> interprets the phrase “other gross income from a trade or business” as “all other gross income (within the meaning of </w:t>
      </w:r>
      <w:smartTag w:uri="http://www.bna.com/sgml2word/cite" w:element="cite.usc">
        <w:smartTagPr>
          <w:attr w:name="ref" w:val="USC\26\61"/>
        </w:smartTagPr>
        <w:r>
          <w:t>§61</w:t>
        </w:r>
      </w:smartTag>
      <w:r>
        <w:t xml:space="preserve">).” By invoking the definition of gross income in </w:t>
      </w:r>
      <w:smartTag w:uri="http://www.bna.com/sgml2word/cite" w:element="cite.usc">
        <w:smartTagPr>
          <w:attr w:name="ref" w:val="USC\26\61"/>
        </w:smartTagPr>
        <w:r>
          <w:t>§61</w:t>
        </w:r>
      </w:smartTag>
      <w:r>
        <w:t xml:space="preserve">, the regulations also invoke all case law interpreting the meaning of gross income. </w:t>
      </w:r>
    </w:p>
    <w:p w14:paraId="4BE329FC" w14:textId="77777777" w:rsidR="00494B49" w:rsidRDefault="00494B49">
      <w:pPr>
        <w:pStyle w:val="BNormal"/>
      </w:pPr>
      <w:r>
        <w:t xml:space="preserve">In interpreting the scope of </w:t>
      </w:r>
      <w:smartTag w:uri="http://www.bna.com/sgml2word/cite" w:element="cite.usc">
        <w:smartTagPr>
          <w:attr w:name="ref" w:val="USC\26\61"/>
        </w:smartTagPr>
        <w:r>
          <w:t>§61</w:t>
        </w:r>
      </w:smartTag>
      <w:r>
        <w:t xml:space="preserve"> and its predecessor statutes enacted before the Internal Revenue Code of 1954, the Supreme Court has frequently stated that this language was used by Congress to exert in this field “the full measure of its taxing power.”</w:t>
      </w:r>
      <w:r>
        <w:rPr>
          <w:rStyle w:val="FootnoteReference"/>
        </w:rPr>
        <w:footnoteReference w:id="352"/>
      </w:r>
      <w:r>
        <w:t xml:space="preserve"> Additionally, Congress applied no limitations as to the source of taxable receipts, nor any restrictive labels as to their nature. The Supreme Court has given a liberal construction to this broad phraseology in recognition of Congress’s intent to tax all gains except those specifically exempted.</w:t>
      </w:r>
      <w:r>
        <w:rPr>
          <w:rStyle w:val="FootnoteReference"/>
        </w:rPr>
        <w:footnoteReference w:id="353"/>
      </w:r>
    </w:p>
    <w:p w14:paraId="64CE872E" w14:textId="77777777" w:rsidR="00494B49" w:rsidRDefault="00494B49">
      <w:pPr>
        <w:pStyle w:val="BHead2"/>
      </w:pPr>
      <w:r>
        <w:t>2. Income from CFCs and PFICs as Category II Income</w:t>
      </w:r>
    </w:p>
    <w:p w14:paraId="6224D95C" w14:textId="77777777" w:rsidR="00494B49" w:rsidRDefault="00494B49">
      <w:pPr>
        <w:pStyle w:val="BNormal"/>
      </w:pPr>
      <w:r>
        <w:t xml:space="preserve">Reg. </w:t>
      </w:r>
      <w:smartTag w:uri="http://www.bna.com/sgml2word/cite" w:element="cite.cfr">
        <w:smartTagPr>
          <w:attr w:name="ref" w:val="cfr\26\1.1411-10(b)"/>
        </w:smartTagPr>
        <w:r>
          <w:t>§1.1411-10(b)</w:t>
        </w:r>
      </w:smartTag>
      <w:r>
        <w:t xml:space="preserve"> is a puzzling provision. Under </w:t>
      </w:r>
      <w:smartTag w:uri="http://www.bna.com/sgml2word/cite" w:element="cite.usc">
        <w:smartTagPr>
          <w:attr w:name="ref" w:val="USC\26\1411(c)(1)(A)(ii)"/>
        </w:smartTagPr>
        <w:r>
          <w:t>§1411(c)(1)(A)(ii)</w:t>
        </w:r>
      </w:smartTag>
      <w:r>
        <w:t xml:space="preserve">, gross income derived from a trade or business described in </w:t>
      </w:r>
      <w:smartTag w:uri="http://www.bna.com/sgml2word/cite" w:element="cite.usc">
        <w:smartTagPr>
          <w:attr w:name="ref" w:val="USC\26\1411(c)(2)"/>
        </w:smartTagPr>
        <w:r>
          <w:t>§1411(c)(2)</w:t>
        </w:r>
      </w:smartTag>
      <w:r>
        <w:t xml:space="preserve"> is net investment income.</w:t>
      </w:r>
      <w:r>
        <w:rPr>
          <w:rStyle w:val="FootnoteReference"/>
        </w:rPr>
        <w:footnoteReference w:id="354"/>
      </w:r>
      <w:r>
        <w:t xml:space="preserve"> Reg. </w:t>
      </w:r>
      <w:smartTag w:uri="http://www.bna.com/sgml2word/cite" w:element="cite.cfr">
        <w:smartTagPr>
          <w:attr w:name="ref" w:val="cfr\26\1.1411-10(b)"/>
        </w:smartTagPr>
        <w:r>
          <w:t>§1.1411-</w:t>
        </w:r>
        <w:r>
          <w:lastRenderedPageBreak/>
          <w:t>10(b)</w:t>
        </w:r>
      </w:smartTag>
      <w:r>
        <w:t xml:space="preserve">, which applies to certain owners of controlled foreign corporations (CFCs) and qualified electing funds (QEFs), provides that the special rules in Reg. </w:t>
      </w:r>
      <w:smartTag w:uri="http://www.bna.com/sgml2word/cite" w:element="cite.cfr">
        <w:smartTagPr>
          <w:attr w:name="ref" w:val="cfr\26\1.1411-10"/>
        </w:smartTagPr>
        <w:r>
          <w:t>§1.1411-10</w:t>
        </w:r>
      </w:smartTag>
      <w:r>
        <w:t xml:space="preserve"> do not apply to income those taxpayers derive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Instead, such income is included in net investment income under </w:t>
      </w:r>
      <w:smartTag w:uri="http://www.bna.com/sgml2word/cite" w:element="cite.usc">
        <w:smartTagPr>
          <w:attr w:name="ref" w:val="USC\26\1411(c)(1)(A)(ii)"/>
        </w:smartTagPr>
        <w:r>
          <w:t>§1411(c)(1)(A)(ii)</w:t>
        </w:r>
      </w:smartTag>
      <w:r>
        <w:t>.</w:t>
      </w:r>
    </w:p>
    <w:p w14:paraId="3AB37C9B" w14:textId="77777777" w:rsidR="00494B49" w:rsidRDefault="00494B49">
      <w:pPr>
        <w:pStyle w:val="BNormal"/>
      </w:pPr>
      <w:r>
        <w:t xml:space="preserve">The rationale for the rule is that, because </w:t>
      </w:r>
      <w:smartTag w:uri="http://www.bna.com/sgml2word/cite" w:element="cite.usc">
        <w:smartTagPr>
          <w:attr w:name="ref" w:val="USC\26\1411(c)(1)(A)(ii)"/>
        </w:smartTagPr>
        <w:r>
          <w:t>§1411(c)(1)(A)(ii)</w:t>
        </w:r>
      </w:smartTag>
      <w:r>
        <w:t xml:space="preserve"> captures all gross income (within the meaning of </w:t>
      </w:r>
      <w:smartTag w:uri="http://www.bna.com/sgml2word/cite" w:element="cite.usc">
        <w:smartTagPr>
          <w:attr w:name="ref" w:val="USC\26\61(a)"/>
        </w:smartTagPr>
        <w:r>
          <w:t>§61(a)</w:t>
        </w:r>
      </w:smartTag>
      <w:r>
        <w:t xml:space="preserve">), any </w:t>
      </w:r>
      <w:smartTag w:uri="http://www.bna.com/sgml2word/cite" w:element="cite.usc">
        <w:smartTagPr>
          <w:attr w:name="ref" w:val="USC\26\951(a)"/>
        </w:smartTagPr>
        <w:r>
          <w:t>§951(a)</w:t>
        </w:r>
      </w:smartTag>
      <w:r>
        <w:t xml:space="preserve"> inclusions or </w:t>
      </w:r>
      <w:smartTag w:uri="http://www.bna.com/sgml2word/cite" w:element="cite.usc">
        <w:smartTagPr>
          <w:attr w:name="ref" w:val="USC\26\1293(a)(1)"/>
        </w:smartTagPr>
        <w:r>
          <w:t>§1293(a)(1)</w:t>
        </w:r>
      </w:smartTag>
      <w:r>
        <w:t xml:space="preserve"> inclusions from CFCs or QEFs are captured by that provision because they constitute gross income within the meaning of </w:t>
      </w:r>
      <w:smartTag w:uri="http://www.bna.com/sgml2word/cite" w:element="cite.usc">
        <w:smartTagPr>
          <w:attr w:name="ref" w:val="USC\26\61"/>
        </w:smartTagPr>
        <w:r>
          <w:t>§61</w:t>
        </w:r>
      </w:smartTag>
      <w:r>
        <w:t xml:space="preserve">. The rule, as originally drafted, was intended to provide simplicity for traders in financial instruments or commodities (businesses described in </w:t>
      </w:r>
      <w:smartTag w:uri="http://www.bna.com/sgml2word/cite" w:element="cite.usc">
        <w:smartTagPr>
          <w:attr w:name="ref" w:val="USC\26\1411(c)(2)(B)"/>
        </w:smartTagPr>
        <w:r>
          <w:t>§1411(c)(2)(B)</w:t>
        </w:r>
      </w:smartTag>
      <w:r>
        <w:t xml:space="preserve">). In those cases, the traders would not be required to make Reg. </w:t>
      </w:r>
      <w:smartTag w:uri="http://www.bna.com/sgml2word/cite" w:element="cite.cfr">
        <w:smartTagPr>
          <w:attr w:name="ref" w:val="cfr\26\1.1411-10(g)"/>
        </w:smartTagPr>
        <w:r>
          <w:t>§1.1411-10(g)</w:t>
        </w:r>
      </w:smartTag>
      <w:r>
        <w:t xml:space="preserve"> elections (</w:t>
      </w:r>
      <w:smartTag w:uri="http://www.bna.com/sgml2word/cite" w:element="cite.cfr">
        <w:smartTagPr>
          <w:attr w:name="ref" w:val="cfr\26\1.1411-10(g)"/>
        </w:smartTagPr>
        <w:r>
          <w:t>10(g)</w:t>
        </w:r>
      </w:smartTag>
      <w:r>
        <w:t xml:space="preserve"> Elections) for all CFCs and QEFs in their trading portfolio to avoid the timing differences between regular tax income inclusion and net investment income inclusion.</w:t>
      </w:r>
      <w:r>
        <w:rPr>
          <w:rStyle w:val="FootnoteReference"/>
        </w:rPr>
        <w:footnoteReference w:id="355"/>
      </w:r>
      <w:r>
        <w:t xml:space="preserve"> </w:t>
      </w:r>
      <w:smartTag w:uri="http://www.bna.com/sgml2word/cite" w:element="cite.usc">
        <w:smartTagPr>
          <w:attr w:name="ref" w:val="USC\26\1411(c)(1)(A)(ii)"/>
        </w:smartTagPr>
        <w:r>
          <w:t>Section 1411(c)(1)(A)(ii)</w:t>
        </w:r>
      </w:smartTag>
      <w:r>
        <w:t xml:space="preserve"> naturally included these inclusions, and Reg. </w:t>
      </w:r>
      <w:smartTag w:uri="http://www.bna.com/sgml2word/cite" w:element="cite.cfr">
        <w:smartTagPr>
          <w:attr w:name="ref" w:val="cfr\26\1.1411-10(b)"/>
        </w:smartTagPr>
        <w:r>
          <w:t>§1.1411-10(b)</w:t>
        </w:r>
      </w:smartTag>
      <w:r>
        <w:t xml:space="preserve"> was written to eliminate any doubt. A sample </w:t>
      </w:r>
      <w:smartTag w:uri="http://www.bna.com/sgml2word/cite" w:element="cite.cfr">
        <w:smartTagPr>
          <w:attr w:name="ref" w:val="cfr\26\1.1411-10(g)"/>
        </w:smartTagPr>
        <w:r>
          <w:t>10(g)</w:t>
        </w:r>
      </w:smartTag>
      <w:r>
        <w:t xml:space="preserve"> Election is included in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w:t>
      </w:r>
    </w:p>
    <w:p w14:paraId="12C02C84" w14:textId="77777777" w:rsidR="00494B49" w:rsidRDefault="00494B49">
      <w:pPr>
        <w:pStyle w:val="BNormal"/>
      </w:pPr>
      <w:r>
        <w:t xml:space="preserve">Although the rationale and mechanics of Reg. </w:t>
      </w:r>
      <w:smartTag w:uri="http://www.bna.com/sgml2word/cite" w:element="cite.cfr">
        <w:smartTagPr>
          <w:attr w:name="ref" w:val="cfr\26\1.1411-10(b)"/>
        </w:smartTagPr>
        <w:r>
          <w:t>§1.1411-10(b)</w:t>
        </w:r>
      </w:smartTag>
      <w:r>
        <w:t xml:space="preserve"> are relatively clear for trading businesses (described in </w:t>
      </w:r>
      <w:smartTag w:uri="http://www.bna.com/sgml2word/cite" w:element="cite.usc">
        <w:smartTagPr>
          <w:attr w:name="ref" w:val="USC\26\1411(c)(2)(B)"/>
        </w:smartTagPr>
        <w:r>
          <w:t>§1411(c)(2)(B)</w:t>
        </w:r>
      </w:smartTag>
      <w:r>
        <w:t xml:space="preserve">), the intellectual puzzle involves the application of Reg. </w:t>
      </w:r>
      <w:smartTag w:uri="http://www.bna.com/sgml2word/cite" w:element="cite.cfr">
        <w:smartTagPr>
          <w:attr w:name="ref" w:val="cfr\26\1.1411-10(b)"/>
        </w:smartTagPr>
        <w:r>
          <w:t>§1.1411-10(b)</w:t>
        </w:r>
      </w:smartTag>
      <w:r>
        <w:t xml:space="preserve"> to passive activities (described in </w:t>
      </w:r>
      <w:smartTag w:uri="http://www.bna.com/sgml2word/cite" w:element="cite.usc">
        <w:smartTagPr>
          <w:attr w:name="ref" w:val="USC\26\1411(c)(2)(A)"/>
        </w:smartTagPr>
        <w:r>
          <w:t>§1411(c)(2)(A)</w:t>
        </w:r>
      </w:smartTag>
      <w:r>
        <w:t xml:space="preserve">). Several commentators to the 2012 Proposed Regulations had recommended that guidance be provided regarding the application of Reg. </w:t>
      </w:r>
      <w:smartTag w:uri="http://www.bna.com/sgml2word/cite" w:element="cite.cfr">
        <w:smartTagPr>
          <w:attr w:name="ref" w:val="cfr\26\1.1411-10(b)"/>
        </w:smartTagPr>
        <w:r>
          <w:t>§1.1411-10(b)</w:t>
        </w:r>
      </w:smartTag>
      <w:r>
        <w:t xml:space="preserve"> to income derived from a passive trade or business because of a concern that taxpayers may not be treated as engaged in a passive activity with respect to a CFC or QEF. Although, theoretically, the definition of “passive activity” under </w:t>
      </w:r>
      <w:smartTag w:uri="http://www.bna.com/sgml2word/cite" w:element="cite.usc">
        <w:smartTagPr>
          <w:attr w:name="ref" w:val="USC\26\469"/>
        </w:smartTagPr>
        <w:r>
          <w:t>§469</w:t>
        </w:r>
      </w:smartTag>
      <w:r>
        <w:t xml:space="preserve"> could include holding an interest in a CFC or a PFIC, the commentators pointed out that amounts included in income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are excluded from the definition of “passive income” for </w:t>
      </w:r>
      <w:smartTag w:uri="http://www.bna.com/sgml2word/cite" w:element="cite.usc">
        <w:smartTagPr>
          <w:attr w:name="ref" w:val="USC\26\469"/>
        </w:smartTagPr>
        <w:r>
          <w:t>§469</w:t>
        </w:r>
      </w:smartTag>
      <w:r>
        <w:t xml:space="preserve"> purposes and instead are treated as portfolio income under Reg. </w:t>
      </w:r>
      <w:smartTag w:uri="http://www.bna.com/sgml2word/cite" w:element="cite.cfr">
        <w:smartTagPr>
          <w:attr w:name="ref" w:val="cfr\26\1.469-2T(c)(3)(i)(A)"/>
        </w:smartTagPr>
        <w:r>
          <w:t>§1.469-2T(c)(3)(i)(A)</w:t>
        </w:r>
      </w:smartTag>
      <w:r>
        <w:t xml:space="preserve">. The commentators stated that the exclusion of these items from “passive income” may mean that income derived from CFCs and QEFs would never be treated as income derived from a “passive activity.” Following that rationale, the commentators concluded that Reg. </w:t>
      </w:r>
      <w:smartTag w:uri="http://www.bna.com/sgml2word/cite" w:element="cite.cfr">
        <w:smartTagPr>
          <w:attr w:name="ref" w:val="cfr\26\1.1411-10(b)"/>
        </w:smartTagPr>
        <w:r>
          <w:t>§1.1411-10(b)</w:t>
        </w:r>
      </w:smartTag>
      <w:r>
        <w:t xml:space="preserve"> would never apply to these inclusion amounts even if the inclusion was derived from a CFC or QEF held in a trade or business that is a passive activity. </w:t>
      </w:r>
    </w:p>
    <w:p w14:paraId="71786E23" w14:textId="77777777" w:rsidR="00494B49" w:rsidRDefault="00494B49">
      <w:pPr>
        <w:pStyle w:val="BNormal"/>
      </w:pPr>
      <w:r>
        <w:t xml:space="preserve">In response to the comments, the IRS and Treasury Department reasoned that </w:t>
      </w:r>
      <w:smartTag w:uri="http://www.bna.com/sgml2word/cite" w:element="cite.usc">
        <w:smartTagPr>
          <w:attr w:name="ref" w:val="USC\26\1411(c)(2)(A)"/>
        </w:smartTagPr>
        <w:r>
          <w:t>§1411(c)(2)(A)</w:t>
        </w:r>
      </w:smartTag>
      <w:r>
        <w:t xml:space="preserve"> (and Reg. </w:t>
      </w:r>
      <w:smartTag w:uri="http://www.bna.com/sgml2word/cite" w:element="cite.cfr">
        <w:smartTagPr>
          <w:attr w:name="ref" w:val="cfr\26\1.1411-5"/>
        </w:smartTagPr>
        <w:r>
          <w:t>§1.1411-5</w:t>
        </w:r>
      </w:smartTag>
      <w:r>
        <w:t xml:space="preserve"> promulgated thereunder) cross-references </w:t>
      </w:r>
      <w:smartTag w:uri="http://www.bna.com/sgml2word/cite" w:element="cite.usc">
        <w:smartTagPr>
          <w:attr w:name="ref" w:val="USC\26\469"/>
        </w:smartTagPr>
        <w:r>
          <w:t>§469</w:t>
        </w:r>
      </w:smartTag>
      <w:r>
        <w:t xml:space="preserve"> solely for purposes of defining “passive activity.” Reg. </w:t>
      </w:r>
      <w:smartTag w:uri="http://www.bna.com/sgml2word/cite" w:element="cite.cfr">
        <w:smartTagPr>
          <w:attr w:name="ref" w:val="cfr\26\1.1411-10"/>
        </w:smartTagPr>
        <w:r>
          <w:t>§1.1411-10</w:t>
        </w:r>
      </w:smartTag>
      <w:r>
        <w:t xml:space="preserve"> does not cross-reference the </w:t>
      </w:r>
      <w:smartTag w:uri="http://www.bna.com/sgml2word/cite" w:element="cite.usc">
        <w:smartTagPr>
          <w:attr w:name="ref" w:val="USC\26\469(e)"/>
        </w:smartTagPr>
        <w:r>
          <w:t>§469(e)</w:t>
        </w:r>
      </w:smartTag>
      <w:r>
        <w:t xml:space="preserve"> rules.</w:t>
      </w:r>
      <w:r>
        <w:rPr>
          <w:rStyle w:val="FootnoteReference"/>
        </w:rPr>
        <w:footnoteReference w:id="356"/>
      </w:r>
      <w:r>
        <w:t xml:space="preserve"> In addition, Reg. </w:t>
      </w:r>
      <w:smartTag w:uri="http://www.bna.com/sgml2word/cite" w:element="cite.cfr">
        <w:smartTagPr>
          <w:attr w:name="ref" w:val="cfr\26\1.469-1T(d)(1)"/>
        </w:smartTagPr>
        <w:r>
          <w:t>§1.469-1T(d)(1)</w:t>
        </w:r>
      </w:smartTag>
      <w:r>
        <w:t xml:space="preserve"> provides that the characterization of items of income as passive activity gross income (within the meaning of Reg. </w:t>
      </w:r>
      <w:smartTag w:uri="http://www.bna.com/sgml2word/cite" w:element="cite.cfr">
        <w:smartTagPr>
          <w:attr w:name="ref" w:val="cfr\26\1.469-2T(c)"/>
        </w:smartTagPr>
        <w:r>
          <w:t>§1.469-2T(c)</w:t>
        </w:r>
      </w:smartTag>
      <w:r>
        <w:t xml:space="preserve">) applies only for purposes of </w:t>
      </w:r>
      <w:smartTag w:uri="http://www.bna.com/sgml2word/cite" w:element="cite.usc">
        <w:smartTagPr>
          <w:attr w:name="ref" w:val="USC\26\469"/>
        </w:smartTagPr>
        <w:r>
          <w:t>§469</w:t>
        </w:r>
      </w:smartTag>
      <w:r>
        <w:t xml:space="preserve">. The rule in Reg. </w:t>
      </w:r>
      <w:smartTag w:uri="http://www.bna.com/sgml2word/cite" w:element="cite.cfr">
        <w:smartTagPr>
          <w:attr w:name="ref" w:val="cfr\26\1.1411-10(b)"/>
        </w:smartTagPr>
        <w:r>
          <w:t>§1.1411-10(b)</w:t>
        </w:r>
      </w:smartTag>
      <w:r>
        <w:t xml:space="preserve"> does not incorporate the </w:t>
      </w:r>
      <w:smartTag w:uri="http://www.bna.com/sgml2word/cite" w:element="cite.usc">
        <w:smartTagPr>
          <w:attr w:name="ref" w:val="USC\26\469"/>
        </w:smartTagPr>
        <w:r>
          <w:t>§469</w:t>
        </w:r>
      </w:smartTag>
      <w:r>
        <w:t xml:space="preserve"> rules on portfolio income, and, thus, applies to income derived by a taxpayer from a CFC or QEF that is held in a </w:t>
      </w:r>
      <w:smartTag w:uri="http://www.bna.com/sgml2word/cite" w:element="cite.usc">
        <w:smartTagPr>
          <w:attr w:name="ref" w:val="USC\26\469"/>
        </w:smartTagPr>
        <w:r>
          <w:t>§469</w:t>
        </w:r>
      </w:smartTag>
      <w:r>
        <w:t xml:space="preserve"> passive trade or business. </w:t>
      </w:r>
    </w:p>
    <w:p w14:paraId="342618AC" w14:textId="77777777" w:rsidR="00494B49" w:rsidRDefault="00494B49">
      <w:pPr>
        <w:pStyle w:val="BNormal"/>
      </w:pPr>
      <w:r>
        <w:t xml:space="preserve">Although not expressly stated in the preamble to the 2013 Final Regulations, the rationale behind the Reg. </w:t>
      </w:r>
      <w:smartTag w:uri="http://www.bna.com/sgml2word/cite" w:element="cite.cfr">
        <w:smartTagPr>
          <w:attr w:name="ref" w:val="cfr\26\1.1411-10(b)"/>
        </w:smartTagPr>
        <w:r>
          <w:t>§1.1411-10(b)</w:t>
        </w:r>
      </w:smartTag>
      <w:r>
        <w:t xml:space="preserve"> rule for passive trades or businesses is also one of simplicity. By including income derived by a taxpayer from a CFC or QEF held in a trade or business that is a passive activity in net investment income in the same year as the taxpayer reports that income for </w:t>
      </w:r>
      <w:r>
        <w:lastRenderedPageBreak/>
        <w:t xml:space="preserve">Chapter 1 purposes, the rule was intended to eliminate the need to make </w:t>
      </w:r>
      <w:smartTag w:uri="http://www.bna.com/sgml2word/cite" w:element="cite.cfr">
        <w:smartTagPr>
          <w:attr w:name="ref" w:val="cfr\26\1.1411-10(g)"/>
        </w:smartTagPr>
        <w:r>
          <w:t>10(g)</w:t>
        </w:r>
      </w:smartTag>
      <w:r>
        <w:t xml:space="preserve"> Elections for CFCs or QEFs held in passive activities. To state it differently, because </w:t>
      </w:r>
      <w:smartTag w:uri="http://www.bna.com/sgml2word/cite" w:element="cite.usc">
        <w:smartTagPr>
          <w:attr w:name="ref" w:val="USC\26\1411(c)(1)(A)(ii)"/>
        </w:smartTagPr>
        <w:r>
          <w:t>§1411(c)(1)(A)(ii)</w:t>
        </w:r>
      </w:smartTag>
      <w:r>
        <w:t xml:space="preserve"> captures all other gross income, and inclusions from CFCs or QEFs are gross income (within the meaning of </w:t>
      </w:r>
      <w:smartTag w:uri="http://www.bna.com/sgml2word/cite" w:element="cite.usc">
        <w:smartTagPr>
          <w:attr w:name="ref" w:val="USC\26\61"/>
        </w:smartTagPr>
        <w:r>
          <w:t>§61</w:t>
        </w:r>
      </w:smartTag>
      <w:r>
        <w:t xml:space="preserve">) — but are not considered dividends for purposes of </w:t>
      </w:r>
      <w:smartTag w:uri="http://www.bna.com/sgml2word/cite" w:element="cite.usc">
        <w:smartTagPr>
          <w:attr w:name="ref" w:val="USC\26\1411(c)(1)(A)"/>
        </w:smartTagPr>
        <w:r>
          <w:t>§1411(c)(1)(A)</w:t>
        </w:r>
      </w:smartTag>
      <w:r>
        <w:t xml:space="preserve">, the </w:t>
      </w:r>
      <w:smartTag w:uri="http://www.bna.com/sgml2word/cite" w:element="cite.cfr">
        <w:smartTagPr>
          <w:attr w:name="ref" w:val="cfr\26\1.1411-10(g)"/>
        </w:smartTagPr>
        <w:r>
          <w:t>10(g)</w:t>
        </w:r>
      </w:smartTag>
      <w:r>
        <w:t xml:space="preserve"> Election is unnecessary. In fact, the language of Reg. </w:t>
      </w:r>
      <w:smartTag w:uri="http://www.bna.com/sgml2word/cite" w:element="cite.cfr">
        <w:smartTagPr>
          <w:attr w:name="ref" w:val="cfr\26\1.1411-10(b)"/>
        </w:smartTagPr>
        <w:r>
          <w:t>§1.1411-10(b)</w:t>
        </w:r>
      </w:smartTag>
      <w:r>
        <w:t xml:space="preserve"> overrides the provisions of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thus, a literal reading of Reg. </w:t>
      </w:r>
      <w:smartTag w:uri="http://www.bna.com/sgml2word/cite" w:element="cite.cfr">
        <w:smartTagPr>
          <w:attr w:name="ref" w:val="cfr\26\1.1411-10(b)"/>
        </w:smartTagPr>
        <w:r>
          <w:t>§1.1411-10(b)</w:t>
        </w:r>
      </w:smartTag>
      <w:r>
        <w:t xml:space="preserve"> would eliminate a taxpayer’s ability to make a </w:t>
      </w:r>
      <w:smartTag w:uri="http://www.bna.com/sgml2word/cite" w:element="cite.cfr">
        <w:smartTagPr>
          <w:attr w:name="ref" w:val="cfr\26\1.1411-10(g)"/>
        </w:smartTagPr>
        <w:r>
          <w:t>10(g)</w:t>
        </w:r>
      </w:smartTag>
      <w:r>
        <w:t xml:space="preserve"> election. </w:t>
      </w:r>
    </w:p>
    <w:p w14:paraId="348D3DF3" w14:textId="77777777" w:rsidR="00494B49" w:rsidRDefault="00494B49">
      <w:pPr>
        <w:pStyle w:val="BNormal"/>
      </w:pPr>
      <w:r>
        <w:t xml:space="preserve">Despite the government’s efforts to provide a simplifying provision, the practical use of Reg. </w:t>
      </w:r>
      <w:smartTag w:uri="http://www.bna.com/sgml2word/cite" w:element="cite.cfr">
        <w:smartTagPr>
          <w:attr w:name="ref" w:val="cfr\26\1.1411-10(b)"/>
        </w:smartTagPr>
        <w:r>
          <w:t>§1.1411-10(b)</w:t>
        </w:r>
      </w:smartTag>
      <w:r>
        <w:t xml:space="preserve"> for CFCs and QEFs held as a passive trade or business is relatively limited for several reasons. First, the income from the CFC or QEF is almost certain to be included in net investment income regardless of whether the activity is passive or nonpassive.</w:t>
      </w:r>
      <w:r>
        <w:rPr>
          <w:rStyle w:val="FootnoteReference"/>
        </w:rPr>
        <w:footnoteReference w:id="357"/>
      </w:r>
      <w:r>
        <w:t xml:space="preserve"> Second, a taxpayer’s status as passive or nonpassive with respect to a trade or business can vary from year to year; thus, taxpayers are best advised to make a </w:t>
      </w:r>
      <w:smartTag w:uri="http://www.bna.com/sgml2word/cite" w:element="cite.cfr">
        <w:smartTagPr>
          <w:attr w:name="ref" w:val="cfr\26\1.1411-10(g)"/>
        </w:smartTagPr>
        <w:r>
          <w:t>10(g)</w:t>
        </w:r>
      </w:smartTag>
      <w:r>
        <w:t xml:space="preserve"> election whenever possible to ensure that the timing of net investment income and regular tax will be predictably uniform. In many cases, making the </w:t>
      </w:r>
      <w:smartTag w:uri="http://www.bna.com/sgml2word/cite" w:element="cite.cfr">
        <w:smartTagPr>
          <w:attr w:name="ref" w:val="cfr\26\1.1411-10(g)"/>
        </w:smartTagPr>
        <w:r>
          <w:t>10(g)</w:t>
        </w:r>
      </w:smartTag>
      <w:r>
        <w:t xml:space="preserve"> election at the partnership or S corporation level is procedurally easier than footnoting the inclusions to owners every year and explaining how the treatment can vary based on passive versus nonpassive status and whether a </w:t>
      </w:r>
      <w:smartTag w:uri="http://www.bna.com/sgml2word/cite" w:element="cite.cfr">
        <w:smartTagPr>
          <w:attr w:name="ref" w:val="cfr\26\1.1411-10(g)"/>
        </w:smartTagPr>
        <w:r>
          <w:t>10(g)</w:t>
        </w:r>
      </w:smartTag>
      <w:r>
        <w:t xml:space="preserve"> election was or was not made at the owner level. Third, taxpayers and their advisors may have some reservations about the government’s belief that, although prefaced as “theoretical” in the preamble, CFC or QEF inclusions could be earned in, and attributable to, an operating trade or business. </w:t>
      </w:r>
    </w:p>
    <w:p w14:paraId="298E6759" w14:textId="77777777" w:rsidR="00494B49" w:rsidRDefault="00494B49">
      <w:pPr>
        <w:pStyle w:val="BNormal"/>
      </w:pPr>
      <w:r>
        <w:t xml:space="preserve">Although the government did not share the commentators’ views of the limited viability of Reg. </w:t>
      </w:r>
      <w:smartTag w:uri="http://www.bna.com/sgml2word/cite" w:element="cite.cfr">
        <w:smartTagPr>
          <w:attr w:name="ref" w:val="cfr\26\1.1411-10(b)"/>
        </w:smartTagPr>
        <w:r>
          <w:t>§1.1411-10(b)</w:t>
        </w:r>
      </w:smartTag>
      <w:r>
        <w:t xml:space="preserve"> for passive activities, the ultimate response by taxpayers in making the </w:t>
      </w:r>
      <w:smartTag w:uri="http://www.bna.com/sgml2word/cite" w:element="cite.cfr">
        <w:smartTagPr>
          <w:attr w:name="ref" w:val="cfr\26\1.1411-10(g)"/>
        </w:smartTagPr>
        <w:r>
          <w:t>10(g)</w:t>
        </w:r>
      </w:smartTag>
      <w:r>
        <w:t xml:space="preserve"> election regardless of passive or nonpassive treatment may be viewed as siding with the commentators. The fact that income from CFCs and QEFs, whether inclusions or dividends, will almost always be net investment income regardless of the passive or nonpassive character of the activity,</w:t>
      </w:r>
      <w:r>
        <w:rPr>
          <w:rStyle w:val="FootnoteReference"/>
        </w:rPr>
        <w:footnoteReference w:id="358"/>
      </w:r>
      <w:r>
        <w:t xml:space="preserve"> relegates the issue to that of academic discussion because the widespread use of the </w:t>
      </w:r>
      <w:smartTag w:uri="http://www.bna.com/sgml2word/cite" w:element="cite.cfr">
        <w:smartTagPr>
          <w:attr w:name="ref" w:val="cfr\26\1.1411-10(g)"/>
        </w:smartTagPr>
        <w:r>
          <w:t>10(g)</w:t>
        </w:r>
      </w:smartTag>
      <w:r>
        <w:t xml:space="preserve"> election eliminates any mathematical difference between a year when Reg. </w:t>
      </w:r>
      <w:smartTag w:uri="http://www.bna.com/sgml2word/cite" w:element="cite.cfr">
        <w:smartTagPr>
          <w:attr w:name="ref" w:val="cfr\26\1.1411-10(b)"/>
        </w:smartTagPr>
        <w:r>
          <w:t>§1.1411-10(b)</w:t>
        </w:r>
      </w:smartTag>
      <w:r>
        <w:t xml:space="preserve"> applies and when it does not. </w:t>
      </w:r>
    </w:p>
    <w:p w14:paraId="571F9387" w14:textId="77777777" w:rsidR="00494B49" w:rsidRDefault="00494B49">
      <w:pPr>
        <w:pStyle w:val="BHead1"/>
      </w:pPr>
      <w:r>
        <w:t>D. Net Gain from Disposition of Property — §1411(c)(1)(A)(iii)</w:t>
      </w:r>
    </w:p>
    <w:p w14:paraId="716B85D8" w14:textId="77777777" w:rsidR="00494B49" w:rsidRDefault="00494B49">
      <w:pPr>
        <w:pStyle w:val="BNormal"/>
      </w:pPr>
      <w:r>
        <w:t xml:space="preserve">The third category of </w:t>
      </w:r>
      <w:smartTag w:uri="http://www.bna.com/sgml2word/cite" w:element="cite.usc">
        <w:smartTagPr>
          <w:attr w:name="ref" w:val="USC\26\1411"/>
        </w:smartTagPr>
        <w:r>
          <w:t>§1411</w:t>
        </w:r>
      </w:smartTag>
      <w:r>
        <w:t xml:space="preserve"> investment income (Category III income) includes net gain, to the extent that the gain is taken into account in computing taxable income, if that gain is attributable to the disposition of property that is (a) held in a trade or business that is either a passive activity with respect to the taxpayer or a trade or business of trading in financial instruments or commodities, or (b) held in a for-profit activity that is not a trade or business.</w:t>
      </w:r>
      <w:r>
        <w:rPr>
          <w:rStyle w:val="FootnoteReference"/>
        </w:rPr>
        <w:footnoteReference w:id="359"/>
      </w:r>
      <w:r>
        <w:t xml:space="preserve"> For purposes of this provision, the term “disposition” means a sale, exchange, transfer, conversion, cash </w:t>
      </w:r>
      <w:r>
        <w:lastRenderedPageBreak/>
        <w:t xml:space="preserve">settlement, termination, lapse, expiration, or other disposition (including, for example, a deemed disposition under </w:t>
      </w:r>
      <w:smartTag w:uri="http://www.bna.com/sgml2word/cite" w:element="cite.usc">
        <w:smartTagPr>
          <w:attr w:name="ref" w:val="USC\26\877A"/>
        </w:smartTagPr>
        <w:r>
          <w:t>§877A</w:t>
        </w:r>
      </w:smartTag>
      <w:r>
        <w:t>).</w:t>
      </w:r>
      <w:r>
        <w:rPr>
          <w:rStyle w:val="FootnoteReference"/>
        </w:rPr>
        <w:footnoteReference w:id="360"/>
      </w:r>
      <w:r>
        <w:t xml:space="preserve"> The calculation of net gain cannot be less than zero.</w:t>
      </w:r>
      <w:r>
        <w:rPr>
          <w:rStyle w:val="FootnoteReference"/>
        </w:rPr>
        <w:footnoteReference w:id="361"/>
      </w:r>
    </w:p>
    <w:p w14:paraId="44FAAD93" w14:textId="77777777" w:rsidR="00494B49" w:rsidRDefault="00494B49">
      <w:pPr>
        <w:pStyle w:val="BNormal"/>
      </w:pPr>
      <w:r>
        <w:t xml:space="preserve">Net gain from the disposition of property is equal to the recognized gain described in </w:t>
      </w:r>
      <w:smartTag w:uri="http://www.bna.com/sgml2word/cite" w:element="cite.usc">
        <w:smartTagPr>
          <w:attr w:name="ref" w:val="USC\26\61(a)(3)"/>
        </w:smartTagPr>
        <w:r>
          <w:t>§61(a)(3)</w:t>
        </w:r>
      </w:smartTag>
      <w:r>
        <w:t xml:space="preserve"> reduced, but not below zero, by losses deductible under </w:t>
      </w:r>
      <w:smartTag w:uri="http://www.bna.com/sgml2word/cite" w:element="cite.usc">
        <w:smartTagPr>
          <w:attr w:name="ref" w:val="USC\26\165"/>
        </w:smartTagPr>
        <w:r>
          <w:t>§165</w:t>
        </w:r>
      </w:smartTag>
      <w:r>
        <w:t>, including losses attributable to casualty, theft, and abandonment, or worthlessness.</w:t>
      </w:r>
      <w:r>
        <w:rPr>
          <w:rStyle w:val="FootnoteReference"/>
        </w:rPr>
        <w:footnoteReference w:id="362"/>
      </w:r>
    </w:p>
    <w:p w14:paraId="5FE1AEDA" w14:textId="77777777" w:rsidR="00494B49" w:rsidRDefault="00494B49">
      <w:pPr>
        <w:pStyle w:val="BNormal"/>
      </w:pPr>
      <w:r>
        <w:rPr>
          <w:i/>
        </w:rPr>
        <w:t>Comment:</w:t>
      </w:r>
      <w:r>
        <w:t xml:space="preserve"> Net gain from the disposition of property held in a for-profit activity that does not rise to the level of a trade or business under </w:t>
      </w:r>
      <w:smartTag w:uri="http://www.bna.com/sgml2word/cite" w:element="cite.usc">
        <w:smartTagPr>
          <w:attr w:name="ref" w:val="USC\26\162"/>
        </w:smartTagPr>
        <w:r>
          <w:t>§162</w:t>
        </w:r>
      </w:smartTag>
      <w:r>
        <w:t xml:space="preserve"> (e.g., a rental real estate activity that is not a trade or business) is included in the computation of net investment income. Although </w:t>
      </w:r>
      <w:smartTag w:uri="http://www.bna.com/sgml2word/cite" w:element="cite.usc">
        <w:smartTagPr>
          <w:attr w:name="ref" w:val="USC\26\1411(c)(1)(A)(iii)"/>
        </w:smartTagPr>
        <w:r>
          <w:t>§1411(c)(1)(A)(iii)</w:t>
        </w:r>
      </w:smartTag>
      <w:r>
        <w:t xml:space="preserve"> does not specifically mention activities that are not trades or businesses, a careful reading of the statutory language and the examples in the regulations make it clear that net gain from the disposition of property is included in gross investment income unless the taxpayer holds the property in a non-</w:t>
      </w:r>
      <w:smartTag w:uri="http://www.bna.com/sgml2word/cite" w:element="cite.usc">
        <w:smartTagPr>
          <w:attr w:name="ref" w:val="USC\26\1411(c)(2)"/>
        </w:smartTagPr>
        <w:r>
          <w:t>§1411(c)(2)</w:t>
        </w:r>
      </w:smartTag>
      <w:r>
        <w:t xml:space="preserve"> trade or business. </w:t>
      </w:r>
    </w:p>
    <w:p w14:paraId="6FFDC1DA" w14:textId="77777777" w:rsidR="00494B49" w:rsidRDefault="00494B49">
      <w:pPr>
        <w:pStyle w:val="BNormal"/>
      </w:pPr>
      <w:r>
        <w:t>Category III income does not include gain or loss attributable to the disposition of property (other than property from the investment of working capital) held in a non-</w:t>
      </w:r>
      <w:smartTag w:uri="http://www.bna.com/sgml2word/cite" w:element="cite.usc">
        <w:smartTagPr>
          <w:attr w:name="ref" w:val="USC\26\1411(c)(2)"/>
        </w:smartTagPr>
        <w:r>
          <w:t>§1411(c)(2)</w:t>
        </w:r>
      </w:smartTag>
      <w:r>
        <w:t xml:space="preserve"> trade or business.</w:t>
      </w:r>
      <w:r>
        <w:rPr>
          <w:rStyle w:val="FootnoteReference"/>
        </w:rPr>
        <w:footnoteReference w:id="363"/>
      </w:r>
      <w:r>
        <w:t xml:space="preserve"> This exception, which is similar to the “ordinary course of a trade or business exception” applicable to Category I income, is discussed in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p w14:paraId="7502AE2B" w14:textId="77777777" w:rsidR="00494B49" w:rsidRDefault="00494B49">
      <w:pPr>
        <w:pStyle w:val="BHead2"/>
      </w:pPr>
      <w:r>
        <w:t>1. Scope of Category III Income</w:t>
      </w:r>
    </w:p>
    <w:p w14:paraId="02E0B012" w14:textId="77777777" w:rsidR="00494B49" w:rsidRDefault="00494B49">
      <w:pPr>
        <w:pStyle w:val="BNormal"/>
      </w:pPr>
      <w:r>
        <w:t xml:space="preserve">Category III income is unique. The amount of investment income included in </w:t>
      </w:r>
      <w:smartTag w:uri="http://www.bna.com/sgml2word/cite" w:element="cite.usc">
        <w:smartTagPr>
          <w:attr w:name="ref" w:val="USC\26\1411(c)(1)(A)(iii)"/>
        </w:smartTagPr>
        <w:r>
          <w:t>§1411(c)(1)(A)(iii)</w:t>
        </w:r>
      </w:smartTag>
      <w:r>
        <w:t xml:space="preserve"> is different from that included in Category I and II because Category III is the only one that uses the term “net.” By comparison, </w:t>
      </w:r>
      <w:smartTag w:uri="http://www.bna.com/sgml2word/cite" w:element="cite.usc">
        <w:smartTagPr>
          <w:attr w:name="ref" w:val="USC\26\1411(c)(1)(A)(i)"/>
        </w:smartTagPr>
        <w:r>
          <w:t>§1411(c)(1)(A)(i)</w:t>
        </w:r>
      </w:smartTag>
      <w:r>
        <w:t xml:space="preserve"> and </w:t>
      </w:r>
      <w:smartTag w:uri="http://www.bna.com/sgml2word/cite" w:element="cite.usc">
        <w:smartTagPr>
          <w:attr w:name="ref" w:val="USC\26\1411(c)(1)(A)(ii)"/>
        </w:smartTagPr>
        <w:r>
          <w:t>§1411(c)(1)(A)(ii)</w:t>
        </w:r>
      </w:smartTag>
      <w:r>
        <w:t xml:space="preserve"> include items of gross income and rely on </w:t>
      </w:r>
      <w:smartTag w:uri="http://www.bna.com/sgml2word/cite" w:element="cite.usc">
        <w:smartTagPr>
          <w:attr w:name="ref" w:val="USC\26\1411(c)(1)(B)"/>
        </w:smartTagPr>
        <w:r>
          <w:t>§1411(c)(1)(B)</w:t>
        </w:r>
      </w:smartTag>
      <w:r>
        <w:t xml:space="preserve"> (allowance of properly allocable deductions) to arrive at “net” investment income. The amount of net gain included in net investment income may not be less than zero. The 2013 Final Regulations allow excess losses to be deducted as properly allocable deductions (discussed more fully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xml:space="preserve">, below). </w:t>
      </w:r>
    </w:p>
    <w:p w14:paraId="00CF4D2D" w14:textId="77777777" w:rsidR="00494B49" w:rsidRDefault="00494B49">
      <w:pPr>
        <w:pStyle w:val="BNormal"/>
      </w:pPr>
      <w:smartTag w:uri="http://www.bna.com/sgml2word/cite" w:element="cite.usc">
        <w:smartTagPr>
          <w:attr w:name="ref" w:val="USC\26\1411(c)(1)(A)(iii)"/>
        </w:smartTagPr>
        <w:r>
          <w:t>Section 1411(c)(1)(A)(iii)</w:t>
        </w:r>
      </w:smartTag>
      <w:r>
        <w:t xml:space="preserve"> provides, in relevant part, that net investment income includes “net gain (to the extent taken into account in computing taxable income).” The importance of the parenthetical cannot be understated. The “to the extent taken into account in computing taxable income” invokes the long-standing federal tax principle of recognition (versus realization). It seems obvious that for gains or losses to be taken into account in computing net investment income, they must be taken into account in computing taxable income, but that was not the case immediately following the enactment of </w:t>
      </w:r>
      <w:smartTag w:uri="http://www.bna.com/sgml2word/cite" w:element="cite.usc">
        <w:smartTagPr>
          <w:attr w:name="ref" w:val="USC\26\1411"/>
        </w:smartTagPr>
        <w:r>
          <w:t>§1411</w:t>
        </w:r>
      </w:smartTag>
      <w:r>
        <w:t xml:space="preserve">. </w:t>
      </w:r>
    </w:p>
    <w:p w14:paraId="2BD07864" w14:textId="77777777" w:rsidR="00494B49" w:rsidRDefault="00494B49">
      <w:pPr>
        <w:pStyle w:val="BHead3"/>
      </w:pPr>
      <w:r>
        <w:t>a. Gains and Losses Excluded from Taxable Income</w:t>
      </w:r>
    </w:p>
    <w:p w14:paraId="77A751E9" w14:textId="77777777" w:rsidR="00494B49" w:rsidRDefault="00494B49">
      <w:pPr>
        <w:pStyle w:val="BNormal"/>
      </w:pPr>
      <w:r>
        <w:t>To the extent that gain or loss is excluded from taxable income, it is excluded from net investment income. Nondeductible losses are not deductible for net investment income purposes because they were not “taken into account in computing taxable income.” Examples include losses from personal use assets;</w:t>
      </w:r>
      <w:r>
        <w:rPr>
          <w:rStyle w:val="FootnoteReference"/>
        </w:rPr>
        <w:footnoteReference w:id="364"/>
      </w:r>
      <w:r>
        <w:t xml:space="preserve"> losses from casualties and thefts to the extent they do not meet the minimum thresholds under </w:t>
      </w:r>
      <w:smartTag w:uri="http://www.bna.com/sgml2word/cite" w:element="cite.usc">
        <w:smartTagPr>
          <w:attr w:name="ref" w:val="USC\26\165"/>
        </w:smartTagPr>
        <w:r>
          <w:t>§165</w:t>
        </w:r>
      </w:smartTag>
      <w:r>
        <w:t xml:space="preserve">; losses on a “registration-required obligation” that is not in </w:t>
      </w:r>
      <w:r>
        <w:lastRenderedPageBreak/>
        <w:t>registered form;</w:t>
      </w:r>
      <w:r>
        <w:rPr>
          <w:rStyle w:val="FootnoteReference"/>
        </w:rPr>
        <w:footnoteReference w:id="365"/>
      </w:r>
      <w:r>
        <w:t xml:space="preserve"> debts from political parties;</w:t>
      </w:r>
      <w:r>
        <w:rPr>
          <w:rStyle w:val="FootnoteReference"/>
        </w:rPr>
        <w:footnoteReference w:id="366"/>
      </w:r>
      <w:r>
        <w:t xml:space="preserve"> losses from wash sales;</w:t>
      </w:r>
      <w:r>
        <w:rPr>
          <w:rStyle w:val="FootnoteReference"/>
        </w:rPr>
        <w:footnoteReference w:id="367"/>
      </w:r>
      <w:r>
        <w:t xml:space="preserve"> loses associated with not-for-profit activities (hobby losses):</w:t>
      </w:r>
      <w:r>
        <w:rPr>
          <w:rStyle w:val="FootnoteReference"/>
        </w:rPr>
        <w:footnoteReference w:id="368"/>
      </w:r>
      <w:r>
        <w:t xml:space="preserve"> and losses from the demolition of a structure.</w:t>
      </w:r>
      <w:r>
        <w:rPr>
          <w:rStyle w:val="FootnoteReference"/>
        </w:rPr>
        <w:footnoteReference w:id="369"/>
      </w:r>
    </w:p>
    <w:p w14:paraId="68FE508A" w14:textId="77777777" w:rsidR="00494B49" w:rsidRDefault="00494B49">
      <w:pPr>
        <w:pStyle w:val="BNormal"/>
      </w:pPr>
      <w:r>
        <w:t>Likewise, gains that are not included in taxable income are not included in net investment income because they are not “taken into account in computing taxable income.” Examples include gain excluded from gross income attributable to the sale of a principal residence;</w:t>
      </w:r>
      <w:r>
        <w:rPr>
          <w:rStyle w:val="FootnoteReference"/>
        </w:rPr>
        <w:footnoteReference w:id="370"/>
      </w:r>
      <w:r>
        <w:t xml:space="preserve"> gain excluded on the sale of certain small business stock;</w:t>
      </w:r>
      <w:r>
        <w:rPr>
          <w:rStyle w:val="FootnoteReference"/>
        </w:rPr>
        <w:footnoteReference w:id="371"/>
      </w:r>
      <w:r>
        <w:t xml:space="preserve"> gain attributable to the reacquisition of real property;</w:t>
      </w:r>
      <w:r>
        <w:rPr>
          <w:rStyle w:val="FootnoteReference"/>
        </w:rPr>
        <w:footnoteReference w:id="372"/>
      </w:r>
      <w:r>
        <w:t xml:space="preserve"> qualified capital gain from the sale or exchange in years 2003 through 2014 of a qualified community asset held for more than five years;</w:t>
      </w:r>
      <w:r>
        <w:rPr>
          <w:rStyle w:val="FootnoteReference"/>
        </w:rPr>
        <w:footnoteReference w:id="373"/>
      </w:r>
      <w:r>
        <w:t xml:space="preserve"> and qualified capital gain from the sale or exchange in years 1998 through 2016 of any District of Columbia Empowerment Zone asset held for more than five years.</w:t>
      </w:r>
      <w:r>
        <w:rPr>
          <w:rStyle w:val="FootnoteReference"/>
        </w:rPr>
        <w:footnoteReference w:id="374"/>
      </w:r>
    </w:p>
    <w:p w14:paraId="7F64AE26" w14:textId="77777777" w:rsidR="00494B49" w:rsidRDefault="00494B49">
      <w:pPr>
        <w:pStyle w:val="BHead3"/>
      </w:pPr>
      <w:r>
        <w:t xml:space="preserve">b. Deferred Gain or Loss </w:t>
      </w:r>
    </w:p>
    <w:p w14:paraId="5479D6D9" w14:textId="77777777" w:rsidR="00494B49" w:rsidRDefault="00494B49">
      <w:pPr>
        <w:pStyle w:val="BHead4"/>
      </w:pPr>
      <w:r>
        <w:t>(1) General Rule</w:t>
      </w:r>
    </w:p>
    <w:p w14:paraId="6134242A" w14:textId="77777777" w:rsidR="00494B49" w:rsidRDefault="00494B49">
      <w:pPr>
        <w:pStyle w:val="BNormal"/>
      </w:pPr>
      <w:r>
        <w:t xml:space="preserve">Deferred exchanges, at their core, are realization events but not recognition events. For example, a </w:t>
      </w:r>
      <w:smartTag w:uri="http://www.bna.com/sgml2word/cite" w:element="cite.usc">
        <w:smartTagPr>
          <w:attr w:name="ref" w:val="USC\26\1031"/>
        </w:smartTagPr>
        <w:r>
          <w:t>§1031</w:t>
        </w:r>
      </w:smartTag>
      <w:r>
        <w:t xml:space="preserve"> like-kind exchange of real property is a realization event, but the recognition of gain is deferred, and as a result, the deferred gain is not “taken into account in computing taxable income” except to the extent of non-like-kind property received in the exchange. In addition, common deferred exchanges that are also deferred for net investment income tax (NIIT) purposes (i.e., are nontaxable events) include certain formations, reorganizations, and liquidations of corporations covered by </w:t>
      </w:r>
      <w:smartTag w:uri="http://www.bna.com/sgml2word/cite" w:element="cite.usc">
        <w:smartTagPr>
          <w:attr w:name="ref" w:val="USC\26\331"/>
        </w:smartTagPr>
        <w:r>
          <w:t>§331</w:t>
        </w:r>
      </w:smartTag>
      <w:r>
        <w:t xml:space="preserve">, former §333, </w:t>
      </w:r>
      <w:smartTag w:uri="http://www.bna.com/sgml2word/cite" w:element="cite.usc">
        <w:smartTagPr>
          <w:attr w:name="ref" w:val="USC\26\337"/>
        </w:smartTagPr>
        <w:r>
          <w:t>§337</w:t>
        </w:r>
      </w:smartTag>
      <w:r>
        <w:t xml:space="preserve">, </w:t>
      </w:r>
      <w:smartTag w:uri="http://www.bna.com/sgml2word/cite" w:element="cite.usc">
        <w:smartTagPr>
          <w:attr w:name="ref" w:val="USC\26\351"/>
        </w:smartTagPr>
        <w:r>
          <w:t>§351</w:t>
        </w:r>
      </w:smartTag>
      <w:r>
        <w:t xml:space="preserve">, </w:t>
      </w:r>
      <w:smartTag w:uri="http://www.bna.com/sgml2word/cite" w:element="cite.usc">
        <w:smartTagPr>
          <w:attr w:name="ref" w:val="USC\26\354"/>
        </w:smartTagPr>
        <w:r>
          <w:t>§354</w:t>
        </w:r>
      </w:smartTag>
      <w:r>
        <w:t xml:space="preserve">, </w:t>
      </w:r>
      <w:smartTag w:uri="http://www.bna.com/sgml2word/cite" w:element="cite.usc">
        <w:smartTagPr>
          <w:attr w:name="ref" w:val="USC\26\355"/>
        </w:smartTagPr>
        <w:r>
          <w:t>§355</w:t>
        </w:r>
      </w:smartTag>
      <w:r>
        <w:t xml:space="preserve">, and </w:t>
      </w:r>
      <w:smartTag w:uri="http://www.bna.com/sgml2word/cite" w:element="cite.usc">
        <w:smartTagPr>
          <w:attr w:name="ref" w:val="USC\26\361"/>
        </w:smartTagPr>
        <w:r>
          <w:t>§361</w:t>
        </w:r>
      </w:smartTag>
      <w:r>
        <w:t xml:space="preserve">; certain formations and distributions of partnerships under </w:t>
      </w:r>
      <w:smartTag w:uri="http://www.bna.com/sgml2word/cite" w:element="cite.usc">
        <w:smartTagPr>
          <w:attr w:name="ref" w:val="USC\26\721"/>
        </w:smartTagPr>
        <w:r>
          <w:t>§721</w:t>
        </w:r>
      </w:smartTag>
      <w:r>
        <w:t xml:space="preserve"> and </w:t>
      </w:r>
      <w:smartTag w:uri="http://www.bna.com/sgml2word/cite" w:element="cite.usc">
        <w:smartTagPr>
          <w:attr w:name="ref" w:val="USC\26\731"/>
        </w:smartTagPr>
        <w:r>
          <w:t>§731</w:t>
        </w:r>
      </w:smartTag>
      <w:r>
        <w:t xml:space="preserve">; certain involuntary conversions of property (if replaced) under </w:t>
      </w:r>
      <w:smartTag w:uri="http://www.bna.com/sgml2word/cite" w:element="cite.usc">
        <w:smartTagPr>
          <w:attr w:name="ref" w:val="USC\26\1033"/>
        </w:smartTagPr>
        <w:r>
          <w:t>§1033</w:t>
        </w:r>
      </w:smartTag>
      <w:r>
        <w:t xml:space="preserve">; and exchanges of insurance policies and annuity contracts covered by </w:t>
      </w:r>
      <w:smartTag w:uri="http://www.bna.com/sgml2word/cite" w:element="cite.usc">
        <w:smartTagPr>
          <w:attr w:name="ref" w:val="USC\26\1035"/>
        </w:smartTagPr>
        <w:r>
          <w:t>§1035</w:t>
        </w:r>
      </w:smartTag>
      <w:r>
        <w:t>.</w:t>
      </w:r>
    </w:p>
    <w:p w14:paraId="285C373A" w14:textId="77777777" w:rsidR="00494B49" w:rsidRDefault="00494B49">
      <w:pPr>
        <w:pStyle w:val="BNormal"/>
      </w:pPr>
      <w:r>
        <w:t xml:space="preserve">Although the list of realization-but-not-recognition events listed above seems intuitive, there is a subtle issue just below the surface — the character of the deferred gain or loss. To the extent that a nonrecognition provision such as </w:t>
      </w:r>
      <w:smartTag w:uri="http://www.bna.com/sgml2word/cite" w:element="cite.usc">
        <w:smartTagPr>
          <w:attr w:name="ref" w:val="USC\26\721"/>
        </w:smartTagPr>
        <w:r>
          <w:t>§721</w:t>
        </w:r>
      </w:smartTag>
      <w:r>
        <w:t xml:space="preserve"> or </w:t>
      </w:r>
      <w:smartTag w:uri="http://www.bna.com/sgml2word/cite" w:element="cite.usc">
        <w:smartTagPr>
          <w:attr w:name="ref" w:val="USC\26\1031"/>
        </w:smartTagPr>
        <w:r>
          <w:t>§1031</w:t>
        </w:r>
      </w:smartTag>
      <w:r>
        <w:t xml:space="preserve"> defers gain or loss for regular tax purposes, it also defers it for NIIT purposes. However, the relevant question is whether the character of the gain or loss — in this case net investment income or non-net-investment income — is retained in the exchange. For example, if real property held for investment is exchanged for real property to be used in a nonpassive trade or business in a </w:t>
      </w:r>
      <w:smartTag w:uri="http://www.bna.com/sgml2word/cite" w:element="cite.usc">
        <w:smartTagPr>
          <w:attr w:name="ref" w:val="USC\26\1031"/>
        </w:smartTagPr>
        <w:r>
          <w:t>§1031</w:t>
        </w:r>
      </w:smartTag>
      <w:r>
        <w:t xml:space="preserve"> transaction, should the built-in gain that accrued during the period the property was held for investment be “tainted” as net investment income even though the property is now used in a non-</w:t>
      </w:r>
      <w:smartTag w:uri="http://www.bna.com/sgml2word/cite" w:element="cite.usc">
        <w:smartTagPr>
          <w:attr w:name="ref" w:val="USC\26\1411"/>
        </w:smartTagPr>
        <w:r>
          <w:t>§1411</w:t>
        </w:r>
      </w:smartTag>
      <w:r>
        <w:t xml:space="preserve"> trade or business? Or, if sold, should the property be considered excluded from net investment income under Reg. </w:t>
      </w:r>
      <w:smartTag w:uri="http://www.bna.com/sgml2word/cite" w:element="cite.cfr">
        <w:smartTagPr>
          <w:attr w:name="ref" w:val="cfr\26\1.1411-4(d)(4)(i)"/>
        </w:smartTagPr>
        <w:r>
          <w:t>§1.1411-4(d)(4)(i)</w:t>
        </w:r>
      </w:smartTag>
      <w:r>
        <w:t xml:space="preserve"> because it was used in a nonpassive trade or business on the day of the sale? </w:t>
      </w:r>
      <w:r>
        <w:lastRenderedPageBreak/>
        <w:t>Conversely, if a property was used in a non-</w:t>
      </w:r>
      <w:smartTag w:uri="http://www.bna.com/sgml2word/cite" w:element="cite.usc">
        <w:smartTagPr>
          <w:attr w:name="ref" w:val="USC\26\1411"/>
        </w:smartTagPr>
        <w:r>
          <w:t>§1411</w:t>
        </w:r>
      </w:smartTag>
      <w:r>
        <w:t xml:space="preserve"> trade or business but then exchanged for a property held for investment, should the gain from the property be included in net investment income when sold? The regulations do not address this issue.</w:t>
      </w:r>
    </w:p>
    <w:p w14:paraId="74BF68FC" w14:textId="77777777" w:rsidR="00494B49" w:rsidRDefault="00494B49">
      <w:pPr>
        <w:pStyle w:val="BNormal"/>
      </w:pPr>
      <w:r>
        <w:t xml:space="preserve">In the NIIT regulation package, there are no provisions that capture (and track) the built-in gain or loss of an asset for NIIT purposes in a deferred transaction. In the absence of a specific rule in the NIIT regime, one must look to regular income tax principles for guidance. Consider a </w:t>
      </w:r>
      <w:smartTag w:uri="http://www.bna.com/sgml2word/cite" w:element="cite.usc">
        <w:smartTagPr>
          <w:attr w:name="ref" w:val="USC\26\1031"/>
        </w:smartTagPr>
        <w:r>
          <w:t>§1031</w:t>
        </w:r>
      </w:smartTag>
      <w:r>
        <w:t xml:space="preserve"> exchange. There are specific provisions that tack holding period</w:t>
      </w:r>
      <w:r>
        <w:rPr>
          <w:rStyle w:val="FootnoteReference"/>
        </w:rPr>
        <w:footnoteReference w:id="375"/>
      </w:r>
      <w:r>
        <w:t xml:space="preserve"> and gain associated with accumulated depreciation.</w:t>
      </w:r>
      <w:r>
        <w:rPr>
          <w:rStyle w:val="FootnoteReference"/>
        </w:rPr>
        <w:footnoteReference w:id="376"/>
      </w:r>
      <w:r>
        <w:t xml:space="preserve"> In the case of state income tax, some states have specific provisions that track built-in gain when the exchanged property and the replacement property are located in different states.</w:t>
      </w:r>
      <w:r>
        <w:rPr>
          <w:rStyle w:val="FootnoteReference"/>
        </w:rPr>
        <w:footnoteReference w:id="377"/>
      </w:r>
      <w:r>
        <w:t xml:space="preserve"> Although it is not feasible to review the attribute retention of all deferred exchanges, it would appear that, absent a specific NIIT rule, the classification of either net investment income or non-net-investment income deferred gain or loss is not retained in a deferred recognition exchange.</w:t>
      </w:r>
    </w:p>
    <w:p w14:paraId="6E2B7F3C" w14:textId="77777777" w:rsidR="00494B49" w:rsidRDefault="00494B49">
      <w:pPr>
        <w:pStyle w:val="BNormal"/>
      </w:pPr>
      <w:r>
        <w:t>Consider the following NIIT treatment of two gain deferral transactions into the new Opportunity Zones.</w:t>
      </w:r>
      <w:r>
        <w:rPr>
          <w:rStyle w:val="FootnoteReference"/>
        </w:rPr>
        <w:footnoteReference w:id="378"/>
      </w:r>
    </w:p>
    <w:p w14:paraId="15BD0C06" w14:textId="77777777" w:rsidR="00494B49" w:rsidRDefault="00494B49">
      <w:pPr>
        <w:pStyle w:val="BExamplepara"/>
      </w:pPr>
      <w:r>
        <w:rPr>
          <w:rStyle w:val="BExamplehead"/>
          <w:rFonts w:eastAsiaTheme="minorHAnsi"/>
          <w:i/>
        </w:rPr>
        <w:t>Example 1:</w:t>
      </w:r>
      <w:r>
        <w:t xml:space="preserve"> Individual disposes of stock in an S corporation and recognized $1,000,000 long term capital gain. Under Prop. Reg. </w:t>
      </w:r>
      <w:smartTag w:uri="http://www.bna.com/sgml2word/cite" w:element="cite.cfr">
        <w:smartTagPr>
          <w:attr w:name="ref" w:val="prule\cfr\26\1.1411-7"/>
        </w:smartTagPr>
        <w:r>
          <w:t>§1.1411-7</w:t>
        </w:r>
      </w:smartTag>
      <w:r>
        <w:t>, none of the gain is included in NII because all of the S corporation’s assets were held in a nonpassive trade or business. The individual contributes $1,000,000 into an Opportunity Zone fund organized as a corporation and validly defers the gain.</w:t>
      </w:r>
    </w:p>
    <w:p w14:paraId="1082F2F6" w14:textId="77777777" w:rsidR="00494B49" w:rsidRDefault="00494B49">
      <w:pPr>
        <w:pStyle w:val="BNormal"/>
      </w:pPr>
      <w:r>
        <w:t>In this situation, the nonpassive gain would have been excluded from NII for two reasons. First, it was nonpassive. Second, NII cannot include gains that are recognized for regular tax purposes. However, because the individual rolled the gain into stock of a C corporation, when that stock is eventually sold, it will now be considered NII because it is: (a) taken into account in computing taxable income, and (b) the individual does not hold C corporation stock in a nonpassive trade or business, so it is not able to be excluded.</w:t>
      </w:r>
    </w:p>
    <w:p w14:paraId="0AAF845D" w14:textId="77777777" w:rsidR="00494B49" w:rsidRDefault="00494B49">
      <w:pPr>
        <w:pStyle w:val="BExamplepara"/>
      </w:pPr>
      <w:r>
        <w:rPr>
          <w:rStyle w:val="BExamplehead"/>
          <w:rFonts w:eastAsiaTheme="minorHAnsi"/>
          <w:i/>
        </w:rPr>
        <w:t>Example 2:</w:t>
      </w:r>
      <w:r>
        <w:t xml:space="preserve"> Same facts as </w:t>
      </w:r>
      <w:r>
        <w:rPr>
          <w:i/>
        </w:rPr>
        <w:t>Example 1</w:t>
      </w:r>
      <w:r>
        <w:t>. However, the first disposition was of publicly traded C corporation stock and the Opportunity Zone fund was a partnership that invested in a business that was nonpassive to the individual. In this example, the gain on the C corporation stock is excluded from NII because it was not taken into account in computing taxable income. But, because of the nonpassive nature of the Opportunity Zone fund to the individual, any gain on the disposition of the Opportunity Zone fund would be excluded from NII.</w:t>
      </w:r>
    </w:p>
    <w:p w14:paraId="0A7591B8" w14:textId="77777777" w:rsidR="00494B49" w:rsidRDefault="00494B49">
      <w:pPr>
        <w:pStyle w:val="BNormal"/>
      </w:pPr>
      <w:r>
        <w:t xml:space="preserve">There is one situation, however, that is worth further consideration — the analysis is different for losses that are disallowed and deferred by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In a deferred exchange, discussed above, the post-exchange “use” or “characterization” of the property is what should determine </w:t>
      </w:r>
      <w:r>
        <w:lastRenderedPageBreak/>
        <w:t xml:space="preserve">net investment income liability. In the case of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losses, the taxpayer no longer owns replacement property. Therefore, it is logical to conclude that the net investment income treatment of the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 is retained as a characteristic of the loss. As a result, if and when the loss is ultimately allowed by reason of </w:t>
      </w:r>
      <w:smartTag w:uri="http://www.bna.com/sgml2word/cite" w:element="cite.usc">
        <w:smartTagPr>
          <w:attr w:name="ref" w:val="USC\26\267(d)"/>
        </w:smartTagPr>
        <w:r>
          <w:t>§267(d)</w:t>
        </w:r>
      </w:smartTag>
      <w:r>
        <w:t xml:space="preserve">, the loss will either be included or excluded from net investment income based on the nature of the property that gave rise to the loss — even if the disposition transaction occurred before the effective date of </w:t>
      </w:r>
      <w:smartTag w:uri="http://www.bna.com/sgml2word/cite" w:element="cite.usc">
        <w:smartTagPr>
          <w:attr w:name="ref" w:val="USC\26\1411"/>
        </w:smartTagPr>
        <w:r>
          <w:t>§1411</w:t>
        </w:r>
      </w:smartTag>
      <w:r>
        <w:t>.</w:t>
      </w:r>
    </w:p>
    <w:p w14:paraId="5B640095" w14:textId="77777777" w:rsidR="00494B49" w:rsidRDefault="00494B49">
      <w:pPr>
        <w:pStyle w:val="BHead4"/>
      </w:pPr>
      <w:r>
        <w:t>(2) Opportunity Zone Funds</w:t>
      </w:r>
    </w:p>
    <w:p w14:paraId="26772B92" w14:textId="77777777" w:rsidR="00494B49" w:rsidRDefault="00494B49">
      <w:pPr>
        <w:pStyle w:val="BNormal"/>
      </w:pPr>
      <w:r>
        <w:t>For tax years beginning after 2017, individuals, trusts and estates can defer gain if the gain is contributed to an Opportunity Zone Fund.</w:t>
      </w:r>
      <w:r>
        <w:rPr>
          <w:rStyle w:val="FootnoteReference"/>
        </w:rPr>
        <w:footnoteReference w:id="379"/>
      </w:r>
      <w:r>
        <w:t xml:space="preserve"> Presumably, if the gain that is deferred in an Opportunity Zone Fund is Excluded Gain, then when the gain is ultimately taxed in 2025, it will continue to be Excluded Gain. Conversely, it seems logical that net investment income (NII)-includible gain that is deferred will be included in NII in 2025. Stated differently, the NII character should be “locked in” based on the identity of the gain-originating transaction, not determined based on the NII classification of the Opportunity Zone investment in 2025.</w:t>
      </w:r>
    </w:p>
    <w:p w14:paraId="44CF58E7" w14:textId="77777777" w:rsidR="00494B49" w:rsidRDefault="00494B49">
      <w:pPr>
        <w:pStyle w:val="BHead3"/>
      </w:pPr>
      <w:r>
        <w:t xml:space="preserve">c. Installment Sales and Private Annuities </w:t>
      </w:r>
    </w:p>
    <w:p w14:paraId="61928017" w14:textId="77777777" w:rsidR="00494B49" w:rsidRDefault="00494B49">
      <w:pPr>
        <w:pStyle w:val="BNormal"/>
      </w:pPr>
      <w:r>
        <w:t xml:space="preserve">Example 2 in Reg. </w:t>
      </w:r>
      <w:smartTag w:uri="http://www.bna.com/sgml2word/cite" w:element="cite.cfr">
        <w:smartTagPr>
          <w:attr w:name="ref" w:val="cfr\26\1.1411-4"/>
        </w:smartTagPr>
        <w:r>
          <w:t>§1.1411-4(d)(4)(i)(C)</w:t>
        </w:r>
      </w:smartTag>
      <w:r>
        <w:t xml:space="preserve"> illustrates that the </w:t>
      </w:r>
      <w:smartTag w:uri="http://www.bna.com/sgml2word/cite" w:element="cite.usc">
        <w:smartTagPr>
          <w:attr w:name="ref" w:val="USC\26\1411"/>
        </w:smartTagPr>
        <w:r>
          <w:t>§1411</w:t>
        </w:r>
      </w:smartTag>
      <w:r>
        <w:t xml:space="preserve"> inclusion or exclusion of gain from an installment sale obligation is determined based on the use of the property in the year of the sale. As a consequence, taxpayers need to apply the mechanics of the regulations (which are applicable only to tax years beginning after December 31, 2013) to tax years that precede the effective date of </w:t>
      </w:r>
      <w:smartTag w:uri="http://www.bna.com/sgml2word/cite" w:element="cite.usc">
        <w:smartTagPr>
          <w:attr w:name="ref" w:val="USC\26\1411"/>
        </w:smartTagPr>
        <w:r>
          <w:t>§1411</w:t>
        </w:r>
      </w:smartTag>
      <w:r>
        <w:t xml:space="preserve">. Although Example 2 addresses installment sales, it should not be read to limit its application to only </w:t>
      </w:r>
      <w:smartTag w:uri="http://www.bna.com/sgml2word/cite" w:element="cite.usc">
        <w:smartTagPr>
          <w:attr w:name="ref" w:val="USC\26\453"/>
        </w:smartTagPr>
        <w:r>
          <w:t>§453</w:t>
        </w:r>
      </w:smartTag>
      <w:r>
        <w:t xml:space="preserve"> installment sales. In other words, its application should also cover private annuities. </w:t>
      </w:r>
    </w:p>
    <w:p w14:paraId="4C48DAF4" w14:textId="77777777" w:rsidR="00494B49" w:rsidRDefault="00494B49">
      <w:pPr>
        <w:pStyle w:val="BHead3"/>
      </w:pPr>
      <w:r>
        <w:t xml:space="preserve">d. Gains and Losses from Entities </w:t>
      </w:r>
    </w:p>
    <w:p w14:paraId="2204B25C" w14:textId="77777777" w:rsidR="00494B49" w:rsidRDefault="00494B49">
      <w:pPr>
        <w:pStyle w:val="BNormal"/>
      </w:pPr>
      <w:r>
        <w:t xml:space="preserve">If gain or loss items are passed through from a partnership or S corporation, the allocation of such items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 The same is also true for distributions (deemed or actual) from regulated investment companies (RICs)</w:t>
      </w:r>
      <w:r>
        <w:rPr>
          <w:rStyle w:val="FootnoteReference"/>
        </w:rPr>
        <w:footnoteReference w:id="380"/>
      </w:r>
      <w:r>
        <w:t xml:space="preserve"> and real estate investment trusts (REITs).</w:t>
      </w:r>
      <w:r>
        <w:rPr>
          <w:rStyle w:val="FootnoteReference"/>
        </w:rPr>
        <w:footnoteReference w:id="381"/>
      </w:r>
      <w:r>
        <w:t xml:space="preserve"> Amounts of gain included in income of a participant in a common trust fund</w:t>
      </w:r>
      <w:r>
        <w:rPr>
          <w:rStyle w:val="FootnoteReference"/>
        </w:rPr>
        <w:footnoteReference w:id="382"/>
      </w:r>
      <w:r>
        <w:t xml:space="preserve"> or as beneficiary of a nongrantor trust or estate</w:t>
      </w:r>
      <w:r>
        <w:rPr>
          <w:rStyle w:val="FootnoteReference"/>
        </w:rPr>
        <w:footnoteReference w:id="383"/>
      </w:r>
      <w:r>
        <w:t xml:space="preserve"> are also considered gains and losses under </w:t>
      </w:r>
      <w:smartTag w:uri="http://www.bna.com/sgml2word/cite" w:element="cite.usc">
        <w:smartTagPr>
          <w:attr w:name="ref" w:val="USC\26\1411(c)(1)(A)(iii)"/>
        </w:smartTagPr>
        <w:r>
          <w:t>§1411(c)(1)(A)(iii)</w:t>
        </w:r>
      </w:smartTag>
      <w:r>
        <w:t xml:space="preserve">. </w:t>
      </w:r>
    </w:p>
    <w:p w14:paraId="293B4698" w14:textId="77777777" w:rsidR="00494B49" w:rsidRDefault="00494B49">
      <w:pPr>
        <w:pStyle w:val="BHead3"/>
      </w:pPr>
      <w:r>
        <w:t>e. Pre-2013 Capital Loss Carryforwards</w:t>
      </w:r>
    </w:p>
    <w:p w14:paraId="62100085" w14:textId="77777777" w:rsidR="00494B49" w:rsidRDefault="00494B49">
      <w:pPr>
        <w:pStyle w:val="BNormal"/>
      </w:pPr>
      <w:r>
        <w:t xml:space="preserve">The 2013 Final Regulations provide that, except as otherwise expressly stated in regulations, the income tax gain and loss recognition rules in Chapter 1 apply for purposes of determining net gain under </w:t>
      </w:r>
      <w:smartTag w:uri="http://www.bna.com/sgml2word/cite" w:element="cite.usc">
        <w:smartTagPr>
          <w:attr w:name="ref" w:val="USC\26\1411"/>
        </w:smartTagPr>
        <w:r>
          <w:t>§1411</w:t>
        </w:r>
      </w:smartTag>
      <w:r>
        <w:t xml:space="preserve">. Losses properly taken into account in determining net gain include all losses deductible under </w:t>
      </w:r>
      <w:smartTag w:uri="http://www.bna.com/sgml2word/cite" w:element="cite.usc">
        <w:smartTagPr>
          <w:attr w:name="ref" w:val="USC\26\165"/>
        </w:smartTagPr>
        <w:r>
          <w:t>§165</w:t>
        </w:r>
      </w:smartTag>
      <w:r>
        <w:t xml:space="preserve"> to the extent they are attributable to property that is either: (1) not held in a trade or business, or (2) held in a trade or business described in </w:t>
      </w:r>
      <w:smartTag w:uri="http://www.bna.com/sgml2word/cite" w:element="cite.cfr">
        <w:smartTagPr>
          <w:attr w:name="ref" w:val="cfr\26\1.1411-5"/>
        </w:smartTagPr>
        <w:r>
          <w:t>§1.1411-5</w:t>
        </w:r>
      </w:smartTag>
      <w:r>
        <w:t xml:space="preserve">. Therefore, the term </w:t>
      </w:r>
      <w:r>
        <w:lastRenderedPageBreak/>
        <w:t xml:space="preserve">“net gain” takes into account capital losses carried over from prior years by reason of </w:t>
      </w:r>
      <w:smartTag w:uri="http://www.bna.com/sgml2word/cite" w:element="cite.usc">
        <w:smartTagPr>
          <w:attr w:name="ref" w:val="USC\26\1212(b)(1)"/>
        </w:smartTagPr>
        <w:r>
          <w:t>§1212(b)(1)</w:t>
        </w:r>
      </w:smartTag>
      <w:r>
        <w:t xml:space="preserve"> (including years preceding the effective date of </w:t>
      </w:r>
      <w:smartTag w:uri="http://www.bna.com/sgml2word/cite" w:element="cite.usc">
        <w:smartTagPr>
          <w:attr w:name="ref" w:val="USC\26\1411"/>
        </w:smartTagPr>
        <w:r>
          <w:t>§1411</w:t>
        </w:r>
      </w:smartTag>
      <w:r>
        <w:t>).</w:t>
      </w:r>
      <w:r>
        <w:rPr>
          <w:rStyle w:val="FootnoteReference"/>
        </w:rPr>
        <w:footnoteReference w:id="384"/>
      </w:r>
      <w:r>
        <w:t xml:space="preserve"> For capital losses occurring in 2013 or later, the 2013 Proposed Regulations contain a special adjustment rule that is discussed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p w14:paraId="1AF0DD36" w14:textId="77777777" w:rsidR="00494B49" w:rsidRDefault="00494B49">
      <w:pPr>
        <w:pStyle w:val="BHead2"/>
      </w:pPr>
      <w:r>
        <w:t>2. Net Gain Attributable to Investment of Working Capital</w:t>
      </w:r>
    </w:p>
    <w:p w14:paraId="256333DD" w14:textId="77777777" w:rsidR="00494B49" w:rsidRDefault="00494B49">
      <w:pPr>
        <w:pStyle w:val="BNormal"/>
      </w:pPr>
      <w:r>
        <w:t>Net gain attributable to the investment of working capital is not treated as derived in the ordinary course of a trade or business and, therefore, is always included in the computation of net investment income.</w:t>
      </w:r>
      <w:r>
        <w:rPr>
          <w:rStyle w:val="FootnoteReference"/>
        </w:rPr>
        <w:footnoteReference w:id="385"/>
      </w:r>
    </w:p>
    <w:p w14:paraId="69C9778E" w14:textId="77777777" w:rsidR="00494B49" w:rsidRDefault="00494B49">
      <w:pPr>
        <w:pStyle w:val="BHead2"/>
      </w:pPr>
      <w:r>
        <w:t>3. Sale of Partnership Interest or S Corporation Stock</w:t>
      </w:r>
    </w:p>
    <w:p w14:paraId="70FC6D5B" w14:textId="77777777" w:rsidR="00494B49" w:rsidRDefault="00494B49">
      <w:pPr>
        <w:pStyle w:val="BNormal"/>
      </w:pPr>
      <w:r>
        <w:t xml:space="preserve">Reg. </w:t>
      </w:r>
      <w:smartTag w:uri="http://www.bna.com/sgml2word/cite" w:element="cite.cfr">
        <w:smartTagPr>
          <w:attr w:name="ref" w:val="cfr\26\1.1411-4(d)(4)(i)(B)"/>
        </w:smartTagPr>
        <w:r>
          <w:t>§1.1411-4(d)(4)(i)(B)</w:t>
        </w:r>
      </w:smartTag>
      <w:r>
        <w:t xml:space="preserve"> provides that a partnership interest or S corporation stock is generally not treated as property held in a trade or business. Thus, the regulations provide that net gain from the sale of a partnership interest or S corporation stock is generally considered </w:t>
      </w:r>
      <w:smartTag w:uri="http://www.bna.com/sgml2word/cite" w:element="cite.usc">
        <w:smartTagPr>
          <w:attr w:name="ref" w:val="USC\26\1411(c)(1)(A)(iii)"/>
        </w:smartTagPr>
        <w:r>
          <w:t>§1411(c)(1)(A)(iii)</w:t>
        </w:r>
      </w:smartTag>
      <w:r>
        <w:t xml:space="preserve"> net gain included in the computation of net investment income.</w:t>
      </w:r>
      <w:r>
        <w:rPr>
          <w:rStyle w:val="FootnoteReference"/>
        </w:rPr>
        <w:footnoteReference w:id="386"/>
      </w:r>
      <w:r>
        <w:t xml:space="preserve"> However, </w:t>
      </w:r>
      <w:smartTag w:uri="http://www.bna.com/sgml2word/cite" w:element="cite.usc">
        <w:smartTagPr>
          <w:attr w:name="ref" w:val="USC\26\1411(c)(4)"/>
        </w:smartTagPr>
        <w:r>
          <w:t>§1411(c)(4)</w:t>
        </w:r>
      </w:smartTag>
      <w:r>
        <w:t xml:space="preserve"> provides an exception from this rule for certain “active” interests in a partnership or S corporation. Pursuant to this exception, gain or loss from the disposition of an interest in a partnership or an S corporation is included in the computation of net investment income only to the extent that the transferor would include the gain or loss in net investment income if the partnership or S corporation sold all of its property at fair market value immediately before the disposition of the interest. What this essentially allows is a look-through to determine whether the entity used the assets in a non-</w:t>
      </w:r>
      <w:smartTag w:uri="http://www.bna.com/sgml2word/cite" w:element="cite.usc">
        <w:smartTagPr>
          <w:attr w:name="ref" w:val="USC\26\1411(c)(2)"/>
        </w:smartTagPr>
        <w:r>
          <w:t>§1411(c)(2)</w:t>
        </w:r>
      </w:smartTag>
      <w:r>
        <w:t xml:space="preserve"> trade or business (an active trade or business other than trading). If the entity used the assets in a non-</w:t>
      </w:r>
      <w:smartTag w:uri="http://www.bna.com/sgml2word/cite" w:element="cite.usc">
        <w:smartTagPr>
          <w:attr w:name="ref" w:val="USC\26\1411(c)(2)"/>
        </w:smartTagPr>
        <w:r>
          <w:t>§1411(c)(2)</w:t>
        </w:r>
      </w:smartTag>
      <w:r>
        <w:t xml:space="preserve"> trade or business, the owner’s distributive share of the gain or loss attributable to those assets would be excluded from net investment income. This exception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1EFC360B" w14:textId="77777777" w:rsidR="00494B49" w:rsidRDefault="00494B49">
      <w:pPr>
        <w:pStyle w:val="BHead2"/>
      </w:pPr>
      <w:r>
        <w:t>4. ‘Dispositions’</w:t>
      </w:r>
    </w:p>
    <w:p w14:paraId="4CB212BF" w14:textId="77777777" w:rsidR="00494B49" w:rsidRDefault="00494B49">
      <w:pPr>
        <w:pStyle w:val="BNormal"/>
      </w:pPr>
      <w:r>
        <w:t xml:space="preserve">The definition of disposition in Reg. </w:t>
      </w:r>
      <w:smartTag w:uri="http://www.bna.com/sgml2word/cite" w:element="cite.cfr">
        <w:smartTagPr>
          <w:attr w:name="ref" w:val="cfr\26\1.1411-4(d)(1)"/>
        </w:smartTagPr>
        <w:r>
          <w:t>§1.1411-4(d)(1)</w:t>
        </w:r>
      </w:smartTag>
      <w:r>
        <w:t xml:space="preserve"> is exceptionally broad. For example, the following situations are examples of dispositions resulting in gain or loss that would be included in the computation of net gain within the meaning of </w:t>
      </w:r>
      <w:smartTag w:uri="http://www.bna.com/sgml2word/cite" w:element="cite.usc">
        <w:smartTagPr>
          <w:attr w:name="ref" w:val="USC\26\1411(c)(1)(A)(iii)"/>
        </w:smartTagPr>
        <w:r>
          <w:t>§1411(c)(1)(A)(iii)</w:t>
        </w:r>
      </w:smartTag>
      <w:r>
        <w:t xml:space="preserve">: </w:t>
      </w:r>
    </w:p>
    <w:p w14:paraId="6685FF8D" w14:textId="77777777" w:rsidR="00494B49" w:rsidRDefault="00494B49">
      <w:pPr>
        <w:pStyle w:val="BListitembul"/>
      </w:pPr>
      <w:r>
        <w:t>The transfer of appreciated property to a political organization to which §84 applies;</w:t>
      </w:r>
      <w:r>
        <w:rPr>
          <w:rStyle w:val="FootnoteReference"/>
        </w:rPr>
        <w:footnoteReference w:id="387"/>
      </w:r>
    </w:p>
    <w:p w14:paraId="3DA9C014" w14:textId="77777777" w:rsidR="00494B49" w:rsidRDefault="00494B49">
      <w:pPr>
        <w:pStyle w:val="BListitembul"/>
      </w:pPr>
      <w:r>
        <w:t>Gain recognized under §301(c) from the distribution of property from a C corporation in excess of the adjusted basis of the shareholder’s stock;</w:t>
      </w:r>
      <w:r>
        <w:rPr>
          <w:rStyle w:val="FootnoteReference"/>
        </w:rPr>
        <w:footnoteReference w:id="388"/>
      </w:r>
    </w:p>
    <w:p w14:paraId="343AA2C5" w14:textId="77777777" w:rsidR="00494B49" w:rsidRDefault="00494B49">
      <w:pPr>
        <w:pStyle w:val="BListitembul"/>
      </w:pPr>
      <w:r>
        <w:lastRenderedPageBreak/>
        <w:t>Upon a sale of S corporation stock with a §338(h)(10) election, each shareholder’s pro rata share of the deemed asset sale gain or loss;</w:t>
      </w:r>
      <w:r>
        <w:rPr>
          <w:rStyle w:val="FootnoteReference"/>
        </w:rPr>
        <w:footnoteReference w:id="389"/>
      </w:r>
      <w:r>
        <w:t xml:space="preserve"> </w:t>
      </w:r>
    </w:p>
    <w:p w14:paraId="488341CC" w14:textId="77777777" w:rsidR="00494B49" w:rsidRDefault="00494B49">
      <w:pPr>
        <w:pStyle w:val="BListitembul"/>
      </w:pPr>
      <w:r>
        <w:t>Gain recognized on the transfer of an installment obligation under §453B;</w:t>
      </w:r>
    </w:p>
    <w:p w14:paraId="6E800DF7" w14:textId="77777777" w:rsidR="00494B49" w:rsidRDefault="00494B49">
      <w:pPr>
        <w:pStyle w:val="BListitembul"/>
      </w:pPr>
      <w:r>
        <w:t>Gain or loss recognized under the §475(f) market-to-market regime;</w:t>
      </w:r>
    </w:p>
    <w:p w14:paraId="41A4BB49" w14:textId="77777777" w:rsidR="00494B49" w:rsidRDefault="00494B49">
      <w:pPr>
        <w:pStyle w:val="BListitembul"/>
      </w:pPr>
      <w:r>
        <w:t>Gain recognized under §731 from the distribution of money from a partnership in excess of the adjusted basis of the partner’s interest in the partnership;</w:t>
      </w:r>
      <w:r>
        <w:rPr>
          <w:rStyle w:val="FootnoteReference"/>
        </w:rPr>
        <w:footnoteReference w:id="390"/>
      </w:r>
    </w:p>
    <w:p w14:paraId="67B1B16A" w14:textId="77777777" w:rsidR="00494B49" w:rsidRDefault="00494B49">
      <w:pPr>
        <w:pStyle w:val="BListitembul"/>
      </w:pPr>
      <w:r>
        <w:t>Capital gain dividends from RICs and REITs described in §852(b)(3)(C) and §857(b)(3)(B), respectively, and undistributed capital gains described in §852(b)(3)(D) and §857(b)(3)(C) (included in net investment income as net gain under §1411(c)(1)(A)(iii) and not as dividend income under §1411(c)(1)(A)(i));</w:t>
      </w:r>
    </w:p>
    <w:p w14:paraId="26F01DCE" w14:textId="77777777" w:rsidR="00494B49" w:rsidRDefault="00494B49">
      <w:pPr>
        <w:pStyle w:val="BListitembul"/>
      </w:pPr>
      <w:r>
        <w:t>Gain or loss under §877A for a covered expatriate;</w:t>
      </w:r>
      <w:r>
        <w:rPr>
          <w:rStyle w:val="FootnoteReference"/>
        </w:rPr>
        <w:footnoteReference w:id="391"/>
      </w:r>
    </w:p>
    <w:p w14:paraId="64B429B2" w14:textId="77777777" w:rsidR="00494B49" w:rsidRDefault="00494B49">
      <w:pPr>
        <w:pStyle w:val="BListitembul"/>
      </w:pPr>
      <w:r>
        <w:t>Gain recognized on a gift when property is encumbered by liabilities in excess of the donor’s basis;</w:t>
      </w:r>
      <w:r>
        <w:rPr>
          <w:rStyle w:val="FootnoteReference"/>
        </w:rPr>
        <w:footnoteReference w:id="392"/>
      </w:r>
    </w:p>
    <w:p w14:paraId="6EB084E7" w14:textId="77777777" w:rsidR="00494B49" w:rsidRDefault="00494B49">
      <w:pPr>
        <w:pStyle w:val="BListitembul"/>
      </w:pPr>
      <w:r>
        <w:t>Gain or loss recognized on a bargain sale to charity (even though the corresponding charitable contribution is not deductible in calculating NII);</w:t>
      </w:r>
      <w:r>
        <w:rPr>
          <w:rStyle w:val="FootnoteReference"/>
        </w:rPr>
        <w:footnoteReference w:id="393"/>
      </w:r>
    </w:p>
    <w:p w14:paraId="04E779B3" w14:textId="77777777" w:rsidR="00494B49" w:rsidRDefault="00494B49">
      <w:pPr>
        <w:pStyle w:val="BListitembul"/>
      </w:pPr>
      <w:r>
        <w:t>Transfer of property consisting of all substantial rights to a patent, or an undivided interest therein under §1235;</w:t>
      </w:r>
      <w:r>
        <w:rPr>
          <w:rStyle w:val="FootnoteReference"/>
        </w:rPr>
        <w:footnoteReference w:id="394"/>
      </w:r>
    </w:p>
    <w:p w14:paraId="3F346B2B" w14:textId="77777777" w:rsidR="00494B49" w:rsidRDefault="00494B49">
      <w:pPr>
        <w:pStyle w:val="BListitembul"/>
      </w:pPr>
      <w:r>
        <w:t>Cancellation of a lease or distributor’s agreement covered by §1241;</w:t>
      </w:r>
    </w:p>
    <w:p w14:paraId="590031BA" w14:textId="77777777" w:rsidR="00494B49" w:rsidRDefault="00494B49">
      <w:pPr>
        <w:pStyle w:val="BListitembul"/>
      </w:pPr>
      <w:r>
        <w:t>Gain or loss recognized under the §1256 market-to-market regime;</w:t>
      </w:r>
      <w:r>
        <w:rPr>
          <w:rStyle w:val="FootnoteReference"/>
        </w:rPr>
        <w:footnoteReference w:id="395"/>
      </w:r>
    </w:p>
    <w:p w14:paraId="778095FE" w14:textId="77777777" w:rsidR="00494B49" w:rsidRDefault="00494B49">
      <w:pPr>
        <w:pStyle w:val="BListitembul"/>
      </w:pPr>
      <w:r>
        <w:t>Gain or loss recognized under the §1296 market-to-market regime for electing PFICs; and</w:t>
      </w:r>
    </w:p>
    <w:p w14:paraId="1B0720EB" w14:textId="77777777" w:rsidR="00494B49" w:rsidRDefault="00494B49">
      <w:pPr>
        <w:pStyle w:val="BListitembul"/>
      </w:pPr>
      <w:r>
        <w:t>Gain recognized under §1368 from the distribution of property from an S corporation in excess of the adjusted basis of the shareholder’s stock.</w:t>
      </w:r>
    </w:p>
    <w:p w14:paraId="7B86A3B8" w14:textId="77777777" w:rsidR="00494B49" w:rsidRDefault="00494B49">
      <w:pPr>
        <w:pStyle w:val="BNormal"/>
      </w:pPr>
      <w:r>
        <w:t xml:space="preserve">Given the breadth of the term disposition, it is more challenging to determine what is not included than what is included. </w:t>
      </w:r>
    </w:p>
    <w:p w14:paraId="7743CD91" w14:textId="77777777" w:rsidR="00494B49" w:rsidRDefault="00494B49">
      <w:pPr>
        <w:pStyle w:val="BHead2"/>
      </w:pPr>
      <w:r>
        <w:t xml:space="preserve">5. Interaction with Properly Allocable Deductions </w:t>
      </w:r>
    </w:p>
    <w:p w14:paraId="7F321A19" w14:textId="77777777" w:rsidR="00494B49" w:rsidRDefault="00494B49">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because the Treasury Department and the IRS believe that this position is mandated by the statutory language of </w:t>
      </w:r>
      <w:smartTag w:uri="http://www.bna.com/sgml2word/cite" w:element="cite.usc">
        <w:smartTagPr>
          <w:attr w:name="ref" w:val="USC\26\1411(c)(1)(A)(iii)"/>
        </w:smartTagPr>
        <w:r>
          <w:t>§1411(c)(1)(A)(iii)</w:t>
        </w:r>
      </w:smartTag>
      <w:r>
        <w:t xml:space="preserve">. However, Treasury Department and the IRS exercised their </w:t>
      </w:r>
      <w:smartTag w:uri="http://www.bna.com/sgml2word/cite" w:element="cite.usc">
        <w:smartTagPr>
          <w:attr w:name="ref" w:val="USC\26\7805"/>
        </w:smartTagPr>
        <w:r>
          <w:t>§7805</w:t>
        </w:r>
      </w:smartTag>
      <w:r>
        <w:t xml:space="preserve"> interpretative regulation-writing authority by creating Reg. </w:t>
      </w:r>
      <w:smartTag w:uri="http://www.bna.com/sgml2word/cite" w:element="cite.cfr">
        <w:smartTagPr>
          <w:attr w:name="ref" w:val="cfr\26\1.1411-4(f)(4)"/>
        </w:smartTagPr>
        <w:r>
          <w:t>§1.1411-4(f)(4)</w:t>
        </w:r>
      </w:smartTag>
      <w:r>
        <w:t xml:space="preserve">. </w:t>
      </w:r>
    </w:p>
    <w:p w14:paraId="40203CF9" w14:textId="77777777" w:rsidR="00494B49" w:rsidRDefault="00494B49">
      <w:pPr>
        <w:pStyle w:val="BNormal"/>
      </w:pPr>
      <w:r>
        <w:lastRenderedPageBreak/>
        <w:t xml:space="preserve">Reg. </w:t>
      </w:r>
      <w:smartTag w:uri="http://www.bna.com/sgml2word/cite" w:element="cite.cfr">
        <w:smartTagPr>
          <w:attr w:name="ref" w:val="cfr\26\1.1411-4(f)(4)(i)"/>
        </w:smartTagPr>
        <w:r>
          <w:t>§1.1411-4(f)(4)(i)</w:t>
        </w:r>
      </w:smartTag>
      <w:r>
        <w:t xml:space="preserve"> provides that losses described in </w:t>
      </w:r>
      <w:smartTag w:uri="http://www.bna.com/sgml2word/cite" w:element="cite.usc">
        <w:smartTagPr>
          <w:attr w:name="ref" w:val="USC\26\165"/>
        </w:smartTagPr>
        <w:r>
          <w:t>§165</w:t>
        </w:r>
      </w:smartTag>
      <w:r>
        <w:t>, whether deductible above the line</w:t>
      </w:r>
      <w:r>
        <w:rPr>
          <w:rStyle w:val="FootnoteReference"/>
        </w:rPr>
        <w:footnoteReference w:id="396"/>
      </w:r>
      <w:r>
        <w:t xml:space="preserve"> or below the line,</w:t>
      </w:r>
      <w:r>
        <w:rPr>
          <w:rStyle w:val="FootnoteReference"/>
        </w:rPr>
        <w:footnoteReference w:id="397"/>
      </w:r>
      <w:r>
        <w:t xml:space="preserve"> are allowed as a properly allocable deduction to the extent those losses exceed the amount of gain described in </w:t>
      </w:r>
      <w:smartTag w:uri="http://www.bna.com/sgml2word/cite" w:element="cite.usc">
        <w:smartTagPr>
          <w:attr w:name="ref" w:val="USC\26\61(a)(3)"/>
        </w:smartTagPr>
        <w:r>
          <w:t>§61(a)(3)</w:t>
        </w:r>
      </w:smartTag>
      <w:r>
        <w:t xml:space="preserve"> and are not taken into account in computing net gain by reason of Reg. </w:t>
      </w:r>
      <w:smartTag w:uri="http://www.bna.com/sgml2word/cite" w:element="cite.cfr">
        <w:smartTagPr>
          <w:attr w:name="ref" w:val="cfr\26\1.1411-4(d)"/>
        </w:smartTagPr>
        <w:r>
          <w:t>§1.1411-4(d)</w:t>
        </w:r>
      </w:smartTag>
      <w:r>
        <w:t>.</w:t>
      </w:r>
      <w:r>
        <w:rPr>
          <w:rStyle w:val="FootnoteReference"/>
        </w:rPr>
        <w:footnoteReference w:id="398"/>
      </w:r>
      <w:r>
        <w:t xml:space="preserve"> Thus, although Reg. </w:t>
      </w:r>
      <w:smartTag w:uri="http://www.bna.com/sgml2word/cite" w:element="cite.cfr">
        <w:smartTagPr>
          <w:attr w:name="ref" w:val="cfr\26\1.1411-4(d)(2)"/>
        </w:smartTagPr>
        <w:r>
          <w:t>§1.1411-4(d)(2)</w:t>
        </w:r>
      </w:smartTag>
      <w:r>
        <w:t xml:space="preserve"> imposes an overall limitation on net gain included in net investment income by reason of </w:t>
      </w:r>
      <w:smartTag w:uri="http://www.bna.com/sgml2word/cite" w:element="cite.usc">
        <w:smartTagPr>
          <w:attr w:name="ref" w:val="USC\26\1411(c)(1)(A)(iii)"/>
        </w:smartTagPr>
        <w:r>
          <w:t>§1411(c)(1)(A)(iii)</w:t>
        </w:r>
      </w:smartTag>
      <w:r>
        <w:t xml:space="preserve">, Reg. </w:t>
      </w:r>
      <w:smartTag w:uri="http://www.bna.com/sgml2word/cite" w:element="cite.cfr">
        <w:smartTagPr>
          <w:attr w:name="ref" w:val="cfr\26\1.1411-4(f)(4)(i)"/>
        </w:smartTagPr>
        <w:r>
          <w:t>§1.1411-4(f)(4)(i)</w:t>
        </w:r>
      </w:smartTag>
      <w:r>
        <w:t xml:space="preserve"> allows losses in excess of gains as a </w:t>
      </w:r>
      <w:smartTag w:uri="http://www.bna.com/sgml2word/cite" w:element="cite.usc">
        <w:smartTagPr>
          <w:attr w:name="ref" w:val="USC\26\1411(c)(1)(B)"/>
        </w:smartTagPr>
        <w:r>
          <w:t>§1411(c)(1)(B)</w:t>
        </w:r>
      </w:smartTag>
      <w:r>
        <w:t xml:space="preserve"> properly allocable deduction to the extent the losses would be allowable in computing taxable income under Chapter 1. An ordering rule prevents taxpayers from deducting the same loss twice: first in calculating net gain under Reg. </w:t>
      </w:r>
      <w:smartTag w:uri="http://www.bna.com/sgml2word/cite" w:element="cite.cfr">
        <w:smartTagPr>
          <w:attr w:name="ref" w:val="cfr\26\1.1411-4(d)"/>
        </w:smartTagPr>
        <w:r>
          <w:t>§1.1411-4(d)</w:t>
        </w:r>
      </w:smartTag>
      <w:r>
        <w:t xml:space="preserve">, and then again in Reg. </w:t>
      </w:r>
      <w:smartTag w:uri="http://www.bna.com/sgml2word/cite" w:element="cite.cfr">
        <w:smartTagPr>
          <w:attr w:name="ref" w:val="cfr\26\1.1411-4(f)(4)"/>
        </w:smartTagPr>
        <w:r>
          <w:t>§1.1411-4(f)(4)</w:t>
        </w:r>
      </w:smartTag>
      <w:r>
        <w:t>.</w:t>
      </w:r>
      <w:r>
        <w:rPr>
          <w:rStyle w:val="FootnoteReference"/>
        </w:rPr>
        <w:footnoteReference w:id="399"/>
      </w:r>
    </w:p>
    <w:p w14:paraId="2FCFFB18" w14:textId="77777777" w:rsidR="00494B49" w:rsidRDefault="00494B49">
      <w:pPr>
        <w:pStyle w:val="BNormal"/>
      </w:pPr>
      <w:r>
        <w:t xml:space="preserve">As a result, Reg. </w:t>
      </w:r>
      <w:smartTag w:uri="http://www.bna.com/sgml2word/cite" w:element="cite.cfr">
        <w:smartTagPr>
          <w:attr w:name="ref" w:val="cfr\26\1.1411-4(f)(4)"/>
        </w:smartTagPr>
        <w:r>
          <w:t>§1.1411-4(f)(4)</w:t>
        </w:r>
      </w:smartTag>
      <w:r>
        <w:t xml:space="preserve"> allows, as a properly allocable deduction, the $3,000 capital loss ($1,500 for a married individual filing separately) allowed by </w:t>
      </w:r>
      <w:smartTag w:uri="http://www.bna.com/sgml2word/cite" w:element="cite.usc">
        <w:smartTagPr>
          <w:attr w:name="ref" w:val="USC\26\1211(b)"/>
        </w:smartTagPr>
        <w:r>
          <w:t>§1211(b)</w:t>
        </w:r>
      </w:smartTag>
      <w:r>
        <w:t xml:space="preserve"> in all cases.</w:t>
      </w:r>
      <w:r>
        <w:rPr>
          <w:rStyle w:val="FootnoteReference"/>
        </w:rPr>
        <w:footnoteReference w:id="400"/>
      </w:r>
      <w:r>
        <w:t xml:space="preserve"> In addition, ordinary losses (in excess of ordinary gains and net capital gains) are considered Reg. </w:t>
      </w:r>
      <w:smartTag w:uri="http://www.bna.com/sgml2word/cite" w:element="cite.cfr">
        <w:smartTagPr>
          <w:attr w:name="ref" w:val="cfr\26\1.1411-4(f)(4)"/>
        </w:smartTagPr>
        <w:r>
          <w:t>§1.1411-4(f)(4)</w:t>
        </w:r>
      </w:smartTag>
      <w:r>
        <w:t xml:space="preserve"> properly allocable deductions.</w:t>
      </w:r>
      <w:r>
        <w:rPr>
          <w:rStyle w:val="FootnoteReference"/>
        </w:rPr>
        <w:footnoteReference w:id="401"/>
      </w:r>
    </w:p>
    <w:p w14:paraId="58E08B01" w14:textId="77777777" w:rsidR="00494B49" w:rsidRDefault="00494B49">
      <w:pPr>
        <w:pStyle w:val="BNormal"/>
      </w:pPr>
      <w:r>
        <w:t xml:space="preserve">After the 2013 Final Regulations were issued in December 2013, the example in those regulations that raised the most eyebrows among tax professionals was Example 3 in Reg. </w:t>
      </w:r>
      <w:smartTag w:uri="http://www.bna.com/sgml2word/cite" w:element="cite.cfr">
        <w:smartTagPr>
          <w:attr w:name="ref" w:val="cfr\26\1.1411-4(f)(4)(ii)"/>
        </w:smartTagPr>
        <w:r>
          <w:t>§1.1411-4(f)(4)(ii)</w:t>
        </w:r>
      </w:smartTag>
      <w:r>
        <w:t xml:space="preserve">. The facts in Example 3 are as follows: </w:t>
      </w:r>
    </w:p>
    <w:p w14:paraId="3941838D" w14:textId="77777777" w:rsidR="00494B49" w:rsidRDefault="00494B49">
      <w:pPr>
        <w:pStyle w:val="BListitemorig"/>
      </w:pPr>
      <w:r>
        <w:t xml:space="preserve">(i) In Year 1, B, an unmarried individual, incurs a short-term capital loss of $15,000 on the sale of publicly traded stocks. B also receives annuity income of $50,000. In addition, B disposes of property used in his sole proprietorship (which is not a trade or business described in §1411(c)(2) or Reg. §1.1411-5(a)) for a gain of $21,000. Pursuant to §1231, the gain of $21,000 is treated as a long-term capital gain for purposes of Chapter 1. B has no capital losses carried over from a preceding year. </w:t>
      </w:r>
    </w:p>
    <w:p w14:paraId="21607810" w14:textId="77777777" w:rsidR="00494B49" w:rsidRDefault="00494B49">
      <w:pPr>
        <w:pStyle w:val="BListitemorig"/>
      </w:pPr>
      <w:r>
        <w:t>(ii) For purposes of Chapter 1, B includes the $50,000 of annuity income in the computation of adjusted gross income. The $21,000 long-term capital gain is offset by the $15,000 short-term capital loss, so B includes $6,000 of net long-term capital gain in the computation of adjusted gross income.</w:t>
      </w:r>
    </w:p>
    <w:p w14:paraId="0CEACE5D" w14:textId="77777777" w:rsidR="00494B49" w:rsidRDefault="00494B49">
      <w:pPr>
        <w:pStyle w:val="BNormal"/>
      </w:pPr>
      <w:r>
        <w:lastRenderedPageBreak/>
        <w:t xml:space="preserve">The analysis concluded that B’s net investment income for Year 1 was $35,000. It arrived at that conclusion in the following manner: </w:t>
      </w:r>
    </w:p>
    <w:p w14:paraId="26FB8361" w14:textId="77777777" w:rsidR="00494B49" w:rsidRDefault="00494B49">
      <w:pPr>
        <w:pStyle w:val="BListitemorig"/>
      </w:pPr>
      <w:r>
        <w:t>(iii) For purposes of calculating net investment income, B includes the $50,000 of annuity income in net investment income. Pursuant to Reg. §1.1411-4(d)(4)(i), B’s net gain does not include the $21,000 long-term capital gain because it is attributable to property held in B’s sole proprietorship (a nonpassive trade or business). Pursuant to Reg. §1.1411-4(d), B</w:t>
      </w:r>
      <w:r>
        <w:rPr>
          <w:rStyle w:val="FootnoteReference"/>
        </w:rPr>
        <w:footnoteReference w:id="402"/>
      </w:r>
      <w:r>
        <w:t xml:space="preserve"> takes into account the $15,000 capital loss allowed by Chapter 1. B’s losses ($15,000) exceed B’s gains ($0). Therefore, B’s net gain is zero. However, B is allowed a deduction under Reg. §1.1411-4 (f)(4)(i) of this section for $15,000 (the amount of losses that were allowable under Chapter 1 in excess of the amounts taken into account in computing net gain). </w:t>
      </w:r>
    </w:p>
    <w:p w14:paraId="19EBDF8E" w14:textId="77777777" w:rsidR="00494B49" w:rsidRDefault="00494B49">
      <w:pPr>
        <w:pStyle w:val="BNormal"/>
      </w:pPr>
      <w:r>
        <w:t>The notable aspect of this example is that B reported net capital gain of $6,000 in his AGI but was allowed a $15,000 loss in computing his net investment income. The result, although facially peculiar, is required as a matter of equity. B’s $15,000 of loss from the publicly traded stock is a net investment income tax loss, for lack of a better phrase. If B had sold other publicly traded stock for $20,000 of NII-includible gain, the entire loss would be allowed to offset the includible gain. Thus, the $15,000 loss saved B approximately $570. But in the example, the loss was absorbed by non-net-investment income includible gain. The entire loss was taken into account in computing taxable income, and thus even though “net gain” was zero, the $15,000 was a deduction allowed by Chapter 1 and was not available to reduce net gain to zero (because it already was zero). From an equitable standpoint, B no longer has a $15,000 NII-deductible loss to use against net investment income in future years, thus B was able to offset current net investment income (the annuity income) with the loss, and as a result, B’s loss saved him $570 of NIIT.</w:t>
      </w:r>
    </w:p>
    <w:p w14:paraId="08EC10B9" w14:textId="77777777" w:rsidR="00494B49" w:rsidRDefault="00494B49">
      <w:pPr>
        <w:pStyle w:val="BNormal"/>
      </w:pPr>
      <w:r>
        <w:t xml:space="preserve">This equitable result will not occur in all situations, however. Reconsider Example 3 but replace the excludable </w:t>
      </w:r>
      <w:smartTag w:uri="http://www.bna.com/sgml2word/cite" w:element="cite.usc">
        <w:smartTagPr>
          <w:attr w:name="ref" w:val="USC\26\1231"/>
        </w:smartTagPr>
        <w:r>
          <w:t>§1231</w:t>
        </w:r>
      </w:smartTag>
      <w:r>
        <w:t xml:space="preserve"> gain of $21,000 with $210,000 and the loss on the sale of public stock of $15,000 with $150,000. In this case, Reg. </w:t>
      </w:r>
      <w:smartTag w:uri="http://www.bna.com/sgml2word/cite" w:element="cite.cfr">
        <w:smartTagPr>
          <w:attr w:name="ref" w:val="cfr\26\1.1411-4(f)(4)(i)"/>
        </w:smartTagPr>
        <w:r>
          <w:t>§1.1411-4(f)(4)(i)</w:t>
        </w:r>
      </w:smartTag>
      <w:r>
        <w:t xml:space="preserve"> will allow a deduction of $150,000 to offset other net investment income. However, B only has $60,000 of other net investment income attributable to the annuity. In this case, B’s net investment income deductions will exceed B’s gross net investment income resulting in “negative” net investment income of $90,000. B will not owe any NIIT because net investment income is zero (3.8% × $0 = $0). However, there is no mechanism within the NIIT system that will allow B to carry forward the excess $90,000 deduction. Therefore, when faced with this potential situation, B should consider generating more net investment income in Year 1 to absorb the loss. As illustrated in the example, the net investment income generated need not be capital gain. </w:t>
      </w:r>
    </w:p>
    <w:p w14:paraId="634A3D48" w14:textId="77777777" w:rsidR="00494B49" w:rsidRDefault="00494B49">
      <w:pPr>
        <w:pStyle w:val="BHead2"/>
      </w:pPr>
      <w:r>
        <w:t>6. Capital vs. Ordinary Gains and Losses</w:t>
      </w:r>
    </w:p>
    <w:p w14:paraId="321DD636" w14:textId="77777777" w:rsidR="00494B49" w:rsidRDefault="00494B49">
      <w:pPr>
        <w:pStyle w:val="BNormal"/>
      </w:pPr>
      <w:r>
        <w:t xml:space="preserve">For NIIT purposes, the classification of an item of gain or loss as ordinary or capital has limited relevance, but is relevant for computational purposes. For example, because capital losses are allowable up to $3,000 in excess of capital gains for the year, the classification of a loss as capital or ordinary may affect its deductibility in the year of occurrence. </w:t>
      </w:r>
    </w:p>
    <w:p w14:paraId="3DAFB467" w14:textId="77777777" w:rsidR="00494B49" w:rsidRDefault="00494B49">
      <w:pPr>
        <w:pStyle w:val="BHead2"/>
      </w:pPr>
      <w:r>
        <w:lastRenderedPageBreak/>
        <w:t>7. Exception for Gain or Loss Attributable to Property Held in a Non-§1411(c)(2) Trade or Business</w:t>
      </w:r>
    </w:p>
    <w:p w14:paraId="18A8A4A5" w14:textId="77777777" w:rsidR="00494B49" w:rsidRDefault="00494B49">
      <w:pPr>
        <w:pStyle w:val="BNormal"/>
      </w:pPr>
      <w:smartTag w:uri="http://www.bna.com/sgml2word/cite" w:element="cite.usc">
        <w:smartTagPr>
          <w:attr w:name="ref" w:val="USC\26\1411(c)(1)(A)(iii)"/>
        </w:smartTagPr>
        <w:r>
          <w:t>Section 1411(c)(1)(A)(iii)</w:t>
        </w:r>
      </w:smartTag>
      <w:r>
        <w:t xml:space="preserve"> generally applies if the property disposed of either is not held in a trade or business, or is held in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If the property disposed of is “held” in a trade or business, and the trade or business is not described in Reg. </w:t>
      </w:r>
      <w:smartTag w:uri="http://www.bna.com/sgml2word/cite" w:element="cite.cfr">
        <w:smartTagPr>
          <w:attr w:name="ref" w:val="cfr\26\1.1411-5"/>
        </w:smartTagPr>
        <w:r>
          <w:t>§1.1411-5</w:t>
        </w:r>
      </w:smartTag>
      <w:r>
        <w:t>, then net investment income does not include any gain or loss attributable to the disposition of the property.</w:t>
      </w:r>
      <w:r>
        <w:rPr>
          <w:rStyle w:val="FootnoteReference"/>
        </w:rPr>
        <w:footnoteReference w:id="403"/>
      </w:r>
    </w:p>
    <w:p w14:paraId="18C0FD86" w14:textId="77777777" w:rsidR="00494B49" w:rsidRDefault="00494B49">
      <w:pPr>
        <w:pStyle w:val="BHead3"/>
      </w:pPr>
      <w:r>
        <w:t xml:space="preserve">a. Held for Use in a Non-§1411(c)(2) Trade or </w:t>
      </w:r>
      <w:r>
        <w:br/>
        <w:t>Business</w:t>
      </w:r>
    </w:p>
    <w:p w14:paraId="3ECABE45" w14:textId="77777777" w:rsidR="00494B49" w:rsidRDefault="00494B49">
      <w:pPr>
        <w:pStyle w:val="BNormal"/>
      </w:pPr>
      <w:r>
        <w:t>For individuals, estates, or trusts that own or engage in a trade or business directly or through ownership of an interest in a disregarded entity, the determination of whether property is held in non-</w:t>
      </w:r>
      <w:smartTag w:uri="http://www.bna.com/sgml2word/cite" w:element="cite.usc">
        <w:smartTagPr>
          <w:attr w:name="ref" w:val="USC\26\1411(c)(2)"/>
        </w:smartTagPr>
        <w:r>
          <w:t>§1411(c)(2)</w:t>
        </w:r>
      </w:smartTag>
      <w:r>
        <w:t xml:space="preserve"> trade or business is made at the individual, estate, or trust level.</w:t>
      </w:r>
      <w:r>
        <w:rPr>
          <w:rStyle w:val="FootnoteReference"/>
        </w:rPr>
        <w:footnoteReference w:id="404"/>
      </w:r>
      <w:r>
        <w:t xml:space="preserve"> If an individual, estate, or trust holds an interest in a pass-through entity and that entity is engaged in a trade or business,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A)"/>
        </w:smartTagPr>
        <w:r>
          <w:t>§1411(c)(2)(A)</w:t>
        </w:r>
      </w:smartTag>
      <w:r>
        <w:t xml:space="preserve"> trade or business (a passive activity) is made at the owner level (that is, the individual, estate, or trust level), and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B)"/>
        </w:smartTagPr>
        <w:r>
          <w:t>§1411(c)(2)(B)</w:t>
        </w:r>
      </w:smartTag>
      <w:r>
        <w:t xml:space="preserve"> trade or business (a trade or business of trading in financial instruments or commodities) is made at the entity level.</w:t>
      </w:r>
      <w:r>
        <w:rPr>
          <w:rStyle w:val="FootnoteReference"/>
        </w:rPr>
        <w:footnoteReference w:id="405"/>
      </w:r>
    </w:p>
    <w:p w14:paraId="02F22693" w14:textId="77777777" w:rsidR="00494B49" w:rsidRDefault="00494B49">
      <w:pPr>
        <w:pStyle w:val="BHead4"/>
      </w:pPr>
      <w:r>
        <w:t>(1) ‘Held’ vs. ‘Used’ vs. ‘Held for Use’</w:t>
      </w:r>
    </w:p>
    <w:p w14:paraId="1EBE9026" w14:textId="77777777" w:rsidR="00494B49" w:rsidRDefault="00494B49">
      <w:pPr>
        <w:pStyle w:val="BNormal"/>
      </w:pPr>
      <w:r>
        <w:t xml:space="preserve">The text of Reg. </w:t>
      </w:r>
      <w:smartTag w:uri="http://www.bna.com/sgml2word/cite" w:element="cite.cfr">
        <w:smartTagPr>
          <w:attr w:name="ref" w:val="cfr\26\1.1411-4(d)(4)(i)"/>
        </w:smartTagPr>
        <w:r>
          <w:t>§1.1411-4(d)(4)(i)</w:t>
        </w:r>
      </w:smartTag>
      <w:r>
        <w:t xml:space="preserve"> does not elaborate on the term “held” in a trade or business. The preamble to the 2013 Final Regulations provides no further insight on the matter.</w:t>
      </w:r>
    </w:p>
    <w:p w14:paraId="0FACC4DF" w14:textId="77777777" w:rsidR="00494B49" w:rsidRDefault="00494B49">
      <w:pPr>
        <w:pStyle w:val="BNormal"/>
      </w:pPr>
      <w:r>
        <w:t xml:space="preserve">Interestingly, the phrase “held in a trade or business” is used only in </w:t>
      </w:r>
      <w:smartTag w:uri="http://www.bna.com/sgml2word/cite" w:element="cite.usc">
        <w:smartTagPr>
          <w:attr w:name="ref" w:val="USC\26\1411"/>
        </w:smartTagPr>
        <w:r>
          <w:t>§1411</w:t>
        </w:r>
      </w:smartTag>
      <w:r>
        <w:t xml:space="preserve">. </w:t>
      </w:r>
      <w:smartTag w:uri="http://www.bna.com/sgml2word/cite" w:element="cite.usc">
        <w:smartTagPr>
          <w:attr w:name="ref" w:val="USC\26\189"/>
        </w:smartTagPr>
        <w:r>
          <w:t>Section 189</w:t>
        </w:r>
      </w:smartTag>
      <w:r>
        <w:t xml:space="preserve"> (repealed in 1986) was the only other provision where that phrase was used in the Code. Within all of the Treasury Regulations issued under the Code (other than </w:t>
      </w:r>
      <w:smartTag w:uri="http://www.bna.com/sgml2word/cite" w:element="cite.usc">
        <w:smartTagPr>
          <w:attr w:name="ref" w:val="USC\26\1411"/>
        </w:smartTagPr>
        <w:r>
          <w:t>§1411</w:t>
        </w:r>
      </w:smartTag>
      <w:r>
        <w:t xml:space="preserve">), the phrase “held in a trade or business” is used only in introductory text to examples in Reg. </w:t>
      </w:r>
      <w:smartTag w:uri="http://www.bna.com/sgml2word/cite" w:element="cite.cfr">
        <w:smartTagPr>
          <w:attr w:name="ref" w:val="cfr\26\1.453-12(d)"/>
        </w:smartTagPr>
        <w:r>
          <w:t>§1.453-12(d)</w:t>
        </w:r>
      </w:smartTag>
      <w:r>
        <w:t>.</w:t>
      </w:r>
      <w:r>
        <w:rPr>
          <w:rStyle w:val="FootnoteReference"/>
        </w:rPr>
        <w:footnoteReference w:id="406"/>
      </w:r>
    </w:p>
    <w:p w14:paraId="720958EE" w14:textId="77777777" w:rsidR="00494B49" w:rsidRDefault="00494B49">
      <w:pPr>
        <w:pStyle w:val="BNormal"/>
      </w:pPr>
      <w:r>
        <w:t xml:space="preserve">Is there a difference between “held” and “held for use” or simply “used”? If so, should there be? As a practical matter, only in rare circumstances will there ever be a need to split hairs with respect to this issue. Some may view the term “used” as requiring more effort and engagement by the business with respect to an asset when compared to “held.” Stated differently, one could </w:t>
      </w:r>
      <w:r>
        <w:lastRenderedPageBreak/>
        <w:t>say that “held” is a broader term than “used,” such that property “held” in a business is broader than property “used” in a business.</w:t>
      </w:r>
    </w:p>
    <w:p w14:paraId="6BA58BF5" w14:textId="77777777" w:rsidR="00494B49" w:rsidRDefault="00494B49">
      <w:pPr>
        <w:pStyle w:val="BNormal"/>
      </w:pPr>
      <w:r>
        <w:t xml:space="preserve">For example, consider an S corporation window manufacturer that has outgrown its manufacturing facility. The S corporation acquires land across the street from the old facility intending to build a new plant that is twice the size of the existing facility. After the new plant is placed in service and is fully operational, the company ceases using the old facility. The old facility has a high value and de minimis tax basis. If the S corporation sells the old facility to a developer shortly after the new plant is placed in service, there would be hardly any doubt that the old facility was </w:t>
      </w:r>
      <w:r>
        <w:rPr>
          <w:i/>
        </w:rPr>
        <w:t>not</w:t>
      </w:r>
      <w:r>
        <w:t xml:space="preserve"> held in the S corporation’s trade or business within the meaning of Reg. </w:t>
      </w:r>
      <w:smartTag w:uri="http://www.bna.com/sgml2word/cite" w:element="cite.cfr">
        <w:smartTagPr>
          <w:attr w:name="ref" w:val="cfr\26\1.1411-4(d)(4)(i)"/>
        </w:smartTagPr>
        <w:r>
          <w:t>§1.1411-4(d)(4)(i)</w:t>
        </w:r>
      </w:smartTag>
      <w:r>
        <w:t>. If the old facility is rented to another manufacturer, and that rental activity is a passive activity, any gain on the eventual disposition would be included in net investment income. But what happens if the old facility sits unused by the S corporation for six years and is then sold? Is the old facility held (or “held for use” or even simply “used”) in a trade or business on the date of sale? Should the answer turn on the taxpayer’s reasons for holding the property in an unproductive state for six years? For example, if the S corporation thought it could get a higher selling price by holding the vacant property for several years, would that turn the old facility property into property held for investment?</w:t>
      </w:r>
    </w:p>
    <w:p w14:paraId="48F72C9D" w14:textId="77777777" w:rsidR="00494B49" w:rsidRDefault="00494B49">
      <w:pPr>
        <w:pStyle w:val="BNormal"/>
      </w:pPr>
      <w:r>
        <w:t>The regulations provide no insight. These factual questions regarding characterization have existed for generations.</w:t>
      </w:r>
    </w:p>
    <w:p w14:paraId="4D77718E" w14:textId="77777777" w:rsidR="00494B49" w:rsidRDefault="00494B49">
      <w:pPr>
        <w:pStyle w:val="BHead4"/>
      </w:pPr>
      <w:r>
        <w:t>(2) Section 1231 Classification as a Proxy?</w:t>
      </w:r>
    </w:p>
    <w:p w14:paraId="7A4C2B5A" w14:textId="77777777" w:rsidR="00494B49" w:rsidRDefault="00494B49">
      <w:pPr>
        <w:pStyle w:val="BNormal"/>
      </w:pPr>
      <w:r>
        <w:t xml:space="preserve">Gain or loss from the sale, exchange, or involuntary conversion of certain property used in a trade or business may be treated as capital in nature, even though the property itself is not a capital asset. </w:t>
      </w:r>
      <w:smartTag w:uri="http://www.bna.com/sgml2word/cite" w:element="cite.usc">
        <w:smartTagPr>
          <w:attr w:name="ref" w:val="USC\26\1231"/>
        </w:smartTagPr>
        <w:r>
          <w:t>Section 1231</w:t>
        </w:r>
      </w:smartTag>
      <w:r>
        <w:t xml:space="preserve"> does not recharacterize the underlying asset as a capital asset; rather, it treats the gains and losses as capital if the asset satisfies the tests set forth in </w:t>
      </w:r>
      <w:smartTag w:uri="http://www.bna.com/sgml2word/cite" w:element="cite.usc">
        <w:smartTagPr>
          <w:attr w:name="ref" w:val="USC\26\1231"/>
        </w:smartTagPr>
        <w:r>
          <w:t>§1231</w:t>
        </w:r>
      </w:smartTag>
      <w:r>
        <w:t xml:space="preserve">. Generally, </w:t>
      </w:r>
      <w:smartTag w:uri="http://www.bna.com/sgml2word/cite" w:element="cite.usc">
        <w:smartTagPr>
          <w:attr w:name="ref" w:val="USC\26\1231"/>
        </w:smartTagPr>
        <w:r>
          <w:t>§1231</w:t>
        </w:r>
      </w:smartTag>
      <w:r>
        <w:t xml:space="preserve"> gives taxpayers the benefit of paying capital gains tax rates on gains recognized from sales and exchanges of </w:t>
      </w:r>
      <w:smartTag w:uri="http://www.bna.com/sgml2word/cite" w:element="cite.usc">
        <w:smartTagPr>
          <w:attr w:name="ref" w:val="USC\26\1231"/>
        </w:smartTagPr>
        <w:r>
          <w:t>§1231</w:t>
        </w:r>
      </w:smartTag>
      <w:r>
        <w:t xml:space="preserve"> property, while enabling them to treat losses from sales and exchanges of that property as ordinary losses. For a full discussion of </w:t>
      </w:r>
      <w:smartTag w:uri="http://www.bna.com/sgml2word/cite" w:element="cite.usc">
        <w:smartTagPr>
          <w:attr w:name="ref" w:val="USC\26\1231"/>
        </w:smartTagPr>
        <w:r>
          <w:t>§1231</w:t>
        </w:r>
      </w:smartTag>
      <w:r>
        <w:t xml:space="preserve"> gains and losses, see </w:t>
      </w:r>
      <w:smartTag w:uri="http://www.bna.com/sgml2word/cite" w:element="cite.bna.reference">
        <w:smartTagPr>
          <w:attr w:name="bna.id.ref" w:val="TM\562"/>
        </w:smartTagPr>
        <w:r>
          <w:t>562 T.M.</w:t>
        </w:r>
      </w:smartTag>
      <w:r>
        <w:t xml:space="preserve">, </w:t>
      </w:r>
      <w:r>
        <w:rPr>
          <w:i/>
        </w:rPr>
        <w:t>Capital Assets — Related Issues</w:t>
      </w:r>
      <w:r>
        <w:t>.</w:t>
      </w:r>
    </w:p>
    <w:p w14:paraId="57280292" w14:textId="77777777" w:rsidR="00494B49" w:rsidRDefault="00494B49">
      <w:pPr>
        <w:pStyle w:val="BNormal"/>
      </w:pPr>
      <w:r>
        <w:t>A “</w:t>
      </w:r>
      <w:smartTag w:uri="http://www.bna.com/sgml2word/cite" w:element="cite.usc">
        <w:smartTagPr>
          <w:attr w:name="ref" w:val="USC\26\1231"/>
        </w:smartTagPr>
        <w:r>
          <w:t>§1231</w:t>
        </w:r>
      </w:smartTag>
      <w:r>
        <w:t xml:space="preserve"> gain” is any recognized gain on the sale or exchange of “property used in a trade or business,” and any recognized gain from the compulsory or involuntary conversion into other property or money of (a) property used in a trade or business or (b) any capital asset held for more than one year in connection with a trade or business or a transaction entered into for profit.</w:t>
      </w:r>
      <w:r>
        <w:rPr>
          <w:rStyle w:val="FootnoteReference"/>
        </w:rPr>
        <w:footnoteReference w:id="407"/>
      </w:r>
      <w:r>
        <w:t xml:space="preserve"> </w:t>
      </w:r>
      <w:smartTag w:uri="http://www.bna.com/sgml2word/cite" w:element="cite.usc">
        <w:smartTagPr>
          <w:attr w:name="ref" w:val="USC\26\1231(b)(1)"/>
        </w:smartTagPr>
        <w:r>
          <w:t>Section 1231(b)(1)</w:t>
        </w:r>
      </w:smartTag>
      <w:r>
        <w:t xml:space="preserve"> provides that the term “property used in a trade or business” means property held more than one year that is used in a trade or business and is subject to the depreciation allowance under </w:t>
      </w:r>
      <w:smartTag w:uri="http://www.bna.com/sgml2word/cite" w:element="cite.usc">
        <w:smartTagPr>
          <w:attr w:name="ref" w:val="USC\26\167"/>
        </w:smartTagPr>
        <w:r>
          <w:t>§167</w:t>
        </w:r>
      </w:smartTag>
      <w:r>
        <w:t xml:space="preserve">. The term includes real property held for more than one year that is used in a trade or business. </w:t>
      </w:r>
    </w:p>
    <w:p w14:paraId="34F78404" w14:textId="77777777" w:rsidR="00494B49" w:rsidRDefault="00494B49">
      <w:pPr>
        <w:pStyle w:val="BNormal"/>
      </w:pPr>
      <w:r>
        <w:rPr>
          <w:i/>
        </w:rPr>
        <w:t>Comment:</w:t>
      </w:r>
      <w:r>
        <w:t xml:space="preserve"> The definition of </w:t>
      </w:r>
      <w:smartTag w:uri="http://www.bna.com/sgml2word/cite" w:element="cite.usc">
        <w:smartTagPr>
          <w:attr w:name="ref" w:val="USC\26\1231"/>
        </w:smartTagPr>
        <w:r>
          <w:t>§1231</w:t>
        </w:r>
      </w:smartTag>
      <w:r>
        <w:t xml:space="preserve"> gain (and </w:t>
      </w:r>
      <w:smartTag w:uri="http://www.bna.com/sgml2word/cite" w:element="cite.usc">
        <w:smartTagPr>
          <w:attr w:name="ref" w:val="USC\26\1231"/>
        </w:smartTagPr>
        <w:r>
          <w:t>§1231</w:t>
        </w:r>
      </w:smartTag>
      <w:r>
        <w:t xml:space="preserve"> loss) includes recognized gain from the compulsory or involuntary conversion into other property or money of “any capital asset [that] is held for more than 1 year and is held in connection with … a transaction entered into for profit.”</w:t>
      </w:r>
      <w:r>
        <w:rPr>
          <w:rStyle w:val="FootnoteReference"/>
        </w:rPr>
        <w:footnoteReference w:id="408"/>
      </w:r>
      <w:r>
        <w:t xml:space="preserve"> As a consequence, not all </w:t>
      </w:r>
      <w:smartTag w:uri="http://www.bna.com/sgml2word/cite" w:element="cite.usc">
        <w:smartTagPr>
          <w:attr w:name="ref" w:val="USC\26\1231"/>
        </w:smartTagPr>
        <w:r>
          <w:t>§1231</w:t>
        </w:r>
      </w:smartTag>
      <w:r>
        <w:t xml:space="preserve"> gains and losses will be attributable to assets held in a trade or business. As a result, </w:t>
      </w:r>
      <w:smartTag w:uri="http://www.bna.com/sgml2word/cite" w:element="cite.usc">
        <w:smartTagPr>
          <w:attr w:name="ref" w:val="USC\26\1231"/>
        </w:smartTagPr>
        <w:r>
          <w:t>§1231</w:t>
        </w:r>
      </w:smartTag>
      <w:r>
        <w:t xml:space="preserve"> gains and losses attributable to the compulsory or </w:t>
      </w:r>
      <w:r>
        <w:lastRenderedPageBreak/>
        <w:t xml:space="preserve">involuntary conversion into other property or money of a capital asset held for more than one year in a transaction entered into for profit will always be included in net investment income under </w:t>
      </w:r>
      <w:smartTag w:uri="http://www.bna.com/sgml2word/cite" w:element="cite.usc">
        <w:smartTagPr>
          <w:attr w:name="ref" w:val="USC\26\1411(c)(1)(A)(iii)"/>
        </w:smartTagPr>
        <w:r>
          <w:t>§1411(c)(1)(A)(iii)</w:t>
        </w:r>
      </w:smartTag>
      <w:r>
        <w:t xml:space="preserve">. </w:t>
      </w:r>
    </w:p>
    <w:p w14:paraId="1690534A" w14:textId="77777777" w:rsidR="00494B49" w:rsidRDefault="00494B49">
      <w:pPr>
        <w:pStyle w:val="BHead4"/>
      </w:pPr>
      <w:r>
        <w:t>(3) Section 167 as a Proxy?</w:t>
      </w:r>
    </w:p>
    <w:p w14:paraId="39D7FC73" w14:textId="77777777" w:rsidR="00494B49" w:rsidRDefault="00494B49">
      <w:pPr>
        <w:pStyle w:val="BNormal"/>
      </w:pPr>
      <w:r>
        <w:t xml:space="preserve">Although </w:t>
      </w:r>
      <w:smartTag w:uri="http://www.bna.com/sgml2word/cite" w:element="cite.usc">
        <w:smartTagPr>
          <w:attr w:name="ref" w:val="USC\26\1231"/>
        </w:smartTagPr>
        <w:r>
          <w:t>§1231</w:t>
        </w:r>
      </w:smartTag>
      <w:r>
        <w:t xml:space="preserve"> assets include real estate and property held more than one year that is subject to the allowance for depreciation under </w:t>
      </w:r>
      <w:smartTag w:uri="http://www.bna.com/sgml2word/cite" w:element="cite.usc">
        <w:smartTagPr>
          <w:attr w:name="ref" w:val="USC\26\167"/>
        </w:smartTagPr>
        <w:r>
          <w:t>§167</w:t>
        </w:r>
      </w:smartTag>
      <w:r>
        <w:t xml:space="preserve">, maybe the answer to the example concerning the old window manufacturing facility (in </w:t>
      </w:r>
      <w:smartTag w:uri="http://www.bna.com/sgml2word/cite" w:element="cite.bna.reference">
        <w:smartTagPr>
          <w:attr w:name="bna.id.ref" w:val="TM\511.III.D.7.a.(1)"/>
        </w:smartTagPr>
        <w:r>
          <w:t>III.D.7.a.(1)</w:t>
        </w:r>
      </w:smartTag>
      <w:smartTag w:uri="http://www.bna.com/sgml2word/cite" w:element="cite.bna.reference">
        <w:smartTagPr>
          <w:attr w:name="bna.id.ref" w:val="TM\873.III.D.7.a.(1)"/>
        </w:smartTagPr>
        <w:r>
          <w:t>III.D.7.a.(1)</w:t>
        </w:r>
      </w:smartTag>
      <w:r>
        <w:t xml:space="preserve">, above) turns on whether the facility is subject to the </w:t>
      </w:r>
      <w:smartTag w:uri="http://www.bna.com/sgml2word/cite" w:element="cite.usc">
        <w:smartTagPr>
          <w:attr w:name="ref" w:val="USC\26\167"/>
        </w:smartTagPr>
        <w:r>
          <w:t>§167</w:t>
        </w:r>
      </w:smartTag>
      <w:r>
        <w:t xml:space="preserve"> depreciation allowance? If the retirement of the facility stopped any depreciation allowance, maybe it would cease being an asset held in a trade or business? In the depreciation context, a “retirement” is the permanent withdrawal of depreciable property from use in a business or the production of income.</w:t>
      </w:r>
      <w:r>
        <w:rPr>
          <w:rStyle w:val="FootnoteReference"/>
        </w:rPr>
        <w:footnoteReference w:id="409"/>
      </w:r>
      <w:r>
        <w:t xml:space="preserve"> The withdrawal may be accomplished by selling or exchanging the asset, or by abandoning the asset. To make things more complicated, a normal retirement is an “ordinary” retirement, and an abnormal retirement is an “extraordinary” retirement. Retirements can be either “normal”</w:t>
      </w:r>
      <w:r>
        <w:rPr>
          <w:rStyle w:val="FootnoteReference"/>
        </w:rPr>
        <w:footnoteReference w:id="410"/>
      </w:r>
      <w:r>
        <w:t xml:space="preserve"> or “abnormal”</w:t>
      </w:r>
      <w:r>
        <w:rPr>
          <w:rStyle w:val="FootnoteReference"/>
        </w:rPr>
        <w:footnoteReference w:id="411"/>
      </w:r>
      <w:r>
        <w:t xml:space="preserve"> depending on all the facts and circumstances. If an asset is permanently retired (either normal or abnormal) from use in the trade or business but not disposed of by the taxpayer or physically abandoned, gain will not be recognized. Claiming loss deductions on retirements is trickier.</w:t>
      </w:r>
      <w:r>
        <w:rPr>
          <w:rStyle w:val="FootnoteReference"/>
        </w:rPr>
        <w:footnoteReference w:id="412"/>
      </w:r>
      <w:r>
        <w:t xml:space="preserve"> For NIIT purposes, this line of analysis is not terribly useful. Going back to the example, if the S corporation determines that it retired the old manufacturing facility when it moved to the new facility, it would be a gain or loss event. In such a case, it is highly likely that the property was held in a trade or business immediately before retirement. On the other hand, if the S corporation determines that it did not retire the facility when it moved across the street (which is more likely), it would be entitled to take depreciation deductions on the facility through the date it sold the facility.</w:t>
      </w:r>
      <w:r>
        <w:rPr>
          <w:rStyle w:val="FootnoteReference"/>
        </w:rPr>
        <w:footnoteReference w:id="413"/>
      </w:r>
      <w:r>
        <w:t xml:space="preserve"> In this case, it would still be considered held in a trade or business. </w:t>
      </w:r>
    </w:p>
    <w:p w14:paraId="2DFC94F4" w14:textId="77777777" w:rsidR="00494B49" w:rsidRDefault="00494B49">
      <w:pPr>
        <w:pStyle w:val="BHead4"/>
      </w:pPr>
      <w:r>
        <w:t>(4) Section 1221(a)(2) as a Proxy?</w:t>
      </w:r>
    </w:p>
    <w:p w14:paraId="4DEB31ED" w14:textId="77777777" w:rsidR="00494B49" w:rsidRDefault="00494B49">
      <w:pPr>
        <w:pStyle w:val="BNormal"/>
      </w:pPr>
      <w:r>
        <w:t xml:space="preserve">Property used in a taxpayer’s trade or business of a character that is subject to the </w:t>
      </w:r>
      <w:smartTag w:uri="http://www.bna.com/sgml2word/cite" w:element="cite.usc">
        <w:smartTagPr>
          <w:attr w:name="ref" w:val="USC\26\167"/>
        </w:smartTagPr>
        <w:r>
          <w:t>§167</w:t>
        </w:r>
      </w:smartTag>
      <w:r>
        <w:t xml:space="preserve"> depreciation allowance, and real property used in the taxpayer’s trade or business, is excluded from the term “capital assets.”</w:t>
      </w:r>
      <w:r>
        <w:rPr>
          <w:rStyle w:val="FootnoteReference"/>
        </w:rPr>
        <w:footnoteReference w:id="414"/>
      </w:r>
      <w:r>
        <w:t xml:space="preserve"> Gains and losses from the sale or exchange of such property are </w:t>
      </w:r>
      <w:r>
        <w:lastRenderedPageBreak/>
        <w:t xml:space="preserve">not treated as gains and losses from the sale or exchange of capital assets, except to the extent provided in </w:t>
      </w:r>
      <w:smartTag w:uri="http://www.bna.com/sgml2word/cite" w:element="cite.usc">
        <w:smartTagPr>
          <w:attr w:name="ref" w:val="USC\26\1231"/>
        </w:smartTagPr>
        <w:r>
          <w:t>§1231</w:t>
        </w:r>
      </w:smartTag>
      <w:r>
        <w:t>.</w:t>
      </w:r>
      <w:r>
        <w:rPr>
          <w:rStyle w:val="FootnoteReference"/>
        </w:rPr>
        <w:footnoteReference w:id="415"/>
      </w:r>
    </w:p>
    <w:p w14:paraId="52E73068" w14:textId="77777777" w:rsidR="00494B49" w:rsidRDefault="00494B49">
      <w:pPr>
        <w:pStyle w:val="BNormal"/>
      </w:pPr>
      <w:r>
        <w:t xml:space="preserve">Setting aside whether a trade or business exists, for a taxpayer’s property to not be held as a capital asset, the taxpayer must use the property in a trade or business. For a complete discussion of the requirements of </w:t>
      </w:r>
      <w:smartTag w:uri="http://www.bna.com/sgml2word/cite" w:element="cite.usc">
        <w:smartTagPr>
          <w:attr w:name="ref" w:val="USC\26\1221(a)(2)"/>
        </w:smartTagPr>
        <w:r>
          <w:t>§1221(a)(2)</w:t>
        </w:r>
      </w:smartTag>
      <w:r>
        <w:t xml:space="preserve">, see </w:t>
      </w:r>
      <w:smartTag w:uri="http://www.bna.com/sgml2word/cite" w:element="cite.bna.reference">
        <w:smartTagPr>
          <w:attr w:name="bna.id.ref" w:val="TM\561"/>
        </w:smartTagPr>
        <w:r>
          <w:t>561 T.M.</w:t>
        </w:r>
      </w:smartTag>
      <w:r>
        <w:t xml:space="preserve">, </w:t>
      </w:r>
      <w:r>
        <w:rPr>
          <w:i/>
        </w:rPr>
        <w:t>Capital Assets</w:t>
      </w:r>
      <w:r>
        <w:t xml:space="preserve">. </w:t>
      </w:r>
    </w:p>
    <w:p w14:paraId="0A38E16C" w14:textId="77777777" w:rsidR="00494B49" w:rsidRDefault="00494B49">
      <w:pPr>
        <w:pStyle w:val="BNormal"/>
      </w:pPr>
      <w:r>
        <w:t xml:space="preserve">In </w:t>
      </w:r>
      <w:r>
        <w:rPr>
          <w:rStyle w:val="BCasenamefull"/>
        </w:rPr>
        <w:t>Riss v. Commissioner</w:t>
      </w:r>
      <w:r>
        <w:t>,</w:t>
      </w:r>
      <w:r>
        <w:rPr>
          <w:rStyle w:val="FootnoteReference"/>
        </w:rPr>
        <w:footnoteReference w:id="416"/>
      </w:r>
      <w:r>
        <w:t xml:space="preserve"> which involved the personal use of two houses by the corporate taxpayer’s shareholders, the Tax Court stated that “we think it pretty well settled by now that to be considered part of a corporation’s trade or business, property must at least have been purchased with a view to using it in the commercial activities of the corporation.” The court found that properties used for the “personal enjoyment of its [the corporate taxpayer’s] shareholders” were “not used in its trade or business” as there was no “connection between [the taxpayer’s] business activities and the maintenance of these properties.”</w:t>
      </w:r>
    </w:p>
    <w:p w14:paraId="432CA554" w14:textId="77777777" w:rsidR="00494B49" w:rsidRDefault="00494B49">
      <w:pPr>
        <w:pStyle w:val="BNormal"/>
      </w:pPr>
      <w:r>
        <w:t xml:space="preserve">In </w:t>
      </w:r>
      <w:r>
        <w:rPr>
          <w:rStyle w:val="BCasenamefull"/>
        </w:rPr>
        <w:t>Azar Nut Co. v. Commissioner</w:t>
      </w:r>
      <w:r>
        <w:t>,</w:t>
      </w:r>
      <w:r>
        <w:rPr>
          <w:rStyle w:val="FootnoteReference"/>
        </w:rPr>
        <w:footnoteReference w:id="417"/>
      </w:r>
      <w:r>
        <w:t xml:space="preserve"> a taxpayer resold a house purchased from a terminated executive employee pursuant to the terms of the employment contract. The taxpayer claimed an ordinary loss, but the court held the house was a capital asset and the sale resulted in a capital loss. While reviewing whether the house was the real property “used” in a trade or business under </w:t>
      </w:r>
      <w:smartTag w:uri="http://www.bna.com/sgml2word/cite" w:element="cite.usc">
        <w:smartTagPr>
          <w:attr w:name="ref" w:val="USC\26\1221(a)(2)"/>
        </w:smartTagPr>
        <w:r>
          <w:t>§1221(a)(2)</w:t>
        </w:r>
      </w:smartTag>
      <w:r>
        <w:t xml:space="preserve">, the Tax Court conceded that the purchase of the house was connected with the company’s business affairs. However, the court emphasized that this “connection” does not satisfy the “used in” requirement of </w:t>
      </w:r>
      <w:smartTag w:uri="http://www.bna.com/sgml2word/cite" w:element="cite.usc">
        <w:smartTagPr>
          <w:attr w:name="ref" w:val="USC\26\1221(a)(2)"/>
        </w:smartTagPr>
        <w:r>
          <w:t>§1221(a)(2)</w:t>
        </w:r>
      </w:smartTag>
      <w:r>
        <w:t>.</w:t>
      </w:r>
    </w:p>
    <w:p w14:paraId="22CF7117" w14:textId="77777777" w:rsidR="00494B49" w:rsidRDefault="00494B49">
      <w:pPr>
        <w:pStyle w:val="BNormal"/>
      </w:pPr>
      <w:r>
        <w:t xml:space="preserve">In </w:t>
      </w:r>
      <w:r>
        <w:rPr>
          <w:rStyle w:val="BCasenamefull"/>
        </w:rPr>
        <w:t>Carter-Colton Cigar Co. v. Commissioner</w:t>
      </w:r>
      <w:r>
        <w:t>,</w:t>
      </w:r>
      <w:r>
        <w:rPr>
          <w:rStyle w:val="FootnoteReference"/>
        </w:rPr>
        <w:footnoteReference w:id="418"/>
      </w:r>
      <w:r>
        <w:t xml:space="preserve"> a corporation engaged in the business of distributing tobacco products planned to erect a new warehouse and store building that it would occupy as its principal place of business. However, as a result of the Great Depression and the death of one of the corporation’s principal shareholders, plans for the construction of the building were abandoned and the property was unsuccessfully offered for sale for eight years, before selling at a $3,000 loss. The corporation claimed an ordinary loss, asserting that the lot had been used in its trade or business and the IRS took the position that because the lot had never actually been used in the business, it was a loss from the sale of a capital asset. The taxpayer prevailed in the Tax Court, which held that the property had been used in the taxpayer’s business because it had been “devoted to” the business. In </w:t>
      </w:r>
      <w:r>
        <w:rPr>
          <w:rStyle w:val="BCasenamefull"/>
        </w:rPr>
        <w:t>Alamo Broad. Co. v. Commissioner</w:t>
      </w:r>
      <w:r>
        <w:t>,</w:t>
      </w:r>
      <w:r>
        <w:rPr>
          <w:rStyle w:val="FootnoteReference"/>
        </w:rPr>
        <w:footnoteReference w:id="419"/>
      </w:r>
      <w:r>
        <w:t xml:space="preserve"> the Tax Court reaffirmed its holding in </w:t>
      </w:r>
      <w:r>
        <w:rPr>
          <w:i/>
        </w:rPr>
        <w:t>Carter-Colton Cigar</w:t>
      </w:r>
      <w:r>
        <w:t>,</w:t>
      </w:r>
      <w:r>
        <w:rPr>
          <w:rStyle w:val="FootnoteReference"/>
        </w:rPr>
        <w:footnoteReference w:id="420"/>
      </w:r>
      <w:r>
        <w:t xml:space="preserve"> viewing the </w:t>
      </w:r>
      <w:smartTag w:uri="http://www.bna.com/sgml2word/cite" w:element="cite.usc">
        <w:smartTagPr>
          <w:attr w:name="ref" w:val="USC\26\1221(a)(2)"/>
        </w:smartTagPr>
        <w:r>
          <w:t>§1221(a)(2)</w:t>
        </w:r>
      </w:smartTag>
      <w:r>
        <w:t xml:space="preserve"> phrase “used in a trade or business” as (1) meaning “devoted to the trade or business” and (2) including property purchased with a view to its future use in the business, even if that purpose is later thwarted by circumstances beyond the taxpayer’s control.</w:t>
      </w:r>
    </w:p>
    <w:p w14:paraId="0B325693" w14:textId="77777777" w:rsidR="00494B49" w:rsidRDefault="00494B49">
      <w:pPr>
        <w:pStyle w:val="BNormal"/>
      </w:pPr>
      <w:r>
        <w:t xml:space="preserve">In </w:t>
      </w:r>
      <w:r>
        <w:rPr>
          <w:rStyle w:val="BCasenamefull"/>
        </w:rPr>
        <w:t>Wilson Line, Inc. v. Commissioner</w:t>
      </w:r>
      <w:r>
        <w:t>,</w:t>
      </w:r>
      <w:r>
        <w:rPr>
          <w:rStyle w:val="FootnoteReference"/>
        </w:rPr>
        <w:footnoteReference w:id="421"/>
      </w:r>
      <w:r>
        <w:t xml:space="preserve"> property that had been used in the taxpayer’s trade or business ceased to be used in the business when a marine railway was dismantled and the parts were put in storage for five years. The Tax Court found that the dismantled parts could have been reused to construct another marine railroad and that it was the taxpayer’s intention to use them </w:t>
      </w:r>
      <w:r>
        <w:lastRenderedPageBreak/>
        <w:t xml:space="preserve">again. The court held that the property continued to be property used in the taxpayer’s business for </w:t>
      </w:r>
      <w:smartTag w:uri="http://www.bna.com/sgml2word/cite" w:element="cite.usc">
        <w:smartTagPr>
          <w:attr w:name="ref" w:val="USC\26\1221(a)(2)"/>
        </w:smartTagPr>
        <w:r>
          <w:t>§1221(a)(2)</w:t>
        </w:r>
      </w:smartTag>
      <w:r>
        <w:t xml:space="preserve"> purposes even though it had not actually been used by the taxpayer for an extended period of time.</w:t>
      </w:r>
    </w:p>
    <w:p w14:paraId="2530095D" w14:textId="77777777" w:rsidR="00494B49" w:rsidRDefault="00494B49">
      <w:pPr>
        <w:pStyle w:val="BNormal"/>
      </w:pPr>
      <w:r>
        <w:t xml:space="preserve">On the other hand, in </w:t>
      </w:r>
      <w:r>
        <w:rPr>
          <w:rStyle w:val="BCasenamefull"/>
        </w:rPr>
        <w:t>Stewart Title Guar. Co. v. Commissioner</w:t>
      </w:r>
      <w:r>
        <w:t>,</w:t>
      </w:r>
      <w:r>
        <w:rPr>
          <w:rStyle w:val="FootnoteReference"/>
        </w:rPr>
        <w:footnoteReference w:id="422"/>
      </w:r>
      <w:r>
        <w:t xml:space="preserve"> the Tax Court held that certain property lost </w:t>
      </w:r>
      <w:smartTag w:uri="http://www.bna.com/sgml2word/cite" w:element="cite.usc">
        <w:smartTagPr>
          <w:attr w:name="ref" w:val="USC\26\1221(a)(2)"/>
        </w:smartTagPr>
        <w:r>
          <w:t>§1221(a)(2)</w:t>
        </w:r>
      </w:smartTag>
      <w:r>
        <w:t xml:space="preserve"> status when the property was withdrawn from the taxpayer’s business and neither immediately sold nor, presumably, held for reuse in the business. </w:t>
      </w:r>
    </w:p>
    <w:p w14:paraId="3EE404F5" w14:textId="77777777" w:rsidR="00494B49" w:rsidRDefault="00494B49">
      <w:pPr>
        <w:pStyle w:val="BNormal"/>
      </w:pPr>
      <w:r>
        <w:t xml:space="preserve">The status of a trade or business asset, as described in </w:t>
      </w:r>
      <w:smartTag w:uri="http://www.bna.com/sgml2word/cite" w:element="cite.usc">
        <w:smartTagPr>
          <w:attr w:name="ref" w:val="USC\26\1221(a)(2)"/>
        </w:smartTagPr>
        <w:r>
          <w:t>§1221(a)(2)</w:t>
        </w:r>
      </w:smartTag>
      <w:r>
        <w:t xml:space="preserve">, using the voluminous history of law, may ultimately be the best proxy for determining whether property is “held in a trade or business” for NIIT purposes. Although the statutory language of </w:t>
      </w:r>
      <w:smartTag w:uri="http://www.bna.com/sgml2word/cite" w:element="cite.usc">
        <w:smartTagPr>
          <w:attr w:name="ref" w:val="USC\26\1221(a)(2)"/>
        </w:smartTagPr>
        <w:r>
          <w:t>§1221(a)(2)</w:t>
        </w:r>
      </w:smartTag>
      <w:r>
        <w:t xml:space="preserve"> incorporates the term “used” versus </w:t>
      </w:r>
      <w:smartTag w:uri="http://www.bna.com/sgml2word/cite" w:element="cite.usc">
        <w:smartTagPr>
          <w:attr w:name="ref" w:val="USC\26\1411"/>
        </w:smartTagPr>
        <w:r>
          <w:t>§1411</w:t>
        </w:r>
      </w:smartTag>
      <w:r>
        <w:t xml:space="preserve">’s “held,” the case law’s framing of the issue as one of “devotion” to the trade or business may be the best analogous analysis. The “devotion to the business” concept looks at the subjective relationship between the property and the business. The case law cited above, although only the tip of the iceberg, shows that </w:t>
      </w:r>
      <w:smartTag w:uri="http://www.bna.com/sgml2word/cite" w:element="cite.usc">
        <w:smartTagPr>
          <w:attr w:name="ref" w:val="USC\26\1221(a)(2)"/>
        </w:smartTagPr>
        <w:r>
          <w:t>§1221(a)(2)</w:t>
        </w:r>
      </w:smartTag>
      <w:r>
        <w:t xml:space="preserve">’s “use” of property does not need to be regular and continuous in the business, but does need to have some ongoing relevance to the business. This type of relationship is a fair line to draw for </w:t>
      </w:r>
      <w:smartTag w:uri="http://www.bna.com/sgml2word/cite" w:element="cite.usc">
        <w:smartTagPr>
          <w:attr w:name="ref" w:val="USC\26\1411(c)(1)(A)(iii)"/>
        </w:smartTagPr>
        <w:r>
          <w:t>§1411(c)(1)(A)(iii)</w:t>
        </w:r>
      </w:smartTag>
      <w:r>
        <w:t xml:space="preserve"> purposes to prevent a taxpayer from trying to stuff assets into legal entities operating a business in order to get Reg. </w:t>
      </w:r>
      <w:smartTag w:uri="http://www.bna.com/sgml2word/cite" w:element="cite.cfr">
        <w:smartTagPr>
          <w:attr w:name="ref" w:val="cfr\26\1.1411-4(d)(4)(i)"/>
        </w:smartTagPr>
        <w:r>
          <w:t>§1.1411-4(d)(4)(i)</w:t>
        </w:r>
      </w:smartTag>
      <w:r>
        <w:t xml:space="preserve"> exclusions by taking the position that being owned by the business is sufficient, in and of itself, to constitute “held in a trade or business.” </w:t>
      </w:r>
    </w:p>
    <w:p w14:paraId="4C9F127B" w14:textId="77777777" w:rsidR="00494B49" w:rsidRDefault="00494B49">
      <w:pPr>
        <w:pStyle w:val="BHead3"/>
      </w:pPr>
      <w:r>
        <w:t>b. Treatment of Working Capital</w:t>
      </w:r>
    </w:p>
    <w:p w14:paraId="0D94CC9B" w14:textId="77777777" w:rsidR="00494B49" w:rsidRDefault="00494B49">
      <w:pPr>
        <w:pStyle w:val="BNormal"/>
      </w:pPr>
      <w:r>
        <w:t xml:space="preserve">Reg. </w:t>
      </w:r>
      <w:smartTag w:uri="http://www.bna.com/sgml2word/cite" w:element="cite.cfr">
        <w:smartTagPr>
          <w:attr w:name="ref" w:val="cfr\26\1.1411-4(d)(4)(i)(A)"/>
        </w:smartTagPr>
        <w:r>
          <w:t>§1.1411-4(d)(4)(i)(A)</w:t>
        </w:r>
      </w:smartTag>
      <w:r>
        <w:t xml:space="preserve"> specifically states that the exception from </w:t>
      </w:r>
      <w:smartTag w:uri="http://www.bna.com/sgml2word/cite" w:element="cite.usc">
        <w:smartTagPr>
          <w:attr w:name="ref" w:val="USC\26\1411(c)(1)(A)(iii)"/>
        </w:smartTagPr>
        <w:r>
          <w:t>§1411(c)(1)(A)(iii)</w:t>
        </w:r>
      </w:smartTag>
      <w:r>
        <w:t xml:space="preserve"> for gain or loss attributable to property held in a non-</w:t>
      </w:r>
      <w:smartTag w:uri="http://www.bna.com/sgml2word/cite" w:element="cite.usc">
        <w:smartTagPr>
          <w:attr w:name="ref" w:val="USC\26\1411(c)(2)"/>
        </w:smartTagPr>
        <w:r>
          <w:t>§1411(c)(2)</w:t>
        </w:r>
      </w:smartTag>
      <w:r>
        <w:t xml:space="preserve"> trade or business does not apply to property from the investment of working capital. </w:t>
      </w:r>
      <w:smartTag w:uri="http://www.bna.com/sgml2word/cite" w:element="cite.usc">
        <w:smartTagPr>
          <w:attr w:name="ref" w:val="USC\26\1411(c)(3)"/>
        </w:smartTagPr>
        <w:r>
          <w:t>Section 1411(c)(3)</w:t>
        </w:r>
      </w:smartTag>
      <w:r>
        <w:t xml:space="preserve"> provides that a rule similar to the rule of </w:t>
      </w:r>
      <w:smartTag w:uri="http://www.bna.com/sgml2word/cite" w:element="cite.usc">
        <w:smartTagPr>
          <w:attr w:name="ref" w:val="USC\26\469(e)(1)(B)"/>
        </w:smartTagPr>
        <w:r>
          <w:t>§469(e)(1)(B)</w:t>
        </w:r>
      </w:smartTag>
      <w:r>
        <w:t xml:space="preserve"> applies for purposes of NIIT (the working capital rule). </w:t>
      </w:r>
      <w:smartTag w:uri="http://www.bna.com/sgml2word/cite" w:element="cite.usc">
        <w:smartTagPr>
          <w:attr w:name="ref" w:val="USC\26\469(e)(1)(B)"/>
        </w:smartTagPr>
        <w:r>
          <w:t>Section 469(e)(1)(B)</w:t>
        </w:r>
      </w:smartTag>
      <w:r>
        <w:t xml:space="preserve"> provides that, for purposes of determining whether income is treated as from a passive activity, any income or gain attributable to an investment of working capital shall be treated as not derived in the ordinary course of a trade or business. More precisely, </w:t>
      </w:r>
      <w:smartTag w:uri="http://www.bna.com/sgml2word/cite" w:element="cite.usc">
        <w:smartTagPr>
          <w:attr w:name="ref" w:val="USC\26\469(e)(1)(B)"/>
        </w:smartTagPr>
        <w:r>
          <w:t>§469(e)(1)(B)</w:t>
        </w:r>
      </w:smartTag>
      <w:r>
        <w:t xml:space="preserve"> cross-</w:t>
      </w:r>
      <w:r>
        <w:br/>
        <w:t xml:space="preserve">references “portfolio income” described in </w:t>
      </w:r>
      <w:smartTag w:uri="http://www.bna.com/sgml2word/cite" w:element="cite.usc">
        <w:smartTagPr>
          <w:attr w:name="ref" w:val="USC\26\469(e)(1)(A)"/>
        </w:smartTagPr>
        <w:r>
          <w:t>§469(e)(1)(A)</w:t>
        </w:r>
      </w:smartTag>
      <w:r>
        <w:t xml:space="preserve">. Within the definition of portfolio income, </w:t>
      </w:r>
      <w:smartTag w:uri="http://www.bna.com/sgml2word/cite" w:element="cite.usc">
        <w:smartTagPr>
          <w:attr w:name="ref" w:val="USC\26\469(e)(1)(A)(ii)"/>
        </w:smartTagPr>
        <w:r>
          <w:t>§469(e)(1)(A)(ii)</w:t>
        </w:r>
      </w:smartTag>
      <w:r>
        <w:t xml:space="preserve"> includes gain or loss not derived in the ordinary course of a trade or business that is attributable to the disposition of property “(I) producing income of a type described in clause (i),</w:t>
      </w:r>
      <w:r>
        <w:rPr>
          <w:rStyle w:val="FootnoteReference"/>
        </w:rPr>
        <w:footnoteReference w:id="423"/>
      </w:r>
      <w:r>
        <w:t xml:space="preserve"> or (II) held for investment.”</w:t>
      </w:r>
    </w:p>
    <w:p w14:paraId="207A1A92" w14:textId="77777777" w:rsidR="00494B49" w:rsidRDefault="00494B49">
      <w:pPr>
        <w:pStyle w:val="BNormal"/>
      </w:pPr>
      <w:r>
        <w:t xml:space="preserve">As discussed in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xml:space="preserve">, above, Reg. </w:t>
      </w:r>
      <w:smartTag w:uri="http://www.bna.com/sgml2word/cite" w:element="cite.cfr">
        <w:smartTagPr>
          <w:attr w:name="ref" w:val="cfr\26\1.469-2T(c)(3)(i)"/>
        </w:smartTagPr>
        <w:r>
          <w:t>§1.469-2T(c)(3)(i)</w:t>
        </w:r>
      </w:smartTag>
      <w:r>
        <w:t xml:space="preserve"> implements </w:t>
      </w:r>
      <w:smartTag w:uri="http://www.bna.com/sgml2word/cite" w:element="cite.usc">
        <w:smartTagPr>
          <w:attr w:name="ref" w:val="usc\26\469(e)(1)"/>
        </w:smartTagPr>
        <w:r>
          <w:t>§469(e)(1)</w:t>
        </w:r>
      </w:smartTag>
      <w:r>
        <w:t xml:space="preserve"> and Reg. </w:t>
      </w:r>
      <w:smartTag w:uri="http://www.bna.com/sgml2word/cite" w:element="cite.cfr">
        <w:smartTagPr>
          <w:attr w:name="ref" w:val="cfr\26\1.469-2T(c)(3)(ii)"/>
        </w:smartTagPr>
        <w:r>
          <w:t>§1.469-2T(c)(3)(ii)</w:t>
        </w:r>
      </w:smartTag>
      <w:r>
        <w:t xml:space="preserve"> implements </w:t>
      </w:r>
      <w:smartTag w:uri="http://www.bna.com/sgml2word/cite" w:element="cite.usc">
        <w:smartTagPr>
          <w:attr w:name="ref" w:val="USC\26\469(e)(1)(B)"/>
        </w:smartTagPr>
        <w:r>
          <w:t>§469(e)(1)(B)</w:t>
        </w:r>
      </w:smartTag>
      <w:r>
        <w:t xml:space="preserve">. Recall that Reg. </w:t>
      </w:r>
      <w:smartTag w:uri="http://www.bna.com/sgml2word/cite" w:element="cite.cfr">
        <w:smartTagPr>
          <w:attr w:name="ref" w:val="cfr\26\1.1411-6(a)"/>
        </w:smartTagPr>
        <w:r>
          <w:t>§1.1411-6(a)</w:t>
        </w:r>
      </w:smartTag>
      <w:r>
        <w:t xml:space="preserve"> defines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In this context, recall that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w:t>
      </w:r>
      <w:r>
        <w:lastRenderedPageBreak/>
        <w:t xml:space="preserve">situations in Reg. </w:t>
      </w:r>
      <w:smartTag w:uri="http://www.bna.com/sgml2word/cite" w:element="cite.cfr">
        <w:smartTagPr>
          <w:attr w:name="ref" w:val="cfr\26\1.469-2T(c)(3)(ii)"/>
        </w:smartTagPr>
        <w:r>
          <w:t>§1.469-2T(c)(3)(ii)</w:t>
        </w:r>
      </w:smartTag>
      <w:r>
        <w:t xml:space="preserve">, the income is derived in the ordinary course of a trade or business for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w:t>
      </w:r>
    </w:p>
    <w:p w14:paraId="075A18BA" w14:textId="77777777" w:rsidR="00494B49" w:rsidRDefault="00494B49">
      <w:pPr>
        <w:pStyle w:val="BNormal"/>
      </w:pPr>
      <w:r>
        <w:t xml:space="preserve">In the context of gains and losses, Reg. </w:t>
      </w:r>
      <w:smartTag w:uri="http://www.bna.com/sgml2word/cite" w:element="cite.cfr">
        <w:smartTagPr>
          <w:attr w:name="ref" w:val="cfr\26\1.469-2T(c)(3)(i)"/>
        </w:smartTagPr>
        <w:r>
          <w:t>§1.469-2T(c)(3)(i)</w:t>
        </w:r>
      </w:smartTag>
      <w:r>
        <w:t xml:space="preserve"> defines portfolio income, in relevant part, as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(1) the disposition of property that produces income of a type described in Reg. </w:t>
      </w:r>
      <w:smartTag w:uri="http://www.bna.com/sgml2word/cite" w:element="cite.cfr">
        <w:smartTagPr>
          <w:attr w:name="ref" w:val="cfr\26\1.469-2T(c)(3)(i)(A)"/>
        </w:smartTagPr>
        <w:r>
          <w:t>§1.469-2T(c)(3)(i)(A)</w:t>
        </w:r>
      </w:smartTag>
      <w:r>
        <w:rPr>
          <w:rStyle w:val="FootnoteReference"/>
        </w:rPr>
        <w:footnoteReference w:id="424"/>
      </w:r>
      <w:r>
        <w:t xml:space="preserve"> and (2) the disposition of property held for investment (within the meaning of </w:t>
      </w:r>
      <w:smartTag w:uri="http://www.bna.com/sgml2word/cite" w:element="cite.usc">
        <w:smartTagPr>
          <w:attr w:name="ref" w:val="USC\26\163(d)"/>
        </w:smartTagPr>
        <w:r>
          <w:t>§163(d)</w:t>
        </w:r>
      </w:smartTag>
      <w:r>
        <w:t>).</w:t>
      </w:r>
      <w:r>
        <w:rPr>
          <w:rStyle w:val="FootnoteReference"/>
        </w:rPr>
        <w:footnoteReference w:id="425"/>
      </w:r>
    </w:p>
    <w:p w14:paraId="26734833" w14:textId="77777777" w:rsidR="00494B49" w:rsidRDefault="00494B49">
      <w:pPr>
        <w:pStyle w:val="BNormal"/>
      </w:pPr>
      <w:r>
        <w:t xml:space="preserve">If a taxpayer disposes of an asset that produced income covered by one of the working capital exceptions in Reg. </w:t>
      </w:r>
      <w:smartTag w:uri="http://www.bna.com/sgml2word/cite" w:element="cite.cfr">
        <w:smartTagPr>
          <w:attr w:name="ref" w:val="cfr\26\1.469-2T(c)(3)(ii)"/>
        </w:smartTagPr>
        <w:r>
          <w:t>§1.469-2T(c)(3)(ii)</w:t>
        </w:r>
      </w:smartTag>
      <w:r>
        <w:t xml:space="preserve">, that income was derived in the ordinary course for NIIT purposes by reason of Reg. </w:t>
      </w:r>
      <w:smartTag w:uri="http://www.bna.com/sgml2word/cite" w:element="cite.cfr">
        <w:smartTagPr>
          <w:attr w:name="ref" w:val="cfr\26\1.1411-4(b)"/>
        </w:smartTagPr>
        <w:r>
          <w:t>§1.1411-4(b)</w:t>
        </w:r>
      </w:smartTag>
      <w:r>
        <w:t>.</w:t>
      </w:r>
      <w:r>
        <w:rPr>
          <w:rStyle w:val="FootnoteReference"/>
        </w:rPr>
        <w:footnoteReference w:id="426"/>
      </w:r>
      <w:r>
        <w:t xml:space="preserve"> The NIIT rule for dispositions follows the same construct. If the gain or loss is not covered by Reg. </w:t>
      </w:r>
      <w:smartTag w:uri="http://www.bna.com/sgml2word/cite" w:element="cite.cfr">
        <w:smartTagPr>
          <w:attr w:name="ref" w:val="cfr\26\1.469-2T(c)(3)(i)(C)"/>
        </w:smartTagPr>
        <w:r>
          <w:t>§1.469-2T(c)(3)(i)(C)</w:t>
        </w:r>
      </w:smartTag>
      <w:r>
        <w:t xml:space="preserve"> (because it did not produce income of a type described in Reg. </w:t>
      </w:r>
      <w:smartTag w:uri="http://www.bna.com/sgml2word/cite" w:element="cite.cfr">
        <w:smartTagPr>
          <w:attr w:name="ref" w:val="cfr\26\1.469-2T(c)(3)(i)(A)"/>
        </w:smartTagPr>
        <w:r>
          <w:t>§1.469-2T(c)(3)(i)(A)</w:t>
        </w:r>
      </w:smartTag>
      <w:r>
        <w:t xml:space="preserve">) because it was covered by an exception in Reg. </w:t>
      </w:r>
      <w:smartTag w:uri="http://www.bna.com/sgml2word/cite" w:element="cite.cfr">
        <w:smartTagPr>
          <w:attr w:name="ref" w:val="cfr\26\1.469-2T(c)(3)(ii)"/>
        </w:smartTagPr>
        <w:r>
          <w:t>§1.469-2T(c)(3)(ii)</w:t>
        </w:r>
      </w:smartTag>
      <w:r>
        <w:t xml:space="preserve">), the asset will be considered “held” in a trade or business under Reg. </w:t>
      </w:r>
      <w:smartTag w:uri="http://www.bna.com/sgml2word/cite" w:element="cite.cfr">
        <w:smartTagPr>
          <w:attr w:name="ref" w:val="cfr\26\1.1411-4(d)(4)(i)(A)"/>
        </w:smartTagPr>
        <w:r>
          <w:t>§1.1411-4(d)(4)(i)(A)</w:t>
        </w:r>
      </w:smartTag>
      <w:r>
        <w:t xml:space="preserve"> because it is not working capital under Reg. </w:t>
      </w:r>
      <w:smartTag w:uri="http://www.bna.com/sgml2word/cite" w:element="cite.cfr">
        <w:smartTagPr>
          <w:attr w:name="ref" w:val="cfr\26\1.1411-6(a)"/>
        </w:smartTagPr>
        <w:r>
          <w:t>§1.1411-6(a)</w:t>
        </w:r>
      </w:smartTag>
      <w:r>
        <w:t>.</w:t>
      </w:r>
      <w:r>
        <w:rPr>
          <w:rStyle w:val="FootnoteReference"/>
        </w:rPr>
        <w:footnoteReference w:id="427"/>
      </w:r>
      <w:r>
        <w:t xml:space="preserve"> Consider this example: </w:t>
      </w:r>
    </w:p>
    <w:p w14:paraId="2FA5A1F2" w14:textId="77777777" w:rsidR="00494B49" w:rsidRDefault="00494B49">
      <w:pPr>
        <w:pStyle w:val="BExamplepara"/>
      </w:pPr>
      <w:r>
        <w:rPr>
          <w:rStyle w:val="BExamplehead"/>
          <w:rFonts w:eastAsiaTheme="minorHAnsi"/>
          <w:i/>
        </w:rPr>
        <w:t>Example:</w:t>
      </w:r>
      <w:r>
        <w:t xml:space="preserve"> Assume taxpayer A is the sole shareholder and president of an S corporation that sells mattresses to retail customers in Florida. The S corporation acquires the stock of an Alabama C corporation that held franchise rights for the entire state. Even though the S corporation and the C corporation were the same business in Florida and Alabama, any dividends paid by the Alabama C corporation are included in net investment income because the S corporation (where trade or business status is determined) is not in the trade or business of holding C corporation stock. This result is mandated by the fact that dividends are specifically referenced in Reg. </w:t>
      </w:r>
      <w:smartTag w:uri="http://www.bna.com/sgml2word/cite" w:element="cite.cfr">
        <w:smartTagPr>
          <w:attr w:name="ref" w:val="cfr\26\1.469-2T(c)(3)(i)(A)"/>
        </w:smartTagPr>
        <w:r>
          <w:t>§1.469-2T(c)(3)(i)(A)</w:t>
        </w:r>
      </w:smartTag>
      <w:r>
        <w:t xml:space="preserve"> and none of the exceptions in Reg. </w:t>
      </w:r>
      <w:smartTag w:uri="http://www.bna.com/sgml2word/cite" w:element="cite.cfr">
        <w:smartTagPr>
          <w:attr w:name="ref" w:val="cfr\26\1.469-2T(c)(3)(ii)"/>
        </w:smartTagPr>
        <w:r>
          <w:t>§1.469-2T(c)(3)(ii)</w:t>
        </w:r>
      </w:smartTag>
      <w:r>
        <w:t xml:space="preserve"> apply. The dividends are not derived in the ordinary course of the S corporation’s trade or business of selling mattresses to retail customers in Florida. In the gain or loss context of </w:t>
      </w:r>
      <w:smartTag w:uri="http://www.bna.com/sgml2word/cite" w:element="cite.usc">
        <w:smartTagPr>
          <w:attr w:name="ref" w:val="USC\26\1411(c)(1)(A)(iii)"/>
        </w:smartTagPr>
        <w:r>
          <w:t>§1411(c)(1)(A)(iii)</w:t>
        </w:r>
      </w:smartTag>
      <w:r>
        <w:t xml:space="preserve">, if the S corporation sells the stock of the Alabama C corporation, the gain is included in net investment income. This result is required due to the link between Reg. </w:t>
      </w:r>
      <w:smartTag w:uri="http://www.bna.com/sgml2word/cite" w:element="cite.cfr">
        <w:smartTagPr>
          <w:attr w:name="ref" w:val="cfr\26\1.1411-4(d)(4)(i)(A)"/>
        </w:smartTagPr>
        <w:r>
          <w:t>§1.1411-4(d)(4)(i)(A)</w:t>
        </w:r>
      </w:smartTag>
      <w:r>
        <w:t xml:space="preserve"> and Reg. </w:t>
      </w:r>
      <w:smartTag w:uri="http://www.bna.com/sgml2word/cite" w:element="cite.cfr">
        <w:smartTagPr>
          <w:attr w:name="ref" w:val="cfr\26\1.1411-6(a)"/>
        </w:smartTagPr>
        <w:r>
          <w:t>§1.1411-6(a)</w:t>
        </w:r>
      </w:smartTag>
      <w:r>
        <w:t xml:space="preserve">, which further cross-references Reg. </w:t>
      </w:r>
      <w:smartTag w:uri="http://www.bna.com/sgml2word/cite" w:element="cite.cfr">
        <w:smartTagPr>
          <w:attr w:name="ref" w:val="cfr\26\1.469-2T(c)(3)"/>
        </w:smartTagPr>
        <w:r>
          <w:t>§1.469-2T(c)(3)</w:t>
        </w:r>
      </w:smartTag>
      <w:r>
        <w:t xml:space="preserve">. Because the stock produces income that is described in Reg. </w:t>
      </w:r>
      <w:smartTag w:uri="http://www.bna.com/sgml2word/cite" w:element="cite.cfr">
        <w:smartTagPr>
          <w:attr w:name="ref" w:val="cfr\26\1.469-2T(c)(3)(i)(A)"/>
        </w:smartTagPr>
        <w:r>
          <w:t>§1.469-2T(c)(3)(i)(A)</w:t>
        </w:r>
      </w:smartTag>
      <w:r>
        <w:t xml:space="preserve"> (dividends on C corporation stock), the gain is treated as portfolio income by reason of Reg. </w:t>
      </w:r>
      <w:smartTag w:uri="http://www.bna.com/sgml2word/cite" w:element="cite.cfr">
        <w:smartTagPr>
          <w:attr w:name="ref" w:val="cfr\26\1.469-2T(c)(3)(i)(C)"/>
        </w:smartTagPr>
        <w:r>
          <w:t>§1.469-2T(c)(3)(i)(C)</w:t>
        </w:r>
      </w:smartTag>
      <w:r>
        <w:t xml:space="preserve"> (gains from disposition of assets that produce dividends). As a result, it cannot be excluded from net investment income. </w:t>
      </w:r>
    </w:p>
    <w:p w14:paraId="00429D74" w14:textId="77777777" w:rsidR="00494B49" w:rsidRDefault="00494B49">
      <w:pPr>
        <w:pStyle w:val="BHead3"/>
      </w:pPr>
      <w:r>
        <w:t xml:space="preserve">c. Application to Certain Nonpassive Activities </w:t>
      </w:r>
      <w:r>
        <w:br/>
        <w:t xml:space="preserve">Arising from §469 Recharacterizations </w:t>
      </w:r>
    </w:p>
    <w:p w14:paraId="169F2B22" w14:textId="77777777" w:rsidR="00494B49" w:rsidRDefault="00494B49">
      <w:pPr>
        <w:pStyle w:val="BNormal"/>
      </w:pPr>
      <w:r>
        <w:t xml:space="preserve">The rule characterizing gain or loss from the disposition of property held for investment (within the meaning of </w:t>
      </w:r>
      <w:smartTag w:uri="http://www.bna.com/sgml2word/cite" w:element="cite.usc">
        <w:smartTagPr>
          <w:attr w:name="ref" w:val="USC\26\163(d)"/>
        </w:smartTagPr>
        <w:r>
          <w:t>§163(d)</w:t>
        </w:r>
      </w:smartTag>
      <w:r>
        <w:t>) as portfolio income</w:t>
      </w:r>
      <w:r>
        <w:rPr>
          <w:rStyle w:val="FootnoteReference"/>
        </w:rPr>
        <w:footnoteReference w:id="428"/>
      </w:r>
      <w:r>
        <w:t xml:space="preserve"> is neither as complicated, nor as critical, as the </w:t>
      </w:r>
      <w:r>
        <w:lastRenderedPageBreak/>
        <w:t xml:space="preserve">rule pertaining to the disposition of property that produces portfolio income. To understand the interaction among </w:t>
      </w:r>
      <w:smartTag w:uri="http://www.bna.com/sgml2word/cite" w:element="cite.usc">
        <w:smartTagPr>
          <w:attr w:name="ref" w:val="USC\26\163(d)"/>
        </w:smartTagPr>
        <w:r>
          <w:t>§163(d)</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1411"/>
        </w:smartTagPr>
        <w:r>
          <w:t>§1411</w:t>
        </w:r>
      </w:smartTag>
      <w:r>
        <w:t xml:space="preserve">, the foundational aspects of </w:t>
      </w:r>
      <w:smartTag w:uri="http://www.bna.com/sgml2word/cite" w:element="cite.usc">
        <w:smartTagPr>
          <w:attr w:name="ref" w:val="USC\26\163(d)"/>
        </w:smartTagPr>
        <w:r>
          <w:t>§163(d)</w:t>
        </w:r>
      </w:smartTag>
      <w:r>
        <w:t xml:space="preserve"> must be reviewed. However, the ultimate conclusion is that, to the extent that gains or losses are included in </w:t>
      </w:r>
      <w:smartTag w:uri="http://www.bna.com/sgml2word/cite" w:element="cite.usc">
        <w:smartTagPr>
          <w:attr w:name="ref" w:val="USC\26\163(d)"/>
        </w:smartTagPr>
        <w:r>
          <w:t>§163(d)</w:t>
        </w:r>
      </w:smartTag>
      <w:r>
        <w:t xml:space="preserve"> as income allocable to property held for investment, the gain or loss is included in the calculation of net investment income for NIIT purposes.</w:t>
      </w:r>
    </w:p>
    <w:p w14:paraId="73466F79" w14:textId="77777777" w:rsidR="00494B49" w:rsidRDefault="00494B49">
      <w:pPr>
        <w:pStyle w:val="BNormal"/>
      </w:pPr>
      <w:smartTag w:uri="http://www.bna.com/sgml2word/cite" w:element="cite.usc">
        <w:smartTagPr>
          <w:attr w:name="ref" w:val="USC\26\163(d)(1)"/>
        </w:smartTagPr>
        <w:r>
          <w:t>Section 163(d)(1)</w:t>
        </w:r>
      </w:smartTag>
      <w:r>
        <w:t xml:space="preserve"> provides that the amount allowed as a deduction for investment interest for any tax year by a noncorporate taxpayer shall not exceed the amount of the taxpayer’s net investment income for the tax year. </w:t>
      </w:r>
      <w:smartTag w:uri="http://www.bna.com/sgml2word/cite" w:element="cite.usc">
        <w:smartTagPr>
          <w:attr w:name="ref" w:val="USC\26\163(d)(3)(A)"/>
        </w:smartTagPr>
        <w:r>
          <w:t>Section 163(d)(3)(A)</w:t>
        </w:r>
      </w:smartTag>
      <w:r>
        <w:t xml:space="preserve"> provides that the term “investment interest” means any interest allowable as a deduction that is paid or accrued on indebtedness properly allocable to property held for investment.</w:t>
      </w:r>
    </w:p>
    <w:p w14:paraId="702F5F09" w14:textId="77777777" w:rsidR="00494B49" w:rsidRDefault="00494B49">
      <w:pPr>
        <w:pStyle w:val="BNormal"/>
      </w:pPr>
      <w:r>
        <w:t xml:space="preserve">Generally, the cross-reference to investment interest in </w:t>
      </w:r>
      <w:smartTag w:uri="http://www.bna.com/sgml2word/cite" w:element="cite.usc">
        <w:smartTagPr>
          <w:attr w:name="ref" w:val="USC\26\163(d)"/>
        </w:smartTagPr>
        <w:r>
          <w:t>§163(d)</w:t>
        </w:r>
      </w:smartTag>
      <w:r>
        <w:t xml:space="preserve"> very often reveals situations in which gain or loss is recognized from non-trade-or-business activities (e.g., investment activities). For example, gain or loss from sale of collectible art work would fall within this rule. As a result, the gain or loss would always be included in net investment income because the asset could not have been held in a trade or business if activity giving rise to the gain or loss was not a trade or business. </w:t>
      </w:r>
    </w:p>
    <w:p w14:paraId="645DC5D7" w14:textId="77777777" w:rsidR="00494B49" w:rsidRDefault="00494B49">
      <w:pPr>
        <w:pStyle w:val="BNormal"/>
      </w:pPr>
      <w:r>
        <w:t xml:space="preserve">The rule has some relevance when considering the application of certain </w:t>
      </w:r>
      <w:smartTag w:uri="http://www.bna.com/sgml2word/cite" w:element="cite.usc">
        <w:smartTagPr>
          <w:attr w:name="ref" w:val="USC\26\469"/>
        </w:smartTagPr>
        <w:r>
          <w:t>§469</w:t>
        </w:r>
      </w:smartTag>
      <w:r>
        <w:t xml:space="preserve"> recharacterizations within the NIIT regime. Generally, the NIIT rules in Reg. </w:t>
      </w:r>
      <w:smartTag w:uri="http://www.bna.com/sgml2word/cite" w:element="cite.cfr">
        <w:smartTagPr>
          <w:attr w:name="ref" w:val="cfr\26\1.1411-5(b)"/>
        </w:smartTagPr>
        <w:r>
          <w:t>§1.1411-5(b)</w:t>
        </w:r>
      </w:smartTag>
      <w:r>
        <w:t xml:space="preserve"> follow the </w:t>
      </w:r>
      <w:smartTag w:uri="http://www.bna.com/sgml2word/cite" w:element="cite.usc">
        <w:smartTagPr>
          <w:attr w:name="ref" w:val="USC\26\469"/>
        </w:smartTagPr>
        <w:r>
          <w:t>§469</w:t>
        </w:r>
      </w:smartTag>
      <w:r>
        <w:t xml:space="preserve"> passive/nonpassive characterization of activities and net income. Recall that there are two types of </w:t>
      </w:r>
      <w:smartTag w:uri="http://www.bna.com/sgml2word/cite" w:element="cite.usc">
        <w:smartTagPr>
          <w:attr w:name="ref" w:val="USC\26\469"/>
        </w:smartTagPr>
        <w:r>
          <w:t>§469</w:t>
        </w:r>
      </w:smartTag>
      <w:r>
        <w:t xml:space="preserve"> recharacterizations — activity recharacterizations and income recharacterizations. </w:t>
      </w:r>
    </w:p>
    <w:p w14:paraId="7C7BC6C2" w14:textId="77777777" w:rsidR="00494B49" w:rsidRDefault="00494B49">
      <w:pPr>
        <w:pStyle w:val="BNormal"/>
      </w:pPr>
      <w:r>
        <w:t xml:space="preserve">The income recharacterizations that are respected for NIIT purposes, including gain from the disposition of assets held in the activity, or the interest in the activity itself are as follows: </w:t>
      </w:r>
    </w:p>
    <w:p w14:paraId="3384F1C5" w14:textId="77777777" w:rsidR="00494B49" w:rsidRDefault="00494B49">
      <w:pPr>
        <w:pStyle w:val="BListitembul"/>
      </w:pPr>
      <w:r>
        <w:t>Reg. §1.469-1T(e)(4): working interests from oil &amp; gas wells with unlimited liability.</w:t>
      </w:r>
    </w:p>
    <w:p w14:paraId="0E3BDE9F" w14:textId="77777777" w:rsidR="00494B49" w:rsidRDefault="00494B49">
      <w:pPr>
        <w:pStyle w:val="BListitembul"/>
      </w:pPr>
      <w:r>
        <w:t>Reg. §1.469-2T(f)(2): significant participation activities.</w:t>
      </w:r>
    </w:p>
    <w:p w14:paraId="29D83B40" w14:textId="77777777" w:rsidR="00494B49" w:rsidRDefault="00494B49">
      <w:pPr>
        <w:pStyle w:val="BListitembul"/>
      </w:pPr>
      <w:r>
        <w:t>Reg. §1.469-2(f)(5): rental incident to development activity.</w:t>
      </w:r>
    </w:p>
    <w:p w14:paraId="6765D6A5" w14:textId="77777777" w:rsidR="00494B49" w:rsidRDefault="00494B49">
      <w:pPr>
        <w:pStyle w:val="BListitembul"/>
      </w:pPr>
      <w:r>
        <w:t>Reg. §1.469-2(f)(6): rental to nonpassive activity (self-charged rents).</w:t>
      </w:r>
    </w:p>
    <w:p w14:paraId="48E87452" w14:textId="77777777" w:rsidR="00494B49" w:rsidRDefault="00494B49">
      <w:pPr>
        <w:pStyle w:val="BHead4"/>
      </w:pPr>
      <w:r>
        <w:t>(1) Income Recharacterizations — Under Reg. §1.469-2(f)(10)</w:t>
      </w:r>
    </w:p>
    <w:p w14:paraId="18C35BB6" w14:textId="77777777" w:rsidR="00494B49" w:rsidRDefault="00494B49">
      <w:pPr>
        <w:pStyle w:val="BNormal"/>
      </w:pPr>
      <w:r>
        <w:t xml:space="preserve">Reg. </w:t>
      </w:r>
      <w:smartTag w:uri="http://www.bna.com/sgml2word/cite" w:element="cite.cfr">
        <w:smartTagPr>
          <w:attr w:name="ref" w:val="cfr\26\1.469-2T(c)(3)(i)(D)"/>
        </w:smartTagPr>
        <w:r>
          <w:t>§1.469-2T(c)(3)(i)(D)</w:t>
        </w:r>
      </w:smartTag>
      <w:r>
        <w:t xml:space="preserve"> has little do with income recharacterization activities because, even though certain types of nonpassive net income is recharacterized as portfolio / investment income for purposes of </w:t>
      </w:r>
      <w:smartTag w:uri="http://www.bna.com/sgml2word/cite" w:element="cite.usc">
        <w:smartTagPr>
          <w:attr w:name="ref" w:val="USC\26\163(d)"/>
        </w:smartTagPr>
        <w:r>
          <w:t>§163(d)</w:t>
        </w:r>
      </w:smartTag>
      <w:r>
        <w:t xml:space="preserve"> under Reg. </w:t>
      </w:r>
      <w:smartTag w:uri="http://www.bna.com/sgml2word/cite" w:element="cite.cfr">
        <w:smartTagPr>
          <w:attr w:name="ref" w:val="cfr\26\1.469-2(f)(10)"/>
        </w:smartTagPr>
        <w:r>
          <w:t>§1.469-2(f)(10)</w:t>
        </w:r>
      </w:smartTag>
      <w:r>
        <w:t xml:space="preserve"> or Reg. </w:t>
      </w:r>
      <w:smartTag w:uri="http://www.bna.com/sgml2word/cite" w:element="cite.cfr">
        <w:smartTagPr>
          <w:attr w:name="ref" w:val="cfr\26\1.469-2(c)(2)(iii)(F)"/>
        </w:smartTagPr>
        <w:r>
          <w:t>§1.469-2(c)(2)(iii)(F)</w:t>
        </w:r>
      </w:smartTag>
      <w:r>
        <w:t xml:space="preserve">, the recharacterization rule of Reg. </w:t>
      </w:r>
      <w:smartTag w:uri="http://www.bna.com/sgml2word/cite" w:element="cite.cfr">
        <w:smartTagPr>
          <w:attr w:name="ref" w:val="cfr\26\1.469-2(f)(10)"/>
        </w:smartTagPr>
        <w:r>
          <w:t>§1.469-2(f)(10)</w:t>
        </w:r>
      </w:smartTag>
      <w:r>
        <w:t xml:space="preserve"> does not apply for purposes of Reg. </w:t>
      </w:r>
      <w:smartTag w:uri="http://www.bna.com/sgml2word/cite" w:element="cite.cfr">
        <w:smartTagPr>
          <w:attr w:name="ref" w:val="cfr\26\1.469-2T(c)(3)(i)(C)"/>
        </w:smartTagPr>
        <w:r>
          <w:t>§1.469-2T(c)(3)(i)(C)</w:t>
        </w:r>
      </w:smartTag>
      <w:r>
        <w:rPr>
          <w:rStyle w:val="FootnoteReference"/>
        </w:rPr>
        <w:footnoteReference w:id="429"/>
      </w:r>
      <w:r>
        <w:t xml:space="preserve"> or Reg. </w:t>
      </w:r>
      <w:smartTag w:uri="http://www.bna.com/sgml2word/cite" w:element="cite.cfr">
        <w:smartTagPr>
          <w:attr w:name="ref" w:val="cfr\26\1.469-2T(c)(3)(i)(D)"/>
        </w:smartTagPr>
        <w:r>
          <w:t>§1.469-2T(c)(3)(i)(D)</w:t>
        </w:r>
      </w:smartTag>
      <w:r>
        <w:t>.</w:t>
      </w:r>
      <w:r>
        <w:rPr>
          <w:rStyle w:val="FootnoteReference"/>
        </w:rPr>
        <w:footnoteReference w:id="430"/>
      </w:r>
      <w:r>
        <w:t xml:space="preserve"> Even though gain or loss seems to be excluded from portfolio income, the gain or loss remains passive for NIIT purposes by reason of Reg. </w:t>
      </w:r>
      <w:smartTag w:uri="http://www.bna.com/sgml2word/cite" w:element="cite.cfr">
        <w:smartTagPr>
          <w:attr w:name="ref" w:val="cfr\26\1.1411-5(b)(2)(iii)"/>
        </w:smartTagPr>
        <w:r>
          <w:t>§1.1411-5(b)(2)(iii)</w:t>
        </w:r>
      </w:smartTag>
      <w:r>
        <w:t xml:space="preserve">. Thus, gain or loss from these activities will always be net investment income. </w:t>
      </w:r>
    </w:p>
    <w:p w14:paraId="19A21A81" w14:textId="77777777" w:rsidR="00494B49" w:rsidRDefault="00494B49">
      <w:pPr>
        <w:pStyle w:val="BHead4"/>
      </w:pPr>
      <w:r>
        <w:t>(2) Income Recharacterizations Beyond/Apart from Reg. §1.469-2(f)(10)</w:t>
      </w:r>
    </w:p>
    <w:p w14:paraId="7ADF81FA" w14:textId="77777777" w:rsidR="00494B49" w:rsidRDefault="00494B49">
      <w:pPr>
        <w:pStyle w:val="BNormal"/>
      </w:pPr>
      <w:r>
        <w:t xml:space="preserve">However, if most investment activities are included “naturally” within </w:t>
      </w:r>
      <w:smartTag w:uri="http://www.bna.com/sgml2word/cite" w:element="cite.usc">
        <w:smartTagPr>
          <w:attr w:name="ref" w:val="USC\26\163(d)"/>
        </w:smartTagPr>
        <w:r>
          <w:t>§163(d)</w:t>
        </w:r>
      </w:smartTag>
      <w:r>
        <w:t xml:space="preserve">, and those are likewise included in net investment income, and certain portfolio income recharacterization activities are included in net investment income by reason of Reg. </w:t>
      </w:r>
      <w:smartTag w:uri="http://www.bna.com/sgml2word/cite" w:element="cite.cfr">
        <w:smartTagPr>
          <w:attr w:name="ref" w:val="cfr\26\1.1411-5(b)(2)(iii)"/>
        </w:smartTagPr>
        <w:r>
          <w:t>§1.1411-5(b)(2)(iii)</w:t>
        </w:r>
      </w:smartTag>
      <w:r>
        <w:t xml:space="preserve">, what is </w:t>
      </w:r>
      <w:r>
        <w:lastRenderedPageBreak/>
        <w:t xml:space="preserve">left? Income recharacterized as nonpassive and further characterized as portfolio but by a provision other than Reg. </w:t>
      </w:r>
      <w:smartTag w:uri="http://www.bna.com/sgml2word/cite" w:element="cite.cfr">
        <w:smartTagPr>
          <w:attr w:name="ref" w:val="cfr\26\1.469-2(f)(10)"/>
        </w:smartTagPr>
        <w:r>
          <w:t>§1.469-2(f)(10)</w:t>
        </w:r>
      </w:smartTag>
      <w:r>
        <w:t xml:space="preserve"> may be the only item that remains.</w:t>
      </w:r>
    </w:p>
    <w:p w14:paraId="6B8A6015" w14:textId="77777777" w:rsidR="00494B49" w:rsidRDefault="00494B49">
      <w:pPr>
        <w:pStyle w:val="BNormal"/>
      </w:pPr>
      <w:r>
        <w:t xml:space="preserve">Keep in mind that gain from a disposition of property used in an activity is treated as gross income from that activity for </w:t>
      </w:r>
      <w:smartTag w:uri="http://www.bna.com/sgml2word/cite" w:element="cite.usc">
        <w:smartTagPr>
          <w:attr w:name="ref" w:val="USC\26\469"/>
        </w:smartTagPr>
        <w:r>
          <w:t>§469</w:t>
        </w:r>
      </w:smartTag>
      <w:r>
        <w:t xml:space="preserve"> purposes. This gain is passive activity gross income, as long as the activity constitutes a passive activity for the tax year of the disposition and the gain does not stem from the disposition of substantially appreciated property formerly used in a nonpassive activity. In furtherance of this principle, Reg. </w:t>
      </w:r>
      <w:smartTag w:uri="http://www.bna.com/sgml2word/cite" w:element="cite.cfr">
        <w:smartTagPr>
          <w:attr w:name="ref" w:val="cfr\26\1.469-2T(c)(2)(ii)"/>
        </w:smartTagPr>
        <w:r>
          <w:t>§1.469-2T(c)(2)(ii)</w:t>
        </w:r>
      </w:smartTag>
      <w:r>
        <w:t xml:space="preserve"> requires the taxpayer to allocate the amount realized on the disposition and the adjusted basis of the property among the activities for which the property was used during the 12-month period preceding the disposition. Additionally, Reg. </w:t>
      </w:r>
      <w:smartTag w:uri="http://www.bna.com/sgml2word/cite" w:element="cite.cfr">
        <w:smartTagPr>
          <w:attr w:name="ref" w:val="cfr\26\1.469-2(c)(2)(iii)"/>
        </w:smartTagPr>
        <w:r>
          <w:t>§1.469-2(c)(2)(iii)</w:t>
        </w:r>
      </w:smartTag>
      <w:r>
        <w:t xml:space="preserve"> provides that any gain from a disposition of substantially appreciated property</w:t>
      </w:r>
      <w:r>
        <w:rPr>
          <w:rStyle w:val="FootnoteReference"/>
        </w:rPr>
        <w:footnoteReference w:id="431"/>
      </w:r>
      <w:r>
        <w:t xml:space="preserve"> is treated as not from a passive activity unless the property was used in a passive activity for either (a) 20% of the taxpayer’s holding period for the property or (b) the entire 24-month period ending on the date of the disposition. Thus, gain that is passive activity income under the general rule is recharacterized as nonpassive if the conditions in Reg. </w:t>
      </w:r>
      <w:smartTag w:uri="http://www.bna.com/sgml2word/cite" w:element="cite.cfr">
        <w:smartTagPr>
          <w:attr w:name="ref" w:val="cfr\26\1.469-2(c)(2)(iii)"/>
        </w:smartTagPr>
        <w:r>
          <w:t>§1.469-2(c)(2)(iii)</w:t>
        </w:r>
      </w:smartTag>
      <w:r>
        <w:t xml:space="preserve"> are met. Reg. </w:t>
      </w:r>
      <w:smartTag w:uri="http://www.bna.com/sgml2word/cite" w:element="cite.cfr">
        <w:smartTagPr>
          <w:attr w:name="ref" w:val="cfr\26\1.469-2(c)(2)(iii)(F)"/>
        </w:smartTagPr>
        <w:r>
          <w:t>§1.469-2(c)(2)(iii)(F)</w:t>
        </w:r>
      </w:smartTag>
      <w:r>
        <w:t xml:space="preserve"> then provides that any gain treated as not from a passive activity under Reg. </w:t>
      </w:r>
      <w:smartTag w:uri="http://www.bna.com/sgml2word/cite" w:element="cite.cfr">
        <w:smartTagPr>
          <w:attr w:name="ref" w:val="cfr\26\1.469-2(c)(2)(iii)"/>
        </w:smartTagPr>
        <w:r>
          <w:t>§1.469-2(c)(2)(iii)</w:t>
        </w:r>
      </w:smartTag>
      <w:r>
        <w:t xml:space="preserve"> will be treated as income described in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§1.469-2T(c)(3)(i)</w:t>
        </w:r>
      </w:smartTag>
      <w:r>
        <w:t xml:space="preserve"> if, and only if, this gain is from the disposition of an interest in property that was held for investment for more than 50% of the period during which the taxpayer held such interest in property in activities other than passive activities. </w:t>
      </w:r>
    </w:p>
    <w:p w14:paraId="36950708" w14:textId="77777777" w:rsidR="00494B49" w:rsidRDefault="00494B49">
      <w:pPr>
        <w:pStyle w:val="BNormal"/>
      </w:pPr>
      <w:r>
        <w:t xml:space="preserve">For NIIT purposes, a Reg. </w:t>
      </w:r>
      <w:smartTag w:uri="http://www.bna.com/sgml2word/cite" w:element="cite.cfr">
        <w:smartTagPr>
          <w:attr w:name="ref" w:val="cfr\26\1.469-2(c)(2)(iii)"/>
        </w:smartTagPr>
        <w:r>
          <w:t>§1.469-2(c)(2)(iii)</w:t>
        </w:r>
      </w:smartTag>
      <w:r>
        <w:t xml:space="preserve"> recharacterization as nonpassive income will be respected (and thus not includible in net investment income ) unless it was further classified as portfolio income under Reg. </w:t>
      </w:r>
      <w:smartTag w:uri="http://www.bna.com/sgml2word/cite" w:element="cite.cfr">
        <w:smartTagPr>
          <w:attr w:name="ref" w:val="cfr\26\1.469-2(c)(2)(iii)(F)"/>
        </w:smartTagPr>
        <w:r>
          <w:t>§1.469-2(c)(2)(iii)(F)</w:t>
        </w:r>
      </w:smartTag>
      <w:r>
        <w:t>.</w:t>
      </w:r>
      <w:r>
        <w:rPr>
          <w:rStyle w:val="FootnoteReference"/>
        </w:rPr>
        <w:footnoteReference w:id="432"/>
      </w:r>
    </w:p>
    <w:p w14:paraId="0E3B8C0F" w14:textId="77777777" w:rsidR="00494B49" w:rsidRDefault="00494B49">
      <w:pPr>
        <w:pStyle w:val="BHead4"/>
      </w:pPr>
      <w:r>
        <w:t>(3) Activity Recharacterizations</w:t>
      </w:r>
    </w:p>
    <w:p w14:paraId="1D78E03C" w14:textId="77777777" w:rsidR="00494B49" w:rsidRDefault="00494B49">
      <w:pPr>
        <w:pStyle w:val="BNormal"/>
      </w:pPr>
      <w:smartTag w:uri="http://www.bna.com/sgml2word/cite" w:element="cite.usc">
        <w:smartTagPr>
          <w:attr w:name="ref" w:val="USC\26\163(d)(5)(A)(ii)"/>
        </w:smartTagPr>
        <w:r>
          <w:t>Section 163(d)(5)(A)(ii)</w:t>
        </w:r>
      </w:smartTag>
      <w:r>
        <w:t xml:space="preserve"> provides that the term “property held for investment” shall include any interest held by a taxpayer in an activity involving the conduct of a trade or business that is not a passive activity and with respect to which the taxpayer does not materially participate. The last portion of this phrase “not a passive activity and with respect to which the taxpayer does not materially participate” covers both types of </w:t>
      </w:r>
      <w:smartTag w:uri="http://www.bna.com/sgml2word/cite" w:element="cite.usc">
        <w:smartTagPr>
          <w:attr w:name="ref" w:val="USC\26\469"/>
        </w:smartTagPr>
        <w:r>
          <w:t>§469</w:t>
        </w:r>
      </w:smartTag>
      <w:r>
        <w:t xml:space="preserve"> recharacterizations — income and activity. Thus, including “[t]he disposition of property held for investment (within the meaning of </w:t>
      </w:r>
      <w:smartTag w:uri="http://www.bna.com/sgml2word/cite" w:element="cite.usc">
        <w:smartTagPr>
          <w:attr w:name="ref" w:val="USC\26\163(d)"/>
        </w:smartTagPr>
        <w:r>
          <w:t>§163(d)</w:t>
        </w:r>
      </w:smartTag>
      <w:r>
        <w:t xml:space="preserve">)” in portfolio income under Reg. </w:t>
      </w:r>
      <w:smartTag w:uri="http://www.bna.com/sgml2word/cite" w:element="cite.cfr">
        <w:smartTagPr>
          <w:attr w:name="ref" w:val="cfr\26\1.469-2T(c)(3)(i)(D)"/>
        </w:smartTagPr>
        <w:r>
          <w:t>§1.469-2T(c)(3)(i)(D)</w:t>
        </w:r>
      </w:smartTag>
      <w:r>
        <w:t xml:space="preserve"> covers the gain for recharacterized activities, which is included in “property held for investment” under </w:t>
      </w:r>
      <w:smartTag w:uri="http://www.bna.com/sgml2word/cite" w:element="cite.usc">
        <w:smartTagPr>
          <w:attr w:name="ref" w:val="USC\26\163(d)(5)(A)(ii)"/>
        </w:smartTagPr>
        <w:r>
          <w:t>§163(d)(5)(A)(ii)</w:t>
        </w:r>
      </w:smartTag>
      <w:r>
        <w:t>.</w:t>
      </w:r>
    </w:p>
    <w:p w14:paraId="413F2DE5"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of a type that is actively traded for the account of owners of interests in the activity does not constitute a passive activity, even if the activity is treated as a trade or business. However, as discussed in </w:t>
      </w:r>
      <w:smartTag w:uri="http://www.bna.com/sgml2word/cite" w:element="cite.bna.reference">
        <w:smartTagPr>
          <w:attr w:name="bna.id.ref" w:val="TM\511.II.D.2.b"/>
        </w:smartTagPr>
        <w:r>
          <w:t>II.D.2.b.</w:t>
        </w:r>
      </w:smartTag>
      <w:smartTag w:uri="http://www.bna.com/sgml2word/cite" w:element="cite.bna.reference">
        <w:smartTagPr>
          <w:attr w:name="bna.id.ref" w:val="TM\873.II.D.2.b"/>
        </w:smartTagPr>
        <w:r>
          <w:t>II.D.2.b.</w:t>
        </w:r>
      </w:smartTag>
      <w:r>
        <w:t xml:space="preserve">, above, this activity recharacterization rule almost entirely overlaps with definitions of trading in financial instruments and commodities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w:t>
      </w:r>
      <w:smartTag w:uri="http://www.bna.com/sgml2word/cite" w:element="cite.usc">
        <w:smartTagPr>
          <w:attr w:name="ref" w:val="USC\26\469"/>
        </w:smartTagPr>
        <w:r>
          <w:t>§469</w:t>
        </w:r>
      </w:smartTag>
      <w:r>
        <w:t xml:space="preserve"> recharacterization is largely irrelevant because gain or loss will always be net investment income. </w:t>
      </w:r>
    </w:p>
    <w:p w14:paraId="2FD08AB3" w14:textId="77777777" w:rsidR="00494B49" w:rsidRDefault="00494B49">
      <w:pPr>
        <w:pStyle w:val="BHead3"/>
      </w:pPr>
      <w:r>
        <w:lastRenderedPageBreak/>
        <w:t xml:space="preserve">d. Gains and Losses Taken into Account in Computing Net Earnings from Self-Employment </w:t>
      </w:r>
    </w:p>
    <w:p w14:paraId="6E65CD11" w14:textId="77777777" w:rsidR="00494B49" w:rsidRDefault="00494B49">
      <w:pPr>
        <w:pStyle w:val="BNormal"/>
      </w:pPr>
      <w:smartTag w:uri="http://www.bna.com/sgml2word/cite" w:element="cite.usc">
        <w:smartTagPr>
          <w:attr w:name="ref" w:val="USC\26\1402(a)(3)"/>
        </w:smartTagPr>
        <w:r>
          <w:t>Section 1402(a)(3)</w:t>
        </w:r>
      </w:smartTag>
      <w:r>
        <w:t xml:space="preserve"> excludes from net earnings from self-employment (NESE) any gain or loss: (1) that is attributable to the sale or exchange of a capital asset; (2) resulting from the cutting or disposal of timber, coal, or iron ore if </w:t>
      </w:r>
      <w:smartTag w:uri="http://www.bna.com/sgml2word/cite" w:element="cite.usc">
        <w:smartTagPr>
          <w:attr w:name="ref" w:val="USC\26\631"/>
        </w:smartTagPr>
        <w:r>
          <w:t>§631</w:t>
        </w:r>
      </w:smartTag>
      <w:r>
        <w:t xml:space="preserve"> applies to such gain or loss; or (3) resulting from the sale, exchange, involuntary conversion, or other disposition of property that is neither stock in trade nor property held primarily for sale to customers in the ordinary course of a trade or business. Therefore, as a general rule, the SECA tiebreaker rule in </w:t>
      </w:r>
      <w:smartTag w:uri="http://www.bna.com/sgml2word/cite" w:element="cite.usc">
        <w:smartTagPr>
          <w:attr w:name="ref" w:val="USC\26\1411(c)(6)"/>
        </w:smartTagPr>
        <w:r>
          <w:t>§1411(c)(6)</w:t>
        </w:r>
      </w:smartTag>
      <w:r>
        <w:t xml:space="preserve"> will rarely apply because most gains are excluded from NESE by </w:t>
      </w:r>
      <w:smartTag w:uri="http://www.bna.com/sgml2word/cite" w:element="cite.usc">
        <w:smartTagPr>
          <w:attr w:name="ref" w:val="USC\26\1402(a)(3)"/>
        </w:smartTagPr>
        <w:r>
          <w:t>§1402(a)(3)</w:t>
        </w:r>
      </w:smartTag>
      <w:r>
        <w:t xml:space="preserve">. However, to the extent that gains are attributable to assets that are stock in trade or property held primarily for sale to customers in the ordinary course of a trade or business, such gains would likely be covered by </w:t>
      </w:r>
      <w:smartTag w:uri="http://www.bna.com/sgml2word/cite" w:element="cite.usc">
        <w:smartTagPr>
          <w:attr w:name="ref" w:val="USC\26\1411(c)(6)"/>
        </w:smartTagPr>
        <w:r>
          <w:t>§1411(c)(6)</w:t>
        </w:r>
      </w:smartTag>
      <w:r>
        <w:t xml:space="preserve"> to the extent that they are attributable to a passive activity.</w:t>
      </w:r>
      <w:r>
        <w:rPr>
          <w:rStyle w:val="FootnoteReference"/>
        </w:rPr>
        <w:footnoteReference w:id="433"/>
      </w:r>
      <w:r>
        <w:t xml:space="preserve"> But there is an exception. </w:t>
      </w:r>
    </w:p>
    <w:p w14:paraId="5278EF6C" w14:textId="77777777" w:rsidR="00494B49" w:rsidRDefault="00494B49">
      <w:pPr>
        <w:pStyle w:val="BNormal"/>
      </w:pPr>
      <w:smartTag w:uri="http://www.bna.com/sgml2word/cite" w:element="cite.usc">
        <w:smartTagPr>
          <w:attr w:name="ref" w:val="USC\26\1402(i)"/>
        </w:smartTagPr>
        <w:r>
          <w:t>Section 1402(i)</w:t>
        </w:r>
      </w:smartTag>
      <w:r>
        <w:t xml:space="preserve"> overrides the general rule in </w:t>
      </w:r>
      <w:smartTag w:uri="http://www.bna.com/sgml2word/cite" w:element="cite.usc">
        <w:smartTagPr>
          <w:attr w:name="ref" w:val="USC\26\1402(a)(3)"/>
        </w:smartTagPr>
        <w:r>
          <w:t>§1402(a)(3)</w:t>
        </w:r>
      </w:smartTag>
      <w:r>
        <w:t xml:space="preserve"> for certain options</w:t>
      </w:r>
      <w:r>
        <w:rPr>
          <w:rStyle w:val="FootnoteReference"/>
        </w:rPr>
        <w:footnoteReference w:id="434"/>
      </w:r>
      <w:r>
        <w:t xml:space="preserve"> and commodities</w:t>
      </w:r>
      <w:r>
        <w:rPr>
          <w:rStyle w:val="FootnoteReference"/>
        </w:rPr>
        <w:footnoteReference w:id="435"/>
      </w:r>
      <w:r>
        <w:t xml:space="preserve"> dealers. Thus, for these dealers, NESE includes gain or loss realized in the normal course of any options or commodities dealer trading in </w:t>
      </w:r>
      <w:smartTag w:uri="http://www.bna.com/sgml2word/cite" w:element="cite.usc">
        <w:smartTagPr>
          <w:attr w:name="ref" w:val="USC\26\1256"/>
        </w:smartTagPr>
        <w:r>
          <w:t>§1256</w:t>
        </w:r>
      </w:smartTag>
      <w:r>
        <w:t xml:space="preserve"> contracts (or property related to such contracts). This is relevant in the NIIT context because of the unique situation allocable to dealers of </w:t>
      </w:r>
      <w:smartTag w:uri="http://www.bna.com/sgml2word/cite" w:element="cite.usc">
        <w:smartTagPr>
          <w:attr w:name="ref" w:val="USC\26\1256"/>
        </w:smartTagPr>
        <w:r>
          <w:t>§1256</w:t>
        </w:r>
      </w:smartTag>
      <w:r>
        <w:t xml:space="preserve"> contracts. But to understand the relevance for NIIT purposes, one must appreciate the subtle difference between </w:t>
      </w:r>
      <w:smartTag w:uri="http://www.bna.com/sgml2word/cite" w:element="cite.usc">
        <w:smartTagPr>
          <w:attr w:name="ref" w:val="USC\26\1402(i)"/>
        </w:smartTagPr>
        <w:r>
          <w:t>§1402(i)</w:t>
        </w:r>
      </w:smartTag>
      <w:r>
        <w:t xml:space="preserve"> dealers and common-law dealers.</w:t>
      </w:r>
      <w:r>
        <w:rPr>
          <w:rStyle w:val="FootnoteReference"/>
        </w:rPr>
        <w:footnoteReference w:id="436"/>
      </w:r>
    </w:p>
    <w:p w14:paraId="0485F1F5" w14:textId="77777777" w:rsidR="00494B49" w:rsidRDefault="00494B49">
      <w:pPr>
        <w:pStyle w:val="BNormal"/>
      </w:pPr>
      <w:r>
        <w:t xml:space="preserve">The consequence of the special </w:t>
      </w:r>
      <w:smartTag w:uri="http://www.bna.com/sgml2word/cite" w:element="cite.usc">
        <w:smartTagPr>
          <w:attr w:name="ref" w:val="USC\26\1402(i)"/>
        </w:smartTagPr>
        <w:r>
          <w:t>§1402(i)</w:t>
        </w:r>
      </w:smartTag>
      <w:r>
        <w:t>/</w:t>
      </w:r>
      <w:smartTag w:uri="http://www.bna.com/sgml2word/cite" w:element="cite.usc">
        <w:smartTagPr>
          <w:attr w:name="ref" w:val="USC\26\1256"/>
        </w:smartTagPr>
        <w:r>
          <w:t>§1256</w:t>
        </w:r>
      </w:smartTag>
      <w:r>
        <w:t xml:space="preserve"> dealer definition is that it makes it possible for a taxpayer to be a dealer of </w:t>
      </w:r>
      <w:smartTag w:uri="http://www.bna.com/sgml2word/cite" w:element="cite.usc">
        <w:smartTagPr>
          <w:attr w:name="ref" w:val="USC\26\1256"/>
        </w:smartTagPr>
        <w:r>
          <w:t>§1256</w:t>
        </w:r>
      </w:smartTag>
      <w:r>
        <w:t xml:space="preserve"> contracts such that gains are included in NESE, but not a common law dealer. Said differently, a </w:t>
      </w:r>
      <w:smartTag w:uri="http://www.bna.com/sgml2word/cite" w:element="cite.usc">
        <w:smartTagPr>
          <w:attr w:name="ref" w:val="USC\26\1402(i)(2)"/>
        </w:smartTagPr>
        <w:r>
          <w:t>§1402(i)(2)</w:t>
        </w:r>
      </w:smartTag>
      <w:r>
        <w:t xml:space="preserve"> dealer could be engaged in a trade or business of trading in financial instruments and commodities within the meaning of </w:t>
      </w:r>
      <w:smartTag w:uri="http://www.bna.com/sgml2word/cite" w:element="cite.usc">
        <w:smartTagPr>
          <w:attr w:name="ref" w:val="USC\26\1411(c)(2)(B)"/>
        </w:smartTagPr>
        <w:r>
          <w:t>§1411(c)(2)(B)</w:t>
        </w:r>
      </w:smartTag>
      <w:r>
        <w:t xml:space="preserve"> because the taxpayer’s activity does not rise to the level of dealer under common law. As a result, the dealer’s gains and losses from specified </w:t>
      </w:r>
      <w:smartTag w:uri="http://www.bna.com/sgml2word/cite" w:element="cite.usc">
        <w:smartTagPr>
          <w:attr w:name="ref" w:val="USC\26\1256"/>
        </w:smartTagPr>
        <w:r>
          <w:t>§1256</w:t>
        </w:r>
      </w:smartTag>
      <w:r>
        <w:t xml:space="preserve"> contracts are still subject to the 60%/40% long-term/short-term split but may also be subject to subject to self-employment tax on those contracts.</w:t>
      </w:r>
    </w:p>
    <w:p w14:paraId="219FF0D0" w14:textId="77777777" w:rsidR="00494B49" w:rsidRDefault="00494B49">
      <w:pPr>
        <w:pStyle w:val="BNormal"/>
      </w:pPr>
      <w:r>
        <w:lastRenderedPageBreak/>
        <w:t>Similar to other instances where income is included in NESE (such as interest and dividend income from dealers),</w:t>
      </w:r>
      <w:r>
        <w:rPr>
          <w:rStyle w:val="FootnoteReference"/>
        </w:rPr>
        <w:footnoteReference w:id="437"/>
      </w:r>
      <w:r>
        <w:t xml:space="preserve"> the </w:t>
      </w:r>
      <w:smartTag w:uri="http://www.bna.com/sgml2word/cite" w:element="cite.usc">
        <w:smartTagPr>
          <w:attr w:name="ref" w:val="USC\26\1256"/>
        </w:smartTagPr>
        <w:r>
          <w:t>§1256</w:t>
        </w:r>
      </w:smartTag>
      <w:r>
        <w:t xml:space="preserve"> contract income is also included in NESE subject to self-employment tax. Thus, </w:t>
      </w:r>
      <w:smartTag w:uri="http://www.bna.com/sgml2word/cite" w:element="cite.usc">
        <w:smartTagPr>
          <w:attr w:name="ref" w:val="USC\26\1411(c)(6)"/>
        </w:smartTagPr>
        <w:r>
          <w:t>§1411(c)(6)</w:t>
        </w:r>
      </w:smartTag>
      <w:r>
        <w:t xml:space="preserve"> would apply and break the tie between NIIT and SECA in favor of SECA on these gains and losses. However, </w:t>
      </w:r>
      <w:smartTag w:uri="http://www.bna.com/sgml2word/cite" w:element="cite.usc">
        <w:smartTagPr>
          <w:attr w:name="ref" w:val="USC\26\1402(i)"/>
        </w:smartTagPr>
        <w:r>
          <w:t>§1402(i)</w:t>
        </w:r>
      </w:smartTag>
      <w:r>
        <w:t xml:space="preserve"> applies only to gains and losses from </w:t>
      </w:r>
      <w:smartTag w:uri="http://www.bna.com/sgml2word/cite" w:element="cite.usc">
        <w:smartTagPr>
          <w:attr w:name="ref" w:val="USC\26\1256"/>
        </w:smartTagPr>
        <w:r>
          <w:t>§1256</w:t>
        </w:r>
      </w:smartTag>
      <w:r>
        <w:t xml:space="preserve"> contracts. Thus, these </w:t>
      </w:r>
      <w:smartTag w:uri="http://www.bna.com/sgml2word/cite" w:element="cite.usc">
        <w:smartTagPr>
          <w:attr w:name="ref" w:val="USC\26\1402(i)"/>
        </w:smartTagPr>
        <w:r>
          <w:t>§1402(i)</w:t>
        </w:r>
      </w:smartTag>
      <w:r>
        <w:t xml:space="preserve"> dealers may not be dealers for purposes of interest income, dividend income, and gains and losses from other investment activities. As a result, the asymmetrical result is that the </w:t>
      </w:r>
      <w:smartTag w:uri="http://www.bna.com/sgml2word/cite" w:element="cite.usc">
        <w:smartTagPr>
          <w:attr w:name="ref" w:val="USC\26\1256"/>
        </w:smartTagPr>
        <w:r>
          <w:t>§1256</w:t>
        </w:r>
      </w:smartTag>
      <w:r>
        <w:t xml:space="preserve"> gain or loss is included in NESE and excluded from net investment income, but the other income, deduction, gain, and loss from nondealer trading activities is excluded from NESE and included in net investment income. To the extent that such earnings are then excluded from NESE if earned as a shareholder of an S corporation</w:t>
      </w:r>
      <w:r>
        <w:rPr>
          <w:rStyle w:val="FootnoteReference"/>
        </w:rPr>
        <w:footnoteReference w:id="438"/>
      </w:r>
      <w:r>
        <w:t xml:space="preserve"> or as a limited partner,</w:t>
      </w:r>
      <w:r>
        <w:rPr>
          <w:rStyle w:val="FootnoteReference"/>
        </w:rPr>
        <w:footnoteReference w:id="439"/>
      </w:r>
      <w:r>
        <w:t xml:space="preserve"> the </w:t>
      </w:r>
      <w:smartTag w:uri="http://www.bna.com/sgml2word/cite" w:element="cite.usc">
        <w:smartTagPr>
          <w:attr w:name="ref" w:val="USC\26\1401(i)"/>
        </w:smartTagPr>
        <w:r>
          <w:t>§1401(i)</w:t>
        </w:r>
      </w:smartTag>
      <w:r>
        <w:t xml:space="preserve"> dealer income from the </w:t>
      </w:r>
      <w:smartTag w:uri="http://www.bna.com/sgml2word/cite" w:element="cite.usc">
        <w:smartTagPr>
          <w:attr w:name="ref" w:val="USC\26\1256"/>
        </w:smartTagPr>
        <w:r>
          <w:t>§1256</w:t>
        </w:r>
      </w:smartTag>
      <w:r>
        <w:t xml:space="preserve"> contract would not be taken into account in computing NESE, and thus </w:t>
      </w:r>
      <w:smartTag w:uri="http://www.bna.com/sgml2word/cite" w:element="cite.usc">
        <w:smartTagPr>
          <w:attr w:name="ref" w:val="USC\26\1411(c)(6)"/>
        </w:smartTagPr>
        <w:r>
          <w:t>§1411(c)(6)</w:t>
        </w:r>
      </w:smartTag>
      <w:r>
        <w:t xml:space="preserve"> would not be invoked. This results in all items of income, gain, loss, and deduction from the trading/dealer activity being included in net investment income. </w:t>
      </w:r>
    </w:p>
    <w:p w14:paraId="0FE626DE" w14:textId="77777777" w:rsidR="00494B49" w:rsidRDefault="00494B49">
      <w:pPr>
        <w:pStyle w:val="BHead2"/>
      </w:pPr>
      <w:r>
        <w:t xml:space="preserve">8. Special Treatment of Carryover Capital Losses </w:t>
      </w:r>
    </w:p>
    <w:p w14:paraId="0B6DDB2F" w14:textId="77777777" w:rsidR="00494B49" w:rsidRDefault="00494B49">
      <w:pPr>
        <w:pStyle w:val="BNormal"/>
      </w:pPr>
      <w:r>
        <w:t xml:space="preserve">Prop. Reg. </w:t>
      </w:r>
      <w:smartTag w:uri="http://www.bna.com/sgml2word/cite" w:element="cite.cfr">
        <w:smartTagPr>
          <w:attr w:name="ref" w:val="prule\cfr\26\1.1411-4(d)(4)(iii)(A)"/>
        </w:smartTagPr>
        <w:r>
          <w:t>§1.1411-4(d)(4)(iii)(A)</w:t>
        </w:r>
      </w:smartTag>
      <w:r>
        <w:t xml:space="preserve"> addresses capital loss carryforwards and appears relatively simple. The rule provides that for purposes of calculating net gain under Reg. </w:t>
      </w:r>
      <w:smartTag w:uri="http://www.bna.com/sgml2word/cite" w:element="cite.cfr">
        <w:smartTagPr>
          <w:attr w:name="ref" w:val="cfr\26\1.1411-4(d)"/>
        </w:smartTagPr>
        <w:r>
          <w:t>§1.1411-4(d)</w:t>
        </w:r>
      </w:smartTag>
      <w:r>
        <w:t xml:space="preserve"> (and any allowable loss described in Reg. </w:t>
      </w:r>
      <w:smartTag w:uri="http://www.bna.com/sgml2word/cite" w:element="cite.cfr">
        <w:smartTagPr>
          <w:attr w:name="ref" w:val="cfr\26\1.1411-4(f)(4)"/>
        </w:smartTagPr>
        <w:r>
          <w:t>§1.1411-4(f)(4)</w:t>
        </w:r>
      </w:smartTag>
      <w:r>
        <w:t xml:space="preserve">) capital losses — </w:t>
      </w:r>
      <w:r>
        <w:rPr>
          <w:i/>
        </w:rPr>
        <w:t>and only capital losses</w:t>
      </w:r>
      <w:r>
        <w:t xml:space="preserve"> — are reduced by the lesser of: (1) the amount of capital loss taken into account in the current year under </w:t>
      </w:r>
      <w:smartTag w:uri="http://www.bna.com/sgml2word/cite" w:element="cite.usc">
        <w:smartTagPr>
          <w:attr w:name="ref" w:val="USC\26\1212(b)(1)"/>
        </w:smartTagPr>
        <w:r>
          <w:t>§1212(b)(1)</w:t>
        </w:r>
      </w:smartTag>
      <w:r>
        <w:t xml:space="preserve">; or (2) the amount of net capital loss excluded from net investment income in the preceding year under Reg. </w:t>
      </w:r>
      <w:smartTag w:uri="http://www.bna.com/sgml2word/cite" w:element="cite.cfr">
        <w:smartTagPr>
          <w:attr w:name="ref" w:val="cfr\26\1.1411-4(d)(4)"/>
        </w:smartTagPr>
        <w:r>
          <w:t>§1.1411-4(d)(4)</w:t>
        </w:r>
      </w:smartTag>
      <w:r>
        <w:t>. Although the rule is only a single sentence, the example explaining how the rule applies totals four single-spaced typewritten pages.</w:t>
      </w:r>
      <w:r>
        <w:rPr>
          <w:rStyle w:val="FootnoteReference"/>
        </w:rPr>
        <w:footnoteReference w:id="440"/>
      </w:r>
      <w:r>
        <w:t xml:space="preserve"> The example shows that the elegant simplicity of the rule is very complicated when applied on a multi-year basis.</w:t>
      </w:r>
      <w:r>
        <w:rPr>
          <w:rStyle w:val="FootnoteReference"/>
        </w:rPr>
        <w:footnoteReference w:id="441"/>
      </w:r>
    </w:p>
    <w:p w14:paraId="107E46F6" w14:textId="77777777" w:rsidR="00494B49" w:rsidRDefault="00494B49">
      <w:pPr>
        <w:pStyle w:val="BNormal"/>
      </w:pPr>
      <w:r>
        <w:t xml:space="preserve">The need for this rule implicitly recognizes that a capital loss carryforward retains its component parts from prior years. To understand why the rule is needed, the preamble to the 2013 Proposed Regulations serves as a useful starting point. The preamble provides, in relevant part: </w:t>
      </w:r>
    </w:p>
    <w:p w14:paraId="5774F746" w14:textId="77777777" w:rsidR="00494B49" w:rsidRDefault="00494B49">
      <w:pPr>
        <w:pStyle w:val="BQuotelong"/>
      </w:pPr>
      <w:r>
        <w:t xml:space="preserve">The annual adjustment in </w:t>
      </w:r>
      <w:smartTag w:uri="http://www.bna.com/sgml2word/cite" w:element="cite.cfr">
        <w:smartTagPr>
          <w:attr w:name="ref" w:val="cfr\26\1.1411-4(d)(4)(iii)"/>
        </w:smartTagPr>
        <w:r>
          <w:t>§1.1411-4(d)(4)(iii)</w:t>
        </w:r>
      </w:smartTag>
      <w:r>
        <w:t xml:space="preserve"> provides a method of identification and an ordering rule that eliminate the need for taxpayers to maintain a separate set of books and records for this item to comply with </w:t>
      </w:r>
      <w:smartTag w:uri="http://www.bna.com/sgml2word/cite" w:element="cite.usc">
        <w:smartTagPr>
          <w:attr w:name="ref" w:val="USC\26\1411"/>
        </w:smartTagPr>
        <w:r>
          <w:t>§1411</w:t>
        </w:r>
      </w:smartTag>
      <w:r>
        <w:t xml:space="preserve">. However, the rule requires that taxpayers perform the calculation annually, regardless of whether they have a </w:t>
      </w:r>
      <w:smartTag w:uri="http://www.bna.com/sgml2word/cite" w:element="cite.usc">
        <w:smartTagPr>
          <w:attr w:name="ref" w:val="USC\26\1411"/>
        </w:smartTagPr>
        <w:r>
          <w:t>§1411</w:t>
        </w:r>
      </w:smartTag>
      <w:r>
        <w:t xml:space="preserve"> tax liability in a particular year, to maintain the integrity of the rule’s carryforward adjustment amounts for a subsequent year in which they are subject to liability under </w:t>
      </w:r>
      <w:smartTag w:uri="http://www.bna.com/sgml2word/cite" w:element="cite.usc">
        <w:smartTagPr>
          <w:attr w:name="ref" w:val="USC\26\1411"/>
        </w:smartTagPr>
        <w:r>
          <w:t>§1411</w:t>
        </w:r>
      </w:smartTag>
      <w:r>
        <w:t xml:space="preserve">. </w:t>
      </w:r>
    </w:p>
    <w:p w14:paraId="3D3F2334" w14:textId="77777777" w:rsidR="00494B49" w:rsidRDefault="00494B49">
      <w:pPr>
        <w:pStyle w:val="BNormal"/>
      </w:pPr>
      <w:r>
        <w:lastRenderedPageBreak/>
        <w:t>The possible maintenance of a separate set of books, much like what is often required by the Alternative Minimum Tax, was an aspect of NIIT that the Treasury Department and IRS tried to avoid when developing the entire NIIT system.</w:t>
      </w:r>
      <w:r>
        <w:rPr>
          <w:rStyle w:val="FootnoteReference"/>
        </w:rPr>
        <w:footnoteReference w:id="442"/>
      </w:r>
      <w:r>
        <w:t xml:space="preserve"> The downside of the annual adjustment is that it applies even if the taxpayer is not subject to NIIT in the adjustment year.</w:t>
      </w:r>
      <w:r>
        <w:rPr>
          <w:rStyle w:val="FootnoteReference"/>
        </w:rPr>
        <w:footnoteReference w:id="443"/>
      </w:r>
      <w:r>
        <w:t xml:space="preserve"> This may be viewed as a trap for the unwary, and definitely an issue for taxpayers that prepare income tax returns by hand. </w:t>
      </w:r>
    </w:p>
    <w:p w14:paraId="3A365583" w14:textId="77777777" w:rsidR="00494B49" w:rsidRDefault="00494B49">
      <w:pPr>
        <w:pStyle w:val="BNormal"/>
      </w:pPr>
      <w:r>
        <w:rPr>
          <w:i/>
        </w:rPr>
        <w:t>Comment:</w:t>
      </w:r>
      <w:r>
        <w:t xml:space="preserve"> The annual adjustment requirement, regardless of whether the taxpayer is subject to NIIT, should end up being a rule that is relegated to software tracking. Thus, if the taxpayer entered an excluded capital loss in Year 1 and has a capital loss carryforward into Year 2, tax compliance software should be able to handle the adjustment and roll forward the amounts (if any) into Year 3. The reliance on software to handle the annual calculation also requires a taxpayer (or tax preparer) to pay special attention to this tax attribute if different software is used in future years that requires manual inputs of prior-year tax items. </w:t>
      </w:r>
    </w:p>
    <w:p w14:paraId="517B5157" w14:textId="77777777" w:rsidR="00494B49" w:rsidRDefault="00494B49">
      <w:pPr>
        <w:pStyle w:val="BNormal"/>
      </w:pPr>
      <w:r>
        <w:t xml:space="preserve">The mechanics of the capital loss adjustment accomplishes several objectives. First, the rule causes all capital losses incurred before 2013 to be allowable losses for the computation of net gain under Reg. </w:t>
      </w:r>
      <w:smartTag w:uri="http://www.bna.com/sgml2word/cite" w:element="cite.cfr">
        <w:smartTagPr>
          <w:attr w:name="ref" w:val="cfr\26\1.1411-4(d)"/>
        </w:smartTagPr>
        <w:r>
          <w:t>§1.1411-4(d)</w:t>
        </w:r>
      </w:smartTag>
      <w:r>
        <w:t xml:space="preserve"> and properly allocable deductions for excess losses in Reg. </w:t>
      </w:r>
      <w:smartTag w:uri="http://www.bna.com/sgml2word/cite" w:element="cite.cfr">
        <w:smartTagPr>
          <w:attr w:name="ref" w:val="cfr\26\1.1411-4(f)(4)"/>
        </w:smartTagPr>
        <w:r>
          <w:t>§1.1411-4(f)(4)</w:t>
        </w:r>
      </w:smartTag>
      <w:r>
        <w:t xml:space="preserve"> (if any). This result is accomplished by the second part of the rule, which provides that the capital loss carryforward is reduced by “the amount of net capital loss excluded from net investment income in the preceding year.” Because the adjustment is based on the lesser of total capital loss carryforward or the excluded losses in the prior year — and the amount of excluded capital losses in the year immediately before the effective date of </w:t>
      </w:r>
      <w:smartTag w:uri="http://www.bna.com/sgml2word/cite" w:element="cite.usc">
        <w:smartTagPr>
          <w:attr w:name="ref" w:val="USC\26\1411"/>
        </w:smartTagPr>
        <w:r>
          <w:t>§1411</w:t>
        </w:r>
      </w:smartTag>
      <w:r>
        <w:t xml:space="preserve"> is zero — the loss adjustment in the year following the effective date of </w:t>
      </w:r>
      <w:smartTag w:uri="http://www.bna.com/sgml2word/cite" w:element="cite.usc">
        <w:smartTagPr>
          <w:attr w:name="ref" w:val="USC\26\1411"/>
        </w:smartTagPr>
        <w:r>
          <w:t>§1411</w:t>
        </w:r>
      </w:smartTag>
      <w:r>
        <w:t xml:space="preserve"> is also zero.</w:t>
      </w:r>
    </w:p>
    <w:p w14:paraId="02EC4CC7" w14:textId="77777777" w:rsidR="00494B49" w:rsidRDefault="00494B49">
      <w:pPr>
        <w:pStyle w:val="BNormal"/>
      </w:pPr>
      <w:r>
        <w:t xml:space="preserve">Second, the rule requires an adjustment only when a taxpayer has excluded losses embedded in a capital loss carryforward. Therefore, taxpayers with no excluded capital losses do not have to make any adjustment. This seems intuitive, but the rule mathematically confirms this. First, if the taxpayer has no capital losses carried forward from a prior year, the adjustment amount is limited to the lesser of capital losses (which is zero) or excluded losses in a prior year which will also yield no adjustment. Conversely, if the taxpayer has a capital loss carryforward but has not excluded losses from a prior year, the adjustment will also be zero (for the same reason discussed above for pre-2013 loss carryforwards). </w:t>
      </w:r>
    </w:p>
    <w:p w14:paraId="3E4A1D6C" w14:textId="77777777" w:rsidR="00494B49" w:rsidRDefault="00494B49">
      <w:pPr>
        <w:pStyle w:val="BNormal"/>
      </w:pPr>
      <w:r>
        <w:t xml:space="preserve">Third, the rule also provides a mechanism for ordering the use of capital losses to offset gains. The rule causes excluded capital gains recognized in the current year to be offset by excluded capital losses that are embedded in the capital loss carryforward from the previous year. This matching is accomplished by using the term “net capital loss” in Prop. Reg. </w:t>
      </w:r>
      <w:smartTag w:uri="http://www.bna.com/sgml2word/cite" w:element="cite.cfr">
        <w:smartTagPr>
          <w:attr w:name="ref" w:val="prule\cfr\26\1.1411-4(d)(4)(iii)"/>
        </w:smartTagPr>
        <w:r>
          <w:t>§1.1411-4(d)(4)(iii)</w:t>
        </w:r>
      </w:smartTag>
      <w:r>
        <w:t xml:space="preserve">. If the excluded gain exceeds the amount of excluded capital loss included in the carryforward amount and any excluded capital loss amounts recognized in the current year, the amount of adjustment will be zero in the subsequent year because there was no “net capital loss” in the preceding year. In this situation, no adjustment is required because the previous year’s excluded </w:t>
      </w:r>
      <w:r>
        <w:lastRenderedPageBreak/>
        <w:t xml:space="preserve">gains were fully absorbed by the excluded losses. Finally, the rule allows taxpayers to use nonexcluded capital losses for purposes of the excess loss deduction in Reg. </w:t>
      </w:r>
      <w:smartTag w:uri="http://www.bna.com/sgml2word/cite" w:element="cite.cfr">
        <w:smartTagPr>
          <w:attr w:name="ref" w:val="cfr\26\1.1411-4(f)(4)"/>
        </w:smartTagPr>
        <w:r>
          <w:t>§1.1411-4(f)(4)</w:t>
        </w:r>
      </w:smartTag>
      <w:r>
        <w:t xml:space="preserve"> before subjecting excluded losses to the limitation.</w:t>
      </w:r>
    </w:p>
    <w:p w14:paraId="3C579BBE" w14:textId="77777777" w:rsidR="00494B49" w:rsidRDefault="00494B49">
      <w:pPr>
        <w:pStyle w:val="BHead1"/>
      </w:pPr>
      <w:r>
        <w:t>E. Special Rules</w:t>
      </w:r>
    </w:p>
    <w:p w14:paraId="07FE9AE6" w14:textId="77777777" w:rsidR="00494B49" w:rsidRDefault="00494B49">
      <w:pPr>
        <w:pStyle w:val="BHead2"/>
      </w:pPr>
      <w:r>
        <w:t xml:space="preserve">1. Treatment of Receipts and Payments on Notional Principal Contracts </w:t>
      </w:r>
    </w:p>
    <w:p w14:paraId="4D8918FC" w14:textId="77777777" w:rsidR="00494B49" w:rsidRDefault="00494B49">
      <w:pPr>
        <w:pStyle w:val="BHead3"/>
      </w:pPr>
      <w:r>
        <w:t>a. Notional Principal Contracts Held in a §1411 Trade or Business</w:t>
      </w:r>
    </w:p>
    <w:p w14:paraId="1F905490" w14:textId="77777777" w:rsidR="00494B49" w:rsidRDefault="00494B49">
      <w:pPr>
        <w:pStyle w:val="BNormal"/>
      </w:pPr>
      <w:r>
        <w:t xml:space="preserve">Gross income from notional principal contracts (within the meaning of Reg. </w:t>
      </w:r>
      <w:smartTag w:uri="http://www.bna.com/sgml2word/cite" w:element="cite.cfr">
        <w:smartTagPr>
          <w:attr w:name="ref" w:val="cfr\26\1.446-3(c)"/>
        </w:smartTagPr>
        <w:r>
          <w:t>§1.446-3(c)</w:t>
        </w:r>
      </w:smartTag>
      <w:r>
        <w:t xml:space="preserve">) is derived in a </w:t>
      </w:r>
      <w:smartTag w:uri="http://www.bna.com/sgml2word/cite" w:element="cite.usc">
        <w:smartTagPr>
          <w:attr w:name="ref" w:val="USC\26\1411"/>
        </w:smartTagPr>
        <w:r>
          <w:t>§1411</w:t>
        </w:r>
      </w:smartTag>
      <w:r>
        <w:t xml:space="preserve"> trade or business,</w:t>
      </w:r>
      <w:r>
        <w:rPr>
          <w:rStyle w:val="FootnoteReference"/>
        </w:rPr>
        <w:footnoteReference w:id="444"/>
      </w:r>
      <w:r>
        <w:t xml:space="preserve"> and all such gross income is included in net investment income.</w:t>
      </w:r>
      <w:r>
        <w:rPr>
          <w:rStyle w:val="FootnoteReference"/>
        </w:rPr>
        <w:footnoteReference w:id="445"/>
      </w:r>
    </w:p>
    <w:p w14:paraId="7F08EA0E" w14:textId="77777777" w:rsidR="00494B49" w:rsidRDefault="00494B49">
      <w:pPr>
        <w:pStyle w:val="BHead3"/>
      </w:pPr>
      <w:r>
        <w:t xml:space="preserve">b. Notional Principal Contracts Held for Investment </w:t>
      </w:r>
    </w:p>
    <w:p w14:paraId="140821CF" w14:textId="77777777" w:rsidR="00494B49" w:rsidRDefault="00494B49">
      <w:pPr>
        <w:pStyle w:val="BNormal"/>
      </w:pPr>
      <w:r>
        <w:t>Under the 2012 Proposed Regulations (and the 2013 Final Regulations), gain on the disposition of a notional principal contract (NPC) is included in net investment income,</w:t>
      </w:r>
      <w:r>
        <w:rPr>
          <w:rStyle w:val="FootnoteReference"/>
        </w:rPr>
        <w:footnoteReference w:id="446"/>
      </w:r>
      <w:r>
        <w:t xml:space="preserve"> and any other gross income from an NPC (including net income attributable to periodic payments on an NPC) is included in net investment income if it is derived from a </w:t>
      </w:r>
      <w:smartTag w:uri="http://www.bna.com/sgml2word/cite" w:element="cite.usc">
        <w:smartTagPr>
          <w:attr w:name="ref" w:val="USC\26\1411"/>
        </w:smartTagPr>
        <w:r>
          <w:t>§1411</w:t>
        </w:r>
      </w:smartTag>
      <w:r>
        <w:t xml:space="preserve"> trade or business.</w:t>
      </w:r>
      <w:r>
        <w:rPr>
          <w:rStyle w:val="FootnoteReference"/>
        </w:rPr>
        <w:footnoteReference w:id="447"/>
      </w:r>
      <w:r>
        <w:t xml:space="preserve"> Several commentators on the 2012 Proposed Regulations had suggested that the proper treatment of periodic payments on an NPC should not turn solely on whether the NPC was entered into as part of a trading business and recommended that NPC periodic payments should be included in net investment income. One commentator had indicated that the omission of NPC periodic income seems unusual and inconsistent with the portions of the 2012 Proposed Regulations (and the 2013 Final Regulations) that provide for the inclusion in net investment income of substitute interest and substitute dividends.</w:t>
      </w:r>
    </w:p>
    <w:p w14:paraId="1705CC75" w14:textId="77777777" w:rsidR="00494B49" w:rsidRDefault="00494B49">
      <w:pPr>
        <w:pStyle w:val="BHead3"/>
      </w:pPr>
      <w:r>
        <w:t>c. Treatment of Income and Deductions</w:t>
      </w:r>
    </w:p>
    <w:p w14:paraId="54815834" w14:textId="77777777" w:rsidR="00494B49" w:rsidRDefault="00494B49">
      <w:pPr>
        <w:pStyle w:val="BNormal"/>
      </w:pPr>
      <w:r>
        <w:t xml:space="preserve">The 2013 Proposed Regulations provide that net income (or net deduction) attributable to periodic and nonperiodic payments on an NPC under Reg. </w:t>
      </w:r>
      <w:smartTag w:uri="http://www.bna.com/sgml2word/cite" w:element="cite.cfr">
        <w:smartTagPr>
          <w:attr w:name="ref" w:val="cfr\26\1.446-3(d)"/>
        </w:smartTagPr>
        <w:r>
          <w:t>§1.446-3(d)</w:t>
        </w:r>
      </w:smartTag>
      <w:r>
        <w:t xml:space="preserve"> is taken into account in determining net investment income.</w:t>
      </w:r>
      <w:r>
        <w:rPr>
          <w:rStyle w:val="FootnoteReference"/>
        </w:rPr>
        <w:footnoteReference w:id="448"/>
      </w:r>
      <w:r>
        <w:t xml:space="preserve"> To the extent the taxpayer </w:t>
      </w:r>
      <w:r>
        <w:rPr>
          <w:i/>
        </w:rPr>
        <w:t>receives</w:t>
      </w:r>
      <w:r>
        <w:t xml:space="preserve"> net periodic payments in any given year, the 2013 Proposed Regulations generically classify the receipts as net investment income by reference to </w:t>
      </w:r>
      <w:smartTag w:uri="http://www.bna.com/sgml2word/cite" w:element="cite.usc">
        <w:smartTagPr>
          <w:attr w:name="ref" w:val="USC\26\1411(c)(1)(A)"/>
        </w:smartTagPr>
        <w:r>
          <w:t>§1411(c)(1)(A)</w:t>
        </w:r>
      </w:smartTag>
      <w:r>
        <w:t>.</w:t>
      </w:r>
      <w:r>
        <w:rPr>
          <w:rStyle w:val="FootnoteReference"/>
        </w:rPr>
        <w:footnoteReference w:id="449"/>
      </w:r>
    </w:p>
    <w:p w14:paraId="0121A979" w14:textId="77777777" w:rsidR="00494B49" w:rsidRDefault="00494B49">
      <w:pPr>
        <w:pStyle w:val="BNormal"/>
      </w:pPr>
      <w:r>
        <w:t xml:space="preserve">To the extent the taxpayer </w:t>
      </w:r>
      <w:r>
        <w:rPr>
          <w:i/>
        </w:rPr>
        <w:t>makes</w:t>
      </w:r>
      <w:r>
        <w:t xml:space="preserve"> net periodic payments in any given year, the 2013 Proposed Regulations generically classify the payment as a properly allocable deduction under </w:t>
      </w:r>
      <w:smartTag w:uri="http://www.bna.com/sgml2word/cite" w:element="cite.usc">
        <w:smartTagPr>
          <w:attr w:name="ref" w:val="USC\26\1411(c)(1)(B)"/>
        </w:smartTagPr>
        <w:r>
          <w:t>§1411(c)(1)(B)</w:t>
        </w:r>
      </w:smartTag>
      <w:r>
        <w:t xml:space="preserve">. </w:t>
      </w:r>
      <w:r>
        <w:rPr>
          <w:rStyle w:val="FootnoteReference"/>
        </w:rPr>
        <w:footnoteReference w:id="450"/>
      </w:r>
    </w:p>
    <w:p w14:paraId="036F2DA0" w14:textId="77777777" w:rsidR="00494B49" w:rsidRDefault="00494B49">
      <w:pPr>
        <w:pStyle w:val="BHead3"/>
      </w:pPr>
      <w:r>
        <w:lastRenderedPageBreak/>
        <w:t>d. Limited Scope of NPCs</w:t>
      </w:r>
    </w:p>
    <w:p w14:paraId="5B35FC1C" w14:textId="77777777" w:rsidR="00494B49" w:rsidRDefault="00494B49">
      <w:pPr>
        <w:pStyle w:val="BNormal"/>
      </w:pPr>
      <w:r>
        <w:t xml:space="preserve">However, the 2013 Proposed Regulations would apply only to the net income (or net deduction) on an NPC described in Reg. </w:t>
      </w:r>
      <w:smartTag w:uri="http://www.bna.com/sgml2word/cite" w:element="cite.cfr">
        <w:smartTagPr>
          <w:attr w:name="ref" w:val="cfr\26\1.446-3(c)(1)"/>
        </w:smartTagPr>
        <w:r>
          <w:t>§1.446-3(c)(1)</w:t>
        </w:r>
      </w:smartTag>
      <w:r>
        <w:t xml:space="preserve"> that is referenced to property (including an index) that produces (or would produce if the property were to produce income) interest, dividends, royalties, or rents if the property were held directly by the taxpayer.</w:t>
      </w:r>
      <w:r>
        <w:rPr>
          <w:rStyle w:val="FootnoteReference"/>
        </w:rPr>
        <w:footnoteReference w:id="451"/>
      </w:r>
      <w:r>
        <w:t xml:space="preserve"> The 2013 Proposed Regulations would not affect the treatment of net income attributable to periodic and nonperiodic payments on any NPC derived in a trade or business described in Reg. </w:t>
      </w:r>
      <w:smartTag w:uri="http://www.bna.com/sgml2word/cite" w:element="cite.cfr">
        <w:smartTagPr>
          <w:attr w:name="ref" w:val="cfr\26\1.1411-5"/>
        </w:smartTagPr>
        <w:r>
          <w:t>§1.1411-5</w:t>
        </w:r>
      </w:smartTag>
      <w:r>
        <w:t xml:space="preserve"> that is net investment income under </w:t>
      </w:r>
      <w:smartTag w:uri="http://www.bna.com/sgml2word/cite" w:element="cite.usc">
        <w:smartTagPr>
          <w:attr w:name="ref" w:val="USC\26\1411(c)(1)(A)(ii)"/>
        </w:smartTagPr>
        <w:r>
          <w:t>§1411(c)(1)(A)(ii)</w:t>
        </w:r>
      </w:smartTag>
      <w:r>
        <w:t>.</w:t>
      </w:r>
    </w:p>
    <w:p w14:paraId="4115B138" w14:textId="77777777" w:rsidR="00494B49" w:rsidRDefault="00494B49">
      <w:pPr>
        <w:pStyle w:val="BNormal"/>
      </w:pPr>
      <w:r>
        <w:rPr>
          <w:i/>
        </w:rPr>
        <w:t>Comment:</w:t>
      </w:r>
      <w:r>
        <w:t xml:space="preserve"> The intent in limiting the scope of an NPC included in net investment income has its origins in the treatment of NPCs as qualifying income for publicly traded partnerships.</w:t>
      </w:r>
      <w:r>
        <w:rPr>
          <w:rStyle w:val="FootnoteReference"/>
        </w:rPr>
        <w:footnoteReference w:id="452"/>
      </w:r>
      <w:r>
        <w:t xml:space="preserve"> Although not identical, Prop. Reg. </w:t>
      </w:r>
      <w:smartTag w:uri="http://www.bna.com/sgml2word/cite" w:element="cite.cfr">
        <w:smartTagPr>
          <w:attr w:name="ref" w:val="prule\cfr\26\1.1411-4"/>
        </w:smartTagPr>
        <w:r>
          <w:t>§1.1411-4(g)(12)(ii)</w:t>
        </w:r>
      </w:smartTag>
      <w:r>
        <w:t xml:space="preserve"> was intended to mirror the effect of Reg. </w:t>
      </w:r>
      <w:smartTag w:uri="http://www.bna.com/sgml2word/cite" w:element="cite.cfr">
        <w:smartTagPr>
          <w:attr w:name="ref" w:val="cfr\26\1.7704-3(a)(1)"/>
        </w:smartTagPr>
        <w:r>
          <w:t>§1.7704-3(a)(1)</w:t>
        </w:r>
      </w:smartTag>
      <w:r>
        <w:t>.</w:t>
      </w:r>
      <w:r>
        <w:rPr>
          <w:rStyle w:val="FootnoteReference"/>
        </w:rPr>
        <w:footnoteReference w:id="453"/>
      </w:r>
      <w:r>
        <w:t xml:space="preserve"> In addition, the treatment of NPCs for UBIT purposes under Reg. </w:t>
      </w:r>
      <w:smartTag w:uri="http://www.bna.com/sgml2word/cite" w:element="cite.cfr">
        <w:smartTagPr>
          <w:attr w:name="ref" w:val="cfr\26\1.512(b)-1(a)"/>
        </w:smartTagPr>
        <w:r>
          <w:t>§1.512(b)-1(a)</w:t>
        </w:r>
      </w:smartTag>
      <w:r>
        <w:t xml:space="preserve"> was also taken into account in formulating the proposed rule. </w:t>
      </w:r>
    </w:p>
    <w:p w14:paraId="783C9346" w14:textId="77777777" w:rsidR="00494B49" w:rsidRDefault="00494B49">
      <w:pPr>
        <w:pStyle w:val="BHead2"/>
      </w:pPr>
      <w:r>
        <w:t xml:space="preserve">2. Treatment of Income or Loss Attributable to Residual Interests in REMICs </w:t>
      </w:r>
    </w:p>
    <w:p w14:paraId="46EACDC7" w14:textId="77777777" w:rsidR="00494B49" w:rsidRDefault="00494B49">
      <w:pPr>
        <w:pStyle w:val="BNormal"/>
      </w:pPr>
      <w:r>
        <w:t>The 2012 Proposed Regulations did not explicitly address income and deductions related to residual interests in real estate mortgage investment conduits (REMICs).</w:t>
      </w:r>
      <w:r>
        <w:rPr>
          <w:rStyle w:val="FootnoteReference"/>
        </w:rPr>
        <w:footnoteReference w:id="454"/>
      </w:r>
      <w:r>
        <w:t xml:space="preserve"> A REMIC residual interest represents an equity-like interest in a REMIC. A REMIC is not treated as carrying on a trade or business for purposes of </w:t>
      </w:r>
      <w:smartTag w:uri="http://www.bna.com/sgml2word/cite" w:element="cite.usc">
        <w:smartTagPr>
          <w:attr w:name="ref" w:val="USC\26\162"/>
        </w:smartTagPr>
        <w:r>
          <w:t>§162</w:t>
        </w:r>
      </w:smartTag>
      <w:r>
        <w:t>;</w:t>
      </w:r>
      <w:r>
        <w:rPr>
          <w:rStyle w:val="FootnoteReference"/>
        </w:rPr>
        <w:footnoteReference w:id="455"/>
      </w:r>
      <w:r>
        <w:t xml:space="preserve"> its taxable income or net loss generally is derived from dispositions of qualified mortgages or permitted investments, interest income from the mortgages, and interest expense from the regular interests (treated as debt) issued by the REMIC.</w:t>
      </w:r>
      <w:r>
        <w:rPr>
          <w:rStyle w:val="FootnoteReference"/>
        </w:rPr>
        <w:footnoteReference w:id="456"/>
      </w:r>
    </w:p>
    <w:p w14:paraId="38E5341E" w14:textId="77777777" w:rsidR="00494B49" w:rsidRDefault="00494B49">
      <w:pPr>
        <w:pStyle w:val="BNormal"/>
      </w:pPr>
      <w:r>
        <w:t xml:space="preserve">Generally, </w:t>
      </w:r>
      <w:smartTag w:uri="http://www.bna.com/sgml2word/cite" w:element="cite.usc">
        <w:smartTagPr>
          <w:attr w:name="ref" w:val="USC\26\860C(a)(1)"/>
        </w:smartTagPr>
        <w:r>
          <w:t>§860C(a)(1)</w:t>
        </w:r>
      </w:smartTag>
      <w:r>
        <w:t xml:space="preserve"> requires the holder of a REMIC residual interest to take into account the daily portion of the REMIC’s taxable income or net loss. Furthermore, Reg. </w:t>
      </w:r>
      <w:smartTag w:uri="http://www.bna.com/sgml2word/cite" w:element="cite.cfr">
        <w:smartTagPr>
          <w:attr w:name="ref" w:val="cfr\26\1.469-2T(c)(3)(i)(A)"/>
        </w:smartTagPr>
        <w:r>
          <w:t>§1.469-2T(c)(3)(i)(A)</w:t>
        </w:r>
      </w:smartTag>
      <w:r>
        <w:t xml:space="preserve"> provides that income and loss from a REMIC is considered portfolio income for purposes of </w:t>
      </w:r>
      <w:smartTag w:uri="http://www.bna.com/sgml2word/cite" w:element="cite.usc">
        <w:smartTagPr>
          <w:attr w:name="ref" w:val="USC\26\469(e)(1)(A)"/>
        </w:smartTagPr>
        <w:r>
          <w:t>§469(e)(1)(A)</w:t>
        </w:r>
      </w:smartTag>
      <w:r>
        <w:t>.</w:t>
      </w:r>
      <w:r>
        <w:rPr>
          <w:rStyle w:val="FootnoteReference"/>
        </w:rPr>
        <w:footnoteReference w:id="457"/>
      </w:r>
    </w:p>
    <w:p w14:paraId="4C0D4128" w14:textId="77777777" w:rsidR="00494B49" w:rsidRDefault="00494B49">
      <w:pPr>
        <w:pStyle w:val="BNormal"/>
      </w:pPr>
      <w:r>
        <w:t xml:space="preserve">The 2013 Proposed Regulations provide that a holder of a residual interest in a REMIC takes into account the daily portion of taxable income (or net loss) under </w:t>
      </w:r>
      <w:smartTag w:uri="http://www.bna.com/sgml2word/cite" w:element="cite.usc">
        <w:smartTagPr>
          <w:attr w:name="ref" w:val="USC\26\860C"/>
        </w:smartTagPr>
        <w:r>
          <w:t>§860C</w:t>
        </w:r>
      </w:smartTag>
      <w:r>
        <w:t xml:space="preserve"> in determining net </w:t>
      </w:r>
      <w:r>
        <w:lastRenderedPageBreak/>
        <w:t>investment income.</w:t>
      </w:r>
      <w:r>
        <w:rPr>
          <w:rStyle w:val="FootnoteReference"/>
        </w:rPr>
        <w:footnoteReference w:id="458"/>
      </w:r>
      <w:r>
        <w:t xml:space="preserve"> The Treasury Department and the IRS reasoned that if a taxpayer directly held the underlying assets of the REMIC, the items of income, gain, loss and deductions attributable to those assets would be taken into account in computing net investment income.</w:t>
      </w:r>
      <w:r>
        <w:rPr>
          <w:rStyle w:val="FootnoteReference"/>
        </w:rPr>
        <w:footnoteReference w:id="459"/>
      </w:r>
    </w:p>
    <w:p w14:paraId="338988B4" w14:textId="77777777" w:rsidR="00494B49" w:rsidRDefault="00494B49">
      <w:pPr>
        <w:pStyle w:val="BNormal"/>
      </w:pPr>
      <w:r>
        <w:rPr>
          <w:i/>
        </w:rPr>
        <w:t>Comment:</w:t>
      </w:r>
      <w:r>
        <w:t xml:space="preserve"> The regular interest in a REMIC is treated as a debt instrument for purposes of Chapter 1,</w:t>
      </w:r>
      <w:r>
        <w:rPr>
          <w:rStyle w:val="FootnoteReference"/>
        </w:rPr>
        <w:footnoteReference w:id="460"/>
      </w:r>
      <w:r>
        <w:t xml:space="preserve"> and therefore the income attributable to such ownership interest is net investment income under </w:t>
      </w:r>
      <w:smartTag w:uri="http://www.bna.com/sgml2word/cite" w:element="cite.usc">
        <w:smartTagPr>
          <w:attr w:name="ref" w:val="USC\26\1411(c)(1)(A)(i)"/>
        </w:smartTagPr>
        <w:r>
          <w:t>§1411(c)(1)(A)(i)</w:t>
        </w:r>
      </w:smartTag>
      <w:r>
        <w:t>.</w:t>
      </w:r>
      <w:r>
        <w:rPr>
          <w:rStyle w:val="FootnoteReference"/>
        </w:rPr>
        <w:footnoteReference w:id="461"/>
      </w:r>
      <w:r>
        <w:t xml:space="preserve"> However, because residual interest is not specifically classified for Chapter 1 purposes, Prop. Reg. </w:t>
      </w:r>
      <w:smartTag w:uri="http://www.bna.com/sgml2word/cite" w:element="cite.cfr">
        <w:smartTagPr>
          <w:attr w:name="ref" w:val="prule\cfr\26\1.1411-4"/>
        </w:smartTagPr>
        <w:r>
          <w:t>§1.1411-4(g)(13)</w:t>
        </w:r>
      </w:smartTag>
      <w:r>
        <w:t xml:space="preserve"> was needed to address the ambiguity. </w:t>
      </w:r>
    </w:p>
    <w:p w14:paraId="3E4E2DD1" w14:textId="77777777" w:rsidR="00494B49" w:rsidRDefault="00494B49">
      <w:pPr>
        <w:pStyle w:val="BHead2"/>
      </w:pPr>
      <w:r>
        <w:t xml:space="preserve">3. Treatment of Participants in Common Trust Funds </w:t>
      </w:r>
    </w:p>
    <w:p w14:paraId="58408F41" w14:textId="77777777" w:rsidR="00494B49" w:rsidRDefault="00494B49">
      <w:pPr>
        <w:pStyle w:val="BNormal"/>
      </w:pPr>
      <w:r>
        <w:t xml:space="preserve">In general, </w:t>
      </w:r>
      <w:smartTag w:uri="http://www.bna.com/sgml2word/cite" w:element="cite.usc">
        <w:smartTagPr>
          <w:attr w:name="ref" w:val="USC\26\584(c)"/>
        </w:smartTagPr>
        <w:r>
          <w:t>§584(c)</w:t>
        </w:r>
      </w:smartTag>
      <w:r>
        <w:t xml:space="preserve"> provides that each participant in a common trust fund (CTF) must include in its taxable income, whether or not distributed, and whether or not distributable, its proportionate share of: (1) short-term capital gain or loss, (2) long-term capital gain or loss, and (3) ordinary taxable income or the ordinary net loss of the CTF. The flush language of </w:t>
      </w:r>
      <w:smartTag w:uri="http://www.bna.com/sgml2word/cite" w:element="cite.usc">
        <w:smartTagPr>
          <w:attr w:name="ref" w:val="USC\26\584(c)"/>
        </w:smartTagPr>
        <w:r>
          <w:t>§584(c)</w:t>
        </w:r>
      </w:smartTag>
      <w:r>
        <w:t xml:space="preserve"> further provides that “[t]he proportionate share of each participant in the amount of dividends received by the CTF and to which </w:t>
      </w:r>
      <w:smartTag w:uri="http://www.bna.com/sgml2word/cite" w:element="cite.usc">
        <w:smartTagPr>
          <w:attr w:name="ref" w:val="USC\26\1(h)(11)"/>
        </w:smartTagPr>
        <w:r>
          <w:t>§1(h)(11)</w:t>
        </w:r>
      </w:smartTag>
      <w:r>
        <w:t xml:space="preserve"> applies shall be considered for purposes of such paragraph as having been received by such participant.” </w:t>
      </w:r>
    </w:p>
    <w:p w14:paraId="3FC492C5" w14:textId="77777777" w:rsidR="00494B49" w:rsidRDefault="00494B49">
      <w:pPr>
        <w:pStyle w:val="BNormal"/>
      </w:pPr>
      <w:r>
        <w:t xml:space="preserve">Generally, </w:t>
      </w:r>
      <w:smartTag w:uri="http://www.bna.com/sgml2word/cite" w:element="cite.usc">
        <w:smartTagPr>
          <w:attr w:name="ref" w:val="USC\26\584(d)"/>
        </w:smartTagPr>
        <w:r>
          <w:t>§584(d)</w:t>
        </w:r>
      </w:smartTag>
      <w:r>
        <w:t xml:space="preserve"> provides, in relevant part, that “[t]he taxable income of a common trust fund shall be computed in the same manner and on the same basis as in the case of an individual, except … after excluding all items of gain and loss from sales or exchanges of capital assets, there shall be computed (A) an ordinary taxable income which shall consist of the excess of the gross income over deductions; or (B) an ordinary net loss which shall consist of the excess of the deductions over the gross income.”</w:t>
      </w:r>
    </w:p>
    <w:p w14:paraId="733F6774" w14:textId="77777777" w:rsidR="00494B49" w:rsidRDefault="00494B49">
      <w:pPr>
        <w:pStyle w:val="BNormal"/>
      </w:pPr>
      <w:r>
        <w:t xml:space="preserve">Because </w:t>
      </w:r>
      <w:smartTag w:uri="http://www.bna.com/sgml2word/cite" w:element="cite.usc">
        <w:smartTagPr>
          <w:attr w:name="ref" w:val="USC\26\584(c)(3)"/>
        </w:smartTagPr>
        <w:r>
          <w:t>§584(c)(3)</w:t>
        </w:r>
      </w:smartTag>
      <w:r>
        <w:t xml:space="preserve"> simply requires the participant to include in its income its share of “net ordinary income or loss,” the Treasury Department and the IRS had concerns that taxpayers may attempt to claim that </w:t>
      </w:r>
      <w:smartTag w:uri="http://www.bna.com/sgml2word/cite" w:element="cite.usc">
        <w:smartTagPr>
          <w:attr w:name="ref" w:val="USC\26\584(c)(3)"/>
        </w:smartTagPr>
        <w:r>
          <w:t>§584(c)(3)</w:t>
        </w:r>
      </w:smartTag>
      <w:r>
        <w:t xml:space="preserve"> ordinary income or loss inclusions are not explicitly net investment income, and therefore escape taxation. The potential use of CTFs to cleanse net investment income appeared to be similar to the use of CTFs to cleanse unrelated business taxable income in the 1970s. Congress designed the CTF regime in the 1930s. When Congress enacted the unrelated business income tax (UBIT) regime in 1969, but failed to amend the CTF provisions to take into account the new UBIT tax system, the Treasury Department and the IRS did it administratively. As a result, Reg. </w:t>
      </w:r>
      <w:smartTag w:uri="http://www.bna.com/sgml2word/cite" w:element="cite.cfr">
        <w:smartTagPr>
          <w:attr w:name="ref" w:val="cfr\26\1.584-2(c)(3)"/>
        </w:smartTagPr>
        <w:r>
          <w:t>§1.584-2(c)(3)</w:t>
        </w:r>
      </w:smartTag>
      <w:r>
        <w:t xml:space="preserve"> provides, in relevant part, that “any amount of income or loss of the common trust fund which is included in the computation of a participant’s taxable income for the tax year shall be treated as income or loss from an unrelated trade or business to the extent that such amount would have been income or loss from an unrelated trade or business if such participant had made directly the investments of the common trust fund.”</w:t>
      </w:r>
      <w:r>
        <w:rPr>
          <w:rStyle w:val="FootnoteReference"/>
        </w:rPr>
        <w:footnoteReference w:id="462"/>
      </w:r>
    </w:p>
    <w:p w14:paraId="6270CFD0" w14:textId="77777777" w:rsidR="00494B49" w:rsidRDefault="00494B49">
      <w:pPr>
        <w:pStyle w:val="BNormal"/>
      </w:pPr>
      <w:r>
        <w:lastRenderedPageBreak/>
        <w:t xml:space="preserve">The ability of taxpayers to use CTFs to cleanse net investment income in a similar fashion appears to be an analogous situation 40 years later, when Congress created the net investment income tax but failed to amend the CTF provisions to take it into account. As a result, Prop. Reg. </w:t>
      </w:r>
      <w:smartTag w:uri="http://www.bna.com/sgml2word/cite" w:element="cite.cfr">
        <w:smartTagPr>
          <w:attr w:name="ref" w:val="prule\cfr\26\1.1411-4(e)(3)"/>
        </w:smartTagPr>
        <w:r>
          <w:t>§1.1411-4(e)(3)</w:t>
        </w:r>
      </w:smartTag>
      <w:r>
        <w:t xml:space="preserve"> includes a rule, modeled closely after Reg. </w:t>
      </w:r>
      <w:smartTag w:uri="http://www.bna.com/sgml2word/cite" w:element="cite.cfr">
        <w:smartTagPr>
          <w:attr w:name="ref" w:val="cfr\26\1.584-2(c)(3)"/>
        </w:smartTagPr>
        <w:r>
          <w:t>§1.584-2(c)(3)</w:t>
        </w:r>
      </w:smartTag>
      <w:r>
        <w:t>, providing that income or loss from a CTF is net investment income or a net investment deduction to the extent that such amount would have been net investment income or a net investment deduction if the participant had invested in the CTF’s assets directly.</w:t>
      </w:r>
    </w:p>
    <w:p w14:paraId="1CE15660" w14:textId="77777777" w:rsidR="00494B49" w:rsidRDefault="00494B49">
      <w:pPr>
        <w:pStyle w:val="BHead2"/>
      </w:pPr>
      <w:r>
        <w:t xml:space="preserve">4. Treatment of §707(c) Guaranteed Payments </w:t>
      </w:r>
    </w:p>
    <w:p w14:paraId="0BBB655D" w14:textId="77777777" w:rsidR="00494B49" w:rsidRDefault="00494B49">
      <w:pPr>
        <w:pStyle w:val="BHead3"/>
      </w:pPr>
      <w:r>
        <w:t>a. Subchapter K Treatment</w:t>
      </w:r>
    </w:p>
    <w:p w14:paraId="2F2C5503" w14:textId="77777777" w:rsidR="00494B49" w:rsidRDefault="00494B49">
      <w:pPr>
        <w:pStyle w:val="BNormal"/>
      </w:pPr>
      <w:r>
        <w:t xml:space="preserve">Generally, </w:t>
      </w:r>
      <w:smartTag w:uri="http://www.bna.com/sgml2word/cite" w:element="cite.usc">
        <w:smartTagPr>
          <w:attr w:name="ref" w:val="USC\26\707(c)"/>
        </w:smartTagPr>
        <w:r>
          <w:t>§707(c)</w:t>
        </w:r>
      </w:smartTag>
      <w:r>
        <w:t xml:space="preserve"> provides that a partnership payment to a partner is a “guaranteed payment” if the payment is made for services or the use of the capital, and the payment amount does not depend on partnership income. For a detailed discussion of guaranteed payments,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p w14:paraId="52C61EB8" w14:textId="77777777" w:rsidR="00494B49" w:rsidRDefault="00494B49">
      <w:pPr>
        <w:pStyle w:val="BNormal"/>
      </w:pPr>
      <w:r>
        <w:t xml:space="preserve">In general, guaranteed payments to a partner for services are considered as made to a person who is not a partner, but only for the purposes of </w:t>
      </w:r>
      <w:smartTag w:uri="http://www.bna.com/sgml2word/cite" w:element="cite.usc">
        <w:smartTagPr>
          <w:attr w:name="ref" w:val="USC\26\61(a)"/>
        </w:smartTagPr>
        <w:r>
          <w:t>§61(a)</w:t>
        </w:r>
      </w:smartTag>
      <w:r>
        <w:t xml:space="preserve"> and (subject to </w:t>
      </w:r>
      <w:smartTag w:uri="http://www.bna.com/sgml2word/cite" w:element="cite.usc">
        <w:smartTagPr>
          <w:attr w:name="ref" w:val="USC\26\263"/>
        </w:smartTagPr>
        <w:r>
          <w:t>§263</w:t>
        </w:r>
      </w:smartTag>
      <w:r>
        <w:t xml:space="preserve">) </w:t>
      </w:r>
      <w:smartTag w:uri="http://www.bna.com/sgml2word/cite" w:element="cite.usc">
        <w:smartTagPr>
          <w:attr w:name="ref" w:val="USC\26\162(a)"/>
        </w:smartTagPr>
        <w:r>
          <w:t>§162(a)</w:t>
        </w:r>
      </w:smartTag>
      <w:r>
        <w:t>.</w:t>
      </w:r>
      <w:r>
        <w:rPr>
          <w:rStyle w:val="FootnoteReference"/>
        </w:rPr>
        <w:footnoteReference w:id="463"/>
      </w:r>
      <w:r>
        <w:t xml:space="preserve"> Therefore, </w:t>
      </w:r>
      <w:smartTag w:uri="http://www.bna.com/sgml2word/cite" w:element="cite.usc">
        <w:smartTagPr>
          <w:attr w:name="ref" w:val="USC\26\707(c)"/>
        </w:smartTagPr>
        <w:r>
          <w:t>§707(c)</w:t>
        </w:r>
      </w:smartTag>
      <w:r>
        <w:t xml:space="preserve"> provides that these payments, though often computed like interest, are deductible under </w:t>
      </w:r>
      <w:smartTag w:uri="http://www.bna.com/sgml2word/cite" w:element="cite.usc">
        <w:smartTagPr>
          <w:attr w:name="ref" w:val="USC\26\162(a)"/>
        </w:smartTagPr>
        <w:r>
          <w:t>§162(a)</w:t>
        </w:r>
      </w:smartTag>
      <w:r>
        <w:t xml:space="preserve">, and not under </w:t>
      </w:r>
      <w:smartTag w:uri="http://www.bna.com/sgml2word/cite" w:element="cite.usc">
        <w:smartTagPr>
          <w:attr w:name="ref" w:val="USC\26\163"/>
        </w:smartTagPr>
        <w:r>
          <w:t>§163</w:t>
        </w:r>
      </w:smartTag>
      <w:r>
        <w:t xml:space="preserve"> as interest paid or accrued. Guaranteed payments do not constitute an interest in partnership profits for purposes of </w:t>
      </w:r>
      <w:smartTag w:uri="http://www.bna.com/sgml2word/cite" w:element="cite.usc">
        <w:smartTagPr>
          <w:attr w:name="ref" w:val="USC\26\706(b)(3)"/>
        </w:smartTagPr>
        <w:r>
          <w:t>§706(b)(3)</w:t>
        </w:r>
      </w:smartTag>
      <w:r>
        <w:t xml:space="preserve">, </w:t>
      </w:r>
      <w:smartTag w:uri="http://www.bna.com/sgml2word/cite" w:element="cite.usc">
        <w:smartTagPr>
          <w:attr w:name="ref" w:val="USC\26\877A"/>
        </w:smartTagPr>
        <w:r>
          <w:t>§877A</w:t>
        </w:r>
      </w:smartTag>
      <w:r>
        <w:t xml:space="preserve">, </w:t>
      </w:r>
      <w:smartTag w:uri="http://www.bna.com/sgml2word/cite" w:element="cite.usc">
        <w:smartTagPr>
          <w:attr w:name="ref" w:val="USC\26\707(b)"/>
        </w:smartTagPr>
        <w:r>
          <w:t>§707(b)</w:t>
        </w:r>
      </w:smartTag>
      <w:r>
        <w:t xml:space="preserve"> and </w:t>
      </w:r>
      <w:smartTag w:uri="http://www.bna.com/sgml2word/cite" w:element="cite.usc">
        <w:smartTagPr>
          <w:attr w:name="ref" w:val="USC\26\708(b)"/>
        </w:smartTagPr>
        <w:r>
          <w:t>§708(b)</w:t>
        </w:r>
      </w:smartTag>
      <w:r>
        <w:t>. For the purposes of other provisions of the internal revenue laws, guaranteed payments are regarded as a partner’s distributive share of ordinary income.”</w:t>
      </w:r>
      <w:r>
        <w:rPr>
          <w:rStyle w:val="FootnoteReference"/>
        </w:rPr>
        <w:footnoteReference w:id="464"/>
      </w:r>
      <w:r>
        <w:t xml:space="preserve"> Additionally, Reg. </w:t>
      </w:r>
      <w:smartTag w:uri="http://www.bna.com/sgml2word/cite" w:element="cite.cfr">
        <w:smartTagPr>
          <w:attr w:name="ref" w:val="cfr\26\1.704-1(b)(2)(iv)(o)"/>
        </w:smartTagPr>
        <w:r>
          <w:t>§1.704-1(b)(2)(iv)(o)</w:t>
        </w:r>
      </w:smartTag>
      <w:r>
        <w:t xml:space="preserve"> provides that guaranteed payments are not part of a partner’s distributive share for purposes of </w:t>
      </w:r>
      <w:smartTag w:uri="http://www.bna.com/sgml2word/cite" w:element="cite.usc">
        <w:smartTagPr>
          <w:attr w:name="ref" w:val="USC\26\704(b)"/>
        </w:smartTagPr>
        <w:r>
          <w:t>§704(b)</w:t>
        </w:r>
      </w:smartTag>
      <w:r>
        <w:t xml:space="preserve">. </w:t>
      </w:r>
    </w:p>
    <w:p w14:paraId="15954F64" w14:textId="77777777" w:rsidR="00494B49" w:rsidRDefault="00494B49">
      <w:pPr>
        <w:pStyle w:val="BNormal"/>
      </w:pPr>
      <w:r>
        <w:lastRenderedPageBreak/>
        <w:t xml:space="preserve">On the partner/recipient side, it is not clear from </w:t>
      </w:r>
      <w:smartTag w:uri="http://www.bna.com/sgml2word/cite" w:element="cite.usc">
        <w:smartTagPr>
          <w:attr w:name="ref" w:val="USC\26\707(c)"/>
        </w:smartTagPr>
        <w:r>
          <w:t>§707(c)</w:t>
        </w:r>
      </w:smartTag>
      <w:r>
        <w:t xml:space="preserve"> if guaranteed payments for the use of capital are treated as “interest” for purposes of other Code provisions. In two General Counsel Memorandums from the 1970s, the IRS concluded that </w:t>
      </w:r>
      <w:smartTag w:uri="http://www.bna.com/sgml2word/cite" w:element="cite.usc">
        <w:smartTagPr>
          <w:attr w:name="ref" w:val="USC\26\707(c)"/>
        </w:smartTagPr>
        <w:r>
          <w:t>§707(c)</w:t>
        </w:r>
      </w:smartTag>
      <w:r>
        <w:t xml:space="preserve"> payments for use of capital should generally be treated as interest by the recipient, but not the payor.</w:t>
      </w:r>
      <w:r>
        <w:rPr>
          <w:rStyle w:val="FootnoteReference"/>
        </w:rPr>
        <w:footnoteReference w:id="465"/>
      </w:r>
    </w:p>
    <w:p w14:paraId="1C135AF0" w14:textId="77777777" w:rsidR="00494B49" w:rsidRDefault="00494B49">
      <w:pPr>
        <w:pStyle w:val="BHead3"/>
      </w:pPr>
      <w:r>
        <w:t>b. Passive Loss Treatment</w:t>
      </w:r>
    </w:p>
    <w:p w14:paraId="2D947817" w14:textId="77777777" w:rsidR="00494B49" w:rsidRDefault="00494B49">
      <w:pPr>
        <w:pStyle w:val="BNormal"/>
      </w:pPr>
      <w:r>
        <w:t>The passive loss rules have several rules regarding guaranteed payments.</w:t>
      </w:r>
      <w:r>
        <w:rPr>
          <w:rStyle w:val="FootnoteReference"/>
        </w:rPr>
        <w:footnoteReference w:id="466"/>
      </w:r>
      <w:r>
        <w:t xml:space="preserve"> In general, Reg. </w:t>
      </w:r>
      <w:smartTag w:uri="http://www.bna.com/sgml2word/cite" w:element="cite.cfr">
        <w:smartTagPr>
          <w:attr w:name="ref" w:val="cfr\26\1.469-2(e)(2)(ii)"/>
        </w:smartTagPr>
        <w:r>
          <w:t>§1.469-2(e)(2)(ii)</w:t>
        </w:r>
      </w:smartTag>
      <w:r>
        <w:t xml:space="preserve"> provides that any payment to a partner for services or the use of capital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 In other words, a </w:t>
      </w:r>
      <w:smartTag w:uri="http://www.bna.com/sgml2word/cite" w:element="cite.usc">
        <w:smartTagPr>
          <w:attr w:name="ref" w:val="USC\26\707(c)"/>
        </w:smartTagPr>
        <w:r>
          <w:t>§707(c)</w:t>
        </w:r>
      </w:smartTag>
      <w:r>
        <w:t xml:space="preserve"> payment can only be one of two things — either payment for services or interest income.</w:t>
      </w:r>
      <w:r>
        <w:rPr>
          <w:rStyle w:val="FootnoteReference"/>
        </w:rPr>
        <w:footnoteReference w:id="467"/>
      </w:r>
      <w:r>
        <w:t xml:space="preserve"> In addition, if a taxpayer provides property for use in an activity conducted by a partnership, S corporation, or joint venture in which the taxpayer owns an interest that is not treated as a rental activity under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provides that a partner’s gross income attributable to a payment described in </w:t>
      </w:r>
      <w:smartTag w:uri="http://www.bna.com/sgml2word/cite" w:element="cite.usc">
        <w:smartTagPr>
          <w:attr w:name="ref" w:val="USC\26\707(c)"/>
        </w:smartTagPr>
        <w:r>
          <w:t>§707(c)</w:t>
        </w:r>
      </w:smartTag>
      <w:r>
        <w:t xml:space="preserve"> is not income from a rental activity under any circumstances (even though it may be intuitively considered payments in exchange for property).</w:t>
      </w:r>
    </w:p>
    <w:p w14:paraId="33CFC819" w14:textId="77777777" w:rsidR="00494B49" w:rsidRDefault="00494B49">
      <w:pPr>
        <w:pStyle w:val="BHead3"/>
      </w:pPr>
      <w:r>
        <w:t>c. NIIT Treatment</w:t>
      </w:r>
    </w:p>
    <w:p w14:paraId="453C3455" w14:textId="77777777" w:rsidR="00494B49" w:rsidRDefault="00494B49">
      <w:pPr>
        <w:pStyle w:val="BNormal"/>
      </w:pPr>
      <w:r>
        <w:t xml:space="preserve">Following the passive loss characterization of </w:t>
      </w:r>
      <w:smartTag w:uri="http://www.bna.com/sgml2word/cite" w:element="cite.usc">
        <w:smartTagPr>
          <w:attr w:name="ref" w:val="USC\26\707(c)"/>
        </w:smartTagPr>
        <w:r>
          <w:t>§707(c)</w:t>
        </w:r>
      </w:smartTag>
      <w:r>
        <w:t xml:space="preserve"> guaranteed payments, Prop. Reg. </w:t>
      </w:r>
      <w:smartTag w:uri="http://www.bna.com/sgml2word/cite" w:element="cite.cfr">
        <w:smartTagPr>
          <w:attr w:name="ref" w:val="prule\cfr\26\1.1411-4(g)(10)"/>
        </w:smartTagPr>
        <w:r>
          <w:t>§1.1411-4(g)(10)</w:t>
        </w:r>
      </w:smartTag>
      <w:r>
        <w:t xml:space="preserve"> turns on whether the partner receives the payment for services or the use of capital.</w:t>
      </w:r>
      <w:r>
        <w:rPr>
          <w:rStyle w:val="FootnoteReference"/>
        </w:rPr>
        <w:footnoteReference w:id="468"/>
      </w:r>
      <w:r>
        <w:t xml:space="preserve"> The 2013 Proposed Regulations exclude all </w:t>
      </w:r>
      <w:smartTag w:uri="http://www.bna.com/sgml2word/cite" w:element="cite.usc">
        <w:smartTagPr>
          <w:attr w:name="ref" w:val="USC\26\707(c)"/>
        </w:smartTagPr>
        <w:r>
          <w:t>§707(c)</w:t>
        </w:r>
      </w:smartTag>
      <w:r>
        <w:t xml:space="preserve"> guaranteed payments received for services from net investment income, regardless of whether these payments are subject to self-employment tax, because payments for services are not included in net investment income.</w:t>
      </w:r>
      <w:r>
        <w:rPr>
          <w:rStyle w:val="FootnoteReference"/>
        </w:rPr>
        <w:footnoteReference w:id="469"/>
      </w:r>
      <w:r>
        <w:t xml:space="preserve"> However, because guaranteed payments for the use of capital share many of the characteristics of substitute interest, the 2013 Proposed Regulations include this income in net investment income.</w:t>
      </w:r>
      <w:r>
        <w:rPr>
          <w:rStyle w:val="FootnoteReference"/>
        </w:rPr>
        <w:footnoteReference w:id="470"/>
      </w:r>
    </w:p>
    <w:p w14:paraId="31B08522" w14:textId="77777777" w:rsidR="00494B49" w:rsidRDefault="00494B49">
      <w:pPr>
        <w:pStyle w:val="BHead2"/>
      </w:pPr>
      <w:r>
        <w:t xml:space="preserve">5. Treatment of §736 Payments </w:t>
      </w:r>
    </w:p>
    <w:p w14:paraId="5BF0448A" w14:textId="77777777" w:rsidR="00494B49" w:rsidRDefault="00494B49">
      <w:pPr>
        <w:pStyle w:val="BNormal"/>
      </w:pPr>
      <w:r>
        <w:t xml:space="preserve">The 2012 Proposed Regulations did not address the treatment of payments to retired or deceased partners described in </w:t>
      </w:r>
      <w:smartTag w:uri="http://www.bna.com/sgml2word/cite" w:element="cite.usc">
        <w:smartTagPr>
          <w:attr w:name="ref" w:val="USC\26\736"/>
        </w:smartTagPr>
        <w:r>
          <w:t>§736</w:t>
        </w:r>
      </w:smartTag>
      <w:r>
        <w:t>. In comment letters written in response to the 2012 Proposed Regulations, several professional organizations suggested that the Treasury Department and the IRS addressed these payments. They are addressed in the 2013 Proposed Regulations.</w:t>
      </w:r>
      <w:r>
        <w:rPr>
          <w:rStyle w:val="FootnoteReference"/>
        </w:rPr>
        <w:footnoteReference w:id="471"/>
      </w:r>
    </w:p>
    <w:p w14:paraId="2B823E25" w14:textId="77777777" w:rsidR="00494B49" w:rsidRDefault="00494B49">
      <w:pPr>
        <w:pStyle w:val="BHead3"/>
      </w:pPr>
      <w:r>
        <w:lastRenderedPageBreak/>
        <w:t>a. Subchapter K Treatment</w:t>
      </w:r>
    </w:p>
    <w:p w14:paraId="3E96ED61" w14:textId="77777777" w:rsidR="00494B49" w:rsidRDefault="00494B49">
      <w:pPr>
        <w:pStyle w:val="BNormal"/>
      </w:pPr>
      <w:r>
        <w:t xml:space="preserve">In general, </w:t>
      </w:r>
      <w:smartTag w:uri="http://www.bna.com/sgml2word/cite" w:element="cite.usc">
        <w:smartTagPr>
          <w:attr w:name="ref" w:val="USC\26\736"/>
        </w:smartTagPr>
        <w:r>
          <w:t>§736</w:t>
        </w:r>
      </w:smartTag>
      <w:r>
        <w:t xml:space="preserve"> applies only to payments a partnership makes to a retired partner</w:t>
      </w:r>
      <w:r>
        <w:rPr>
          <w:rStyle w:val="FootnoteReference"/>
        </w:rPr>
        <w:footnoteReference w:id="472"/>
      </w:r>
      <w:r>
        <w:t xml:space="preserve"> or to a deceased partner’s successor-in-interest in liquidation of its entire interest in the partnership.</w:t>
      </w:r>
      <w:r>
        <w:rPr>
          <w:rStyle w:val="FootnoteReference"/>
        </w:rPr>
        <w:footnoteReference w:id="473"/>
      </w:r>
      <w:r>
        <w:t xml:space="preserve"> For a detailed discussion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It logically follows that </w:t>
      </w:r>
      <w:smartTag w:uri="http://www.bna.com/sgml2word/cite" w:element="cite.usc">
        <w:smartTagPr>
          <w:attr w:name="ref" w:val="USC\26\736"/>
        </w:smartTagPr>
        <w:r>
          <w:t>§736</w:t>
        </w:r>
      </w:smartTag>
      <w:r>
        <w:t xml:space="preserve"> does not apply to distributions made to a continuing partner, nor does it apply to distributions in the course of the liquidation of the partnership, as distinguished from the liquidation of a single partner’s interest. Furthermore, </w:t>
      </w:r>
      <w:smartTag w:uri="http://www.bna.com/sgml2word/cite" w:element="cite.usc">
        <w:smartTagPr>
          <w:attr w:name="ref" w:val="USC\26\736"/>
        </w:smartTagPr>
        <w:r>
          <w:t>§736</w:t>
        </w:r>
      </w:smartTag>
      <w:r>
        <w:t xml:space="preserve"> does not apply to payments received in consideration of the sale or exchange (i.e., a cross-purchase by other partners), as opposed to the liquidation, of a retired or deceased partner’s interest.</w:t>
      </w:r>
    </w:p>
    <w:p w14:paraId="3F1D7735" w14:textId="77777777" w:rsidR="00494B49" w:rsidRDefault="00494B49">
      <w:pPr>
        <w:pStyle w:val="BNormal"/>
      </w:pPr>
      <w:r>
        <w:t xml:space="preserve">In general, under Reg. </w:t>
      </w:r>
      <w:smartTag w:uri="http://www.bna.com/sgml2word/cite" w:element="cite.cfr">
        <w:smartTagPr>
          <w:attr w:name="ref" w:val="cfr\26\1.761-1(d)"/>
        </w:smartTagPr>
        <w:r>
          <w:t>§1.761-1(d)</w:t>
        </w:r>
      </w:smartTag>
      <w:r>
        <w:t xml:space="preserve">, the term “liquidation of a partner’s interest” means the termination of a partner’s entire interest in the partnership by means of a distribution (or a series of distributions) the partnership makes to the partner. Therefore, a retired partner is treated as a continuing partner until the liquidation process is complete. </w:t>
      </w:r>
    </w:p>
    <w:p w14:paraId="68730557" w14:textId="77777777" w:rsidR="00494B49" w:rsidRDefault="00494B49">
      <w:pPr>
        <w:pStyle w:val="BNormal"/>
      </w:pPr>
      <w:r>
        <w:t xml:space="preserve">Structurally, </w:t>
      </w:r>
      <w:smartTag w:uri="http://www.bna.com/sgml2word/cite" w:element="cite.usc">
        <w:smartTagPr>
          <w:attr w:name="ref" w:val="USC\26\736"/>
        </w:smartTagPr>
        <w:r>
          <w:t>§736</w:t>
        </w:r>
      </w:smartTag>
      <w:r>
        <w:t xml:space="preserve"> separates payments in liquidation of a partner’s interest into two categories — “</w:t>
      </w:r>
      <w:smartTag w:uri="http://www.bna.com/sgml2word/cite" w:element="cite.usc">
        <w:smartTagPr>
          <w:attr w:name="ref" w:val="USC\26\736(a)"/>
        </w:smartTagPr>
        <w:r>
          <w:t>§736(a)</w:t>
        </w:r>
      </w:smartTag>
      <w:r>
        <w:t xml:space="preserve"> Payments” and “</w:t>
      </w:r>
      <w:smartTag w:uri="http://www.bna.com/sgml2word/cite" w:element="cite.usc">
        <w:smartTagPr>
          <w:attr w:name="ref" w:val="USC\26\736(b)"/>
        </w:smartTagPr>
        <w:r>
          <w:t>736(b)</w:t>
        </w:r>
      </w:smartTag>
      <w:r>
        <w:t xml:space="preserve"> Payments.” In this context, </w:t>
      </w:r>
      <w:smartTag w:uri="http://www.bna.com/sgml2word/cite" w:element="cite.usc">
        <w:smartTagPr>
          <w:attr w:name="ref" w:val="USC\26\736(b)"/>
        </w:smartTagPr>
        <w:r>
          <w:t>736(b)</w:t>
        </w:r>
      </w:smartTag>
      <w:r>
        <w:t xml:space="preserve"> Payments are payments for the partner’s interest in partnership property; </w:t>
      </w:r>
      <w:smartTag w:uri="http://www.bna.com/sgml2word/cite" w:element="cite.usc">
        <w:smartTagPr>
          <w:attr w:name="ref" w:val="USC\26\736(a)"/>
        </w:smartTagPr>
        <w:r>
          <w:t>736(a)</w:t>
        </w:r>
      </w:smartTag>
      <w:r>
        <w:t xml:space="preserve"> Payments include all other payments that are not </w:t>
      </w:r>
      <w:smartTag w:uri="http://www.bna.com/sgml2word/cite" w:element="cite.usc">
        <w:smartTagPr>
          <w:attr w:name="ref" w:val="USC\26\736(b)"/>
        </w:smartTagPr>
        <w:r>
          <w:t>736(b)</w:t>
        </w:r>
      </w:smartTag>
      <w:r>
        <w:t xml:space="preserve"> Payments. </w:t>
      </w:r>
    </w:p>
    <w:p w14:paraId="1FA0D9B0" w14:textId="77777777" w:rsidR="00494B49" w:rsidRDefault="00494B49">
      <w:pPr>
        <w:pStyle w:val="BHead4"/>
      </w:pPr>
      <w:r>
        <w:t>(1) Section 736(b) Payments</w:t>
      </w:r>
    </w:p>
    <w:p w14:paraId="78CBEACF" w14:textId="77777777" w:rsidR="00494B49" w:rsidRDefault="00494B49">
      <w:pPr>
        <w:pStyle w:val="BNormal"/>
      </w:pPr>
      <w:r>
        <w:t xml:space="preserve">For purposes of applying </w:t>
      </w:r>
      <w:smartTag w:uri="http://www.bna.com/sgml2word/cite" w:element="cite.usc">
        <w:smartTagPr>
          <w:attr w:name="ref" w:val="USC\26\736(b)"/>
        </w:smartTagPr>
        <w:r>
          <w:t>§736(b)</w:t>
        </w:r>
      </w:smartTag>
      <w:r>
        <w:t>, a retired partner’s interest in partnership property is valued at its gross value because a partner whose interest is liquidated is treated as receiving a constructive cash distribution equal to his pre-liquidation share of partnership liabilities.</w:t>
      </w:r>
      <w:r>
        <w:rPr>
          <w:rStyle w:val="FootnoteReference"/>
        </w:rPr>
        <w:footnoteReference w:id="474"/>
      </w:r>
      <w:r>
        <w:t xml:space="preserve"> The timing of the recognition of gain or loss with respect to 736(b) Payments that are paid over multiple years is determined under </w:t>
      </w:r>
      <w:smartTag w:uri="http://www.bna.com/sgml2word/cite" w:element="cite.usc">
        <w:smartTagPr>
          <w:attr w:name="ref" w:val="USC\26\731"/>
        </w:smartTagPr>
        <w:r>
          <w:t>§731</w:t>
        </w:r>
      </w:smartTag>
      <w:r>
        <w:t xml:space="preserve">, which generally defers the reporting of gain until the partner’s entire basis has been recovered. However, Reg. </w:t>
      </w:r>
      <w:smartTag w:uri="http://www.bna.com/sgml2word/cite" w:element="cite.cfr">
        <w:smartTagPr>
          <w:attr w:name="ref" w:val="cfr\26\1.736-1(b)(6)"/>
        </w:smartTagPr>
        <w:r>
          <w:t>§1.736-1(b)(6)</w:t>
        </w:r>
      </w:smartTag>
      <w:r>
        <w:t xml:space="preserve"> provides that if the total amount of </w:t>
      </w:r>
      <w:smartTag w:uri="http://www.bna.com/sgml2word/cite" w:element="cite.usc">
        <w:smartTagPr>
          <w:attr w:name="ref" w:val="USC\26\736(b)"/>
        </w:smartTagPr>
        <w:r>
          <w:t>§736(b)</w:t>
        </w:r>
      </w:smartTag>
      <w:r>
        <w:t xml:space="preserve"> installment payments is fixed, a retired partner may elect to apportion a part of the total gain or loss under </w:t>
      </w:r>
      <w:smartTag w:uri="http://www.bna.com/sgml2word/cite" w:element="cite.usc">
        <w:smartTagPr>
          <w:attr w:name="ref" w:val="USC\26\736(b)"/>
        </w:smartTagPr>
        <w:r>
          <w:t>§736(b)</w:t>
        </w:r>
      </w:smartTag>
      <w:r>
        <w:t xml:space="preserve"> among the installment payments by allocating to each installment that portion of the basis of the liquidated partnership interest that bears the same ratio to his total basis as the amount of the installment bears to the total amount payable under </w:t>
      </w:r>
      <w:smartTag w:uri="http://www.bna.com/sgml2word/cite" w:element="cite.usc">
        <w:smartTagPr>
          <w:attr w:name="ref" w:val="USC\26\736(b)"/>
        </w:smartTagPr>
        <w:r>
          <w:t>§736(b)</w:t>
        </w:r>
      </w:smartTag>
      <w:r>
        <w:t>.</w:t>
      </w:r>
      <w:r>
        <w:rPr>
          <w:rStyle w:val="FootnoteReference"/>
        </w:rPr>
        <w:footnoteReference w:id="475"/>
      </w:r>
    </w:p>
    <w:p w14:paraId="41FBF80B" w14:textId="77777777" w:rsidR="00494B49" w:rsidRDefault="00494B49">
      <w:pPr>
        <w:pStyle w:val="BHead4"/>
      </w:pPr>
      <w:r>
        <w:t>(2) Section 736(a) Payments</w:t>
      </w:r>
    </w:p>
    <w:p w14:paraId="7A6786C0" w14:textId="77777777" w:rsidR="00494B49" w:rsidRDefault="00494B49">
      <w:pPr>
        <w:pStyle w:val="BNormal"/>
      </w:pPr>
      <w:smartTag w:uri="http://www.bna.com/sgml2word/cite" w:element="cite.usc">
        <w:smartTagPr>
          <w:attr w:name="ref" w:val="USC\26\736(a)"/>
        </w:smartTagPr>
        <w:r>
          <w:t>Section 736(a)</w:t>
        </w:r>
      </w:smartTag>
      <w:r>
        <w:t xml:space="preserve"> Payments are subdivided into two categories: (1) those determined “with regard to the income of the partnership,” which are treated under </w:t>
      </w:r>
      <w:smartTag w:uri="http://www.bna.com/sgml2word/cite" w:element="cite.usc">
        <w:smartTagPr>
          <w:attr w:name="ref" w:val="USC\26\736(a)(1)"/>
        </w:smartTagPr>
        <w:r>
          <w:t>§736(a)(1)</w:t>
        </w:r>
      </w:smartTag>
      <w:r>
        <w:t xml:space="preserve"> as a distributive share of partnership income; and (2) those determined without regard to the income of the partnership, which are treated under </w:t>
      </w:r>
      <w:smartTag w:uri="http://www.bna.com/sgml2word/cite" w:element="cite.usc">
        <w:smartTagPr>
          <w:attr w:name="ref" w:val="USC\26\736(a)(2)"/>
        </w:smartTagPr>
        <w:r>
          <w:t>§736(a)(2)</w:t>
        </w:r>
      </w:smartTag>
      <w:r>
        <w:t xml:space="preserve"> as </w:t>
      </w:r>
      <w:smartTag w:uri="http://www.bna.com/sgml2word/cite" w:element="cite.usc">
        <w:smartTagPr>
          <w:attr w:name="ref" w:val="USC\26\707(c)"/>
        </w:smartTagPr>
        <w:r>
          <w:t>§707(c)</w:t>
        </w:r>
      </w:smartTag>
      <w:r>
        <w:t xml:space="preserve"> “guaranteed payments.”</w:t>
      </w:r>
    </w:p>
    <w:p w14:paraId="70A95BE6" w14:textId="77777777" w:rsidR="00494B49" w:rsidRDefault="00494B49">
      <w:pPr>
        <w:pStyle w:val="BNormal"/>
      </w:pPr>
      <w:r>
        <w:lastRenderedPageBreak/>
        <w:t xml:space="preserve">Generally, 736(a) Payments that are based on partnership income are classified as distributive share of partnership income under </w:t>
      </w:r>
      <w:smartTag w:uri="http://www.bna.com/sgml2word/cite" w:element="cite.usc">
        <w:smartTagPr>
          <w:attr w:name="ref" w:val="USC\26\736(a)(1)"/>
        </w:smartTagPr>
        <w:r>
          <w:t>§736(a)(1)</w:t>
        </w:r>
      </w:smartTag>
      <w:r>
        <w:t>. In this instance, the partner’s basis in its partnership interest increases upon the allocation of partnership income and decreases upon the subsequent distribution of cash.</w:t>
      </w:r>
      <w:r>
        <w:rPr>
          <w:rStyle w:val="FootnoteReference"/>
        </w:rPr>
        <w:footnoteReference w:id="476"/>
      </w:r>
      <w:r>
        <w:t xml:space="preserve"> Section 736(a) Payments determined without regard to partnership income are classified as </w:t>
      </w:r>
      <w:smartTag w:uri="http://www.bna.com/sgml2word/cite" w:element="cite.usc">
        <w:smartTagPr>
          <w:attr w:name="ref" w:val="USC\26\707(c)"/>
        </w:smartTagPr>
        <w:r>
          <w:t>§707(c)</w:t>
        </w:r>
      </w:smartTag>
      <w:r>
        <w:t xml:space="preserve"> guaranteed payments. Guaranteed payments do not affect the recipient partner’s capital account or tax basis. </w:t>
      </w:r>
    </w:p>
    <w:p w14:paraId="2C3772FA" w14:textId="77777777" w:rsidR="00494B49" w:rsidRDefault="00494B49">
      <w:pPr>
        <w:pStyle w:val="BNormal"/>
      </w:pPr>
      <w:r>
        <w:t>In the case of payments to a general partner in a service partnership,</w:t>
      </w:r>
      <w:r>
        <w:rPr>
          <w:rStyle w:val="FootnoteReference"/>
        </w:rPr>
        <w:footnoteReference w:id="477"/>
      </w:r>
      <w:r>
        <w:t xml:space="preserve"> </w:t>
      </w:r>
      <w:smartTag w:uri="http://www.bna.com/sgml2word/cite" w:element="cite.usc">
        <w:smartTagPr>
          <w:attr w:name="ref" w:val="USC\26\736(b)(3)"/>
        </w:smartTagPr>
        <w:r>
          <w:t>§736(b)(3)</w:t>
        </w:r>
      </w:smartTag>
      <w:r>
        <w:t xml:space="preserve"> provides that </w:t>
      </w:r>
      <w:smartTag w:uri="http://www.bna.com/sgml2word/cite" w:element="cite.usc">
        <w:smartTagPr>
          <w:attr w:name="ref" w:val="USC\26\736(a)"/>
        </w:smartTagPr>
        <w:r>
          <w:t>§736(a)</w:t>
        </w:r>
      </w:smartTag>
      <w:r>
        <w:t xml:space="preserve"> Payments can consist of: </w:t>
      </w:r>
    </w:p>
    <w:p w14:paraId="6642B45D" w14:textId="77777777" w:rsidR="00494B49" w:rsidRDefault="00494B49">
      <w:pPr>
        <w:pStyle w:val="BListitembul"/>
      </w:pPr>
      <w:r>
        <w:t xml:space="preserve">goodwill not specifically designed in the partnership agreement; </w:t>
      </w:r>
    </w:p>
    <w:p w14:paraId="280E41EE" w14:textId="77777777" w:rsidR="00494B49" w:rsidRDefault="00494B49">
      <w:pPr>
        <w:pStyle w:val="BListitembul"/>
      </w:pPr>
      <w:r>
        <w:t xml:space="preserve">unrealized receivables described in §751(c)(1)–§751(c)(2); </w:t>
      </w:r>
    </w:p>
    <w:p w14:paraId="460421C0" w14:textId="77777777" w:rsidR="00494B49" w:rsidRDefault="00494B49">
      <w:pPr>
        <w:pStyle w:val="BListitembul"/>
      </w:pPr>
      <w:r>
        <w:t xml:space="preserve">payments in excess of the value of partnership property (because payments for the value of partnership property are §736(b) payments); and </w:t>
      </w:r>
    </w:p>
    <w:p w14:paraId="278F97DF" w14:textId="77777777" w:rsidR="00494B49" w:rsidRDefault="00494B49">
      <w:pPr>
        <w:pStyle w:val="BListitembul"/>
      </w:pPr>
      <w:r>
        <w:t>payments specifically designated as such in an agreement.</w:t>
      </w:r>
      <w:r>
        <w:rPr>
          <w:rStyle w:val="FootnoteReference"/>
        </w:rPr>
        <w:footnoteReference w:id="478"/>
      </w:r>
    </w:p>
    <w:p w14:paraId="4AC206AD" w14:textId="77777777" w:rsidR="00494B49" w:rsidRDefault="00494B49">
      <w:pPr>
        <w:pStyle w:val="BNormal"/>
      </w:pPr>
      <w:r>
        <w:t xml:space="preserve">In the case of payments to which </w:t>
      </w:r>
      <w:smartTag w:uri="http://www.bna.com/sgml2word/cite" w:element="cite.usc">
        <w:smartTagPr>
          <w:attr w:name="ref" w:val="USC\26\736(b)(3)"/>
        </w:smartTagPr>
        <w:r>
          <w:t>§736(b)(3)</w:t>
        </w:r>
      </w:smartTag>
      <w:r>
        <w:t xml:space="preserve"> does not apply,</w:t>
      </w:r>
      <w:r>
        <w:rPr>
          <w:rStyle w:val="FootnoteReference"/>
        </w:rPr>
        <w:footnoteReference w:id="479"/>
      </w:r>
      <w:r>
        <w:t xml:space="preserve"> </w:t>
      </w:r>
      <w:smartTag w:uri="http://www.bna.com/sgml2word/cite" w:element="cite.usc">
        <w:smartTagPr>
          <w:attr w:name="ref" w:val="USC\26\736(a)"/>
        </w:smartTagPr>
        <w:r>
          <w:t>§736(a)</w:t>
        </w:r>
      </w:smartTag>
      <w:r>
        <w:t xml:space="preserve"> payments are those that are specifically designated as such in an agreement, or represent payments in excess of the value of partnership property (because payments for the value of partnership property are classified as </w:t>
      </w:r>
      <w:smartTag w:uri="http://www.bna.com/sgml2word/cite" w:element="cite.usc">
        <w:smartTagPr>
          <w:attr w:name="ref" w:val="USC\26\736(b)"/>
        </w:smartTagPr>
        <w:r>
          <w:t>§736(b)</w:t>
        </w:r>
      </w:smartTag>
      <w:r>
        <w:t xml:space="preserve"> payments).</w:t>
      </w:r>
    </w:p>
    <w:p w14:paraId="1086EB53" w14:textId="77777777" w:rsidR="00494B49" w:rsidRDefault="00494B49">
      <w:pPr>
        <w:pStyle w:val="BHead3"/>
      </w:pPr>
      <w:r>
        <w:t>b. Passive Loss Treatment</w:t>
      </w:r>
    </w:p>
    <w:p w14:paraId="22FE85C7" w14:textId="77777777" w:rsidR="00494B49" w:rsidRDefault="00494B49">
      <w:pPr>
        <w:pStyle w:val="BNormal"/>
      </w:pPr>
      <w:r>
        <w:t xml:space="preserve">The passive loss treatment of </w:t>
      </w:r>
      <w:smartTag w:uri="http://www.bna.com/sgml2word/cite" w:element="cite.usc">
        <w:smartTagPr>
          <w:attr w:name="ref" w:val="USC\26\736"/>
        </w:smartTagPr>
        <w:r>
          <w:t>§736</w:t>
        </w:r>
      </w:smartTag>
      <w:r>
        <w:t xml:space="preserve"> payments, like the Subchapter K treatment of these payments, is complicated. However, the relevant passive loss rules are intrinsically logical. For a detailed discussion of the passive loss treatment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549"/>
        </w:smartTagPr>
        <w:r>
          <w:t>549 T.M.</w:t>
        </w:r>
      </w:smartTag>
      <w:r>
        <w:t xml:space="preserve">, </w:t>
      </w:r>
      <w:r>
        <w:rPr>
          <w:i/>
        </w:rPr>
        <w:t>Passive Loss Rules</w:t>
      </w:r>
      <w:r>
        <w:t xml:space="preserve">. </w:t>
      </w:r>
    </w:p>
    <w:p w14:paraId="195EE6BB" w14:textId="77777777" w:rsidR="00494B49" w:rsidRDefault="00494B49">
      <w:pPr>
        <w:pStyle w:val="BHead4"/>
      </w:pPr>
      <w:r>
        <w:t>(1) Passive Loss Treatment of §736(b) Payments</w:t>
      </w:r>
    </w:p>
    <w:p w14:paraId="68C659B1" w14:textId="77777777" w:rsidR="00494B49" w:rsidRDefault="00494B49">
      <w:pPr>
        <w:pStyle w:val="BNormal"/>
      </w:pPr>
      <w:r>
        <w:t xml:space="preserve">In the case of </w:t>
      </w:r>
      <w:smartTag w:uri="http://www.bna.com/sgml2word/cite" w:element="cite.usc">
        <w:smartTagPr>
          <w:attr w:name="ref" w:val="USC\26\736(b)"/>
        </w:smartTagPr>
        <w:r>
          <w:t>§736(b)</w:t>
        </w:r>
      </w:smartTag>
      <w:r>
        <w:t xml:space="preserve"> payments, Reg. </w:t>
      </w:r>
      <w:smartTag w:uri="http://www.bna.com/sgml2word/cite" w:element="cite.cfr">
        <w:smartTagPr>
          <w:attr w:name="ref" w:val="cfr\26\1.469-2(e)(2)(iii)(A)"/>
        </w:smartTagPr>
        <w:r>
          <w:t>§1.469-2(e)(2)(iii)(A)</w:t>
        </w:r>
      </w:smartTag>
      <w:r>
        <w:t xml:space="preserve"> treats gain or loss from these payments as passive activity gross income or a passive activity deduction only to the extent that the gain or loss would have been passive activity gross income or a passive activity deduction of the retiring or deceased partner (or the other person) if it had been recognized at the time the liquidation of the partner’s interest began.</w:t>
      </w:r>
    </w:p>
    <w:p w14:paraId="1C6BB943" w14:textId="77777777" w:rsidR="00494B49" w:rsidRDefault="00494B49">
      <w:pPr>
        <w:pStyle w:val="BNormal"/>
      </w:pPr>
      <w:r>
        <w:t xml:space="preserve">The effect of Reg. </w:t>
      </w:r>
      <w:smartTag w:uri="http://www.bna.com/sgml2word/cite" w:element="cite.cfr">
        <w:smartTagPr>
          <w:attr w:name="ref" w:val="cfr\26\1.469-2(e)(2)(iii)(A)"/>
        </w:smartTagPr>
        <w:r>
          <w:t>§1.469-2(e)(2)(iii)(A)</w:t>
        </w:r>
      </w:smartTag>
      <w:r>
        <w:t xml:space="preserve">, in essence, is to “lock in” the passive, nonpassive, or portfolio income (or loss) treatment of the payments for the entire payment stream as if the partners sold their entire partnership interest on the day the liquidation began. Therefore, once the liquidation period begins, the activities conducted by the partnership are not retested as nonpassive or passive, and, therefore, the determination of whether the partner materially participates under Reg. </w:t>
      </w:r>
      <w:smartTag w:uri="http://www.bna.com/sgml2word/cite" w:element="cite.cfr">
        <w:smartTagPr>
          <w:attr w:name="ref" w:val="cfr\26\1.469-5T"/>
        </w:smartTagPr>
        <w:r>
          <w:t>§1.469-5T</w:t>
        </w:r>
      </w:smartTag>
      <w:r>
        <w:t xml:space="preserve"> becomes irrelevant.</w:t>
      </w:r>
    </w:p>
    <w:p w14:paraId="6BAF10A2" w14:textId="77777777" w:rsidR="00494B49" w:rsidRDefault="00494B49">
      <w:pPr>
        <w:pStyle w:val="BHead4"/>
      </w:pPr>
      <w:r>
        <w:lastRenderedPageBreak/>
        <w:t>(2) Passive Loss Treatment of §736(a) Payments</w:t>
      </w:r>
    </w:p>
    <w:p w14:paraId="361E1A20" w14:textId="77777777" w:rsidR="00494B49" w:rsidRDefault="00494B49">
      <w:pPr>
        <w:pStyle w:val="BNormal"/>
      </w:pPr>
      <w:r>
        <w:t xml:space="preserve">Reg. </w:t>
      </w:r>
      <w:smartTag w:uri="http://www.bna.com/sgml2word/cite" w:element="cite.cfr">
        <w:smartTagPr>
          <w:attr w:name="ref" w:val="cfr\26\1.469-2(e)(2)(ii)"/>
        </w:smartTagPr>
        <w:r>
          <w:t>§1.469-2(e)(2)(ii)</w:t>
        </w:r>
      </w:smartTag>
      <w:r>
        <w:t xml:space="preserve"> provides that, </w:t>
      </w:r>
      <w:r>
        <w:rPr>
          <w:i/>
        </w:rPr>
        <w:t>except</w:t>
      </w:r>
      <w:r>
        <w:t xml:space="preserve"> as provided in Reg. </w:t>
      </w:r>
      <w:smartTag w:uri="http://www.bna.com/sgml2word/cite" w:element="cite.cfr">
        <w:smartTagPr>
          <w:attr w:name="ref" w:val="cfr\26\1.469-2(e)(2)(iii)(B)"/>
        </w:smartTagPr>
        <w:r>
          <w:t>§1.469-2(e)(2)(iii)(B)</w:t>
        </w:r>
      </w:smartTag>
      <w:r>
        <w:t xml:space="preserve">, any payment to a partner for services or the use of capital that is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w:t>
      </w:r>
    </w:p>
    <w:p w14:paraId="3BDD2075" w14:textId="77777777" w:rsidR="00494B49" w:rsidRDefault="00494B49">
      <w:pPr>
        <w:pStyle w:val="BNormal"/>
      </w:pPr>
      <w:r>
        <w:t xml:space="preserve">Reg. </w:t>
      </w:r>
      <w:smartTag w:uri="http://www.bna.com/sgml2word/cite" w:element="cite.cfr">
        <w:smartTagPr>
          <w:attr w:name="ref" w:val="cfr\26\1.469-2(e)(2)(iii)(B)(1)"/>
        </w:smartTagPr>
        <w:r>
          <w:t>§1.469-2(e)(2)(iii)(B)(1)</w:t>
        </w:r>
      </w:smartTag>
      <w:r>
        <w:t xml:space="preserve">, as the exception to the general rule in Reg. </w:t>
      </w:r>
      <w:smartTag w:uri="http://www.bna.com/sgml2word/cite" w:element="cite.cfr">
        <w:smartTagPr>
          <w:attr w:name="ref" w:val="cfr\26\1.469-2(e)(2)(ii)"/>
        </w:smartTagPr>
        <w:r>
          <w:t>§1.469-2(e)(2)(ii)</w:t>
        </w:r>
      </w:smartTag>
      <w:r>
        <w:t xml:space="preserve">, provides that, in the context of </w:t>
      </w:r>
      <w:smartTag w:uri="http://www.bna.com/sgml2word/cite" w:element="cite.usc">
        <w:smartTagPr>
          <w:attr w:name="ref" w:val="USC\26\736(a)"/>
        </w:smartTagPr>
        <w:r>
          <w:t>§736(a)</w:t>
        </w:r>
      </w:smartTag>
      <w:r>
        <w:t xml:space="preserve"> payments, if any income is attributable to the portion (if any) of the payment that is allocable to the unrealized receivables</w:t>
      </w:r>
      <w:r>
        <w:rPr>
          <w:rStyle w:val="FootnoteReference"/>
        </w:rPr>
        <w:footnoteReference w:id="480"/>
      </w:r>
      <w:r>
        <w:t xml:space="preserve"> and goodwill of the partnership, the percentage of the income that is treated as passive activity gross income shall not exceed the percentage of passive activity gross income that would be included in the gross income that the retiring or deceased partner (or the other person) would have recognized if the unrealized receivables and goodwill had been sold at the time that the liquidation of the partner’s interest commenced.</w:t>
      </w:r>
      <w:r>
        <w:rPr>
          <w:rStyle w:val="FootnoteReference"/>
        </w:rPr>
        <w:footnoteReference w:id="481"/>
      </w:r>
    </w:p>
    <w:p w14:paraId="2D32F262" w14:textId="77777777" w:rsidR="00494B49" w:rsidRDefault="00494B49">
      <w:pPr>
        <w:pStyle w:val="BNormal"/>
      </w:pPr>
      <w:r>
        <w:t xml:space="preserve">The exception in Reg. </w:t>
      </w:r>
      <w:smartTag w:uri="http://www.bna.com/sgml2word/cite" w:element="cite.cfr">
        <w:smartTagPr>
          <w:attr w:name="ref" w:val="cfr\26\1.469-2(e)(2)(iii)(B)"/>
        </w:smartTagPr>
        <w:r>
          <w:t>§1.469-2(e)(2)(iii)(B)</w:t>
        </w:r>
      </w:smartTag>
      <w:r>
        <w:t xml:space="preserve"> provides two substantive rules. First, payments for unrealized receivables and goodwill are treated as passive or nonpassive income based on the partner’s passive or nonpassive status at the time the liquidation commences. Functioning much like Reg. </w:t>
      </w:r>
      <w:smartTag w:uri="http://www.bna.com/sgml2word/cite" w:element="cite.cfr">
        <w:smartTagPr>
          <w:attr w:name="ref" w:val="cfr\26\1.469-2(e)(2)(iii)(A)"/>
        </w:smartTagPr>
        <w:r>
          <w:t>§1.469-2(e)(2)(iii)(A)</w:t>
        </w:r>
      </w:smartTag>
      <w:r>
        <w:t xml:space="preserve">, this rule “locks in” the passive or nonpassive status for the duration of the payments. Second, </w:t>
      </w:r>
      <w:smartTag w:uri="http://www.bna.com/sgml2word/cite" w:element="cite.usc">
        <w:smartTagPr>
          <w:attr w:name="ref" w:val="USC\26\736(a)"/>
        </w:smartTagPr>
        <w:r>
          <w:t>§736(a)</w:t>
        </w:r>
      </w:smartTag>
      <w:r>
        <w:t xml:space="preserve"> payments, either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payments, that are not for unrealized receivables or goodwill, follow the general passive loss treatment for those respective payments. As a result of these two rules, </w:t>
      </w:r>
      <w:smartTag w:uri="http://www.bna.com/sgml2word/cite" w:element="cite.usc">
        <w:smartTagPr>
          <w:attr w:name="ref" w:val="USC\26\736(a)"/>
        </w:smartTagPr>
        <w:r>
          <w:t>§736(a)</w:t>
        </w:r>
      </w:smartTag>
      <w:r>
        <w:t xml:space="preserve"> payments are subdivided into four categories:</w:t>
      </w:r>
    </w:p>
    <w:p w14:paraId="16897731" w14:textId="77777777" w:rsidR="00494B49" w:rsidRDefault="00494B49">
      <w:pPr>
        <w:pStyle w:val="BListitembul"/>
      </w:pPr>
      <w:r>
        <w:t>Distributive share payments for unrealized receivables and goodwill under §736(a)(1): the taxpayer’s distributive share may be passive or nonpassive, or a combination thereof.</w:t>
      </w:r>
    </w:p>
    <w:p w14:paraId="32AE4142" w14:textId="77777777" w:rsidR="00494B49" w:rsidRDefault="00494B49">
      <w:pPr>
        <w:pStyle w:val="BListitembul"/>
      </w:pPr>
      <w:r>
        <w:t>Distributive share payments not for unrealized receivables and goodwill: the taxpayer’s distributive share may be passive or nonpassive based on the general rules of §469.</w:t>
      </w:r>
    </w:p>
    <w:p w14:paraId="620A4C21" w14:textId="77777777" w:rsidR="00494B49" w:rsidRDefault="00494B49">
      <w:pPr>
        <w:pStyle w:val="BListitembul"/>
      </w:pPr>
      <w:r>
        <w:t>Guaranteed payments for unrealized receivables and goodwill under §736(a)(2): the payments may be passive or nonpassive, or a combination thereof.</w:t>
      </w:r>
    </w:p>
    <w:p w14:paraId="40176EF2" w14:textId="77777777" w:rsidR="00494B49" w:rsidRDefault="00494B49">
      <w:pPr>
        <w:pStyle w:val="BListitembul"/>
      </w:pPr>
      <w:r>
        <w:t>Guaranteed payments not for unrealized receivables and goodwill under §736(a)(2): the general passive loss treatment for guaranteed payments applies (classified as either income from services or interest income under Reg. §1.469-2(e)(2)(ii)).</w:t>
      </w:r>
    </w:p>
    <w:p w14:paraId="5E081566" w14:textId="77777777" w:rsidR="00494B49" w:rsidRDefault="00494B49">
      <w:pPr>
        <w:pStyle w:val="BNormal"/>
      </w:pPr>
      <w:r>
        <w:t xml:space="preserve">Although the Reg. </w:t>
      </w:r>
      <w:smartTag w:uri="http://www.bna.com/sgml2word/cite" w:element="cite.cfr">
        <w:smartTagPr>
          <w:attr w:name="ref" w:val="cfr\26\1.469-2(e)(2)"/>
        </w:smartTagPr>
        <w:r>
          <w:t>§1.469-2(e)(2)</w:t>
        </w:r>
      </w:smartTag>
      <w:r>
        <w:t xml:space="preserve"> treatment addresses </w:t>
      </w:r>
      <w:smartTag w:uri="http://www.bna.com/sgml2word/cite" w:element="cite.usc">
        <w:smartTagPr>
          <w:attr w:name="ref" w:val="USC\26\736"/>
        </w:smartTagPr>
        <w:r>
          <w:t>§736</w:t>
        </w:r>
      </w:smartTag>
      <w:r>
        <w:t xml:space="preserve"> payments, the regulations were issued before the 1993 amendments to </w:t>
      </w:r>
      <w:smartTag w:uri="http://www.bna.com/sgml2word/cite" w:element="cite.usc">
        <w:smartTagPr>
          <w:attr w:name="ref" w:val="USC\26\736(b)"/>
        </w:smartTagPr>
        <w:r>
          <w:t>§736(b)</w:t>
        </w:r>
      </w:smartTag>
      <w:r>
        <w:t xml:space="preserve">. The Reg. </w:t>
      </w:r>
      <w:smartTag w:uri="http://www.bna.com/sgml2word/cite" w:element="cite.cfr">
        <w:smartTagPr>
          <w:attr w:name="ref" w:val="cfr\26\1.469-2(e)(2)"/>
        </w:smartTagPr>
        <w:r>
          <w:t>§1.469-2(e)(2)</w:t>
        </w:r>
      </w:smartTag>
      <w:r>
        <w:t xml:space="preserve"> treatment remains relevant, although the occurrence of payments for unrealized receivables and goodwill being classified as 736(a) Payments has been reduced.</w:t>
      </w:r>
    </w:p>
    <w:p w14:paraId="7729E1F0" w14:textId="77777777" w:rsidR="00494B49" w:rsidRDefault="00494B49">
      <w:pPr>
        <w:pStyle w:val="BHead3"/>
      </w:pPr>
      <w:r>
        <w:t>c. NIIT Treatment</w:t>
      </w:r>
    </w:p>
    <w:p w14:paraId="1CCDA602" w14:textId="77777777" w:rsidR="00494B49" w:rsidRDefault="00494B49">
      <w:pPr>
        <w:pStyle w:val="BNormal"/>
      </w:pPr>
      <w:r>
        <w:lastRenderedPageBreak/>
        <w:t xml:space="preserve">Generally, Prop. Reg. </w:t>
      </w:r>
      <w:smartTag w:uri="http://www.bna.com/sgml2word/cite" w:element="cite.cfr">
        <w:smartTagPr>
          <w:attr w:name="ref" w:val="prule\cfr\26\1.1411-4(g)(11)"/>
        </w:smartTagPr>
        <w:r>
          <w:t>§1.1411-4(g)(11)</w:t>
        </w:r>
      </w:smartTag>
      <w:r>
        <w:t xml:space="preserve"> aligns the NIIT characterization of </w:t>
      </w:r>
      <w:smartTag w:uri="http://www.bna.com/sgml2word/cite" w:element="cite.usc">
        <w:smartTagPr>
          <w:attr w:name="ref" w:val="USC\26\736"/>
        </w:smartTagPr>
        <w:r>
          <w:t>§736</w:t>
        </w:r>
      </w:smartTag>
      <w:r>
        <w:t xml:space="preserve"> payments with the treatment of the payments as passive or nonpassive under Reg. </w:t>
      </w:r>
      <w:smartTag w:uri="http://www.bna.com/sgml2word/cite" w:element="cite.cfr">
        <w:smartTagPr>
          <w:attr w:name="ref" w:val="cfr\26\1.469-2(e)(2)(iii)"/>
        </w:smartTagPr>
        <w:r>
          <w:t>§1.469-2(e)(2)(iii)</w:t>
        </w:r>
      </w:smartTag>
      <w:r>
        <w:t xml:space="preserve">. For NIIT purposes, the 2013 Proposed Regulations explicitly state that </w:t>
      </w:r>
      <w:smartTag w:uri="http://www.bna.com/sgml2word/cite" w:element="cite.usc">
        <w:smartTagPr>
          <w:attr w:name="ref" w:val="USC\26\736"/>
        </w:smartTagPr>
        <w:r>
          <w:t>§736</w:t>
        </w:r>
      </w:smartTag>
      <w:r>
        <w:t xml:space="preserve"> payments are not distributions from a plan or arrangement described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482"/>
      </w:r>
      <w:r>
        <w:t xml:space="preserve"> To the extent that any portion of a </w:t>
      </w:r>
      <w:smartTag w:uri="http://www.bna.com/sgml2word/cite" w:element="cite.usc">
        <w:smartTagPr>
          <w:attr w:name="ref" w:val="USC\26\736"/>
        </w:smartTagPr>
        <w:r>
          <w:t>§736</w:t>
        </w:r>
      </w:smartTag>
      <w:r>
        <w:t xml:space="preserve"> payment is taken into account in computing a taxpayer’s net earnings from self-employment (within the meaning of Reg. </w:t>
      </w:r>
      <w:smartTag w:uri="http://www.bna.com/sgml2word/cite" w:element="cite.cfr">
        <w:smartTagPr>
          <w:attr w:name="ref" w:val="cfr\26\1.1411-9"/>
        </w:smartTagPr>
        <w:r>
          <w:t>§1.1411-9</w:t>
        </w:r>
      </w:smartTag>
      <w:r>
        <w:t xml:space="preserve">), that amount is not taken into account in computing net investment income by reason of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
        </w:smartTagPr>
        <w:r>
          <w:t>§1.1411-9</w:t>
        </w:r>
      </w:smartTag>
      <w:r>
        <w:t>.</w:t>
      </w:r>
      <w:r>
        <w:rPr>
          <w:rStyle w:val="FootnoteReference"/>
        </w:rPr>
        <w:footnoteReference w:id="483"/>
      </w:r>
    </w:p>
    <w:p w14:paraId="18664AE8" w14:textId="77777777" w:rsidR="00494B49" w:rsidRDefault="00494B49">
      <w:pPr>
        <w:pStyle w:val="BHead4"/>
      </w:pPr>
      <w:r>
        <w:t xml:space="preserve">(1) NIIT Treatment of </w:t>
      </w:r>
      <w:smartTag w:uri="http://www.bna.com/sgml2word/cite" w:element="cite.usc">
        <w:smartTagPr>
          <w:attr w:name="ref" w:val="USC\26\736(b)"/>
        </w:smartTagPr>
        <w:r>
          <w:t>§736(b)</w:t>
        </w:r>
      </w:smartTag>
      <w:r>
        <w:t xml:space="preserve"> Payments</w:t>
      </w:r>
    </w:p>
    <w:p w14:paraId="27547841" w14:textId="77777777" w:rsidR="00494B49" w:rsidRDefault="00494B49">
      <w:pPr>
        <w:pStyle w:val="BNormal"/>
      </w:pPr>
      <w:r>
        <w:t xml:space="preserve">The 2013 Proposed Regulations provide that </w:t>
      </w:r>
      <w:smartTag w:uri="http://www.bna.com/sgml2word/cite" w:element="cite.usc">
        <w:smartTagPr>
          <w:attr w:name="ref" w:val="USC\26\736(b)"/>
        </w:smartTagPr>
        <w:r>
          <w:t>§736(b)</w:t>
        </w:r>
      </w:smartTag>
      <w:r>
        <w:t xml:space="preserve"> payments will be taken into account as net investment income for NIIT purposes under </w:t>
      </w:r>
      <w:smartTag w:uri="http://www.bna.com/sgml2word/cite" w:element="cite.usc">
        <w:smartTagPr>
          <w:attr w:name="ref" w:val="USC\26\1411(c)(1)(A)(iii)"/>
        </w:smartTagPr>
        <w:r>
          <w:t>§1411(c)(1)(A)(iii)</w:t>
        </w:r>
      </w:smartTag>
      <w:r>
        <w:t xml:space="preserve"> as net gain or loss from the disposition of property.</w:t>
      </w:r>
      <w:r>
        <w:rPr>
          <w:rStyle w:val="FootnoteReference"/>
        </w:rPr>
        <w:footnoteReference w:id="484"/>
      </w:r>
      <w:r>
        <w:t xml:space="preserve"> Gain or loss relating to </w:t>
      </w:r>
      <w:smartTag w:uri="http://www.bna.com/sgml2word/cite" w:element="cite.usc">
        <w:smartTagPr>
          <w:attr w:name="ref" w:val="USC\26\736(b)"/>
        </w:smartTagPr>
        <w:r>
          <w:t>§736(b)</w:t>
        </w:r>
      </w:smartTag>
      <w:r>
        <w:t xml:space="preserve"> payments is included in net investment income regardless of whether the payments are classified as capital gain or ordinary income (e.g., by reason of </w:t>
      </w:r>
      <w:smartTag w:uri="http://www.bna.com/sgml2word/cite" w:element="cite.usc">
        <w:smartTagPr>
          <w:attr w:name="ref" w:val="USC\26\751"/>
        </w:smartTagPr>
        <w:r>
          <w:t>§751</w:t>
        </w:r>
      </w:smartTag>
      <w:r>
        <w:t>).</w:t>
      </w:r>
    </w:p>
    <w:p w14:paraId="6E962483" w14:textId="77777777" w:rsidR="00494B49" w:rsidRDefault="00494B49">
      <w:pPr>
        <w:pStyle w:val="BNormal"/>
      </w:pPr>
      <w:r>
        <w:t xml:space="preserve">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appropriately reduce the net investment income associated with such payments in accordance with the rules in Reg. </w:t>
      </w:r>
      <w:smartTag w:uri="http://www.bna.com/sgml2word/cite" w:element="cite.cfr">
        <w:smartTagPr>
          <w:attr w:name="ref" w:val="cfr\26\1.1411-7"/>
        </w:smartTagPr>
        <w:r>
          <w:t>§1.1411-7</w:t>
        </w:r>
      </w:smartTag>
      <w:r>
        <w:t>.</w:t>
      </w:r>
      <w:r>
        <w:rPr>
          <w:rStyle w:val="FootnoteReference"/>
        </w:rPr>
        <w:footnoteReference w:id="485"/>
      </w:r>
      <w:r>
        <w:t xml:space="preserve"> In the case of </w:t>
      </w:r>
      <w:smartTag w:uri="http://www.bna.com/sgml2word/cite" w:element="cite.usc">
        <w:smartTagPr>
          <w:attr w:name="ref" w:val="USC\26\736(b)"/>
        </w:smartTagPr>
        <w:r>
          <w:t>§736(b)</w:t>
        </w:r>
      </w:smartTag>
      <w:r>
        <w:t xml:space="preserve"> payments paid over multiple years, the proposed regulations provide that the characterization of gain or loss as passive or nonpassive is determined as though all payments were made at the time that the liquidation of the exiting partner’s interest commenced and is not retested annually.</w:t>
      </w:r>
      <w:r>
        <w:rPr>
          <w:rStyle w:val="FootnoteReference"/>
        </w:rPr>
        <w:footnoteReference w:id="486"/>
      </w:r>
    </w:p>
    <w:p w14:paraId="110399B2" w14:textId="77777777" w:rsidR="00494B49" w:rsidRDefault="00494B49">
      <w:pPr>
        <w:pStyle w:val="BHead4"/>
      </w:pPr>
      <w:r>
        <w:t>(2) NIIT Treatment of §736(a) Payments</w:t>
      </w:r>
    </w:p>
    <w:p w14:paraId="522C0EEA" w14:textId="77777777" w:rsidR="00494B49" w:rsidRDefault="00494B49">
      <w:pPr>
        <w:pStyle w:val="BNormal"/>
      </w:pPr>
      <w:r>
        <w:t xml:space="preserve">In the case of </w:t>
      </w:r>
      <w:smartTag w:uri="http://www.bna.com/sgml2word/cite" w:element="cite.usc">
        <w:smartTagPr>
          <w:attr w:name="ref" w:val="USC\26\736(a)"/>
        </w:smartTagPr>
        <w:r>
          <w:t>§736(a)</w:t>
        </w:r>
      </w:smartTag>
      <w:r>
        <w:t xml:space="preserve"> Payments, the 2013 Proposed Regulations follow the treatment as set forth in </w:t>
      </w:r>
      <w:smartTag w:uri="http://www.bna.com/sgml2word/cite" w:element="cite.usc">
        <w:smartTagPr>
          <w:attr w:name="ref" w:val="USC\26\469"/>
        </w:smartTagPr>
        <w:r>
          <w:t>§469</w:t>
        </w:r>
      </w:smartTag>
      <w:r>
        <w:t xml:space="preserve"> for NIIT purposes.</w:t>
      </w:r>
      <w:r>
        <w:rPr>
          <w:rStyle w:val="FootnoteReference"/>
        </w:rPr>
        <w:footnoteReference w:id="487"/>
      </w:r>
    </w:p>
    <w:p w14:paraId="7F450B42" w14:textId="77777777" w:rsidR="00494B49" w:rsidRDefault="00494B49">
      <w:pPr>
        <w:pStyle w:val="BHead5"/>
      </w:pPr>
      <w:r>
        <w:t>(a) NIIT Treatment of §736(a)(1) Payments</w:t>
      </w:r>
    </w:p>
    <w:p w14:paraId="16CDE488" w14:textId="77777777" w:rsidR="00494B49" w:rsidRDefault="00494B49">
      <w:pPr>
        <w:pStyle w:val="BNormal"/>
      </w:pPr>
      <w:r>
        <w:t xml:space="preserve">In the case of a payment described in </w:t>
      </w:r>
      <w:smartTag w:uri="http://www.bna.com/sgml2word/cite" w:element="cite.usc">
        <w:smartTagPr>
          <w:attr w:name="ref" w:val="USC\26\736(a)(1)"/>
        </w:smartTagPr>
        <w:r>
          <w:t>§736(a)(1)</w:t>
        </w:r>
      </w:smartTag>
      <w:r>
        <w:t xml:space="preserve"> as a distributive share of partnership income, the items of income, gain, loss, and deduction attributable to such distributive share are taken into account in computing net investment income in </w:t>
      </w:r>
      <w:smartTag w:uri="http://www.bna.com/sgml2word/cite" w:element="cite.usc">
        <w:smartTagPr>
          <w:attr w:name="ref" w:val="USC\26\1411(c)"/>
        </w:smartTagPr>
        <w:r>
          <w:t>§1411(c)</w:t>
        </w:r>
      </w:smartTag>
      <w:r>
        <w:t xml:space="preserve"> in a manner consistent with the item’s character and treatment for Chapter 1 purposes.</w:t>
      </w:r>
      <w:r>
        <w:rPr>
          <w:rStyle w:val="FootnoteReference"/>
        </w:rPr>
        <w:footnoteReference w:id="488"/>
      </w:r>
    </w:p>
    <w:p w14:paraId="73C4EB21" w14:textId="77777777" w:rsidR="00494B49" w:rsidRDefault="00494B49">
      <w:pPr>
        <w:pStyle w:val="BNormal"/>
      </w:pPr>
      <w:r>
        <w:rPr>
          <w:i/>
        </w:rPr>
        <w:t>Comment:</w:t>
      </w:r>
      <w:r>
        <w:t xml:space="preserve"> The use of the phrase “consistent with the item’s character and treatment for Chapter 1 purposes” in the 2013 Proposed Regulations is intentionally flexible because the distributive share of income may or may not be net investment income based on the business of the partnership and the involvement of the partner. To the extent that the partner’s distributive share constitutes items of net investment income (e.g., interest income, passive income, etc.), the items </w:t>
      </w:r>
      <w:r>
        <w:lastRenderedPageBreak/>
        <w:t>are net investment income because they are “consistent with the item’s character and treatment for Chapter 1 purposes.”</w:t>
      </w:r>
    </w:p>
    <w:p w14:paraId="647D33E4" w14:textId="77777777" w:rsidR="00494B49" w:rsidRDefault="00494B49">
      <w:pPr>
        <w:pStyle w:val="BExamplepara"/>
      </w:pPr>
      <w:r>
        <w:rPr>
          <w:rStyle w:val="BExamplehead"/>
          <w:rFonts w:eastAsiaTheme="minorHAnsi"/>
          <w:i/>
        </w:rPr>
        <w:t>Example 1:</w:t>
      </w:r>
      <w:r>
        <w:rPr>
          <w:rStyle w:val="FootnoteReference"/>
        </w:rPr>
        <w:footnoteReference w:id="489"/>
      </w:r>
      <w:r>
        <w:t xml:space="preserve"> Assume Partner A retires from PRS, a partnership for which capital is not a material income-producing factor. Partner A is entitled under the partnership agreement to receive 10% of PRS’s net income for 60 months, commencing immediately after Partner A’s retirement, in exchange for A’s fair market value share of PRS’s unrealized receivables. PRS is not engaged in a trade or business described in </w:t>
      </w:r>
      <w:smartTag w:uri="http://www.bna.com/sgml2word/cite" w:element="cite.usc">
        <w:smartTagPr>
          <w:attr w:name="ref" w:val="USC\26\1411(c)(2)"/>
        </w:smartTagPr>
        <w:r>
          <w:t>§1411(c)(2)</w:t>
        </w:r>
      </w:smartTag>
      <w:r>
        <w:t xml:space="preserve"> (a trading business or passive activity). A will provide no services to PRS for the 60-month period following A’s retirement. Before A’s retirement, Partner A materially participated (within the meaning of Reg. </w:t>
      </w:r>
      <w:smartTag w:uri="http://www.bna.com/sgml2word/cite" w:element="cite.cfr">
        <w:smartTagPr>
          <w:attr w:name="ref" w:val="cfr\26\1.469-5T"/>
        </w:smartTagPr>
        <w:r>
          <w:t>§1.469-5T</w:t>
        </w:r>
      </w:smartTag>
      <w:r>
        <w:t>) as a general partner in PRS’s trade or business. As a result, PRS is characterized by Partner A as a nonpassive activity for passive loss purposes.</w:t>
      </w:r>
    </w:p>
    <w:p w14:paraId="323CA90A" w14:textId="77777777" w:rsidR="00494B49" w:rsidRDefault="00494B49">
      <w:pPr>
        <w:pStyle w:val="BExamplepara"/>
      </w:pPr>
      <w:r>
        <w:t xml:space="preserve">In Year 3, pursuant to the partnership agreement, Partner A received a cash payment of $20,000. Partner A’s distributive share of PRS income in Year 3 included $70,000 of gross income from operations and $50,000 of deductions from operations. PRS’s status as a passive or nonpassive activity is determined under Reg. </w:t>
      </w:r>
      <w:smartTag w:uri="http://www.bna.com/sgml2word/cite" w:element="cite.cfr">
        <w:smartTagPr>
          <w:attr w:name="ref" w:val="cfr\26\1.469-2(e)(2)(iii)"/>
        </w:smartTagPr>
        <w:r>
          <w:t>§1.469-2(e)(2)(iii)</w:t>
        </w:r>
      </w:smartTag>
      <w:r>
        <w:t xml:space="preserve"> at the time the liquidation of A’s partnership interest commenced and remains fixed for the duration of A’s liquidation payments. Therefore, PRS is a nonpassive activity with respect to A in Year 3 pursuant to Reg. </w:t>
      </w:r>
      <w:smartTag w:uri="http://www.bna.com/sgml2word/cite" w:element="cite.cfr">
        <w:smartTagPr>
          <w:attr w:name="ref" w:val="cfr\26\1.469-2(e)(2)(iii)"/>
        </w:smartTagPr>
        <w:r>
          <w:t>§1.469-2(e)(2)(iii)</w:t>
        </w:r>
      </w:smartTag>
      <w:r>
        <w:t xml:space="preserve">, and the gross income is not attributable to a trade or business described in </w:t>
      </w:r>
      <w:smartTag w:uri="http://www.bna.com/sgml2word/cite" w:element="cite.usc">
        <w:smartTagPr>
          <w:attr w:name="ref" w:val="USC\26\1411(c)(2)(A)"/>
        </w:smartTagPr>
        <w:r>
          <w:t>§1411(c)(2)(A)</w:t>
        </w:r>
      </w:smartTag>
      <w:r>
        <w:t xml:space="preserve">. Accordingly, A’s distributive share of $70,000 of gross income and $50,000 of associated deductions are excluded from Partner A’s net investment income in Year 3. However, if PRS’s distributive share of operational income and deductions was attributable to a trading trade or business described in </w:t>
      </w:r>
      <w:smartTag w:uri="http://www.bna.com/sgml2word/cite" w:element="cite.usc">
        <w:smartTagPr>
          <w:attr w:name="ref" w:val="USC\26\1411(c)(2)(B)"/>
        </w:smartTagPr>
        <w:r>
          <w:t>§1411(c)(2)(B)</w:t>
        </w:r>
      </w:smartTag>
      <w:r>
        <w:t xml:space="preserve">, the $70,000 of gross income amounts would be included in Partner A’s net investment income under </w:t>
      </w:r>
      <w:smartTag w:uri="http://www.bna.com/sgml2word/cite" w:element="cite.usc">
        <w:smartTagPr>
          <w:attr w:name="ref" w:val="USC\26\1411(c)(1)(A)(ii)"/>
        </w:smartTagPr>
        <w:r>
          <w:t>§1411(c)(1)(A)(ii)</w:t>
        </w:r>
      </w:smartTag>
      <w:r>
        <w:t xml:space="preserve"> and the $50,000 of associated deductions would be properly allocable to such income under </w:t>
      </w:r>
      <w:smartTag w:uri="http://www.bna.com/sgml2word/cite" w:element="cite.usc">
        <w:smartTagPr>
          <w:attr w:name="ref" w:val="USC\26\1411(c)(1)(B)"/>
        </w:smartTagPr>
        <w:r>
          <w:t>§1411(c)(1)(B)</w:t>
        </w:r>
      </w:smartTag>
      <w:r>
        <w:t>.</w:t>
      </w:r>
    </w:p>
    <w:p w14:paraId="5C2DBE19" w14:textId="77777777" w:rsidR="00494B49" w:rsidRDefault="00494B49">
      <w:pPr>
        <w:pStyle w:val="BCommentpara"/>
      </w:pPr>
      <w:r>
        <w:rPr>
          <w:rStyle w:val="BCommenthead"/>
        </w:rPr>
        <w:t>Note:</w:t>
      </w:r>
      <w:r>
        <w:t xml:space="preserve"> If PRS’s gross income also included $10,000 of interest income and Partner A was entitled to 10% of that interest income, Partner A’s distributive share may include $1,000 of interest income and $69,000 of gross income from operations. If the interest income was not derived in the ordinary course of PRS’s trade or business, the $1,000 of interest income would be net investment income. The treatment of Partner A’s </w:t>
      </w:r>
      <w:smartTag w:uri="http://www.bna.com/sgml2word/cite" w:element="cite.usc">
        <w:smartTagPr>
          <w:attr w:name="ref" w:val="USC\26\736(a)(1)"/>
        </w:smartTagPr>
        <w:r>
          <w:t>§736(a)(1)</w:t>
        </w:r>
      </w:smartTag>
      <w:r>
        <w:t xml:space="preserve"> distributive share is consistent with the treatment that Partner A would have if the Partner A remained a partner in PRS (and consistent with the treatment of remaining partners in PRS that materially participated in the same PRS trade or business).</w:t>
      </w:r>
    </w:p>
    <w:p w14:paraId="61E29A46" w14:textId="77777777" w:rsidR="00494B49" w:rsidRDefault="00494B49">
      <w:pPr>
        <w:pStyle w:val="BExamplepara"/>
      </w:pPr>
      <w:r>
        <w:rPr>
          <w:rStyle w:val="BExamplehead"/>
          <w:rFonts w:eastAsiaTheme="minorHAnsi"/>
          <w:i/>
        </w:rPr>
        <w:t>Example 2:</w:t>
      </w:r>
      <w:r>
        <w:t xml:space="preserve"> Assume the same facts as in </w:t>
      </w:r>
      <w:r>
        <w:rPr>
          <w:i/>
        </w:rPr>
        <w:t>Example 1</w:t>
      </w:r>
      <w:r>
        <w:t xml:space="preserve"> except that PRS provides A an additional 2% of PRS’s net income for 48 months, beginning immediately after A’s retirement, as an incentive for A to retire earlier than planned. In the case of the additional 2% distributive share, the income characterization rule in Reg. </w:t>
      </w:r>
      <w:smartTag w:uri="http://www.bna.com/sgml2word/cite" w:element="cite.cfr">
        <w:smartTagPr>
          <w:attr w:name="ref" w:val="cfr\26\1.469-2(e)(2)(iii)"/>
        </w:smartTagPr>
        <w:r>
          <w:t>§1.469-2(e)(2)(iii)</w:t>
        </w:r>
      </w:smartTag>
      <w:r>
        <w:t xml:space="preserve"> does not apply because the payment exceeds the value of PRS’s unrealized receivables (which was established to equal 10% of PRS’s income for 60 months in </w:t>
      </w:r>
      <w:r>
        <w:rPr>
          <w:i/>
        </w:rPr>
        <w:t>Example 1</w:t>
      </w:r>
      <w:r>
        <w:t xml:space="preserve">). As a result, Partner A must determine whether PRS is a trade of business described in </w:t>
      </w:r>
      <w:smartTag w:uri="http://www.bna.com/sgml2word/cite" w:element="cite.usc">
        <w:smartTagPr>
          <w:attr w:name="ref" w:val="USC\26\1411(c)(2)(A)"/>
        </w:smartTagPr>
        <w:r>
          <w:t>§1411(c)(2)(A)</w:t>
        </w:r>
      </w:smartTag>
      <w:r>
        <w:t xml:space="preserve"> in Year 3 in order to determine whether the distributive share of operating income and deductions </w:t>
      </w:r>
      <w:r>
        <w:lastRenderedPageBreak/>
        <w:t xml:space="preserve">is includible in net investment income. In this case, Partner A would look to the general operating rules under </w:t>
      </w:r>
      <w:smartTag w:uri="http://www.bna.com/sgml2word/cite" w:element="cite.usc">
        <w:smartTagPr>
          <w:attr w:name="ref" w:val="USC\26\469"/>
        </w:smartTagPr>
        <w:r>
          <w:t>§469</w:t>
        </w:r>
      </w:smartTag>
      <w:r>
        <w:t xml:space="preserve">, including Reg. </w:t>
      </w:r>
      <w:smartTag w:uri="http://www.bna.com/sgml2word/cite" w:element="cite.cfr">
        <w:smartTagPr>
          <w:attr w:name="ref" w:val="cfr\26\1.469-5T(a)"/>
        </w:smartTagPr>
        <w:r>
          <w:t>§1.469-5T(a)</w:t>
        </w:r>
      </w:smartTag>
      <w:r>
        <w:t>, to determine the regular income tax treatment of the 2% distributive share. If PRS is engaged in a passive activity trade or business with respect to Partner A in Year 3, the distributive share will be taken into account in computing Partner A’s net investment income (in other words, in a manner “consistent with the item’s character and treatment for Chapter 1 purposes”).</w:t>
      </w:r>
    </w:p>
    <w:p w14:paraId="4D455D6D" w14:textId="77777777" w:rsidR="00494B49" w:rsidRDefault="00494B49">
      <w:pPr>
        <w:pStyle w:val="BHead5"/>
      </w:pPr>
      <w:r>
        <w:t xml:space="preserve">(b) NIIT Treatment of §736(a)(2) Payments </w:t>
      </w:r>
    </w:p>
    <w:p w14:paraId="791DEAF2" w14:textId="77777777" w:rsidR="00494B49" w:rsidRDefault="00494B49">
      <w:pPr>
        <w:pStyle w:val="BNormal"/>
      </w:pPr>
      <w:r>
        <w:t xml:space="preserve">In the case of a payment described in </w:t>
      </w:r>
      <w:smartTag w:uri="http://www.bna.com/sgml2word/cite" w:element="cite.usc">
        <w:smartTagPr>
          <w:attr w:name="ref" w:val="USC\26\736(a)(2)"/>
        </w:smartTagPr>
        <w:r>
          <w:t>§736(a)(2)</w:t>
        </w:r>
      </w:smartTag>
      <w:r>
        <w:t>, the portion (if any) of the payment allocable to the unrealized receivables and goodwill of the partnership</w:t>
      </w:r>
      <w:r>
        <w:rPr>
          <w:rStyle w:val="FootnoteReference"/>
        </w:rPr>
        <w:footnoteReference w:id="490"/>
      </w:r>
      <w:r>
        <w:t xml:space="preserve"> is included in net investment income under </w:t>
      </w:r>
      <w:smartTag w:uri="http://www.bna.com/sgml2word/cite" w:element="cite.usc">
        <w:smartTagPr>
          <w:attr w:name="ref" w:val="USC\26\1411(c)(1)(A)(iii)"/>
        </w:smartTagPr>
        <w:r>
          <w:t>§1411(c)(1)(A)(iii)</w:t>
        </w:r>
      </w:smartTag>
      <w:r>
        <w:t xml:space="preserve"> as gain from the disposition of a partnership interest.</w:t>
      </w:r>
      <w:r>
        <w:rPr>
          <w:rStyle w:val="FootnoteReference"/>
        </w:rPr>
        <w:footnoteReference w:id="491"/>
      </w:r>
      <w:r>
        <w:t xml:space="preserve"> 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reduce appropriately the net investment income in accordance with the rules in Reg. </w:t>
      </w:r>
      <w:smartTag w:uri="http://www.bna.com/sgml2word/cite" w:element="cite.cfr">
        <w:smartTagPr>
          <w:attr w:name="ref" w:val="cfr\26\1.1411-7"/>
        </w:smartTagPr>
        <w:r>
          <w:t>§1.1411-7</w:t>
        </w:r>
      </w:smartTag>
      <w:r>
        <w:t>.</w:t>
      </w:r>
      <w:r>
        <w:rPr>
          <w:rStyle w:val="FootnoteReference"/>
        </w:rPr>
        <w:footnoteReference w:id="492"/>
      </w:r>
    </w:p>
    <w:p w14:paraId="0BCB49A4" w14:textId="77777777" w:rsidR="00494B49" w:rsidRDefault="00494B49">
      <w:pPr>
        <w:pStyle w:val="BNormal"/>
      </w:pPr>
      <w:r>
        <w:t xml:space="preserve">A </w:t>
      </w:r>
      <w:smartTag w:uri="http://www.bna.com/sgml2word/cite" w:element="cite.usc">
        <w:smartTagPr>
          <w:attr w:name="ref" w:val="USC\26\736(a)(2)"/>
        </w:smartTagPr>
        <w:r>
          <w:t>§736(a)(2)</w:t>
        </w:r>
      </w:smartTag>
      <w:r>
        <w:t xml:space="preserve"> guaranteed payment not for unrealized receivables and goodwill is characterized as a payment for services or as the payment of interest in a manner consistent with the payment’s characterization under Reg. </w:t>
      </w:r>
      <w:smartTag w:uri="http://www.bna.com/sgml2word/cite" w:element="cite.cfr">
        <w:smartTagPr>
          <w:attr w:name="ref" w:val="cfr\26\1.469-2(e)(2)(ii)"/>
        </w:smartTagPr>
        <w:r>
          <w:t>§1.469-2(e)(2)(ii)</w:t>
        </w:r>
      </w:smartTag>
      <w:r>
        <w:t>.</w:t>
      </w:r>
      <w:r>
        <w:rPr>
          <w:rStyle w:val="FootnoteReference"/>
        </w:rPr>
        <w:footnoteReference w:id="493"/>
      </w:r>
      <w:r>
        <w:t xml:space="preserve"> Because Prop. Reg. </w:t>
      </w:r>
      <w:smartTag w:uri="http://www.bna.com/sgml2word/cite" w:element="cite.cfr">
        <w:smartTagPr>
          <w:attr w:name="ref" w:val="prule\cfr\26\1.1411-4(g)(10)"/>
        </w:smartTagPr>
        <w:r>
          <w:t>§1.1411-4(g)(10)</w:t>
        </w:r>
      </w:smartTag>
      <w:r>
        <w:t xml:space="preserve"> follows the passive loss treatment in Reg. </w:t>
      </w:r>
      <w:smartTag w:uri="http://www.bna.com/sgml2word/cite" w:element="cite.cfr">
        <w:smartTagPr>
          <w:attr w:name="ref" w:val="cfr\26\1.469-2(e)(2)(ii)"/>
        </w:smartTagPr>
        <w:r>
          <w:t>§1.469-2(e)(2)(ii)</w:t>
        </w:r>
      </w:smartTag>
      <w:r>
        <w:t>, guaranteed payments not for unrealized receivables and goodwill will either be: (A) excluded from net investment income (in the event it is classified as income for services); or (B) included in net investment income (in the event it is classified as interest income attributable to the use of capital).</w:t>
      </w:r>
    </w:p>
    <w:p w14:paraId="10D4D8A5" w14:textId="77777777" w:rsidR="00494B49" w:rsidRDefault="00494B49">
      <w:pPr>
        <w:pStyle w:val="BChapterName"/>
      </w:pPr>
      <w:r>
        <w:t xml:space="preserve">IV. Excluded Income </w:t>
      </w:r>
    </w:p>
    <w:p w14:paraId="5087F108" w14:textId="77777777" w:rsidR="00494B49" w:rsidRDefault="00494B49">
      <w:pPr>
        <w:pStyle w:val="BHead1"/>
      </w:pPr>
      <w:r>
        <w:t xml:space="preserve">A. General Categories </w:t>
      </w:r>
    </w:p>
    <w:p w14:paraId="0A369780" w14:textId="77777777" w:rsidR="00494B49" w:rsidRDefault="00494B49">
      <w:pPr>
        <w:pStyle w:val="BNormal"/>
      </w:pPr>
      <w:r>
        <w:t xml:space="preserve">Reg. </w:t>
      </w:r>
      <w:smartTag w:uri="http://www.bna.com/sgml2word/cite" w:element="cite.cfr">
        <w:smartTagPr>
          <w:attr w:name="ref" w:val="cfr\26\1.1411-1(d)(4)"/>
        </w:smartTagPr>
        <w:r>
          <w:t>§1.1411-1(d)(4)</w:t>
        </w:r>
      </w:smartTag>
      <w:r>
        <w:t xml:space="preserve"> uses the term “Excluded Income” to describe items of income or gain that are not included in the computation of net investment income. There are three basic types of Excluded Income:</w:t>
      </w:r>
    </w:p>
    <w:p w14:paraId="6B5EC9F0" w14:textId="77777777" w:rsidR="00494B49" w:rsidRDefault="00494B49">
      <w:pPr>
        <w:pStyle w:val="BListitembul"/>
      </w:pPr>
      <w:r>
        <w:t>Type 1 — Items that are excluded from gross income under Chapter 1.</w:t>
      </w:r>
      <w:r>
        <w:rPr>
          <w:rStyle w:val="FootnoteReference"/>
        </w:rPr>
        <w:footnoteReference w:id="494"/>
      </w:r>
    </w:p>
    <w:p w14:paraId="2E75DE1F" w14:textId="77777777" w:rsidR="00494B49" w:rsidRDefault="00494B49">
      <w:pPr>
        <w:pStyle w:val="BListitembul"/>
      </w:pPr>
      <w:r>
        <w:t>Type 2 — Items that are not included in the definition of net investment income, as determined under Reg. §1.1411-4 and §1.1411-10.</w:t>
      </w:r>
      <w:r>
        <w:rPr>
          <w:rStyle w:val="FootnoteReference"/>
        </w:rPr>
        <w:footnoteReference w:id="495"/>
      </w:r>
    </w:p>
    <w:p w14:paraId="7AD70E52" w14:textId="77777777" w:rsidR="00494B49" w:rsidRDefault="00494B49">
      <w:pPr>
        <w:pStyle w:val="BListitembul"/>
      </w:pPr>
      <w:r>
        <w:t>Type 3 — Items that are specifically excluded from net investment income by §1411, the 2013 Final Regulations or other guidance published in the Internal Revenue Bulletin.</w:t>
      </w:r>
      <w:r>
        <w:rPr>
          <w:rStyle w:val="FootnoteReference"/>
        </w:rPr>
        <w:footnoteReference w:id="496"/>
      </w:r>
    </w:p>
    <w:p w14:paraId="274D4F6F" w14:textId="77777777" w:rsidR="00494B49" w:rsidRDefault="00494B49">
      <w:pPr>
        <w:pStyle w:val="BNormal"/>
      </w:pPr>
      <w:r>
        <w:rPr>
          <w:i/>
        </w:rPr>
        <w:t>Comment:</w:t>
      </w:r>
      <w:r>
        <w:t xml:space="preserve"> As practitioners continue to work with the net investment income tax (NIIT) rules, the line between which items of income or gain are included in the computation of net investment income and which are not may be subject to dispute. As Congress amends the Code, or the </w:t>
      </w:r>
      <w:r>
        <w:lastRenderedPageBreak/>
        <w:t>Treasury Department and IRS update the regular income tax guidance, the government should keep the NIIT system in mind. To the extent that the 2013 Final Regulations do not adequately deal with such changes, the onus is on Congress or the IRS, as applicable, to ensure that the NIIT system is correspondingly updated.</w:t>
      </w:r>
    </w:p>
    <w:p w14:paraId="5BED21AD" w14:textId="77777777" w:rsidR="00494B49" w:rsidRDefault="00494B49">
      <w:pPr>
        <w:pStyle w:val="BHead1"/>
      </w:pPr>
      <w:r>
        <w:t xml:space="preserve">B. Type 1 — Items Excluded from Gross Income </w:t>
      </w:r>
    </w:p>
    <w:p w14:paraId="3331C736" w14:textId="77777777" w:rsidR="00494B49" w:rsidRDefault="00494B49">
      <w:pPr>
        <w:pStyle w:val="BNormal"/>
      </w:pPr>
      <w:r>
        <w:t xml:space="preserve">Reg. </w:t>
      </w:r>
      <w:smartTag w:uri="http://www.bna.com/sgml2word/cite" w:element="cite.cfr">
        <w:smartTagPr>
          <w:attr w:name="ref" w:val="cfr\26\1.1411-1(d)(4)(i)"/>
        </w:smartTagPr>
        <w:r>
          <w:t>§1.1411-1(d)(4)(i)</w:t>
        </w:r>
      </w:smartTag>
      <w:r>
        <w:t xml:space="preserve"> provides that items of income that are excluded from gross income in Chapter 1 are also considered Excluded Income for purposes of the net investment income tax (NIIT). The regulation lists examples of these types of items, including interest on state and local bonds (excluded from gross income under </w:t>
      </w:r>
      <w:smartTag w:uri="http://www.bna.com/sgml2word/cite" w:element="cite.usc">
        <w:smartTagPr>
          <w:attr w:name="ref" w:val="USC\26\103"/>
        </w:smartTagPr>
        <w:r>
          <w:t>§103</w:t>
        </w:r>
      </w:smartTag>
      <w:r>
        <w:t>)</w:t>
      </w:r>
      <w:r>
        <w:rPr>
          <w:rStyle w:val="FootnoteReference"/>
        </w:rPr>
        <w:footnoteReference w:id="497"/>
      </w:r>
      <w:r>
        <w:t xml:space="preserve"> and gain excluded under </w:t>
      </w:r>
      <w:smartTag w:uri="http://www.bna.com/sgml2word/cite" w:element="cite.usc">
        <w:smartTagPr>
          <w:attr w:name="ref" w:val="USC\26\121"/>
        </w:smartTagPr>
        <w:r>
          <w:t>§121</w:t>
        </w:r>
      </w:smartTag>
      <w:r>
        <w:t xml:space="preserve"> from the sale of a principal residence.</w:t>
      </w:r>
      <w:r>
        <w:rPr>
          <w:rStyle w:val="FootnoteReference"/>
        </w:rPr>
        <w:footnoteReference w:id="498"/>
      </w:r>
      <w:r>
        <w:t xml:space="preserve"> Although the regulation includes only two examples, the list of income items excluded from the computation of net investment income under this regulation is much longer. Similar to tax-exempt interest, life insurance proceeds</w:t>
      </w:r>
      <w:r>
        <w:rPr>
          <w:rStyle w:val="FootnoteReference"/>
        </w:rPr>
        <w:footnoteReference w:id="499"/>
      </w:r>
      <w:r>
        <w:t xml:space="preserve"> and income from discharge of indebtedness,</w:t>
      </w:r>
      <w:r>
        <w:rPr>
          <w:rStyle w:val="FootnoteReference"/>
        </w:rPr>
        <w:footnoteReference w:id="500"/>
      </w:r>
      <w:r>
        <w:t xml:space="preserve"> excludable from gross income under </w:t>
      </w:r>
      <w:smartTag w:uri="http://www.bna.com/sgml2word/cite" w:element="cite.usc">
        <w:smartTagPr>
          <w:attr w:name="ref" w:val="USC\26\101"/>
        </w:smartTagPr>
        <w:r>
          <w:t>§101</w:t>
        </w:r>
      </w:smartTag>
      <w:r>
        <w:t xml:space="preserve"> and </w:t>
      </w:r>
      <w:smartTag w:uri="http://www.bna.com/sgml2word/cite" w:element="cite.usc">
        <w:smartTagPr>
          <w:attr w:name="ref" w:val="USC\26\108"/>
        </w:smartTagPr>
        <w:r>
          <w:t>§108</w:t>
        </w:r>
      </w:smartTag>
      <w:r>
        <w:t xml:space="preserve">, respectively, also are Excluded Income. Interest income from U.S. saving bonds used to pay educational expenses that is excluded from gross income by </w:t>
      </w:r>
      <w:smartTag w:uri="http://www.bna.com/sgml2word/cite" w:element="cite.usc">
        <w:smartTagPr>
          <w:attr w:name="ref" w:val="USC\26\135(a)"/>
        </w:smartTagPr>
        <w:r>
          <w:t>§135(a)</w:t>
        </w:r>
      </w:smartTag>
      <w:r>
        <w:t xml:space="preserve"> also is excluded from net investment income.</w:t>
      </w:r>
      <w:r>
        <w:rPr>
          <w:rStyle w:val="FootnoteReference"/>
        </w:rPr>
        <w:footnoteReference w:id="501"/>
      </w:r>
      <w:r>
        <w:t xml:space="preserve"> Similarly, to the extent that a tenant makes improvements on a landlord’s property that are excluded from the landlord’s gross income by reason of </w:t>
      </w:r>
      <w:smartTag w:uri="http://www.bna.com/sgml2word/cite" w:element="cite.usc">
        <w:smartTagPr>
          <w:attr w:name="ref" w:val="USC\26\109"/>
        </w:smartTagPr>
        <w:r>
          <w:t>§109</w:t>
        </w:r>
      </w:smartTag>
      <w:r>
        <w:t xml:space="preserve">, such improvements are Excluded Income and not gross income from rents. Amounts excluded under </w:t>
      </w:r>
      <w:smartTag w:uri="http://www.bna.com/sgml2word/cite" w:element="cite.usc">
        <w:smartTagPr>
          <w:attr w:name="ref" w:val="USC\26\118"/>
        </w:smartTagPr>
        <w:r>
          <w:t>§118</w:t>
        </w:r>
      </w:smartTag>
      <w:r>
        <w:t xml:space="preserve"> by an S corporation, even if the S corporation’s activity is a passive activity to the shareholder, is excluded from the shareholder’s net investment income.</w:t>
      </w:r>
      <w:r>
        <w:rPr>
          <w:rStyle w:val="FootnoteReference"/>
        </w:rPr>
        <w:footnoteReference w:id="502"/>
      </w:r>
    </w:p>
    <w:p w14:paraId="17B42289" w14:textId="77777777" w:rsidR="00494B49" w:rsidRDefault="00494B49">
      <w:pPr>
        <w:pStyle w:val="BNormal"/>
      </w:pPr>
      <w:r>
        <w:rPr>
          <w:i/>
        </w:rPr>
        <w:t>Comment:</w:t>
      </w:r>
      <w:r>
        <w:t xml:space="preserve"> With few exceptions,</w:t>
      </w:r>
      <w:r>
        <w:rPr>
          <w:rStyle w:val="FootnoteReference"/>
        </w:rPr>
        <w:footnoteReference w:id="503"/>
      </w:r>
      <w:r>
        <w:t xml:space="preserve"> the fundamental principle surrounding the definition of net investment income is that an item of income, gain, loss, or deduction cannot be included in net investment income unless it is also taken into account in computing regular taxable income. Reg. </w:t>
      </w:r>
      <w:smartTag w:uri="http://www.bna.com/sgml2word/cite" w:element="cite.cfr">
        <w:smartTagPr>
          <w:attr w:name="ref" w:val="cfr\26\1.1411-1(a)"/>
        </w:smartTagPr>
        <w:r>
          <w:t>§1.1411-1(a)</w:t>
        </w:r>
      </w:smartTag>
      <w:r>
        <w:t xml:space="preserve"> provides that except as otherwise provided, all Code provisions that apply for </w:t>
      </w:r>
      <w:r>
        <w:lastRenderedPageBreak/>
        <w:t xml:space="preserve">Chapter 1 purposes in determining taxable income of a taxpayer also apply in determining the taxpayer’s NIIT. Reg. </w:t>
      </w:r>
      <w:smartTag w:uri="http://www.bna.com/sgml2word/cite" w:element="cite.cfr">
        <w:smartTagPr>
          <w:attr w:name="ref" w:val="cfr\26\1.1411-1(d)(4)(i)"/>
        </w:smartTagPr>
        <w:r>
          <w:t>§1.1411-1(d)(4)(i)</w:t>
        </w:r>
      </w:smartTag>
      <w:r>
        <w:t xml:space="preserve"> embodies this principle with respect to gross income.</w:t>
      </w:r>
    </w:p>
    <w:p w14:paraId="749D92EB" w14:textId="77777777" w:rsidR="00494B49" w:rsidRDefault="00494B49">
      <w:pPr>
        <w:pStyle w:val="BNormal"/>
      </w:pPr>
      <w:r>
        <w:t xml:space="preserve">Even though some income items excluded from gross income in Chapter 1 may have characteristics in common with net investment income, these items are excluded from net investment income. As examples, Excluded Income should include: </w:t>
      </w:r>
    </w:p>
    <w:p w14:paraId="5C1A4791" w14:textId="77777777" w:rsidR="00494B49" w:rsidRDefault="00494B49">
      <w:pPr>
        <w:pStyle w:val="BListitembul"/>
      </w:pPr>
      <w:r>
        <w:t>Nontaxable distributions from §529 plans</w:t>
      </w:r>
      <w:r>
        <w:rPr>
          <w:rStyle w:val="FootnoteReference"/>
        </w:rPr>
        <w:footnoteReference w:id="504"/>
      </w:r>
      <w:r>
        <w:t xml:space="preserve"> and Coverdell Education Savings Accounts.</w:t>
      </w:r>
      <w:r>
        <w:rPr>
          <w:rStyle w:val="FootnoteReference"/>
        </w:rPr>
        <w:footnoteReference w:id="505"/>
      </w:r>
    </w:p>
    <w:p w14:paraId="77386BCD" w14:textId="77777777" w:rsidR="00494B49" w:rsidRDefault="00494B49">
      <w:pPr>
        <w:pStyle w:val="BListitembul"/>
      </w:pPr>
      <w:r>
        <w:t>Nontaxable distributions from Archer MSAs</w:t>
      </w:r>
      <w:r>
        <w:rPr>
          <w:rStyle w:val="FootnoteReference"/>
        </w:rPr>
        <w:footnoteReference w:id="506"/>
      </w:r>
      <w:r>
        <w:t xml:space="preserve"> and Health Savings Accounts.</w:t>
      </w:r>
      <w:r>
        <w:rPr>
          <w:rStyle w:val="FootnoteReference"/>
        </w:rPr>
        <w:footnoteReference w:id="507"/>
      </w:r>
    </w:p>
    <w:p w14:paraId="4A8C876A" w14:textId="77777777" w:rsidR="00494B49" w:rsidRDefault="00494B49">
      <w:pPr>
        <w:pStyle w:val="BListitembul"/>
      </w:pPr>
      <w:r>
        <w:t>Rental income excluded from gross under §280A.</w:t>
      </w:r>
      <w:r>
        <w:rPr>
          <w:rStyle w:val="FootnoteReference"/>
        </w:rPr>
        <w:footnoteReference w:id="508"/>
      </w:r>
    </w:p>
    <w:p w14:paraId="0C33D5BD" w14:textId="77777777" w:rsidR="00494B49" w:rsidRDefault="00494B49">
      <w:pPr>
        <w:pStyle w:val="BNormal"/>
      </w:pPr>
      <w:r>
        <w:t xml:space="preserve">It is also intuitive that other nonrecognition transaction provisions scattered throughout Chapter 1 of the Code also apply to the NIIT regime, such as nontaxable transfers to corporations under </w:t>
      </w:r>
      <w:smartTag w:uri="http://www.bna.com/sgml2word/cite" w:element="cite.usc">
        <w:smartTagPr>
          <w:attr w:name="ref" w:val="USC\26\351"/>
        </w:smartTagPr>
        <w:r>
          <w:t>§351</w:t>
        </w:r>
      </w:smartTag>
      <w:r>
        <w:t xml:space="preserve"> and </w:t>
      </w:r>
      <w:smartTag w:uri="http://www.bna.com/sgml2word/cite" w:element="cite.usc">
        <w:smartTagPr>
          <w:attr w:name="ref" w:val="USC\26\361"/>
        </w:smartTagPr>
        <w:r>
          <w:t>§361</w:t>
        </w:r>
      </w:smartTag>
      <w:r>
        <w:t xml:space="preserve">, contributions to partnerships under </w:t>
      </w:r>
      <w:smartTag w:uri="http://www.bna.com/sgml2word/cite" w:element="cite.usc">
        <w:smartTagPr>
          <w:attr w:name="ref" w:val="USC\26\721"/>
        </w:smartTagPr>
        <w:r>
          <w:t>§721</w:t>
        </w:r>
      </w:smartTag>
      <w:r>
        <w:t xml:space="preserve">, distributions by partnerships to partners under </w:t>
      </w:r>
      <w:smartTag w:uri="http://www.bna.com/sgml2word/cite" w:element="cite.usc">
        <w:smartTagPr>
          <w:attr w:name="ref" w:val="USC\26\731"/>
        </w:smartTagPr>
        <w:r>
          <w:t>§731</w:t>
        </w:r>
      </w:smartTag>
      <w:r>
        <w:t xml:space="preserve"> (except as provided by </w:t>
      </w:r>
      <w:smartTag w:uri="http://www.bna.com/sgml2word/cite" w:element="cite.usc">
        <w:smartTagPr>
          <w:attr w:name="ref" w:val="USC\26\736"/>
        </w:smartTagPr>
        <w:r>
          <w:t>§736</w:t>
        </w:r>
      </w:smartTag>
      <w:r>
        <w:t xml:space="preserve"> and </w:t>
      </w:r>
      <w:smartTag w:uri="http://www.bna.com/sgml2word/cite" w:element="cite.usc">
        <w:smartTagPr>
          <w:attr w:name="ref" w:val="USC\26\751"/>
        </w:smartTagPr>
        <w:r>
          <w:t>§751</w:t>
        </w:r>
      </w:smartTag>
      <w:r>
        <w:t xml:space="preserve">), and distributions from estates and trusts under </w:t>
      </w:r>
      <w:smartTag w:uri="http://www.bna.com/sgml2word/cite" w:element="cite.usc">
        <w:smartTagPr>
          <w:attr w:name="ref" w:val="USC\26\643(e)"/>
        </w:smartTagPr>
        <w:r>
          <w:t>§643(e)</w:t>
        </w:r>
      </w:smartTag>
      <w:r>
        <w:t>.</w:t>
      </w:r>
    </w:p>
    <w:p w14:paraId="3B9B5A2D" w14:textId="77777777" w:rsidR="00494B49" w:rsidRDefault="00494B49">
      <w:pPr>
        <w:pStyle w:val="BHead1"/>
      </w:pPr>
      <w:r>
        <w:t xml:space="preserve">C. Type 2 — Items Not Included in Net Investment Income </w:t>
      </w:r>
    </w:p>
    <w:p w14:paraId="51DF31C2" w14:textId="77777777" w:rsidR="00494B49" w:rsidRDefault="00494B49">
      <w:pPr>
        <w:pStyle w:val="BNormal"/>
      </w:pPr>
      <w:r>
        <w:t xml:space="preserve">Reg. </w:t>
      </w:r>
      <w:smartTag w:uri="http://www.bna.com/sgml2word/cite" w:element="cite.cfr">
        <w:smartTagPr>
          <w:attr w:name="ref" w:val="cfr\26\1.1411-1(d)(4)(ii)"/>
        </w:smartTagPr>
        <w:r>
          <w:t>§1.1411-1(d)(4)(ii)</w:t>
        </w:r>
      </w:smartTag>
      <w:r>
        <w:t xml:space="preserve"> provides that if an item of income is not included in net investment income, as determined under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that item is considered Excluded Income. The regulation lists several examples of this type of Excluded Income, including wages, unemployment compensation, Alaska Permanent Fund Dividends, alimony, and Social Security Benefits.</w:t>
      </w:r>
    </w:p>
    <w:p w14:paraId="7A84CF44" w14:textId="77777777" w:rsidR="00494B49" w:rsidRDefault="00494B49">
      <w:pPr>
        <w:pStyle w:val="BNormal"/>
      </w:pPr>
      <w:r>
        <w:t>These types of Excluded Income may generate the most controversy between taxpayers and the government. Each of the examples listed in the regulation is unique for different reasons.</w:t>
      </w:r>
    </w:p>
    <w:p w14:paraId="54106434" w14:textId="77777777" w:rsidR="00494B49" w:rsidRDefault="00494B49">
      <w:pPr>
        <w:pStyle w:val="BHead2"/>
      </w:pPr>
      <w:r>
        <w:t xml:space="preserve">1. Wages and Other Employee Payments </w:t>
      </w:r>
    </w:p>
    <w:p w14:paraId="13E10C84" w14:textId="77777777" w:rsidR="00494B49" w:rsidRDefault="00494B49">
      <w:pPr>
        <w:pStyle w:val="BNormal"/>
      </w:pPr>
      <w:r>
        <w:t>The term “wages” covers earned income. As a fundamental matter, wages, along with any payments or other benefits received by an employee from an employer, are derived from the trade or business of being an employee. As such, these amounts should not be treated as net investment income even if the amount of the taxable payment or benefit is calculated by reference to nominal interest or other earnings.</w:t>
      </w:r>
    </w:p>
    <w:p w14:paraId="3BA9CD77" w14:textId="77777777" w:rsidR="00494B49" w:rsidRDefault="00494B49">
      <w:pPr>
        <w:pStyle w:val="BNormal"/>
      </w:pPr>
      <w:r>
        <w:t xml:space="preserve">The phrase “wages” should not be read to include only amounts subject to FICA withholding in the year earned. In the case of unfunded nonqualified deferred compensation arrangements, compensation received through such an arrangement generally is not recognized as gross income </w:t>
      </w:r>
      <w:r>
        <w:lastRenderedPageBreak/>
        <w:t>until the employee receives the payment. Note that the treatment of deferred compensation for FICA tax purposes differs markedly from its treatment for income tax purposes.</w:t>
      </w:r>
      <w:r>
        <w:rPr>
          <w:rStyle w:val="FootnoteReference"/>
        </w:rPr>
        <w:footnoteReference w:id="509"/>
      </w:r>
    </w:p>
    <w:p w14:paraId="7C3C19D4" w14:textId="77777777" w:rsidR="00494B49" w:rsidRDefault="00494B49">
      <w:pPr>
        <w:pStyle w:val="BNormal"/>
      </w:pPr>
      <w:r>
        <w:t>Even if a specific Code provision accelerates the deferred payments into income,</w:t>
      </w:r>
      <w:r>
        <w:rPr>
          <w:rStyle w:val="FootnoteReference"/>
        </w:rPr>
        <w:footnoteReference w:id="510"/>
      </w:r>
      <w:r>
        <w:t xml:space="preserve"> the promise to pay any earnings on the amounts previously included in income remains an unfunded promise of the employer. Therefore, in each case the amounts received are derived from the trade or business of being an employee and should not be included in net investment income.</w:t>
      </w:r>
      <w:r>
        <w:rPr>
          <w:rStyle w:val="FootnoteReference"/>
        </w:rPr>
        <w:footnoteReference w:id="511"/>
      </w:r>
    </w:p>
    <w:p w14:paraId="28B7E4C9" w14:textId="77777777" w:rsidR="00494B49" w:rsidRDefault="00494B49">
      <w:pPr>
        <w:pStyle w:val="BHead2"/>
      </w:pPr>
      <w:r>
        <w:t>2. Unemployment Compensation and Social Security Benefits</w:t>
      </w:r>
    </w:p>
    <w:p w14:paraId="31D0B5C8" w14:textId="77777777" w:rsidR="00494B49" w:rsidRDefault="00494B49">
      <w:pPr>
        <w:pStyle w:val="BNormal"/>
      </w:pPr>
      <w:r>
        <w:t xml:space="preserve">Intuitively, and similar to wages, unemployment compensation and Social Security benefits are not considered </w:t>
      </w:r>
      <w:smartTag w:uri="http://www.bna.com/sgml2word/cite" w:element="cite.usc">
        <w:smartTagPr>
          <w:attr w:name="ref" w:val="USC\26\1411"/>
        </w:smartTagPr>
        <w:r>
          <w:t>§1411</w:t>
        </w:r>
      </w:smartTag>
      <w:r>
        <w:t xml:space="preserve"> investment income. The reason for the inclusion of “unemployment compensation” and “Social Security Benefits” in Reg. </w:t>
      </w:r>
      <w:smartTag w:uri="http://www.bna.com/sgml2word/cite" w:element="cite.cfr">
        <w:smartTagPr>
          <w:attr w:name="ref" w:val="cfr\26\1.1411-1(d)(4)(ii)"/>
        </w:smartTagPr>
        <w:r>
          <w:t>§1.1411-1(d)(4)(ii)</w:t>
        </w:r>
      </w:smartTag>
      <w:r>
        <w:t xml:space="preserve"> is similar to the reason for listing wages in the sense that they represent income related to employment. Although the relationship between these income items and employment is a bit more nuanced, the same concept should also apply to taxable disability insurance payments, covenants not to compete, and legal settlements for lost wages.</w:t>
      </w:r>
      <w:r>
        <w:rPr>
          <w:rStyle w:val="FootnoteReference"/>
        </w:rPr>
        <w:footnoteReference w:id="512"/>
      </w:r>
    </w:p>
    <w:p w14:paraId="2EDA8D6D" w14:textId="77777777" w:rsidR="00494B49" w:rsidRDefault="00494B49">
      <w:pPr>
        <w:pStyle w:val="BHead2"/>
      </w:pPr>
      <w:r>
        <w:t xml:space="preserve">3. Alimony </w:t>
      </w:r>
    </w:p>
    <w:p w14:paraId="11706B4A" w14:textId="77777777" w:rsidR="00494B49" w:rsidRDefault="00494B49">
      <w:pPr>
        <w:pStyle w:val="BNormal"/>
      </w:pPr>
      <w:r>
        <w:t>The inclusion of “Alimony” and “Alaska Permanent Fund Dividends” in Excluded Income may be the most unusual specific exclusions from net investment income. Similar to other examples of Excluded Income, the inclusion of alimony as an example of Excluded Income seems intuitive. However, it would seem less so if the dollar amount of alimony was determined, in whole or in part, by the payor’s annual investment income. Additionally, alimony that is fixed in amount and in time could also fit the common definition of an annuity.</w:t>
      </w:r>
    </w:p>
    <w:p w14:paraId="20D09D72" w14:textId="77777777" w:rsidR="00494B49" w:rsidRDefault="00494B49">
      <w:pPr>
        <w:pStyle w:val="BHead2"/>
      </w:pPr>
      <w:r>
        <w:t>4. Alaska Permanent Fund Dividends</w:t>
      </w:r>
    </w:p>
    <w:p w14:paraId="7E34F4A7" w14:textId="77777777" w:rsidR="00494B49" w:rsidRDefault="00494B49">
      <w:pPr>
        <w:pStyle w:val="BNormal"/>
      </w:pPr>
      <w:r>
        <w:t xml:space="preserve">The exclusion of Alaska Permanent Fund Dividends (APFDs) from net investment income may be viewed, at first blush, as applicable only to residents of Alaska; however, the technical reasoning behind this exclusion has nationwide consequences. The logic behind the exclusion is found in </w:t>
      </w:r>
      <w:smartTag w:uri="http://www.bna.com/sgml2word/cite" w:element="cite.agency.doc">
        <w:smartTagPr>
          <w:attr w:name="ref" w:val="IRS\RevRul\90-56"/>
        </w:smartTagPr>
        <w:r>
          <w:t>Rev. Rul. 90-56</w:t>
        </w:r>
      </w:smartTag>
      <w:r>
        <w:t xml:space="preserve">. Although the revenue ruling was issued 20 years before the enactment of </w:t>
      </w:r>
      <w:smartTag w:uri="http://www.bna.com/sgml2word/cite" w:element="cite.usc">
        <w:smartTagPr>
          <w:attr w:name="ref" w:val="USC\26\1411"/>
        </w:smartTagPr>
        <w:r>
          <w:t>§1411</w:t>
        </w:r>
      </w:smartTag>
      <w:r>
        <w:t xml:space="preserve">, it may become the most often cited authority for a taxpayer’s ability to exclude certain items from net investment income. </w:t>
      </w:r>
    </w:p>
    <w:p w14:paraId="509AAD7E" w14:textId="77777777" w:rsidR="00494B49" w:rsidRDefault="00494B49">
      <w:pPr>
        <w:pStyle w:val="BNormal"/>
      </w:pPr>
      <w:smartTag w:uri="http://www.bna.com/sgml2word/cite" w:element="cite.agency.doc">
        <w:smartTagPr>
          <w:attr w:name="ref" w:val="IRS\RevRul\90-56"/>
        </w:smartTagPr>
        <w:r>
          <w:lastRenderedPageBreak/>
          <w:t>Rev. Rul. 90-56</w:t>
        </w:r>
      </w:smartTag>
      <w:r>
        <w:t xml:space="preserve"> considers whether APFDs constitute either “investment income” as defined in </w:t>
      </w:r>
      <w:smartTag w:uri="http://www.bna.com/sgml2word/cite" w:element="cite.usc">
        <w:smartTagPr>
          <w:attr w:name="ref" w:val="USC\26\163(d)(4)(B)"/>
        </w:smartTagPr>
        <w:r>
          <w:t>§163(d)(4)(B)</w:t>
        </w:r>
      </w:smartTag>
      <w:r>
        <w:t xml:space="preserve"> or “passive activity gross income” as defined in Reg. </w:t>
      </w:r>
      <w:smartTag w:uri="http://www.bna.com/sgml2word/cite" w:element="cite.cfr">
        <w:smartTagPr>
          <w:attr w:name="ref" w:val="cfr\26\1.469-2T(c)"/>
        </w:smartTagPr>
        <w:r>
          <w:t>§1.469-2T(c)</w:t>
        </w:r>
      </w:smartTag>
      <w:r>
        <w:t xml:space="preserve">. The ruling concludes that APFDs constitute neither “investment income” as defined in </w:t>
      </w:r>
      <w:smartTag w:uri="http://www.bna.com/sgml2word/cite" w:element="cite.usc">
        <w:smartTagPr>
          <w:attr w:name="ref" w:val="USC\26\163(d)(4)(B)"/>
        </w:smartTagPr>
        <w:r>
          <w:t>§163(d)(4)(B)</w:t>
        </w:r>
      </w:smartTag>
      <w:r>
        <w:t xml:space="preserve"> nor “passive activity gross income” as defined in Reg. </w:t>
      </w:r>
      <w:smartTag w:uri="http://www.bna.com/sgml2word/cite" w:element="cite.cfr">
        <w:smartTagPr>
          <w:attr w:name="ref" w:val="cfr\26\1.469-2T(c)"/>
        </w:smartTagPr>
        <w:r>
          <w:t>§1.469-2T(c)</w:t>
        </w:r>
      </w:smartTag>
      <w:r>
        <w:t>. Although the ultimate holding of the revenue ruling is relatively straightforward, the analysis in the revenue ruling is extremely applicable in the net investment income tax (NIIT) context.</w:t>
      </w:r>
    </w:p>
    <w:p w14:paraId="58FE9A4E" w14:textId="77777777" w:rsidR="00494B49" w:rsidRDefault="00494B49">
      <w:pPr>
        <w:pStyle w:val="BNormal"/>
      </w:pPr>
      <w:r>
        <w:t xml:space="preserve">In arriving at the conclusion that APFDs are not “investment income” as defined in </w:t>
      </w:r>
      <w:smartTag w:uri="http://www.bna.com/sgml2word/cite" w:element="cite.usc">
        <w:smartTagPr>
          <w:attr w:name="ref" w:val="USC\26\163(d)(4)(B)"/>
        </w:smartTagPr>
        <w:r>
          <w:t>§163(d)(4)(B)</w:t>
        </w:r>
      </w:smartTag>
      <w:r>
        <w:t>, the ruling stated that (1) Alaska residents own no interest in the Fund’s assets, because these assets belong to the State of Alaska, and (2) the fact that the distributions are labeled “dividends” is not determinative of their character for purposes of the Internal Revenue Code.</w:t>
      </w:r>
      <w:r>
        <w:rPr>
          <w:rStyle w:val="FootnoteReference"/>
        </w:rPr>
        <w:footnoteReference w:id="513"/>
      </w:r>
      <w:r>
        <w:t xml:space="preserve"> In arriving at the conclusion that APFDs are not “passive activity gross income” as defined in Reg. </w:t>
      </w:r>
      <w:smartTag w:uri="http://www.bna.com/sgml2word/cite" w:element="cite.cfr">
        <w:smartTagPr>
          <w:attr w:name="ref" w:val="cfr\26\1.469-2T(c)"/>
        </w:smartTagPr>
        <w:r>
          <w:t>§1.469-2T(c)</w:t>
        </w:r>
      </w:smartTag>
      <w:r>
        <w:t xml:space="preserve">, the ruling stated that (1) the right to payments from the Alaska Permanent Fund is established, and can only be established, by maintaining residence in Alaska, and (2) maintaining such residence is neither a trade or business activity nor a rental activity. Because </w:t>
      </w:r>
      <w:smartTag w:uri="http://www.bna.com/sgml2word/cite" w:element="cite.usc">
        <w:smartTagPr>
          <w:attr w:name="ref" w:val="USC\26\469(c)"/>
        </w:smartTagPr>
        <w:r>
          <w:t>§469(c)</w:t>
        </w:r>
      </w:smartTag>
      <w:r>
        <w:t xml:space="preserve"> and Reg. </w:t>
      </w:r>
      <w:smartTag w:uri="http://www.bna.com/sgml2word/cite" w:element="cite.cfr">
        <w:smartTagPr>
          <w:attr w:name="ref" w:val="cfr\26\1.469-2T(c)"/>
        </w:smartTagPr>
        <w:r>
          <w:t>§1.469-2T(c)</w:t>
        </w:r>
      </w:smartTag>
      <w:r>
        <w:t xml:space="preserve"> define “passive activity” as a trade or business activity in which the taxpayer does not materially participate, or a rental activity, neither of which apply, payments the residents receive from the State of Alaska are not passive activity gross income.</w:t>
      </w:r>
    </w:p>
    <w:p w14:paraId="3A7292E1" w14:textId="77777777" w:rsidR="00494B49" w:rsidRDefault="00494B49">
      <w:pPr>
        <w:pStyle w:val="BHead1"/>
      </w:pPr>
      <w:r>
        <w:t>D. Type 3 — Items Specifically Excluded by §1411 and §1411 Regulations</w:t>
      </w:r>
    </w:p>
    <w:p w14:paraId="587994D5" w14:textId="77777777" w:rsidR="00494B49" w:rsidRDefault="00494B49">
      <w:pPr>
        <w:pStyle w:val="BNormal"/>
      </w:pPr>
      <w:r>
        <w:t xml:space="preserve">The third type of Excluded Income includes items of gross income and net gain that are specifically excluded from the computation of net investment income by </w:t>
      </w:r>
      <w:smartTag w:uri="http://www.bna.com/sgml2word/cite" w:element="cite.usc">
        <w:smartTagPr>
          <w:attr w:name="ref" w:val="USC\26\1411"/>
        </w:smartTagPr>
        <w:r>
          <w:t>§1411</w:t>
        </w:r>
      </w:smartTag>
      <w:r>
        <w:t>, the 2013 Final Regulations or other guidance published in the Internal Revenue Bulletin.</w:t>
      </w:r>
      <w:r>
        <w:rPr>
          <w:rStyle w:val="FootnoteReference"/>
        </w:rPr>
        <w:footnoteReference w:id="514"/>
      </w:r>
      <w:r>
        <w:t xml:space="preserve"> As examples, such regulations list:</w:t>
      </w:r>
    </w:p>
    <w:p w14:paraId="4B4F9A14" w14:textId="77777777" w:rsidR="00494B49" w:rsidRDefault="00494B49">
      <w:pPr>
        <w:pStyle w:val="BListitembul"/>
      </w:pPr>
      <w:r>
        <w:t>gains from the disposition of property used in a non-§1411(c)(2) trade or business (which are specifically excluded under Reg. §1.1411-4(d)(4)(i)) (discussed in III.D.7.III.D.7., above);</w:t>
      </w:r>
    </w:p>
    <w:p w14:paraId="47D6BDEB" w14:textId="77777777" w:rsidR="00494B49" w:rsidRDefault="00494B49">
      <w:pPr>
        <w:pStyle w:val="BListitembul"/>
      </w:pPr>
      <w:r>
        <w:t xml:space="preserve">distributions from certain qualified plans (which are specifically excluded under §1411(c)(5) and Reg. §1.1411-8) (discussed in IV.D.1.IV.D.1., below); </w:t>
      </w:r>
    </w:p>
    <w:p w14:paraId="1440B33F" w14:textId="77777777" w:rsidR="00494B49" w:rsidRDefault="00494B49">
      <w:pPr>
        <w:pStyle w:val="BListitembul"/>
      </w:pPr>
      <w:r>
        <w:t>income taken into account in determining self-employment income subject to tax under §1401(b) (which is specifically excluded under §1411(c)(6) and Reg. §1.1411-9) (discussed in IV.D.2.IV.D.2., below); and</w:t>
      </w:r>
    </w:p>
    <w:p w14:paraId="11292752" w14:textId="77777777" w:rsidR="00494B49" w:rsidRDefault="00494B49">
      <w:pPr>
        <w:pStyle w:val="BListitembul"/>
      </w:pPr>
      <w:r>
        <w:t xml:space="preserve"> §951(a) inclusions from a CFC for which a Reg. §1.1411-10(g) election is not in effect (discussed in VII.VII., below). </w:t>
      </w:r>
    </w:p>
    <w:p w14:paraId="72D62770" w14:textId="77777777" w:rsidR="00494B49" w:rsidRDefault="00494B49">
      <w:pPr>
        <w:pStyle w:val="BNormal"/>
      </w:pPr>
      <w:r>
        <w:t xml:space="preserve">In addition, gross income from interest, dividends, annuities, royalties and rents is specifically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if it is derived in the ordinary course of a non-</w:t>
      </w:r>
      <w:smartTag w:uri="http://www.bna.com/sgml2word/cite" w:element="cite.usc">
        <w:smartTagPr>
          <w:attr w:name="ref" w:val="USC\26\1411(c)(2)"/>
        </w:smartTagPr>
        <w:r>
          <w:t>§1411(c)(2)</w:t>
        </w:r>
      </w:smartTag>
      <w:r>
        <w:t xml:space="preserve"> trade or business (as discussed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above). Also, certain gains (or losses) from the disposition of interests in partnerships or S corporations are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4)"/>
        </w:smartTagPr>
        <w:r>
          <w:t>§1411(c)(4)</w:t>
        </w:r>
      </w:smartTag>
      <w:r>
        <w:t xml:space="preserve"> (discussed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1CB3EBCD" w14:textId="77777777" w:rsidR="00494B49" w:rsidRDefault="00494B49">
      <w:pPr>
        <w:pStyle w:val="BNormal"/>
      </w:pPr>
      <w:r>
        <w:rPr>
          <w:i/>
        </w:rPr>
        <w:lastRenderedPageBreak/>
        <w:t>Comment:</w:t>
      </w:r>
      <w:r>
        <w:t xml:space="preserve"> Note the subtle difference between the Reg. </w:t>
      </w:r>
      <w:smartTag w:uri="http://www.bna.com/sgml2word/cite" w:element="cite.cfr">
        <w:smartTagPr>
          <w:attr w:name="ref" w:val="cfr\26\1.1411-1(d)(4)(ii)"/>
        </w:smartTagPr>
        <w:r>
          <w:t>§1.1411-1(d)(4)(ii)</w:t>
        </w:r>
      </w:smartTag>
      <w:r>
        <w:t xml:space="preserve"> type of Excluded Income (items of income </w:t>
      </w:r>
      <w:r>
        <w:rPr>
          <w:i/>
        </w:rPr>
        <w:t>not included</w:t>
      </w:r>
      <w:r>
        <w:t xml:space="preserve"> in net investment income) and the Reg. </w:t>
      </w:r>
      <w:smartTag w:uri="http://www.bna.com/sgml2word/cite" w:element="cite.cfr">
        <w:smartTagPr>
          <w:attr w:name="ref" w:val="cfr\26\1.1411-1(d)(4)(iii)"/>
        </w:smartTagPr>
        <w:r>
          <w:t>§1.1411-1(d)(4)(iii)</w:t>
        </w:r>
      </w:smartTag>
      <w:r>
        <w:t xml:space="preserve"> type of Excluded Income (items of gross income and net gain </w:t>
      </w:r>
      <w:r>
        <w:rPr>
          <w:i/>
        </w:rPr>
        <w:t>specifically excluded</w:t>
      </w:r>
      <w:r>
        <w:t xml:space="preserve"> from net investment income). The type described in Reg. </w:t>
      </w:r>
      <w:smartTag w:uri="http://www.bna.com/sgml2word/cite" w:element="cite.cfr">
        <w:smartTagPr>
          <w:attr w:name="ref" w:val="cfr\26\1.1411-1(d)(4)(ii)"/>
        </w:smartTagPr>
        <w:r>
          <w:t>§1.1411-1(d)(4)(ii)</w:t>
        </w:r>
      </w:smartTag>
      <w:r>
        <w:t xml:space="preserve"> refers to items that fall outside of the definitional requirements of net investment income, as detailed in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xml:space="preserve">. The type described in Reg. </w:t>
      </w:r>
      <w:smartTag w:uri="http://www.bna.com/sgml2word/cite" w:element="cite.cfr">
        <w:smartTagPr>
          <w:attr w:name="ref" w:val="cfr\26\1.1411-1(d)(4)(iii)"/>
        </w:smartTagPr>
        <w:r>
          <w:t>§1.1411-1(d)(4)(iii)</w:t>
        </w:r>
      </w:smartTag>
      <w:r>
        <w:t xml:space="preserve"> refers to items that </w:t>
      </w:r>
      <w:smartTag w:uri="http://www.bna.com/sgml2word/cite" w:element="cite.usc">
        <w:smartTagPr>
          <w:attr w:name="ref" w:val="USC\26\1411"/>
        </w:smartTagPr>
        <w:r>
          <w:t>§1411</w:t>
        </w:r>
      </w:smartTag>
      <w:r>
        <w:t xml:space="preserve"> specifically states are excluded from net investment income.</w:t>
      </w:r>
    </w:p>
    <w:p w14:paraId="3D69D18B" w14:textId="77777777" w:rsidR="00494B49" w:rsidRDefault="00494B49">
      <w:pPr>
        <w:pStyle w:val="BHead2"/>
      </w:pPr>
      <w:r>
        <w:t xml:space="preserve">1. Distributions from Qualified Plans — §1411(c)(5) </w:t>
      </w:r>
    </w:p>
    <w:p w14:paraId="1F989292" w14:textId="77777777" w:rsidR="00494B49" w:rsidRDefault="00494B49">
      <w:pPr>
        <w:pStyle w:val="BNormal"/>
      </w:pPr>
      <w:smartTag w:uri="http://www.bna.com/sgml2word/cite" w:element="cite.usc">
        <w:smartTagPr>
          <w:attr w:name="ref" w:val="USC\26\1411(c)(5)"/>
        </w:smartTagPr>
        <w:r>
          <w:t>Section 1411(c)(5)</w:t>
        </w:r>
      </w:smartTag>
      <w:r>
        <w:t xml:space="preserve"> provides that net investment income does not include any distribution from the following plans or arrangements: </w:t>
      </w:r>
    </w:p>
    <w:p w14:paraId="3B3BB30C" w14:textId="77777777" w:rsidR="00494B49" w:rsidRDefault="00494B49">
      <w:pPr>
        <w:pStyle w:val="BListitemorig"/>
      </w:pPr>
      <w:r>
        <w:t>(1) a qualified pension, stock bonus, or profit-sharing plan under §401(a);</w:t>
      </w:r>
    </w:p>
    <w:p w14:paraId="7C509C30" w14:textId="77777777" w:rsidR="00494B49" w:rsidRDefault="00494B49">
      <w:pPr>
        <w:pStyle w:val="BListitemorig"/>
      </w:pPr>
      <w:r>
        <w:t xml:space="preserve">(2) a qualified annuity plan under §403(a); </w:t>
      </w:r>
    </w:p>
    <w:p w14:paraId="3B84CC8F" w14:textId="77777777" w:rsidR="00494B49" w:rsidRDefault="00494B49">
      <w:pPr>
        <w:pStyle w:val="BListitemorig"/>
      </w:pPr>
      <w:r>
        <w:t xml:space="preserve">(3) a tax-sheltered annuity under §403(b); </w:t>
      </w:r>
    </w:p>
    <w:p w14:paraId="70A84BCF" w14:textId="77777777" w:rsidR="00494B49" w:rsidRDefault="00494B49">
      <w:pPr>
        <w:pStyle w:val="BListitemorig"/>
      </w:pPr>
      <w:r>
        <w:t xml:space="preserve">(4) an individual retirement account (IRA) under §408; </w:t>
      </w:r>
    </w:p>
    <w:p w14:paraId="03713771" w14:textId="77777777" w:rsidR="00494B49" w:rsidRDefault="00494B49">
      <w:pPr>
        <w:pStyle w:val="BListitemorig"/>
      </w:pPr>
      <w:r>
        <w:t xml:space="preserve">(5) a Roth IRA under §408A; or </w:t>
      </w:r>
    </w:p>
    <w:p w14:paraId="2968AB9D" w14:textId="77777777" w:rsidR="00494B49" w:rsidRDefault="00494B49">
      <w:pPr>
        <w:pStyle w:val="BListitemorig"/>
      </w:pPr>
      <w:r>
        <w:t>(6) a deferred compensation plan of a state and local government or a tax-exempt organization under §457(b).</w:t>
      </w:r>
      <w:r>
        <w:rPr>
          <w:rStyle w:val="FootnoteReference"/>
        </w:rPr>
        <w:footnoteReference w:id="515"/>
      </w:r>
    </w:p>
    <w:p w14:paraId="2F8C7D67" w14:textId="77777777" w:rsidR="00494B49" w:rsidRDefault="00494B49">
      <w:pPr>
        <w:pStyle w:val="BNormal"/>
      </w:pPr>
      <w:r>
        <w:t xml:space="preserve">Reg. </w:t>
      </w:r>
      <w:smartTag w:uri="http://www.bna.com/sgml2word/cite" w:element="cite.cfr">
        <w:smartTagPr>
          <w:attr w:name="ref" w:val="cfr\26\1.1411-8(a)"/>
        </w:smartTagPr>
        <w:r>
          <w:t>§1.1411-8(a)</w:t>
        </w:r>
      </w:smartTag>
      <w:r>
        <w:t xml:space="preserve"> mirrors the statutory exceptions. Reg. </w:t>
      </w:r>
      <w:smartTag w:uri="http://www.bna.com/sgml2word/cite" w:element="cite.cfr">
        <w:smartTagPr>
          <w:attr w:name="ref" w:val="cfr\26\1.1411-8(b)"/>
        </w:smartTagPr>
        <w:r>
          <w:t>§1.1411-8(b)</w:t>
        </w:r>
      </w:smartTag>
      <w:r>
        <w:t xml:space="preserve"> applies the general principles enumerated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a)"/>
        </w:smartTagPr>
        <w:r>
          <w:t>§1.1411-8(a)</w:t>
        </w:r>
      </w:smartTag>
      <w:r>
        <w:t xml:space="preserve"> to common situations.</w:t>
      </w:r>
    </w:p>
    <w:p w14:paraId="3BB3AA51" w14:textId="77777777" w:rsidR="00494B49" w:rsidRDefault="00494B49">
      <w:pPr>
        <w:pStyle w:val="BNormal"/>
      </w:pPr>
      <w:r>
        <w:t xml:space="preserve">First, the 2013 Final Regulations provide that, for purposes of calculating net investment income, any amount actually distributed from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16"/>
      </w:r>
      <w:r>
        <w:t xml:space="preserve"> The regulations provide examples of actual distributions, including a rollover to an eligible retirement plan within the meaning of </w:t>
      </w:r>
      <w:smartTag w:uri="http://www.bna.com/sgml2word/cite" w:element="cite.usc">
        <w:smartTagPr>
          <w:attr w:name="ref" w:val="USC\26\402(c)(8)(B)"/>
        </w:smartTagPr>
        <w:r>
          <w:t>§402(c)(8)(B)</w:t>
        </w:r>
      </w:smartTag>
      <w:r>
        <w:t xml:space="preserve">, a distribution of a plan offset amount within the meaning of Q&amp;A-13(b) of Reg. </w:t>
      </w:r>
      <w:smartTag w:uri="http://www.bna.com/sgml2word/cite" w:element="cite.cfr">
        <w:smartTagPr>
          <w:attr w:name="ref" w:val="cfr\26\1.72(p)-1"/>
        </w:smartTagPr>
        <w:r>
          <w:t>§1.72(p)-1</w:t>
        </w:r>
      </w:smartTag>
      <w:r>
        <w:t>, and “corrective distributions”</w:t>
      </w:r>
      <w:r>
        <w:rPr>
          <w:rStyle w:val="FootnoteReference"/>
        </w:rPr>
        <w:footnoteReference w:id="517"/>
      </w:r>
      <w:r>
        <w:t xml:space="preserve"> from a qualified plan or arrangement to maintain its tax-favored status.</w:t>
      </w:r>
      <w:r>
        <w:rPr>
          <w:rStyle w:val="FootnoteReference"/>
        </w:rPr>
        <w:footnoteReference w:id="518"/>
      </w:r>
    </w:p>
    <w:p w14:paraId="7699AD5B" w14:textId="77777777" w:rsidR="00494B49" w:rsidRDefault="00494B49">
      <w:pPr>
        <w:pStyle w:val="BNormal"/>
      </w:pPr>
      <w:r>
        <w:t xml:space="preserve">The 2013 Final Regulations provide that amounts deemed to be distributions for purposes of regular income tax are distributions for purposes of </w:t>
      </w:r>
      <w:smartTag w:uri="http://www.bna.com/sgml2word/cite" w:element="cite.usc">
        <w:smartTagPr>
          <w:attr w:name="ref" w:val="USC\26\1411(c)(5)"/>
        </w:smartTagPr>
        <w:r>
          <w:t>§1411(c)(5)</w:t>
        </w:r>
      </w:smartTag>
      <w:r>
        <w:t xml:space="preserve">, even if they are not treated as actual distributions for purposes of the qualification requirements under </w:t>
      </w:r>
      <w:smartTag w:uri="http://www.bna.com/sgml2word/cite" w:element="cite.usc">
        <w:smartTagPr>
          <w:attr w:name="ref" w:val="USC\26\401(a)"/>
        </w:smartTagPr>
        <w:r>
          <w:t>§401(a)</w:t>
        </w:r>
      </w:smartTag>
      <w:r>
        <w:t>.</w:t>
      </w:r>
      <w:r>
        <w:rPr>
          <w:rStyle w:val="FootnoteReference"/>
        </w:rPr>
        <w:footnoteReference w:id="519"/>
      </w:r>
      <w:r>
        <w:t xml:space="preserve"> Additionally, any amount that is not treated as a distribution but is otherwise includible in gross income </w:t>
      </w:r>
      <w:r>
        <w:lastRenderedPageBreak/>
        <w:t xml:space="preserve">pursuant to a rule relating to amounts held in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0"/>
      </w:r>
    </w:p>
    <w:p w14:paraId="009C644A" w14:textId="77777777" w:rsidR="00494B49" w:rsidRDefault="00494B49">
      <w:pPr>
        <w:pStyle w:val="BNormal"/>
      </w:pPr>
      <w:r>
        <w:t xml:space="preserve">Reg. </w:t>
      </w:r>
      <w:smartTag w:uri="http://www.bna.com/sgml2word/cite" w:element="cite.cfr">
        <w:smartTagPr>
          <w:attr w:name="ref" w:val="cfr\26\1.1411-8(b)(4)(i)"/>
        </w:smartTagPr>
        <w:r>
          <w:t>§1.1411-8(b)(4)(i)</w:t>
        </w:r>
      </w:smartTag>
      <w:r>
        <w:t xml:space="preserve"> provides that any dividend that is deductible under </w:t>
      </w:r>
      <w:smartTag w:uri="http://www.bna.com/sgml2word/cite" w:element="cite.usc">
        <w:smartTagPr>
          <w:attr w:name="ref" w:val="USC\26\404(k)"/>
        </w:smartTagPr>
        <w:r>
          <w:t>§404(k)</w:t>
        </w:r>
      </w:smartTag>
      <w:r>
        <w:rPr>
          <w:rStyle w:val="FootnoteReference"/>
        </w:rPr>
        <w:footnoteReference w:id="521"/>
      </w:r>
      <w:r>
        <w:t xml:space="preserve"> and is paid in cash directly to a plan participant or beneficiary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2"/>
      </w:r>
      <w:r>
        <w:t xml:space="preserve"> However, the exclusion does not apply to amounts paid as a dividend after the employer securities have been distributed from a qualified plan.</w:t>
      </w:r>
      <w:r>
        <w:rPr>
          <w:rStyle w:val="FootnoteReference"/>
        </w:rPr>
        <w:footnoteReference w:id="523"/>
      </w:r>
    </w:p>
    <w:p w14:paraId="0AC01179" w14:textId="77777777" w:rsidR="00494B49" w:rsidRDefault="00494B49">
      <w:pPr>
        <w:pStyle w:val="BNormal"/>
      </w:pPr>
      <w:r>
        <w:t xml:space="preserve">Reg. </w:t>
      </w:r>
      <w:smartTag w:uri="http://www.bna.com/sgml2word/cite" w:element="cite.cfr">
        <w:smartTagPr>
          <w:attr w:name="ref" w:val="cfr\26\1.1411-8(b)(4)(ii)"/>
        </w:smartTagPr>
        <w:r>
          <w:t>§1.1411-8(b)(4)(ii)</w:t>
        </w:r>
      </w:smartTag>
      <w:r>
        <w:t xml:space="preserve"> addresses the net unrealized appreciation (NUA) realized on a disposition of employer securities that occurs after the securities were distributed from a qualified plan.</w:t>
      </w:r>
      <w:r>
        <w:rPr>
          <w:rStyle w:val="FootnoteReference"/>
        </w:rPr>
        <w:footnoteReference w:id="524"/>
      </w:r>
      <w:r>
        <w:t xml:space="preserve"> The regulation provides that any NUA in employer securities that is realized in a disposition of those employer securities is a distribution within the meaning of </w:t>
      </w:r>
      <w:smartTag w:uri="http://www.bna.com/sgml2word/cite" w:element="cite.usc">
        <w:smartTagPr>
          <w:attr w:name="ref" w:val="USC\26\1411(c)(5)"/>
        </w:smartTagPr>
        <w:r>
          <w:t>§1411(c)(5)</w:t>
        </w:r>
      </w:smartTag>
      <w:r>
        <w:t xml:space="preserve">, and, therefore, is not included in net investment income. However, similar to the rule for </w:t>
      </w:r>
      <w:smartTag w:uri="http://www.bna.com/sgml2word/cite" w:element="cite.usc">
        <w:smartTagPr>
          <w:attr w:name="ref" w:val="USC\26\404(k)"/>
        </w:smartTagPr>
        <w:r>
          <w:t>§404(k)</w:t>
        </w:r>
      </w:smartTag>
      <w:r>
        <w:t xml:space="preserve"> dividends, the regulation provides that any appreciation in value that occurs subsequent to the distribution of the employer securities from a qualified plan is included in net investment income when realized.</w:t>
      </w:r>
      <w:r>
        <w:rPr>
          <w:rStyle w:val="FootnoteReference"/>
        </w:rPr>
        <w:footnoteReference w:id="525"/>
      </w:r>
    </w:p>
    <w:p w14:paraId="056B1758" w14:textId="77777777" w:rsidR="00494B49" w:rsidRDefault="00494B49">
      <w:pPr>
        <w:pStyle w:val="BNormal"/>
      </w:pPr>
      <w:r>
        <w:rPr>
          <w:i/>
        </w:rPr>
        <w:t>Comment:</w:t>
      </w:r>
      <w:r>
        <w:t xml:space="preserve"> Although distributions from qualified plans or arrangements are not includible in net investment income by reason of </w:t>
      </w:r>
      <w:smartTag w:uri="http://www.bna.com/sgml2word/cite" w:element="cite.usc">
        <w:smartTagPr>
          <w:attr w:name="ref" w:val="USC\26\1411(c)(5)"/>
        </w:smartTagPr>
        <w:r>
          <w:t>§1411(c)(5)</w:t>
        </w:r>
      </w:smartTag>
      <w:r>
        <w:t xml:space="preserve">, distributions from a qualified plan or arrangement that are includible in gross income under Chapter 1 are taken into account in determining the taxpayer’s modified adjusted gross income or adjusted gross income for purposes of calculating the amount subject to tax under </w:t>
      </w:r>
      <w:smartTag w:uri="http://www.bna.com/sgml2word/cite" w:element="cite.usc">
        <w:smartTagPr>
          <w:attr w:name="ref" w:val="USC\26\1411(a)(1)(B)"/>
        </w:smartTagPr>
        <w:r>
          <w:t>§1411(a)(1)(B)</w:t>
        </w:r>
      </w:smartTag>
      <w:r>
        <w:t xml:space="preserve"> or </w:t>
      </w:r>
      <w:smartTag w:uri="http://www.bna.com/sgml2word/cite" w:element="cite.usc">
        <w:smartTagPr>
          <w:attr w:name="ref" w:val="USC\26\1411(a)(2)(B)"/>
        </w:smartTagPr>
        <w:r>
          <w:t>§1411(a)(2)(B)</w:t>
        </w:r>
      </w:smartTag>
      <w:r>
        <w:t>.</w:t>
      </w:r>
    </w:p>
    <w:p w14:paraId="786B356A" w14:textId="77777777" w:rsidR="00494B49" w:rsidRDefault="00494B49">
      <w:pPr>
        <w:pStyle w:val="BHead2"/>
      </w:pPr>
      <w:r>
        <w:t>2. Section 1411(c)(6) — Earnings Subject to Self-Employment Tax</w:t>
      </w:r>
    </w:p>
    <w:p w14:paraId="43ED0CAB" w14:textId="77777777" w:rsidR="00494B49" w:rsidRDefault="00494B49">
      <w:pPr>
        <w:pStyle w:val="BHead3"/>
      </w:pPr>
      <w:r>
        <w:t>a. General Rule — Excluded Income</w:t>
      </w:r>
    </w:p>
    <w:p w14:paraId="780BE697" w14:textId="77777777" w:rsidR="00494B49" w:rsidRDefault="00494B49">
      <w:pPr>
        <w:pStyle w:val="BNormal"/>
      </w:pPr>
      <w:smartTag w:uri="http://www.bna.com/sgml2word/cite" w:element="cite.usc">
        <w:smartTagPr>
          <w:attr w:name="ref" w:val="USC\26\1411(c)(6)"/>
        </w:smartTagPr>
        <w:r>
          <w:t>Section 1411(c)(6)</w:t>
        </w:r>
      </w:smartTag>
      <w:r>
        <w:t xml:space="preserve"> and Reg. </w:t>
      </w:r>
      <w:smartTag w:uri="http://www.bna.com/sgml2word/cite" w:element="cite.cfr">
        <w:smartTagPr>
          <w:attr w:name="ref" w:val="cfr\26\1.1411-9"/>
        </w:smartTagPr>
        <w:r>
          <w:t>§1.1411-9</w:t>
        </w:r>
      </w:smartTag>
      <w:r>
        <w:t xml:space="preserve"> provide that net investment income does not include any item taken into account in determining self-employment income for such tax year on which a tax </w:t>
      </w:r>
      <w:r>
        <w:lastRenderedPageBreak/>
        <w:t xml:space="preserve">is imposed by </w:t>
      </w:r>
      <w:smartTag w:uri="http://www.bna.com/sgml2word/cite" w:element="cite.usc">
        <w:smartTagPr>
          <w:attr w:name="ref" w:val="USC\26\1401(b)"/>
        </w:smartTagPr>
        <w:r>
          <w:t>§1401(b)</w:t>
        </w:r>
      </w:smartTag>
      <w:r>
        <w:t xml:space="preserve">. For a detailed discussion of the self-employment tax, see </w:t>
      </w:r>
      <w:smartTag w:uri="http://www.bna.com/sgml2word/cite" w:element="cite.bna.reference">
        <w:smartTagPr>
          <w:attr w:name="bna.id.ref" w:val="TM\392"/>
        </w:smartTagPr>
        <w:r>
          <w:t>392</w:t>
        </w:r>
      </w:smartTag>
      <w:r>
        <w:t xml:space="preserve"> T.M., </w:t>
      </w:r>
      <w:r>
        <w:rPr>
          <w:i/>
        </w:rPr>
        <w:t>Withholding, Social Security and Unemployment Taxes on Compensation.</w:t>
      </w:r>
    </w:p>
    <w:p w14:paraId="7B9A3353" w14:textId="77777777" w:rsidR="00494B49" w:rsidRDefault="00494B49">
      <w:pPr>
        <w:pStyle w:val="BNormal"/>
      </w:pPr>
      <w:r>
        <w:t xml:space="preserve">Under Reg. </w:t>
      </w:r>
      <w:smartTag w:uri="http://www.bna.com/sgml2word/cite" w:element="cite.cfr">
        <w:smartTagPr>
          <w:attr w:name="ref" w:val="cfr\26\1.1411-9(a)"/>
        </w:smartTagPr>
        <w:r>
          <w:t>§1.1411-9(a)</w:t>
        </w:r>
      </w:smartTag>
      <w:r>
        <w:t xml:space="preserve">,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NESE under </w:t>
      </w:r>
      <w:smartTag w:uri="http://www.bna.com/sgml2word/cite" w:element="cite.usc">
        <w:smartTagPr>
          <w:attr w:name="ref" w:val="USC\26\1402(a)"/>
        </w:smartTagPr>
        <w:r>
          <w:t>§1402(a)</w:t>
        </w:r>
      </w:smartTag>
      <w:r>
        <w:t xml:space="preserve"> for purposes of determining self-employment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In addition to the provision regarding the application of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the regulation also further clarifies the concept of an “item taken into account” by describing such an item as encompassing both “income included” and “deductions allowed.” By specifically referring to income “included,” it is clear that income </w:t>
      </w:r>
      <w:r>
        <w:rPr>
          <w:i/>
        </w:rPr>
        <w:t xml:space="preserve">not </w:t>
      </w:r>
      <w:r>
        <w:t xml:space="preserve">included in the </w:t>
      </w:r>
      <w:smartTag w:uri="http://www.bna.com/sgml2word/cite" w:element="cite.usc">
        <w:smartTagPr>
          <w:attr w:name="ref" w:val="USC\26\1402"/>
        </w:smartTagPr>
        <w:r>
          <w:t>§1402</w:t>
        </w:r>
      </w:smartTag>
      <w:r>
        <w:t xml:space="preserve"> tax base may be included in net investment income.</w:t>
      </w:r>
    </w:p>
    <w:p w14:paraId="65AFFCBF" w14:textId="77777777" w:rsidR="00494B49" w:rsidRDefault="00494B49">
      <w:pPr>
        <w:pStyle w:val="BNormal"/>
      </w:pPr>
      <w:r>
        <w:rPr>
          <w:i/>
        </w:rPr>
        <w:t>Comment:</w:t>
      </w:r>
      <w:r>
        <w:t xml:space="preserve"> At its core, </w:t>
      </w:r>
      <w:smartTag w:uri="http://www.bna.com/sgml2word/cite" w:element="cite.usc">
        <w:smartTagPr>
          <w:attr w:name="ref" w:val="USC\26\1411(c)(6)"/>
        </w:smartTagPr>
        <w:r>
          <w:t>§1411(c)(6)</w:t>
        </w:r>
      </w:smartTag>
      <w:r>
        <w:t xml:space="preserve"> is essentially a tie-breaker rule that provides that if the same item of income or deduction is included in both net investment income under </w:t>
      </w:r>
      <w:smartTag w:uri="http://www.bna.com/sgml2word/cite" w:element="cite.usc">
        <w:smartTagPr>
          <w:attr w:name="ref" w:val="USC\26\1411(c)"/>
        </w:smartTagPr>
        <w:r>
          <w:t>§1411(c)</w:t>
        </w:r>
      </w:smartTag>
      <w:r>
        <w:t xml:space="preserve"> and the </w:t>
      </w:r>
      <w:smartTag w:uri="http://www.bna.com/sgml2word/cite" w:element="cite.usc">
        <w:smartTagPr>
          <w:attr w:name="ref" w:val="USC\26\1402"/>
        </w:smartTagPr>
        <w:r>
          <w:t>§1402</w:t>
        </w:r>
      </w:smartTag>
      <w:r>
        <w:t xml:space="preserve"> tax base, then the tie is broken in favor of including the income or deduction in the </w:t>
      </w:r>
      <w:smartTag w:uri="http://www.bna.com/sgml2word/cite" w:element="cite.usc">
        <w:smartTagPr>
          <w:attr w:name="ref" w:val="USC\26\1402"/>
        </w:smartTagPr>
        <w:r>
          <w:t>§1402</w:t>
        </w:r>
      </w:smartTag>
      <w:r>
        <w:t xml:space="preserve"> tax base and excluding the same from net investment income. In other words, the rule in Reg. </w:t>
      </w:r>
      <w:smartTag w:uri="http://www.bna.com/sgml2word/cite" w:element="cite.cfr">
        <w:smartTagPr>
          <w:attr w:name="ref" w:val="cfr\26\1.1411-9(a)"/>
        </w:smartTagPr>
        <w:r>
          <w:t>§1.1411-9(a)</w:t>
        </w:r>
      </w:smartTag>
      <w:r>
        <w:t xml:space="preserve"> provides that only items that are included in the calculation of the </w:t>
      </w:r>
      <w:smartTag w:uri="http://www.bna.com/sgml2word/cite" w:element="cite.usc">
        <w:smartTagPr>
          <w:attr w:name="ref" w:val="USC\26\1401"/>
        </w:smartTagPr>
        <w:r>
          <w:t>§1401</w:t>
        </w:r>
      </w:smartTag>
      <w:r>
        <w:t xml:space="preserve"> liability on Form </w:t>
      </w:r>
      <w:smartTag w:uri="http://www.bna.com/sgml2word/cite" w:element="cite.fed.form">
        <w:smartTagPr>
          <w:attr w:name="ref" w:val="irs\form1040"/>
        </w:smartTagPr>
        <w:r>
          <w:t>1040</w:t>
        </w:r>
      </w:smartTag>
      <w:r>
        <w:t xml:space="preserve">, Schedule SE are excluded from net investment income. Thus, </w:t>
      </w:r>
      <w:smartTag w:uri="http://www.bna.com/sgml2word/cite" w:element="cite.usc">
        <w:smartTagPr>
          <w:attr w:name="ref" w:val="USC\26\1411(c)(6)"/>
        </w:smartTagPr>
        <w:r>
          <w:t>§1411(c)(6)</w:t>
        </w:r>
      </w:smartTag>
      <w:r>
        <w:t xml:space="preserve"> is often referred to as the “SECA tie-breaker rule.”</w:t>
      </w:r>
    </w:p>
    <w:p w14:paraId="2B80267F" w14:textId="77777777" w:rsidR="00494B49" w:rsidRDefault="00494B49">
      <w:pPr>
        <w:pStyle w:val="BNormal"/>
      </w:pPr>
      <w:r>
        <w:t xml:space="preserve">The general reliance on the words “taken into account” is aimed at preventing, to the extent possible, avoidance of both net investment income tax (NIIT) and Self-Employed Contributions Act (SECA) on the same income. For example, if an individual taxpayer has $90,000 of trade or business income, but $1,000 of the income is attributable to the sale of a capital asset (which is excluded from NESE under </w:t>
      </w:r>
      <w:smartTag w:uri="http://www.bna.com/sgml2word/cite" w:element="cite.usc">
        <w:smartTagPr>
          <w:attr w:name="ref" w:val="USC\26\1402(a)(3)(A)"/>
        </w:smartTagPr>
        <w:r>
          <w:t>§1402(a)(3)(A)</w:t>
        </w:r>
      </w:smartTag>
      <w:r>
        <w:t xml:space="preserve">), the taxpayer only pays the tax imposed by </w:t>
      </w:r>
      <w:smartTag w:uri="http://www.bna.com/sgml2word/cite" w:element="cite.usc">
        <w:smartTagPr>
          <w:attr w:name="ref" w:val="USC\26\1401"/>
        </w:smartTagPr>
        <w:r>
          <w:t>§1401</w:t>
        </w:r>
      </w:smartTag>
      <w:r>
        <w:t xml:space="preserve"> on $89,000. If the rule did not carve out the $1,000 from the </w:t>
      </w:r>
      <w:smartTag w:uri="http://www.bna.com/sgml2word/cite" w:element="cite.usc">
        <w:smartTagPr>
          <w:attr w:name="ref" w:val="USC\26\1411(c)(6)"/>
        </w:smartTagPr>
        <w:r>
          <w:t>§1411(c)(6)</w:t>
        </w:r>
      </w:smartTag>
      <w:r>
        <w:t xml:space="preserve"> exception, the sale of the capital asset would be subject to neither SECA tax nor NIIT.</w:t>
      </w:r>
      <w:r>
        <w:rPr>
          <w:rStyle w:val="FootnoteReference"/>
        </w:rPr>
        <w:footnoteReference w:id="526"/>
      </w:r>
    </w:p>
    <w:p w14:paraId="6E519A52" w14:textId="77777777" w:rsidR="00494B49" w:rsidRDefault="00494B49">
      <w:pPr>
        <w:pStyle w:val="BNormal"/>
      </w:pPr>
      <w:r>
        <w:rPr>
          <w:i/>
        </w:rPr>
        <w:t>Comment:</w:t>
      </w:r>
      <w:r>
        <w:t xml:space="preserve"> For purposes of the tax imposed on self-</w:t>
      </w:r>
      <w:r>
        <w:br/>
        <w:t>employment income, the trade or business must be carried on by the individual, either personally or through agents or employees.</w:t>
      </w:r>
      <w:r>
        <w:rPr>
          <w:rStyle w:val="FootnoteReference"/>
        </w:rPr>
        <w:footnoteReference w:id="527"/>
      </w:r>
      <w:r>
        <w:t xml:space="preserve"> Therefore, because an item can only be taken into account by an individual, </w:t>
      </w:r>
      <w:smartTag w:uri="http://www.bna.com/sgml2word/cite" w:element="cite.usc">
        <w:smartTagPr>
          <w:attr w:name="ref" w:val="USC\26\1411(c)(6)"/>
        </w:smartTagPr>
        <w:r>
          <w:t>§1411(c)(6)</w:t>
        </w:r>
      </w:smartTag>
      <w:r>
        <w:t xml:space="preserve"> is inapplicable to estates and trusts. Additionally, income derived from a trade or business carried on by an estate or trust is not included in determining the net earnings from self-employment of the individual beneficiaries of the estate or trust.</w:t>
      </w:r>
      <w:r>
        <w:rPr>
          <w:rStyle w:val="FootnoteReference"/>
        </w:rPr>
        <w:footnoteReference w:id="528"/>
      </w:r>
      <w:r>
        <w:t xml:space="preserve"> Furthermore, pursuant to Reg. </w:t>
      </w:r>
      <w:smartTag w:uri="http://www.bna.com/sgml2word/cite" w:element="cite.cfr">
        <w:smartTagPr>
          <w:attr w:name="ref" w:val="cfr\26\1.1402(a)-2(b)"/>
        </w:smartTagPr>
        <w:r>
          <w:t>§1.1402(a)-2(b)</w:t>
        </w:r>
      </w:smartTag>
      <w:r>
        <w:t xml:space="preserve">, any item of income distributed to a beneficiary of an estate or trust is not taken into account by the beneficiary in calculating self-employment income, and therefore </w:t>
      </w:r>
      <w:smartTag w:uri="http://www.bna.com/sgml2word/cite" w:element="cite.usc">
        <w:smartTagPr>
          <w:attr w:name="ref" w:val="USC\26\1411(c)(6)"/>
        </w:smartTagPr>
        <w:r>
          <w:t>§1411(c)(6)</w:t>
        </w:r>
      </w:smartTag>
      <w:r>
        <w:t xml:space="preserve"> cannot exempt income distributed by a trust from being classified as net investment income at the beneficiary level.</w:t>
      </w:r>
      <w:r>
        <w:rPr>
          <w:rStyle w:val="FootnoteReference"/>
        </w:rPr>
        <w:footnoteReference w:id="529"/>
      </w:r>
    </w:p>
    <w:p w14:paraId="4B9A20DE" w14:textId="77777777" w:rsidR="00494B49" w:rsidRDefault="00494B49">
      <w:pPr>
        <w:pStyle w:val="BNormal"/>
      </w:pPr>
      <w:r>
        <w:rPr>
          <w:i/>
        </w:rPr>
        <w:lastRenderedPageBreak/>
        <w:t>Comment:</w:t>
      </w:r>
      <w:r>
        <w:t xml:space="preserve"> The SECA tie-breaker rule applies to investment income received by limited partners and LLC members when those individuals are subject to SECA tax. However, the definition of “limited partner” for </w:t>
      </w:r>
      <w:smartTag w:uri="http://www.bna.com/sgml2word/cite" w:element="cite.usc">
        <w:smartTagPr>
          <w:attr w:name="ref" w:val="USC\26\1402"/>
        </w:smartTagPr>
        <w:r>
          <w:t>§1402</w:t>
        </w:r>
      </w:smartTag>
      <w:r>
        <w:t xml:space="preserve"> purposes has been the subject of much controversy.</w:t>
      </w:r>
      <w:r>
        <w:rPr>
          <w:rStyle w:val="FootnoteReference"/>
        </w:rPr>
        <w:footnoteReference w:id="530"/>
      </w:r>
      <w:r>
        <w:t xml:space="preserve"> The addition of the NIIT regime has only heightened the consequences and highlighted the uncertainty regarding the characterization of an LLC member as a general partner or limited partner for SECA tax purposes. </w:t>
      </w:r>
    </w:p>
    <w:p w14:paraId="72EBBFD5" w14:textId="77777777" w:rsidR="00494B49" w:rsidRDefault="00494B49">
      <w:pPr>
        <w:pStyle w:val="BHead3"/>
      </w:pPr>
      <w:r>
        <w:t>b. Investors in a Limited Partnership Investor Fund</w:t>
      </w:r>
    </w:p>
    <w:p w14:paraId="592B50C1" w14:textId="77777777" w:rsidR="00494B49" w:rsidRDefault="00494B49">
      <w:pPr>
        <w:pStyle w:val="BNormal"/>
      </w:pPr>
      <w:r>
        <w:t>Because investor funds do not operate an active trade or business, none of the distributive share items would be subject to Self Employed Contributions Act (SECA) tax. For tax years beginning before 2018 (but not tax years 2018 through 2025), expenses of an investor fund are typically deductible as investment expenses, which are subject to limitations at the federal level.</w:t>
      </w:r>
      <w:r>
        <w:rPr>
          <w:rStyle w:val="FootnoteReference"/>
        </w:rPr>
        <w:footnoteReference w:id="531"/>
      </w:r>
      <w:r>
        <w:t xml:space="preserve"> Applicable rules in determining the allowable portion of itemized deductions against net investment income could further limit the usefulness of these expenses in reducing a taxpayer’s NIIT liability.</w:t>
      </w:r>
      <w:r>
        <w:rPr>
          <w:rStyle w:val="FootnoteReference"/>
        </w:rPr>
        <w:footnoteReference w:id="532"/>
      </w:r>
    </w:p>
    <w:p w14:paraId="6DC5D80C" w14:textId="77777777" w:rsidR="00494B49" w:rsidRDefault="00494B49">
      <w:pPr>
        <w:pStyle w:val="BHead3"/>
      </w:pPr>
      <w:r>
        <w:t>c. Investors in a Trading Fund</w:t>
      </w:r>
    </w:p>
    <w:p w14:paraId="59FE3FB1" w14:textId="77777777" w:rsidR="00494B49" w:rsidRDefault="00494B49">
      <w:pPr>
        <w:pStyle w:val="BNormal"/>
      </w:pPr>
      <w:r>
        <w:t xml:space="preserve">Traditional trader funds are engaged in a trade or business. Specifically, they are engaged in the trade or business described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trade or business of trading in financial instruments or commodities. Income and expenses of this type of fund would generally be NESE to the partners. However, income earned from these trader funds is typically interest, dividends, capital gains and other income (e.g., </w:t>
      </w:r>
      <w:smartTag w:uri="http://www.bna.com/sgml2word/cite" w:element="cite.usc">
        <w:smartTagPr>
          <w:attr w:name="ref" w:val="USC\26\475"/>
        </w:smartTagPr>
        <w:r>
          <w:t>§475</w:t>
        </w:r>
      </w:smartTag>
      <w:r>
        <w:t xml:space="preserve"> income) that would be exempt under </w:t>
      </w:r>
      <w:smartTag w:uri="http://www.bna.com/sgml2word/cite" w:element="cite.usc">
        <w:smartTagPr>
          <w:attr w:name="ref" w:val="USC\26\1402(a)(2)"/>
        </w:smartTagPr>
        <w:r>
          <w:t>§1402(a)(2)</w:t>
        </w:r>
      </w:smartTag>
      <w:r>
        <w:t xml:space="preserve"> or </w:t>
      </w:r>
      <w:smartTag w:uri="http://www.bna.com/sgml2word/cite" w:element="cite.usc">
        <w:smartTagPr>
          <w:attr w:name="ref" w:val="USC\26\1402(a)(3)"/>
        </w:smartTagPr>
        <w:r>
          <w:t>§1402(a)(3)</w:t>
        </w:r>
      </w:smartTag>
      <w:r>
        <w:t>.</w:t>
      </w:r>
      <w:r>
        <w:rPr>
          <w:rStyle w:val="FootnoteReference"/>
        </w:rPr>
        <w:footnoteReference w:id="533"/>
      </w:r>
      <w:r>
        <w:t xml:space="preserve"> In this situation, because the trading income is not taken into account in computing a partner’s NESE due to the exclusions in </w:t>
      </w:r>
      <w:smartTag w:uri="http://www.bna.com/sgml2word/cite" w:element="cite.usc">
        <w:smartTagPr>
          <w:attr w:name="ref" w:val="USC\26\1402(a)(2)"/>
        </w:smartTagPr>
        <w:r>
          <w:t>§1402(a)(2)</w:t>
        </w:r>
      </w:smartTag>
      <w:r>
        <w:t xml:space="preserve"> and </w:t>
      </w:r>
      <w:smartTag w:uri="http://www.bna.com/sgml2word/cite" w:element="cite.usc">
        <w:smartTagPr>
          <w:attr w:name="ref" w:val="USC\26\1402(a)(3)"/>
        </w:smartTagPr>
        <w:r>
          <w:t>§1402(a)(3)</w:t>
        </w:r>
      </w:smartTag>
      <w:r>
        <w:t xml:space="preserve">,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will not apply. Thus, the trader income will be net investment income. </w:t>
      </w:r>
    </w:p>
    <w:p w14:paraId="09DE428B" w14:textId="77777777" w:rsidR="00494B49" w:rsidRDefault="00494B49">
      <w:pPr>
        <w:pStyle w:val="BNormal"/>
      </w:pPr>
      <w:r>
        <w:t xml:space="preserve">In the case of deductible expenses associated with the trading business, as a general rule, the expenses incurred in an investment partnership that is a trader would be NESE even though the gross income earned is typically exempt. The expenses derived in trader funds, mainly the management fees paid (and, occasionally, investment interest expense), would meet the definition of properly allocable deductions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as well. If no other exemptions apply, these expenses could be used to offset income from other SECA generating businesses. If this occurs, the latter part of Reg. </w:t>
      </w:r>
      <w:smartTag w:uri="http://www.bna.com/sgml2word/cite" w:element="cite.cfr">
        <w:smartTagPr>
          <w:attr w:name="ref" w:val="cfr\26\1.1411-4(f)(2)(ii)"/>
        </w:smartTagPr>
        <w:r>
          <w:t>§1.1411-4(f)(2)(ii)</w:t>
        </w:r>
      </w:smartTag>
      <w:r>
        <w:t xml:space="preserve">, by cross-referencing Reg. </w:t>
      </w:r>
      <w:smartTag w:uri="http://www.bna.com/sgml2word/cite" w:element="cite.cfr">
        <w:smartTagPr>
          <w:attr w:name="ref" w:val="cfr\26\1.1411-9"/>
        </w:smartTagPr>
        <w:r>
          <w:t>§1.1411-9</w:t>
        </w:r>
      </w:smartTag>
      <w:r>
        <w:t xml:space="preserve">, limits the deductibility of those expenses for net investment income </w:t>
      </w:r>
      <w:r>
        <w:lastRenderedPageBreak/>
        <w:t xml:space="preserve">purposes to prevent a double deduction (a deduction of the same dollar of expense for both NESE and NII). </w:t>
      </w:r>
    </w:p>
    <w:p w14:paraId="2EAB8EC9" w14:textId="77777777" w:rsidR="00494B49" w:rsidRDefault="00494B49">
      <w:pPr>
        <w:pStyle w:val="BNormal"/>
      </w:pPr>
      <w:r>
        <w:t xml:space="preserve">But, in the vast majority of cases, investors in trading funds are limited partners. As a result of their characterization as such, all income, gain, loss, and deduction that constitute the distributive share allocable to such limited partner is swept up by the </w:t>
      </w:r>
      <w:smartTag w:uri="http://www.bna.com/sgml2word/cite" w:element="cite.usc">
        <w:smartTagPr>
          <w:attr w:name="ref" w:val="USC\26\1402(a)(13)"/>
        </w:smartTagPr>
        <w:r>
          <w:t>§1402(a)(13)</w:t>
        </w:r>
      </w:smartTag>
      <w:r>
        <w:t xml:space="preserve"> exemption. </w:t>
      </w:r>
      <w:smartTag w:uri="http://www.bna.com/sgml2word/cite" w:element="cite.usc">
        <w:smartTagPr>
          <w:attr w:name="ref" w:val="USC\26\1402(a)(13)"/>
        </w:smartTagPr>
        <w:r>
          <w:t>Section 1402(a)(13)</w:t>
        </w:r>
      </w:smartTag>
      <w:r>
        <w:t xml:space="preserve"> exempts all of the “distributive share of any income or loss of a limited partner, other than guaranteed payments.” In this situation, because the trading expenses are not “taken into account” in computing a partner’s NESE due to the </w:t>
      </w:r>
      <w:smartTag w:uri="http://www.bna.com/sgml2word/cite" w:element="cite.usc">
        <w:smartTagPr>
          <w:attr w:name="ref" w:val="USC\26\1402(a)(13)"/>
        </w:smartTagPr>
        <w:r>
          <w:t>§1402(a)(13)</w:t>
        </w:r>
      </w:smartTag>
      <w:r>
        <w:t xml:space="preserve"> exclusion,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4(f)(2)(ii)"/>
        </w:smartTagPr>
        <w:r>
          <w:t>§1.1411-4(f)(2)(ii)</w:t>
        </w:r>
      </w:smartTag>
      <w:r>
        <w:t xml:space="preserve"> and </w:t>
      </w:r>
      <w:smartTag w:uri="http://www.bna.com/sgml2word/cite" w:element="cite.cfr">
        <w:smartTagPr>
          <w:attr w:name="ref" w:val="cfr\26\1.1411-9(a)"/>
        </w:smartTagPr>
        <w:r>
          <w:t>§1.1411-9(a)</w:t>
        </w:r>
      </w:smartTag>
      <w:r>
        <w:t xml:space="preserve"> will not apply. Thus, the trader expenses will be deductible in computing net investment income.</w:t>
      </w:r>
      <w:r>
        <w:rPr>
          <w:rStyle w:val="FootnoteReference"/>
        </w:rPr>
        <w:footnoteReference w:id="534"/>
      </w:r>
    </w:p>
    <w:p w14:paraId="06918905" w14:textId="77777777" w:rsidR="00494B49" w:rsidRDefault="00494B49">
      <w:pPr>
        <w:pStyle w:val="BHead3"/>
      </w:pPr>
      <w:r>
        <w:t>d. Treatment of Managers</w:t>
      </w:r>
    </w:p>
    <w:p w14:paraId="184229AF" w14:textId="77777777" w:rsidR="00494B49" w:rsidRDefault="00494B49">
      <w:pPr>
        <w:pStyle w:val="BNormal"/>
      </w:pPr>
      <w:r>
        <w:t xml:space="preserve">The activities of the investment manager generally constitute a trade or business and would be subject to SECA. However, investment managers often utilize various legal forms in structuring their management company entities. These entity types will dictate the application of SECA to the distributive share of earnings for certain partners or members. However, unlike the income earned from the investment partnerships, the distributive share of earnings from the investment management entity would only be net investment income when the activity is a passive activity to the partner or member. </w:t>
      </w:r>
    </w:p>
    <w:p w14:paraId="3D45E023" w14:textId="77777777" w:rsidR="00494B49" w:rsidRDefault="00494B49">
      <w:pPr>
        <w:pStyle w:val="BNormal"/>
      </w:pPr>
      <w:r>
        <w:t xml:space="preserve">The </w:t>
      </w:r>
      <w:smartTag w:uri="http://www.bna.com/sgml2word/cite" w:element="cite.usc">
        <w:smartTagPr>
          <w:attr w:name="ref" w:val="USC\26\1402(a)(13)"/>
        </w:smartTagPr>
        <w:r>
          <w:t>§1402(a)(13)</w:t>
        </w:r>
      </w:smartTag>
      <w:r>
        <w:t xml:space="preserve"> exemption allows limited partners to earn income from the trade or business free of SECA tax. This exemption is separate and apart from the passive activity rules that may dictate when income and deductions are included in the computation of net investment income under </w:t>
      </w:r>
      <w:smartTag w:uri="http://www.bna.com/sgml2word/cite" w:element="cite.usc">
        <w:smartTagPr>
          <w:attr w:name="ref" w:val="USC\26\1411(c)(1)"/>
        </w:smartTagPr>
        <w:r>
          <w:t>§1411(c)(1)</w:t>
        </w:r>
      </w:smartTag>
      <w:r>
        <w:t xml:space="preserve">. As such, a limited partner may still materially participate in the activities of the partnership. In other words, there could be streams of income earned by partners of the investment manager that are neither subject to NIIT nor to SECA tax. </w:t>
      </w:r>
    </w:p>
    <w:p w14:paraId="3CB47615" w14:textId="77777777" w:rsidR="00494B49" w:rsidRDefault="00494B49">
      <w:pPr>
        <w:pStyle w:val="BNormal"/>
      </w:pPr>
      <w:r>
        <w:t>Members of LLCs or partners of limited partnerships who do not have any statutory exemption from SECA or choose not to rely on the exemption typically will pay SECA tax on their distributive share of income earned through the management company. In this case, members of the management company have the ability to net their SECA income with any SECA income and expenses earned from other sources. In very specific circumstances, a partner will be required to net SECA income earned through the investment manager entity with expenses allocated from the general partnership entity. This would reduce the total self-employment income subject to tax but increase the total net investment income. A taxpayer applies SECA tax to a lower base for the same amount of income than under NIIT. Therefore, this ordering rule could create a negative result to the taxpayer.</w:t>
      </w:r>
    </w:p>
    <w:p w14:paraId="7222D586" w14:textId="77777777" w:rsidR="00494B49" w:rsidRDefault="00494B49" w:rsidP="006951DA">
      <w:pPr>
        <w:pStyle w:val="BNormal"/>
      </w:pPr>
      <w:r>
        <w:lastRenderedPageBreak/>
        <w:t>Alternatively, limited partners of a limited partnership or members of an S corporation are not subject to SECA tax, and if they materially participate in the activities of the business, would also not be subject to NIIT. When there is no NESE, no tie-breaker rule applies, and, as such, the taxpayers may utilize expenses allocated through the general partnership entity to offset their net investment income.</w:t>
      </w:r>
    </w:p>
    <w:p w14:paraId="3D6663FA" w14:textId="77777777" w:rsidR="00494B49" w:rsidRDefault="00494B49" w:rsidP="006951DA">
      <w:pPr>
        <w:pStyle w:val="BNormal"/>
      </w:pPr>
    </w:p>
    <w:tbl>
      <w:tblPr>
        <w:tblStyle w:val="TableGrid"/>
        <w:tblW w:w="9353" w:type="dxa"/>
        <w:tblLook w:val="04A0" w:firstRow="1" w:lastRow="0" w:firstColumn="1" w:lastColumn="0" w:noHBand="0" w:noVBand="1"/>
      </w:tblPr>
      <w:tblGrid>
        <w:gridCol w:w="2241"/>
        <w:gridCol w:w="2221"/>
        <w:gridCol w:w="1800"/>
        <w:gridCol w:w="1390"/>
        <w:gridCol w:w="891"/>
        <w:gridCol w:w="810"/>
      </w:tblGrid>
      <w:tr w:rsidR="00E51513" w14:paraId="277F6904" w14:textId="2BFEA0F1" w:rsidTr="00E51513">
        <w:tc>
          <w:tcPr>
            <w:tcW w:w="2241" w:type="dxa"/>
          </w:tcPr>
          <w:p w14:paraId="1C162FAF" w14:textId="77777777" w:rsidR="00494B49" w:rsidRDefault="00494B49">
            <w:r>
              <w:t xml:space="preserve"> </w:t>
            </w:r>
            <w:r>
              <w:rPr>
                <w:b/>
              </w:rPr>
              <w:t xml:space="preserve">Management </w:t>
            </w:r>
            <w:r>
              <w:br/>
            </w:r>
            <w:r>
              <w:rPr>
                <w:b/>
              </w:rPr>
              <w:t>company</w:t>
            </w:r>
          </w:p>
        </w:tc>
        <w:tc>
          <w:tcPr>
            <w:tcW w:w="2221" w:type="dxa"/>
          </w:tcPr>
          <w:p w14:paraId="1A301974" w14:textId="77777777" w:rsidR="00494B49" w:rsidRDefault="00494B49">
            <w:r>
              <w:t xml:space="preserve"> </w:t>
            </w:r>
            <w:r>
              <w:rPr>
                <w:b/>
              </w:rPr>
              <w:t xml:space="preserve">Material </w:t>
            </w:r>
            <w:r>
              <w:br/>
            </w:r>
            <w:r>
              <w:rPr>
                <w:b/>
              </w:rPr>
              <w:t>participation</w:t>
            </w:r>
          </w:p>
        </w:tc>
        <w:tc>
          <w:tcPr>
            <w:tcW w:w="1800" w:type="dxa"/>
          </w:tcPr>
          <w:p w14:paraId="424D388E" w14:textId="77777777" w:rsidR="00494B49" w:rsidRDefault="00494B49">
            <w:r>
              <w:t xml:space="preserve"> </w:t>
            </w:r>
            <w:r>
              <w:rPr>
                <w:b/>
              </w:rPr>
              <w:t xml:space="preserve">No material </w:t>
            </w:r>
            <w:r>
              <w:br/>
            </w:r>
            <w:r>
              <w:rPr>
                <w:b/>
              </w:rPr>
              <w:t xml:space="preserve">participation </w:t>
            </w:r>
          </w:p>
        </w:tc>
        <w:tc>
          <w:tcPr>
            <w:tcW w:w="1390" w:type="dxa"/>
            <w:shd w:val="clear" w:color="auto" w:fill="auto"/>
          </w:tcPr>
          <w:p w14:paraId="088E77C3" w14:textId="77777777" w:rsidR="00E51513" w:rsidRDefault="00E51513"/>
        </w:tc>
        <w:tc>
          <w:tcPr>
            <w:tcW w:w="891" w:type="dxa"/>
            <w:shd w:val="clear" w:color="auto" w:fill="auto"/>
          </w:tcPr>
          <w:p w14:paraId="723EF379" w14:textId="77777777" w:rsidR="00E51513" w:rsidRDefault="00E51513"/>
        </w:tc>
        <w:tc>
          <w:tcPr>
            <w:tcW w:w="810" w:type="dxa"/>
            <w:shd w:val="clear" w:color="auto" w:fill="auto"/>
          </w:tcPr>
          <w:p w14:paraId="6270F9CB" w14:textId="77777777" w:rsidR="00E51513" w:rsidRDefault="00E51513"/>
        </w:tc>
      </w:tr>
      <w:tr w:rsidR="00E51513" w14:paraId="11162654" w14:textId="67C88930" w:rsidTr="00E51513">
        <w:tc>
          <w:tcPr>
            <w:tcW w:w="2241" w:type="dxa"/>
          </w:tcPr>
          <w:p w14:paraId="5DEC9897" w14:textId="77777777" w:rsidR="00494B49" w:rsidRDefault="00494B49">
            <w:r>
              <w:t xml:space="preserve"> </w:t>
            </w:r>
            <w:r>
              <w:rPr>
                <w:b/>
              </w:rPr>
              <w:t>SECA tax</w:t>
            </w:r>
          </w:p>
        </w:tc>
        <w:tc>
          <w:tcPr>
            <w:tcW w:w="2221" w:type="dxa"/>
          </w:tcPr>
          <w:p w14:paraId="58A6C666" w14:textId="77777777" w:rsidR="00494B49" w:rsidRDefault="00494B49">
            <w:r>
              <w:t xml:space="preserve"> </w:t>
            </w:r>
            <w:r>
              <w:rPr>
                <w:b/>
              </w:rPr>
              <w:t>NIIT</w:t>
            </w:r>
          </w:p>
        </w:tc>
        <w:tc>
          <w:tcPr>
            <w:tcW w:w="1800" w:type="dxa"/>
            <w:shd w:val="clear" w:color="auto" w:fill="auto"/>
          </w:tcPr>
          <w:p w14:paraId="63A7425A" w14:textId="77777777" w:rsidR="00E51513" w:rsidRDefault="00E51513"/>
        </w:tc>
        <w:tc>
          <w:tcPr>
            <w:tcW w:w="1390" w:type="dxa"/>
            <w:shd w:val="clear" w:color="auto" w:fill="auto"/>
          </w:tcPr>
          <w:p w14:paraId="562156D1" w14:textId="77777777" w:rsidR="00E51513" w:rsidRDefault="00E51513"/>
        </w:tc>
        <w:tc>
          <w:tcPr>
            <w:tcW w:w="891" w:type="dxa"/>
            <w:shd w:val="clear" w:color="auto" w:fill="auto"/>
          </w:tcPr>
          <w:p w14:paraId="4E489E55" w14:textId="77777777" w:rsidR="00E51513" w:rsidRDefault="00E51513"/>
        </w:tc>
        <w:tc>
          <w:tcPr>
            <w:tcW w:w="810" w:type="dxa"/>
            <w:shd w:val="clear" w:color="auto" w:fill="auto"/>
          </w:tcPr>
          <w:p w14:paraId="1343D2E7" w14:textId="77777777" w:rsidR="00E51513" w:rsidRDefault="00E51513"/>
        </w:tc>
      </w:tr>
      <w:tr w:rsidR="00E51513" w14:paraId="66168440" w14:textId="52EEFF90" w:rsidTr="00E51513">
        <w:tc>
          <w:tcPr>
            <w:tcW w:w="2241" w:type="dxa"/>
          </w:tcPr>
          <w:p w14:paraId="19C90DE1" w14:textId="77777777" w:rsidR="00494B49" w:rsidRDefault="00494B49">
            <w:r>
              <w:t xml:space="preserve"> </w:t>
            </w:r>
            <w:r>
              <w:rPr>
                <w:b/>
              </w:rPr>
              <w:t>Income</w:t>
            </w:r>
          </w:p>
        </w:tc>
        <w:tc>
          <w:tcPr>
            <w:tcW w:w="2221" w:type="dxa"/>
          </w:tcPr>
          <w:p w14:paraId="51262E67" w14:textId="77777777" w:rsidR="00494B49" w:rsidRDefault="00494B49">
            <w:r>
              <w:t xml:space="preserve"> </w:t>
            </w:r>
            <w:r>
              <w:rPr>
                <w:b/>
              </w:rPr>
              <w:t>Expenses</w:t>
            </w:r>
          </w:p>
        </w:tc>
        <w:tc>
          <w:tcPr>
            <w:tcW w:w="1800" w:type="dxa"/>
          </w:tcPr>
          <w:p w14:paraId="40CF1210" w14:textId="77777777" w:rsidR="00494B49" w:rsidRDefault="00494B49">
            <w:r>
              <w:t xml:space="preserve"> </w:t>
            </w:r>
            <w:r>
              <w:rPr>
                <w:b/>
              </w:rPr>
              <w:t>Income</w:t>
            </w:r>
          </w:p>
        </w:tc>
        <w:tc>
          <w:tcPr>
            <w:tcW w:w="1390" w:type="dxa"/>
          </w:tcPr>
          <w:p w14:paraId="62F4D830" w14:textId="77777777" w:rsidR="00494B49" w:rsidRDefault="00494B49">
            <w:r>
              <w:t xml:space="preserve"> </w:t>
            </w:r>
            <w:r>
              <w:rPr>
                <w:b/>
              </w:rPr>
              <w:t>Expenses</w:t>
            </w:r>
          </w:p>
        </w:tc>
        <w:tc>
          <w:tcPr>
            <w:tcW w:w="891" w:type="dxa"/>
            <w:shd w:val="clear" w:color="auto" w:fill="auto"/>
          </w:tcPr>
          <w:p w14:paraId="0AE3C271" w14:textId="77777777" w:rsidR="00E51513" w:rsidRDefault="00E51513"/>
        </w:tc>
        <w:tc>
          <w:tcPr>
            <w:tcW w:w="810" w:type="dxa"/>
            <w:shd w:val="clear" w:color="auto" w:fill="auto"/>
          </w:tcPr>
          <w:p w14:paraId="35CF2B9A" w14:textId="77777777" w:rsidR="00E51513" w:rsidRDefault="00E51513"/>
        </w:tc>
      </w:tr>
      <w:tr w:rsidR="00494B49" w14:paraId="7E97A33A" w14:textId="77777777" w:rsidTr="00E51513">
        <w:tc>
          <w:tcPr>
            <w:tcW w:w="2241" w:type="dxa"/>
          </w:tcPr>
          <w:p w14:paraId="08DC6ACA" w14:textId="77777777" w:rsidR="00494B49" w:rsidRDefault="00494B49">
            <w:r>
              <w:t>Limited partnership</w:t>
            </w:r>
          </w:p>
        </w:tc>
        <w:tc>
          <w:tcPr>
            <w:tcW w:w="2221" w:type="dxa"/>
          </w:tcPr>
          <w:p w14:paraId="0AF96B34" w14:textId="77777777" w:rsidR="00494B49" w:rsidRDefault="00494B49">
            <w:r>
              <w:t>General partner</w:t>
            </w:r>
          </w:p>
        </w:tc>
        <w:tc>
          <w:tcPr>
            <w:tcW w:w="1800" w:type="dxa"/>
          </w:tcPr>
          <w:p w14:paraId="1D9256A0" w14:textId="77777777" w:rsidR="00494B49" w:rsidRDefault="00494B49">
            <w:r>
              <w:t xml:space="preserve">Not </w:t>
            </w:r>
            <w:r>
              <w:br/>
              <w:t>exempt</w:t>
            </w:r>
          </w:p>
        </w:tc>
        <w:tc>
          <w:tcPr>
            <w:tcW w:w="1390" w:type="dxa"/>
          </w:tcPr>
          <w:p w14:paraId="1211FC76" w14:textId="77777777" w:rsidR="00494B49" w:rsidRDefault="00494B49">
            <w:r>
              <w:t xml:space="preserve">Not </w:t>
            </w:r>
            <w:r>
              <w:br/>
              <w:t>exempt</w:t>
            </w:r>
          </w:p>
        </w:tc>
        <w:tc>
          <w:tcPr>
            <w:tcW w:w="891" w:type="dxa"/>
          </w:tcPr>
          <w:p w14:paraId="570F0785" w14:textId="77777777" w:rsidR="00494B49" w:rsidRDefault="00494B49">
            <w:r>
              <w:t>N/A</w:t>
            </w:r>
          </w:p>
        </w:tc>
        <w:tc>
          <w:tcPr>
            <w:tcW w:w="810" w:type="dxa"/>
          </w:tcPr>
          <w:p w14:paraId="76A04C2F" w14:textId="77777777" w:rsidR="00494B49" w:rsidRDefault="00494B49">
            <w:r>
              <w:t>N/A</w:t>
            </w:r>
          </w:p>
        </w:tc>
      </w:tr>
      <w:tr w:rsidR="00E51513" w14:paraId="1515A01E" w14:textId="43655496" w:rsidTr="00E51513">
        <w:tc>
          <w:tcPr>
            <w:tcW w:w="2241" w:type="dxa"/>
          </w:tcPr>
          <w:p w14:paraId="1A5DE787" w14:textId="77777777" w:rsidR="00494B49" w:rsidRDefault="00494B49">
            <w:r>
              <w:t>Limited partner</w:t>
            </w:r>
          </w:p>
        </w:tc>
        <w:tc>
          <w:tcPr>
            <w:tcW w:w="2221" w:type="dxa"/>
          </w:tcPr>
          <w:p w14:paraId="1F87D879" w14:textId="77777777" w:rsidR="00494B49" w:rsidRDefault="00494B49">
            <w:r>
              <w:t xml:space="preserve"> </w:t>
            </w:r>
            <w:r>
              <w:rPr>
                <w:i/>
              </w:rPr>
              <w:t>Exempt</w:t>
            </w:r>
          </w:p>
        </w:tc>
        <w:tc>
          <w:tcPr>
            <w:tcW w:w="1800" w:type="dxa"/>
          </w:tcPr>
          <w:p w14:paraId="398856CD" w14:textId="77777777" w:rsidR="00494B49" w:rsidRDefault="00494B49">
            <w:r>
              <w:t xml:space="preserve"> </w:t>
            </w:r>
            <w:r>
              <w:rPr>
                <w:i/>
              </w:rPr>
              <w:t>Exempt</w:t>
            </w:r>
          </w:p>
        </w:tc>
        <w:tc>
          <w:tcPr>
            <w:tcW w:w="1390" w:type="dxa"/>
          </w:tcPr>
          <w:p w14:paraId="3E76BCD5" w14:textId="77777777" w:rsidR="00494B49" w:rsidRDefault="00494B49">
            <w:r>
              <w:t>NII</w:t>
            </w:r>
          </w:p>
        </w:tc>
        <w:tc>
          <w:tcPr>
            <w:tcW w:w="891" w:type="dxa"/>
          </w:tcPr>
          <w:p w14:paraId="6C37005B" w14:textId="77777777" w:rsidR="00494B49" w:rsidRDefault="00494B49">
            <w:r>
              <w:t>NII</w:t>
            </w:r>
          </w:p>
        </w:tc>
        <w:tc>
          <w:tcPr>
            <w:tcW w:w="810" w:type="dxa"/>
            <w:shd w:val="clear" w:color="auto" w:fill="auto"/>
          </w:tcPr>
          <w:p w14:paraId="216AD08A" w14:textId="77777777" w:rsidR="00E51513" w:rsidRDefault="00E51513"/>
        </w:tc>
      </w:tr>
      <w:tr w:rsidR="00494B49" w14:paraId="491AA049" w14:textId="77777777" w:rsidTr="00E51513">
        <w:tc>
          <w:tcPr>
            <w:tcW w:w="2241" w:type="dxa"/>
          </w:tcPr>
          <w:p w14:paraId="79AC5884" w14:textId="77777777" w:rsidR="00494B49" w:rsidRDefault="00494B49">
            <w:r>
              <w:t>Limited liability company</w:t>
            </w:r>
          </w:p>
        </w:tc>
        <w:tc>
          <w:tcPr>
            <w:tcW w:w="2221" w:type="dxa"/>
          </w:tcPr>
          <w:p w14:paraId="63CCB3F1" w14:textId="77777777" w:rsidR="00494B49" w:rsidRDefault="00494B49">
            <w:r>
              <w:t>Managing member</w:t>
            </w:r>
          </w:p>
        </w:tc>
        <w:tc>
          <w:tcPr>
            <w:tcW w:w="1800" w:type="dxa"/>
          </w:tcPr>
          <w:p w14:paraId="3F200549" w14:textId="77777777" w:rsidR="00494B49" w:rsidRDefault="00494B49">
            <w:r>
              <w:t xml:space="preserve">Not </w:t>
            </w:r>
            <w:r>
              <w:br/>
              <w:t>exempt</w:t>
            </w:r>
          </w:p>
        </w:tc>
        <w:tc>
          <w:tcPr>
            <w:tcW w:w="1390" w:type="dxa"/>
          </w:tcPr>
          <w:p w14:paraId="4A77881A" w14:textId="77777777" w:rsidR="00494B49" w:rsidRDefault="00494B49">
            <w:r>
              <w:t xml:space="preserve">Not </w:t>
            </w:r>
            <w:r>
              <w:br/>
              <w:t>exempt</w:t>
            </w:r>
          </w:p>
        </w:tc>
        <w:tc>
          <w:tcPr>
            <w:tcW w:w="891" w:type="dxa"/>
          </w:tcPr>
          <w:p w14:paraId="66AD2B54" w14:textId="77777777" w:rsidR="00494B49" w:rsidRDefault="00494B49">
            <w:r>
              <w:t>N/A</w:t>
            </w:r>
          </w:p>
        </w:tc>
        <w:tc>
          <w:tcPr>
            <w:tcW w:w="810" w:type="dxa"/>
          </w:tcPr>
          <w:p w14:paraId="1C642636" w14:textId="77777777" w:rsidR="00494B49" w:rsidRDefault="00494B49">
            <w:r>
              <w:t>N/A</w:t>
            </w:r>
          </w:p>
        </w:tc>
      </w:tr>
      <w:tr w:rsidR="00E51513" w14:paraId="3D0F8A91" w14:textId="19CF1401" w:rsidTr="00E51513">
        <w:tc>
          <w:tcPr>
            <w:tcW w:w="2241" w:type="dxa"/>
          </w:tcPr>
          <w:p w14:paraId="1D83F2FA" w14:textId="77777777" w:rsidR="00494B49" w:rsidRDefault="00494B49">
            <w:r>
              <w:t>Nonmanaging member</w:t>
            </w:r>
          </w:p>
        </w:tc>
        <w:tc>
          <w:tcPr>
            <w:tcW w:w="2221" w:type="dxa"/>
          </w:tcPr>
          <w:p w14:paraId="6A0D2E38" w14:textId="77777777" w:rsidR="00494B49" w:rsidRDefault="00494B49">
            <w:r>
              <w:t>Uncertain</w:t>
            </w:r>
          </w:p>
        </w:tc>
        <w:tc>
          <w:tcPr>
            <w:tcW w:w="1800" w:type="dxa"/>
          </w:tcPr>
          <w:p w14:paraId="16B30C8A" w14:textId="77777777" w:rsidR="00494B49" w:rsidRDefault="00494B49">
            <w:r>
              <w:t>Uncertain</w:t>
            </w:r>
          </w:p>
        </w:tc>
        <w:tc>
          <w:tcPr>
            <w:tcW w:w="1390" w:type="dxa"/>
          </w:tcPr>
          <w:p w14:paraId="6DF4B6B6" w14:textId="77777777" w:rsidR="00494B49" w:rsidRDefault="00494B49">
            <w:r>
              <w:t>NII</w:t>
            </w:r>
          </w:p>
        </w:tc>
        <w:tc>
          <w:tcPr>
            <w:tcW w:w="891" w:type="dxa"/>
          </w:tcPr>
          <w:p w14:paraId="6012673D" w14:textId="77777777" w:rsidR="00494B49" w:rsidRDefault="00494B49">
            <w:r>
              <w:t>NII</w:t>
            </w:r>
          </w:p>
        </w:tc>
        <w:tc>
          <w:tcPr>
            <w:tcW w:w="810" w:type="dxa"/>
            <w:shd w:val="clear" w:color="auto" w:fill="auto"/>
          </w:tcPr>
          <w:p w14:paraId="383F23FC" w14:textId="77777777" w:rsidR="00E51513" w:rsidRDefault="00E51513"/>
        </w:tc>
      </w:tr>
      <w:tr w:rsidR="00494B49" w14:paraId="790967F4" w14:textId="77777777" w:rsidTr="00E51513">
        <w:tc>
          <w:tcPr>
            <w:tcW w:w="2241" w:type="dxa"/>
          </w:tcPr>
          <w:p w14:paraId="1843BCBD" w14:textId="77777777" w:rsidR="00494B49" w:rsidRDefault="00494B49">
            <w:r>
              <w:t>S corporation</w:t>
            </w:r>
          </w:p>
        </w:tc>
        <w:tc>
          <w:tcPr>
            <w:tcW w:w="2221" w:type="dxa"/>
          </w:tcPr>
          <w:p w14:paraId="79AC4CE3" w14:textId="77777777" w:rsidR="00494B49" w:rsidRDefault="00494B49">
            <w:r>
              <w:t>Member</w:t>
            </w:r>
          </w:p>
        </w:tc>
        <w:tc>
          <w:tcPr>
            <w:tcW w:w="1800" w:type="dxa"/>
          </w:tcPr>
          <w:p w14:paraId="620EA370" w14:textId="77777777" w:rsidR="00494B49" w:rsidRDefault="00494B49">
            <w:r>
              <w:t>Exempt</w:t>
            </w:r>
          </w:p>
        </w:tc>
        <w:tc>
          <w:tcPr>
            <w:tcW w:w="1390" w:type="dxa"/>
          </w:tcPr>
          <w:p w14:paraId="66A0ED01" w14:textId="77777777" w:rsidR="00494B49" w:rsidRDefault="00494B49">
            <w:r>
              <w:t>Exempt</w:t>
            </w:r>
          </w:p>
        </w:tc>
        <w:tc>
          <w:tcPr>
            <w:tcW w:w="891" w:type="dxa"/>
          </w:tcPr>
          <w:p w14:paraId="46B14017" w14:textId="77777777" w:rsidR="00494B49" w:rsidRDefault="00494B49">
            <w:r>
              <w:t>NII</w:t>
            </w:r>
          </w:p>
        </w:tc>
        <w:tc>
          <w:tcPr>
            <w:tcW w:w="810" w:type="dxa"/>
          </w:tcPr>
          <w:p w14:paraId="18F48E72" w14:textId="77777777" w:rsidR="00494B49" w:rsidRDefault="00494B49">
            <w:r>
              <w:t>NII</w:t>
            </w:r>
          </w:p>
        </w:tc>
      </w:tr>
    </w:tbl>
    <w:p w14:paraId="78E5F2D9" w14:textId="77777777" w:rsidR="00494B49" w:rsidRDefault="00494B49">
      <w:pPr>
        <w:pStyle w:val="BNormal"/>
      </w:pPr>
    </w:p>
    <w:p w14:paraId="28A26EBD" w14:textId="77777777" w:rsidR="00494B49" w:rsidRDefault="00494B49">
      <w:pPr>
        <w:pStyle w:val="BNormal"/>
      </w:pPr>
      <w:r>
        <w:t>Historically, fund managers haven’t needed to consider whether expenses were properly allocable to their net investment income. But, because properly allocable deductions may be taken against net investment income, fund managers should consider whether there is an ability to reduce income that is subject to NIIT. Under the new tax regime, a fund manager would want to contemplate whether any expenses typically paid by the investment manager are really related to the production of the investment income earned through the carried interest.</w:t>
      </w:r>
    </w:p>
    <w:p w14:paraId="7A7EFE88" w14:textId="77777777" w:rsidR="00494B49" w:rsidRDefault="00494B49">
      <w:pPr>
        <w:pStyle w:val="BNormal"/>
      </w:pPr>
      <w:r>
        <w:t xml:space="preserve">Although this distinction was never necessary for federal income tax purposes, once the distinction is made, it will need to apply for federal income tax purposes as well. This would be relevant only when the investment manager is earning carried interest from trading funds. Expenses allocated to earning carried interest from an investor fund could be categorized as </w:t>
      </w:r>
      <w:smartTag w:uri="http://www.bna.com/sgml2word/cite" w:element="cite.usc">
        <w:smartTagPr>
          <w:attr w:name="ref" w:val="USC\26\212"/>
        </w:smartTagPr>
        <w:r>
          <w:t>§212</w:t>
        </w:r>
      </w:smartTag>
      <w:r>
        <w:t xml:space="preserve"> deductions</w:t>
      </w:r>
      <w:r>
        <w:rPr>
          <w:rStyle w:val="FootnoteReference"/>
        </w:rPr>
        <w:footnoteReference w:id="535"/>
      </w:r>
      <w:r>
        <w:t xml:space="preserve"> and would potentially lose deductibility for federal income tax purposes. Other considerations, such as state and local tax implications, should also be considered. For example, New York City (NYC) fund managers who are typically structured as separate general partner and investment manager entities would be substituting the NYC Unincorporated Business Tax (UBT) when allocating expenses to the general partner entity in exchange for the NIIT savings. Although this may still create a tax savings, given the federal deductibility of UBT, there is a risk that the expenses allocated to a general partnership entity may be categorized as </w:t>
      </w:r>
      <w:smartTag w:uri="http://www.bna.com/sgml2word/cite" w:element="cite.usc">
        <w:smartTagPr>
          <w:attr w:name="ref" w:val="USC\26\212"/>
        </w:smartTagPr>
        <w:r>
          <w:t>§212</w:t>
        </w:r>
      </w:smartTag>
      <w:r>
        <w:t xml:space="preserve"> deductions. However, an investment manager located in other states (e.g., New Jersey or Connecticut) structured as a single entity earning both the carried interest and the management fee could see greater benefit from the allocation of expenses. Expenses such as trader bonuses and salaries may be deemed as properly allocable to the production of net investment income.</w:t>
      </w:r>
    </w:p>
    <w:p w14:paraId="74F7983F" w14:textId="77777777" w:rsidR="00494B49" w:rsidRDefault="00494B49" w:rsidP="006951DA">
      <w:pPr>
        <w:pStyle w:val="BChapterName"/>
        <w:keepNext/>
        <w:keepLines/>
      </w:pPr>
      <w:r>
        <w:lastRenderedPageBreak/>
        <w:t>V. Properly Allocable Deductions — §1411(c)(1)(B)</w:t>
      </w:r>
    </w:p>
    <w:p w14:paraId="59989801" w14:textId="77777777" w:rsidR="00494B49" w:rsidRDefault="00494B49" w:rsidP="006951DA">
      <w:pPr>
        <w:pStyle w:val="BHead1"/>
        <w:keepNext/>
        <w:keepLines/>
      </w:pPr>
      <w:r>
        <w:t xml:space="preserve">A. Overview </w:t>
      </w:r>
    </w:p>
    <w:p w14:paraId="4E0C4697" w14:textId="77777777" w:rsidR="00494B49" w:rsidRDefault="00494B49" w:rsidP="006951DA">
      <w:pPr>
        <w:pStyle w:val="BNormal"/>
        <w:keepNext/>
        <w:keepLines/>
      </w:pPr>
      <w:r>
        <w:t xml:space="preserve">Once a taxpayer has calculated the total amount of Category I through Category III investment income under </w:t>
      </w:r>
      <w:smartTag w:uri="http://www.bna.com/sgml2word/cite" w:element="cite.usc">
        <w:smartTagPr>
          <w:attr w:name="ref" w:val="USC\26\1411(c)(1)(A)(i)"/>
        </w:smartTagPr>
        <w:r>
          <w:t>§1411(c)(1)(A)(i)</w:t>
        </w:r>
      </w:smartTag>
      <w:r>
        <w:t xml:space="preserve"> through </w:t>
      </w:r>
      <w:smartTag w:uri="http://www.bna.com/sgml2word/cite" w:element="cite.usc">
        <w:smartTagPr>
          <w:attr w:name="ref" w:val="USC\26\1411(c)(1)(A)(i)"/>
        </w:smartTagPr>
        <w:r>
          <w:t>§1411(c)(1)(A)(iii)</w:t>
        </w:r>
      </w:smartTag>
      <w:r>
        <w:t xml:space="preserve">, the taxpayer subtracts properly allocable deductions to arrive at net investment income. Specifically, the taxpayer subtracts the deductions allowed by Subtitle A that are properly allocable to gross income or net gain described in </w:t>
      </w:r>
      <w:smartTag w:uri="http://www.bna.com/sgml2word/cite" w:element="cite.usc">
        <w:smartTagPr>
          <w:attr w:name="ref" w:val="USC\26\1411(c)(1)(A)"/>
        </w:smartTagPr>
        <w:r>
          <w:t>§1411(c)(1)(A)</w:t>
        </w:r>
      </w:smartTag>
      <w:r>
        <w:t>.</w:t>
      </w:r>
      <w:r>
        <w:rPr>
          <w:rStyle w:val="FootnoteReference"/>
        </w:rPr>
        <w:footnoteReference w:id="536"/>
      </w:r>
      <w:r>
        <w:t xml:space="preserve"> </w:t>
      </w:r>
      <w:smartTag w:uri="http://www.bna.com/sgml2word/cite" w:element="cite.cfr">
        <w:smartTagPr>
          <w:attr w:name="ref" w:val="cfr\26\1.1411-4(f)"/>
        </w:smartTagPr>
        <w:r>
          <w:t>Reg. §1.1411-4(f)</w:t>
        </w:r>
      </w:smartTag>
      <w:r>
        <w:t xml:space="preserve">, along with several unique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encompass the scope of what deductions are "properly allocable" within the meaning of </w:t>
      </w:r>
      <w:smartTag w:uri="http://www.bna.com/sgml2word/cite" w:element="cite.usc">
        <w:smartTagPr>
          <w:attr w:name="ref" w:val="USC\26\1411(c)(1)(B)"/>
        </w:smartTagPr>
        <w:r>
          <w:t>§1411(c)(1)(B)</w:t>
        </w:r>
      </w:smartTag>
      <w:r>
        <w:t xml:space="preserve">. </w:t>
      </w:r>
      <w:smartTag w:uri="http://www.bna.com/sgml2word/cite" w:element="cite.cfr">
        <w:smartTagPr>
          <w:attr w:name="ref" w:val="cfr\26\1.1411-4(f)"/>
        </w:smartTagPr>
        <w:r>
          <w:t>Reg. §1.1411-4(f)</w:t>
        </w:r>
      </w:smartTag>
      <w:r>
        <w:t xml:space="preserve"> is predominately divided between above-the-line deductions (those described in </w:t>
      </w:r>
      <w:smartTag w:uri="http://www.bna.com/sgml2word/cite" w:element="cite.usc">
        <w:smartTagPr>
          <w:attr w:name="ref" w:val="USC\26\62"/>
        </w:smartTagPr>
        <w:r>
          <w:t>§62</w:t>
        </w:r>
      </w:smartTag>
      <w:r>
        <w:t>),</w:t>
      </w:r>
      <w:r>
        <w:rPr>
          <w:rStyle w:val="FootnoteReference"/>
        </w:rPr>
        <w:footnoteReference w:id="537"/>
      </w:r>
      <w:r>
        <w:t xml:space="preserve"> and below-the-line deductions (those allowed as deductions under Subtitle A but not specifically enumerated in </w:t>
      </w:r>
      <w:smartTag w:uri="http://www.bna.com/sgml2word/cite" w:element="cite.usc">
        <w:smartTagPr>
          <w:attr w:name="ref" w:val="USC\26\62"/>
        </w:smartTagPr>
        <w:r>
          <w:t>§62</w:t>
        </w:r>
      </w:smartTag>
      <w:r>
        <w:t>).</w:t>
      </w:r>
      <w:r>
        <w:rPr>
          <w:rStyle w:val="FootnoteReference"/>
        </w:rPr>
        <w:footnoteReference w:id="538"/>
      </w:r>
      <w:r>
        <w:t xml:space="preserve"> There are several other deductions allowed 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 xml:space="preserve"> that do not fall neatly into those categories, and therefore are listed separately within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w:t>
      </w:r>
      <w:r>
        <w:rPr>
          <w:rStyle w:val="FootnoteReference"/>
        </w:rPr>
        <w:footnoteReference w:id="539"/>
      </w:r>
    </w:p>
    <w:p w14:paraId="47FCDBBB" w14:textId="77777777" w:rsidR="00494B49" w:rsidRDefault="00494B49">
      <w:pPr>
        <w:pStyle w:val="BNormal"/>
      </w:pPr>
      <w:r>
        <w:t xml:space="preserve">It is important to remember when deciding what constitutes a "properly allocable deduction" for purposes of the net investment income tax (NIIT) that </w:t>
      </w:r>
      <w:smartTag w:uri="http://www.bna.com/sgml2word/cite" w:element="cite.usc">
        <w:smartTagPr>
          <w:attr w:name="ref" w:val="USC\26\1411(c)(1)(B)"/>
        </w:smartTagPr>
        <w:r>
          <w:t>§1411(c)(1)(B)</w:t>
        </w:r>
      </w:smartTag>
      <w:r>
        <w:t xml:space="preserve"> is an </w:t>
      </w:r>
      <w:r>
        <w:rPr>
          <w:i/>
        </w:rPr>
        <w:t>aggregator</w:t>
      </w:r>
      <w:r>
        <w:t xml:space="preserve"> of existing deductions, and does not create a deduction where one is not allowed within Subtitle A. Thus, in order for a deduction to be "properly allocable," it needs to be allowed as a deduction under a deduction authorizing provision of Subtitle A. To the extent that any deduction is limited or otherwise disallowed under </w:t>
      </w:r>
      <w:smartTag w:uri="http://www.bna.com/sgml2word/cite" w:element="cite.usc">
        <w:smartTagPr>
          <w:attr w:name="ref" w:val="USC\26\261 "/>
        </w:smartTagPr>
        <w:r>
          <w:t>§261</w:t>
        </w:r>
      </w:smartTag>
      <w:r>
        <w:t xml:space="preserve"> through </w:t>
      </w:r>
      <w:smartTag w:uri="http://www.bna.com/sgml2word/cite" w:element="cite.usc">
        <w:smartTagPr>
          <w:attr w:name="ref" w:val="USC\26\280H"/>
        </w:smartTagPr>
        <w:r>
          <w:t>§280H</w:t>
        </w:r>
      </w:smartTag>
      <w:r>
        <w:t xml:space="preserve">, then such deduction is not allowable for regular tax and similarly not allowable under </w:t>
      </w:r>
      <w:smartTag w:uri="http://www.bna.com/sgml2word/cite" w:element="cite.usc">
        <w:smartTagPr>
          <w:attr w:name="ref" w:val="USC\26\1411(c)(1)(B)"/>
        </w:smartTagPr>
        <w:r>
          <w:t>§1411(c)(1)(B)</w:t>
        </w:r>
      </w:smartTag>
      <w:r>
        <w:t xml:space="preserve"> in computing net investment income. This rule encompasses both permanent deduction disallowance provisions such as </w:t>
      </w:r>
      <w:smartTag w:uri="http://www.bna.com/sgml2word/cite" w:element="cite.usc">
        <w:smartTagPr>
          <w:attr w:name="ref" w:val="USC\26\265"/>
        </w:smartTagPr>
        <w:r>
          <w:t>§265</w:t>
        </w:r>
      </w:smartTag>
      <w:r>
        <w:t xml:space="preserve"> and deduction deferrals such as </w:t>
      </w:r>
      <w:smartTag w:uri="http://www.bna.com/sgml2word/cite" w:element="cite.usc">
        <w:smartTagPr>
          <w:attr w:name="ref" w:val="USC\26\267"/>
        </w:smartTagPr>
        <w:r>
          <w:t>§267</w:t>
        </w:r>
      </w:smartTag>
      <w:r>
        <w:t>.</w:t>
      </w:r>
    </w:p>
    <w:p w14:paraId="4A867CB5" w14:textId="77777777" w:rsidR="00494B49" w:rsidRDefault="00494B49">
      <w:pPr>
        <w:pStyle w:val="BExamplepara"/>
      </w:pPr>
      <w:r>
        <w:rPr>
          <w:rStyle w:val="BExamplehead"/>
          <w:rFonts w:eastAsiaTheme="minorHAnsi"/>
          <w:i/>
        </w:rPr>
        <w:t>Example 1:</w:t>
      </w:r>
      <w:r>
        <w:t xml:space="preserve"> In tax years beginning before 2018, if </w:t>
      </w:r>
      <w:smartTag w:uri="http://www.bna.com/sgml2word/cite" w:element="cite.usc">
        <w:smartTagPr>
          <w:attr w:name="ref" w:val="USC\26\265"/>
        </w:smartTagPr>
        <w:r>
          <w:t>§265</w:t>
        </w:r>
      </w:smartTag>
      <w:r>
        <w:t xml:space="preserve"> limits the amount of investment expenses deductible under </w:t>
      </w:r>
      <w:smartTag w:uri="http://www.bna.com/sgml2word/cite" w:element="cite.usc">
        <w:smartTagPr>
          <w:attr w:name="ref" w:val="USC\26\212"/>
        </w:smartTagPr>
        <w:r>
          <w:t>§212</w:t>
        </w:r>
      </w:smartTag>
      <w:r>
        <w:t xml:space="preserve"> due to a required allocation to tax-exempt interest, that disallowed portion of the investment expense is not a deduction </w:t>
      </w:r>
      <w:r>
        <w:rPr>
          <w:i/>
        </w:rPr>
        <w:t>allowed by Subtitle A</w:t>
      </w:r>
      <w:r>
        <w:t>, and therefore is not deductible for NIIT purposes.</w:t>
      </w:r>
      <w:r>
        <w:rPr>
          <w:rStyle w:val="FootnoteReference"/>
        </w:rPr>
        <w:footnoteReference w:id="540"/>
      </w:r>
    </w:p>
    <w:p w14:paraId="246B1B8D" w14:textId="77777777" w:rsidR="00494B49" w:rsidRDefault="00494B49">
      <w:pPr>
        <w:pStyle w:val="BExamplepara"/>
      </w:pPr>
      <w:r>
        <w:rPr>
          <w:rStyle w:val="BExamplehead"/>
          <w:rFonts w:eastAsiaTheme="minorHAnsi"/>
          <w:i/>
        </w:rPr>
        <w:t>Example 2:</w:t>
      </w:r>
      <w:r>
        <w:t xml:space="preserve"> If </w:t>
      </w:r>
      <w:smartTag w:uri="http://www.bna.com/sgml2word/cite" w:element="cite.usc">
        <w:smartTagPr>
          <w:attr w:name="ref" w:val="USC\26\469"/>
        </w:smartTagPr>
        <w:r>
          <w:t>§469</w:t>
        </w:r>
      </w:smartTag>
      <w:r>
        <w:t xml:space="preserve"> or </w:t>
      </w:r>
      <w:smartTag w:uri="http://www.bna.com/sgml2word/cite" w:element="cite.usc">
        <w:smartTagPr>
          <w:attr w:name="ref" w:val="USC\26\465"/>
        </w:smartTagPr>
        <w:r>
          <w:t>§465</w:t>
        </w:r>
      </w:smartTag>
      <w:r>
        <w:t xml:space="preserve"> limits a loss, whether it is associated with operation of a trade or business or rental activity, or a capital or ordinary loss from the disposition of property within that activity, the dollar amount of the loss that is limited is not a deduction </w:t>
      </w:r>
      <w:r>
        <w:rPr>
          <w:i/>
        </w:rPr>
        <w:t>allowed by Subtitle A</w:t>
      </w:r>
      <w:r>
        <w:t xml:space="preserve"> in that year. To many familiar with the Form 1040 before the changes made in 2018, the result is intuitive because losses reported on Schedule E of Form 1040, for </w:t>
      </w:r>
      <w:r>
        <w:lastRenderedPageBreak/>
        <w:t xml:space="preserve">example, do not appear on the front page of the previous Form 1040 and thus are not able to offset the individual's W-2 income. These deductions, if allowed, would have been above-the-line deductions. But because they are not allowed by Subtitle A, they are not allowed as deductions under </w:t>
      </w:r>
      <w:smartTag w:uri="http://www.bna.com/sgml2word/cite" w:element="cite.usc">
        <w:smartTagPr>
          <w:attr w:name="ref" w:val="USC\26\1411(c)(1)(B)"/>
        </w:smartTagPr>
        <w:r>
          <w:t>§1411(c)(1)(B)</w:t>
        </w:r>
      </w:smartTag>
      <w:r>
        <w:t xml:space="preserve">. However, when they are allowed in a future year, they will retain their character as above-the-line deductions and may be allowable under </w:t>
      </w:r>
      <w:smartTag w:uri="http://www.bna.com/sgml2word/cite" w:element="cite.usc">
        <w:smartTagPr>
          <w:attr w:name="ref" w:val="USC\26\1411(c)(1)(B)"/>
        </w:smartTagPr>
        <w:r>
          <w:t>§1411(c)(1)(B)</w:t>
        </w:r>
      </w:smartTag>
      <w:r>
        <w:t>.</w:t>
      </w:r>
      <w:r>
        <w:rPr>
          <w:rStyle w:val="FootnoteReference"/>
        </w:rPr>
        <w:footnoteReference w:id="541"/>
      </w:r>
    </w:p>
    <w:p w14:paraId="3C0CA400" w14:textId="77777777" w:rsidR="00494B49" w:rsidRDefault="00494B49">
      <w:pPr>
        <w:pStyle w:val="BNormal"/>
      </w:pPr>
      <w:r>
        <w:rPr>
          <w:i/>
        </w:rPr>
        <w:t>Practice Point:</w:t>
      </w:r>
      <w:r>
        <w:t xml:space="preserve"> Unfortunately, the statutory requirement that deductions be "allowed by Subtitle A" also prohibits deductions that may be properly allocable to income included in </w:t>
      </w:r>
      <w:smartTag w:uri="http://www.bna.com/sgml2word/cite" w:element="cite.usc">
        <w:smartTagPr>
          <w:attr w:name="ref" w:val="USC\26\1411(c)(1)(A)"/>
        </w:smartTagPr>
        <w:r>
          <w:t>§1411(c)(1)(A)</w:t>
        </w:r>
      </w:smartTag>
      <w:r>
        <w:t xml:space="preserve">, but are found outside of Subtitle A. For example, one commentator to the 2012 Proposed Regulations had recommended that Reg. </w:t>
      </w:r>
      <w:smartTag w:uri="http://www.bna.com/sgml2word/cite" w:element="cite.cfr">
        <w:smartTagPr>
          <w:attr w:name="ref" w:val="cfr\26\1.1411-4(f)"/>
        </w:smartTagPr>
        <w:r>
          <w:t>§1.1411-4(f)</w:t>
        </w:r>
      </w:smartTag>
      <w:r>
        <w:t xml:space="preserve"> include amounts deposited in capital construction funds described in </w:t>
      </w:r>
      <w:smartTag w:uri="http://www.bna.com/sgml2word/cite" w:element="cite.usc">
        <w:smartTagPr>
          <w:attr w:name="ref" w:val="USC\26\7518"/>
        </w:smartTagPr>
        <w:r>
          <w:t>§7518</w:t>
        </w:r>
      </w:smartTag>
      <w:r>
        <w:t>.</w:t>
      </w:r>
      <w:r>
        <w:rPr>
          <w:rStyle w:val="FootnoteReference"/>
        </w:rPr>
        <w:footnoteReference w:id="542"/>
      </w:r>
      <w:r>
        <w:t xml:space="preserve"> However, this request was not adopted by the 2013 Final Regulations because a reduction in taxable income provided by </w:t>
      </w:r>
      <w:smartTag w:uri="http://www.bna.com/sgml2word/cite" w:element="cite.usc">
        <w:smartTagPr>
          <w:attr w:name="ref" w:val="USC\26\7518(c)(1)(A)"/>
        </w:smartTagPr>
        <w:r>
          <w:t>§7518(c)(1)(A)</w:t>
        </w:r>
      </w:smartTag>
      <w:r>
        <w:t xml:space="preserve"> is not a deduction allowed by Subtitle A of the Code. Therefore, these deductible amounts are outside the scope of </w:t>
      </w:r>
      <w:smartTag w:uri="http://www.bna.com/sgml2word/cite" w:element="cite.usc">
        <w:smartTagPr>
          <w:attr w:name="ref" w:val="USC\26\1411(c)(1)(B)"/>
        </w:smartTagPr>
        <w:r>
          <w:t>§1411(c)(1)(B)</w:t>
        </w:r>
      </w:smartTag>
      <w:r>
        <w:t>.</w:t>
      </w:r>
    </w:p>
    <w:p w14:paraId="4BFC5B2E" w14:textId="77777777" w:rsidR="00494B49" w:rsidRDefault="00494B49">
      <w:pPr>
        <w:pStyle w:val="BNormal"/>
      </w:pPr>
      <w:smartTag w:uri="http://www.bna.com/sgml2word/cite" w:element="cite.cfr">
        <w:smartTagPr>
          <w:attr w:name="ref" w:val="cfr\26\1.1411-4(f)"/>
        </w:smartTagPr>
        <w:r>
          <w:t>Reg. §1.1411-4(f)</w:t>
        </w:r>
      </w:smartTag>
      <w:r>
        <w:t xml:space="preserve">, along with several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discussed later in this section, provide the exclusive list of deductions that may be taken against </w:t>
      </w:r>
      <w:smartTag w:uri="http://www.bna.com/sgml2word/cite" w:element="cite.usc">
        <w:smartTagPr>
          <w:attr w:name="ref" w:val="USC\26\1411(c)(1)(A)"/>
        </w:smartTagPr>
        <w:r>
          <w:t>§1411(c)(1)(A)</w:t>
        </w:r>
      </w:smartTag>
      <w:r>
        <w:t xml:space="preserve"> income.</w:t>
      </w:r>
      <w:r>
        <w:rPr>
          <w:rStyle w:val="FootnoteReference"/>
        </w:rPr>
        <w:footnoteReference w:id="543"/>
      </w:r>
      <w:r>
        <w:t xml:space="preserve"> If an amount is deductible for regular income tax purposes, but is not identified as deductible in the </w:t>
      </w:r>
      <w:smartTag w:uri="http://www.bna.com/sgml2word/cite" w:element="cite.usc">
        <w:smartTagPr>
          <w:attr w:name="ref" w:val="USC\26\1411(c)(1)(A)"/>
        </w:smartTagPr>
        <w:r>
          <w:t>§1411</w:t>
        </w:r>
      </w:smartTag>
      <w:r>
        <w:t xml:space="preserve"> regulations, or in subsequent subregulatory guidance (such as a revenue ruling), then the amount is not deductible.</w:t>
      </w:r>
      <w:r>
        <w:rPr>
          <w:rStyle w:val="FootnoteReference"/>
        </w:rPr>
        <w:footnoteReference w:id="544"/>
      </w:r>
    </w:p>
    <w:p w14:paraId="2B42E2FB" w14:textId="77777777" w:rsidR="00494B49" w:rsidRDefault="00494B49">
      <w:pPr>
        <w:pStyle w:val="BHead2"/>
      </w:pPr>
      <w:r>
        <w:t>1. Nondeductible Items</w:t>
      </w:r>
    </w:p>
    <w:p w14:paraId="400A86E8" w14:textId="77777777" w:rsidR="00494B49" w:rsidRDefault="00494B49">
      <w:pPr>
        <w:pStyle w:val="BNormal"/>
      </w:pPr>
      <w:r>
        <w:t xml:space="preserve">The </w:t>
      </w:r>
      <w:hyperlink r:id="rId7" w:history="1">
        <w:r>
          <w:rPr>
            <w:rStyle w:val="Hyperlink"/>
          </w:rPr>
          <w:t>Instructions for Form 8960</w:t>
        </w:r>
      </w:hyperlink>
      <w:r>
        <w:t xml:space="preserve">, </w:t>
      </w:r>
      <w:r>
        <w:rPr>
          <w:i/>
        </w:rPr>
        <w:t>Net Investment Income Tax—Individuals, Estates, and Trusts</w:t>
      </w:r>
      <w:r>
        <w:t xml:space="preserve">, state that unless a deduction is specifically identified as properly allocable to net investment income in </w:t>
      </w:r>
      <w:smartTag w:uri="http://www.bna.com/sgml2word/cite" w:element="cite.cfr">
        <w:smartTagPr>
          <w:attr w:name="ref" w:val="cfr\26\1.1411-4"/>
        </w:smartTagPr>
        <w:r>
          <w:t>Reg. §1.1411</w:t>
        </w:r>
      </w:smartTag>
      <w:r>
        <w:t xml:space="preserve"> or in supplemental guidance issued by the IRS in the Internal Revenue Bulletin, the deduction is not permitted.</w:t>
      </w:r>
      <w:r>
        <w:rPr>
          <w:rStyle w:val="FootnoteReference"/>
        </w:rPr>
        <w:footnoteReference w:id="545"/>
      </w:r>
    </w:p>
    <w:p w14:paraId="6EE6564F" w14:textId="77777777" w:rsidR="00494B49" w:rsidRDefault="00494B49">
      <w:pPr>
        <w:pStyle w:val="BHead2"/>
      </w:pPr>
      <w:r>
        <w:t xml:space="preserve">2. Properly Allocable Deductions in Excess of Gross Income </w:t>
      </w:r>
    </w:p>
    <w:p w14:paraId="158A0159" w14:textId="77777777" w:rsidR="00494B49" w:rsidRDefault="00494B49">
      <w:pPr>
        <w:pStyle w:val="BNormal"/>
      </w:pPr>
      <w:r>
        <w:t xml:space="preserve">Reg. </w:t>
      </w:r>
      <w:smartTag w:uri="http://www.bna.com/sgml2word/cite" w:element="cite.cfr">
        <w:smartTagPr>
          <w:attr w:name="ref" w:val="cfr\26\1.1411-4(f)(1)"/>
        </w:smartTagPr>
        <w:r>
          <w:t>§1.1411-4(f)(1)</w:t>
        </w:r>
      </w:smartTag>
      <w:r>
        <w:t xml:space="preserve"> does not specifically limit properly allocable deductions to the amount of </w:t>
      </w:r>
      <w:smartTag w:uri="http://www.bna.com/sgml2word/cite" w:element="cite.usc">
        <w:smartTagPr>
          <w:attr w:name="ref" w:val="USC\26\1411"/>
        </w:smartTagPr>
        <w:r>
          <w:t>§1411</w:t>
        </w:r>
      </w:smartTag>
      <w:r>
        <w:t xml:space="preserve"> gross investment income included in </w:t>
      </w:r>
      <w:smartTag w:uri="http://www.bna.com/sgml2word/cite" w:element="cite.usc">
        <w:smartTagPr>
          <w:attr w:name="ref" w:val="USC\26\1411(c)(1)(A)"/>
        </w:smartTagPr>
        <w:r>
          <w:t>§1411(c)(1)(A)</w:t>
        </w:r>
      </w:smartTag>
      <w:r>
        <w:t>.</w:t>
      </w:r>
      <w:r>
        <w:rPr>
          <w:rStyle w:val="FootnoteReference"/>
        </w:rPr>
        <w:footnoteReference w:id="546"/>
      </w:r>
      <w:r>
        <w:t xml:space="preserve"> However, deductions in excess of such income cannot be carried forward (or backward) to a different tax year because there is no </w:t>
      </w:r>
      <w:r>
        <w:lastRenderedPageBreak/>
        <w:t>operative deduction provision in Subtitle A to accomplish this result.</w:t>
      </w:r>
      <w:r>
        <w:rPr>
          <w:rStyle w:val="FootnoteReference"/>
        </w:rPr>
        <w:footnoteReference w:id="547"/>
      </w:r>
      <w:r>
        <w:t xml:space="preserve"> The sole exception to this general rule is when the excess properly allocable deductions are “embedded” within a </w:t>
      </w:r>
      <w:smartTag w:uri="http://www.bna.com/sgml2word/cite" w:element="cite.usc">
        <w:smartTagPr>
          <w:attr w:name="ref" w:val="USC\26\172"/>
        </w:smartTagPr>
        <w:r>
          <w:t>§172</w:t>
        </w:r>
      </w:smartTag>
      <w:r>
        <w:t xml:space="preserve"> net operating loss. When that occurs, excess deductions are allowed to be carried to other tax years by way of the mechanics of </w:t>
      </w:r>
      <w:smartTag w:uri="http://www.bna.com/sgml2word/cite" w:element="cite.usc">
        <w:smartTagPr>
          <w:attr w:name="ref" w:val="USC\26\172"/>
        </w:smartTagPr>
        <w:r>
          <w:t>§172</w:t>
        </w:r>
      </w:smartTag>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discussion of the creation and use of NOLs under </w:t>
      </w:r>
      <w:smartTag w:uri="http://www.bna.com/sgml2word/cite" w:element="cite.usc">
        <w:smartTagPr>
          <w:attr w:name="ref" w:val="USC\26\1411(c)(1)(B)"/>
        </w:smartTagPr>
        <w:r>
          <w:t>§1411(c)(1)(B)</w:t>
        </w:r>
      </w:smartTag>
      <w:r>
        <w:t>.</w:t>
      </w:r>
    </w:p>
    <w:p w14:paraId="6A62757E" w14:textId="77777777" w:rsidR="00494B49" w:rsidRDefault="00494B49">
      <w:pPr>
        <w:pStyle w:val="BHead1"/>
      </w:pPr>
      <w:r>
        <w:t xml:space="preserve">B. Properly Allocable Deductions Allowed Under Reg. §1.1411-4(f) </w:t>
      </w:r>
    </w:p>
    <w:p w14:paraId="5E424B86" w14:textId="77777777" w:rsidR="00494B49" w:rsidRDefault="00494B49">
      <w:pPr>
        <w:pStyle w:val="BHead2"/>
      </w:pPr>
      <w:r>
        <w:t>1. Section 62 — Above-the-Line Deductions</w:t>
      </w:r>
    </w:p>
    <w:p w14:paraId="30582AF9" w14:textId="77777777" w:rsidR="00494B49" w:rsidRDefault="00494B49">
      <w:pPr>
        <w:pStyle w:val="BNormal"/>
      </w:pPr>
      <w:r>
        <w:t xml:space="preserve">Reg. </w:t>
      </w:r>
      <w:smartTag w:uri="http://www.bna.com/sgml2word/cite" w:element="cite.cfr">
        <w:smartTagPr>
          <w:attr w:name="ref" w:val="cfr\26\1.1411-4(f)(2)"/>
        </w:smartTagPr>
        <w:r>
          <w:t>§1.1411-4(f)(2)</w:t>
        </w:r>
      </w:smartTag>
      <w:r>
        <w:t xml:space="preserve"> provides the following exclusive list of properly allocable </w:t>
      </w:r>
      <w:smartTag w:uri="http://www.bna.com/sgml2word/cite" w:element="cite.usc">
        <w:smartTagPr>
          <w:attr w:name="ref" w:val="USC\26\62"/>
        </w:smartTagPr>
        <w:r>
          <w:t>§62</w:t>
        </w:r>
      </w:smartTag>
      <w:r>
        <w:t xml:space="preserve"> (above-the-line) deductions:</w:t>
      </w:r>
    </w:p>
    <w:p w14:paraId="41755D63" w14:textId="77777777" w:rsidR="00494B49" w:rsidRDefault="00494B49">
      <w:pPr>
        <w:pStyle w:val="BListitembul"/>
      </w:pPr>
      <w:r>
        <w:t> §62(a)(4) deductions allocable to rents and royalties (which have been included in §1411 investment income under §1411(c)(1)(A)(i));</w:t>
      </w:r>
      <w:r>
        <w:rPr>
          <w:rStyle w:val="FootnoteReference"/>
        </w:rPr>
        <w:footnoteReference w:id="548"/>
      </w:r>
    </w:p>
    <w:p w14:paraId="4E8C6B04" w14:textId="77777777" w:rsidR="00494B49" w:rsidRDefault="00494B49">
      <w:pPr>
        <w:pStyle w:val="BListitembul"/>
      </w:pPr>
      <w:r>
        <w:t xml:space="preserve"> §62(a)(1) deductions allocable to income from a §1411(c)(2) trade or business (a trade or business that is (1) a passive activity with respect to the taxpayer or (2) a trade or business of trading in financial instruments or commodities) to the extent those deductions have not been taken into account in determining self-employment income; </w:t>
      </w:r>
      <w:r>
        <w:rPr>
          <w:rStyle w:val="FootnoteReference"/>
        </w:rPr>
        <w:footnoteReference w:id="549"/>
      </w:r>
    </w:p>
    <w:p w14:paraId="7BF2604D" w14:textId="77777777" w:rsidR="00494B49" w:rsidRDefault="00494B49">
      <w:pPr>
        <w:pStyle w:val="BListitembul"/>
      </w:pPr>
      <w:r>
        <w:t xml:space="preserve"> §62(a)(9) deductions (penalties on early withdrawal of savings); </w:t>
      </w:r>
      <w:r>
        <w:rPr>
          <w:rStyle w:val="FootnoteReference"/>
        </w:rPr>
        <w:footnoteReference w:id="550"/>
      </w:r>
      <w:r>
        <w:t xml:space="preserve"> and</w:t>
      </w:r>
    </w:p>
    <w:p w14:paraId="1C6560BD" w14:textId="77777777" w:rsidR="00494B49" w:rsidRDefault="00494B49">
      <w:pPr>
        <w:pStyle w:val="BListitembul"/>
      </w:pPr>
      <w:r>
        <w:t xml:space="preserve">the total §1411 NOL amount of a net operating loss under §172. </w:t>
      </w:r>
      <w:r>
        <w:rPr>
          <w:rStyle w:val="FootnoteReference"/>
        </w:rPr>
        <w:footnoteReference w:id="551"/>
      </w:r>
    </w:p>
    <w:p w14:paraId="783CE263" w14:textId="77777777" w:rsidR="00494B49" w:rsidRDefault="00494B49">
      <w:pPr>
        <w:pStyle w:val="BHead3"/>
      </w:pPr>
      <w:r>
        <w:t>a. Deductions Allocable to Gross Income from Rents and Royalties</w:t>
      </w:r>
    </w:p>
    <w:p w14:paraId="52C5E4DA" w14:textId="77777777" w:rsidR="00494B49" w:rsidRDefault="00494B49">
      <w:pPr>
        <w:pStyle w:val="BNormal"/>
      </w:pPr>
      <w:r>
        <w:t xml:space="preserve">Properly allocable deductions include all deductions described in </w:t>
      </w:r>
      <w:smartTag w:uri="http://www.bna.com/sgml2word/cite" w:element="cite.usc">
        <w:smartTagPr>
          <w:attr w:name="ref" w:val="USC\26\62(a)(4)"/>
        </w:smartTagPr>
        <w:r>
          <w:t>§62(a)(4)</w:t>
        </w:r>
      </w:smartTag>
      <w:r>
        <w:t xml:space="preserve"> allocable to rents and royalties that are taken into account under </w:t>
      </w:r>
      <w:smartTag w:uri="http://www.bna.com/sgml2word/cite" w:element="cite.usc">
        <w:smartTagPr>
          <w:attr w:name="ref" w:val="USC\26\1411(c)(1)(A)(i)"/>
        </w:smartTagPr>
        <w:r>
          <w:t>§1411(c)(1)(A)(i)</w:t>
        </w:r>
      </w:smartTag>
      <w:r>
        <w:t xml:space="preserve"> in determining net investment income.</w:t>
      </w:r>
      <w:r>
        <w:rPr>
          <w:rStyle w:val="FootnoteReference"/>
        </w:rPr>
        <w:footnoteReference w:id="552"/>
      </w:r>
      <w:r>
        <w:t xml:space="preserve"> There are two criteria for an item to be deductible under this provision. First, the deduction must be “attributable to property held for the production of rents or royalties” under </w:t>
      </w:r>
      <w:smartTag w:uri="http://www.bna.com/sgml2word/cite" w:element="cite.usc">
        <w:smartTagPr>
          <w:attr w:name="ref" w:val="USC\26\62(a)(4)"/>
        </w:smartTagPr>
        <w:r>
          <w:t>§62(a)(4)</w:t>
        </w:r>
      </w:smartTag>
      <w:r>
        <w:t xml:space="preserve">. Second, the deduction captured by </w:t>
      </w:r>
      <w:smartTag w:uri="http://www.bna.com/sgml2word/cite" w:element="cite.usc">
        <w:smartTagPr>
          <w:attr w:name="ref" w:val="USC\26\62(a)(4)"/>
        </w:smartTagPr>
        <w:r>
          <w:t>§62(a)(4)</w:t>
        </w:r>
      </w:smartTag>
      <w:r>
        <w:t xml:space="preserve"> must be associated with rents or royalties included in net investment income under </w:t>
      </w:r>
      <w:smartTag w:uri="http://www.bna.com/sgml2word/cite" w:element="cite.usc">
        <w:smartTagPr>
          <w:attr w:name="ref" w:val="USC\26\1411(c)(1)(A)(i)"/>
        </w:smartTagPr>
        <w:r>
          <w:t>§1411(c)(1)(A)(i)</w:t>
        </w:r>
      </w:smartTag>
      <w:r>
        <w:t>.</w:t>
      </w:r>
    </w:p>
    <w:p w14:paraId="0CE966D3" w14:textId="77777777" w:rsidR="00494B49" w:rsidRDefault="00494B49">
      <w:pPr>
        <w:pStyle w:val="BHead4"/>
      </w:pPr>
      <w:r>
        <w:t>(1) Section 62(a)(4) Requirements</w:t>
      </w:r>
    </w:p>
    <w:p w14:paraId="711A6825" w14:textId="77777777" w:rsidR="00494B49" w:rsidRDefault="00494B49">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4)"/>
        </w:smartTagPr>
        <w:r>
          <w:t>§62(a)(4)</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4)"/>
        </w:smartTagPr>
        <w:r>
          <w:t>§62(a)(4)</w:t>
        </w:r>
      </w:smartTag>
      <w:r>
        <w:t xml:space="preserve"> does not actually provide an identifiable list of deductible items. To determine the deductibility of an item under this provision, the taxpayer must determine what deductions are “attributable to property </w:t>
      </w:r>
      <w:r>
        <w:lastRenderedPageBreak/>
        <w:t>held for the production of rents or royalties” to determine the proper net investment income tax (NIIT) treatment.</w:t>
      </w:r>
      <w:r>
        <w:rPr>
          <w:rStyle w:val="FootnoteReference"/>
        </w:rPr>
        <w:footnoteReference w:id="553"/>
      </w:r>
    </w:p>
    <w:p w14:paraId="1D1A35D3" w14:textId="77777777" w:rsidR="00494B49" w:rsidRDefault="00494B49">
      <w:pPr>
        <w:pStyle w:val="BNormal"/>
      </w:pPr>
      <w:r>
        <w:t xml:space="preserve">The use of the cross-reference to </w:t>
      </w:r>
      <w:smartTag w:uri="http://www.bna.com/sgml2word/cite" w:element="cite.usc">
        <w:smartTagPr>
          <w:attr w:name="ref" w:val="USC\26\62(a)(4)"/>
        </w:smartTagPr>
        <w:r>
          <w:t>§62(a)(4)</w:t>
        </w:r>
      </w:smartTag>
      <w:r>
        <w:t xml:space="preserve"> is artful in its simplicity but serves several critically important functions. The Treasury Department and the IRS had the ability to determine which specific deductions were properly allocable to net investment income and list them individually (such as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165"/>
        </w:smartTagPr>
        <w:r>
          <w:t>§165</w:t>
        </w:r>
      </w:smartTag>
      <w:r>
        <w:t>, etc.) but such an approach had several significant drawbacks.</w:t>
      </w:r>
    </w:p>
    <w:p w14:paraId="118FA62A" w14:textId="77777777" w:rsidR="00494B49" w:rsidRDefault="00494B49">
      <w:pPr>
        <w:pStyle w:val="BNormal"/>
      </w:pPr>
      <w:r>
        <w:t xml:space="preserve">First, the simple cross-reference to </w:t>
      </w:r>
      <w:smartTag w:uri="http://www.bna.com/sgml2word/cite" w:element="cite.usc">
        <w:smartTagPr>
          <w:attr w:name="ref" w:val="USC\26\62(a)(4)"/>
        </w:smartTagPr>
        <w:r>
          <w:t>§62(a)(4)</w:t>
        </w:r>
      </w:smartTag>
      <w:r>
        <w:t xml:space="preserve"> allows properly allocable deductions to automatically take into account changes to deductions within Chapter 1. If Congress adds a new deduction that would fall within the purview of </w:t>
      </w:r>
      <w:smartTag w:uri="http://www.bna.com/sgml2word/cite" w:element="cite.usc">
        <w:smartTagPr>
          <w:attr w:name="ref" w:val="USC\26\62(a)(4)"/>
        </w:smartTagPr>
        <w:r>
          <w:t>§62(a)(4)</w:t>
        </w:r>
      </w:smartTag>
      <w:r>
        <w:t xml:space="preserve">, or eliminates a deduction, the aggregator of </w:t>
      </w:r>
      <w:smartTag w:uri="http://www.bna.com/sgml2word/cite" w:element="cite.usc">
        <w:smartTagPr>
          <w:attr w:name="ref" w:val="USC\26\62(a)(4)"/>
        </w:smartTagPr>
        <w:r>
          <w:t>§62(a)(4)</w:t>
        </w:r>
      </w:smartTag>
      <w:r>
        <w:t xml:space="preserve"> naturally captures those changes, and thus so does </w:t>
      </w:r>
      <w:smartTag w:uri="http://www.bna.com/sgml2word/cite" w:element="cite.usc">
        <w:smartTagPr>
          <w:attr w:name="ref" w:val="USC\26\1411(c)(1)(B)"/>
        </w:smartTagPr>
        <w:r>
          <w:t>§1411(c)(1)(B)</w:t>
        </w:r>
      </w:smartTag>
      <w:r>
        <w:t xml:space="preserve">, without the need for the Treasury Department and the IRS to amend Reg. </w:t>
      </w:r>
      <w:smartTag w:uri="http://www.bna.com/sgml2word/cite" w:element="cite.cfr">
        <w:smartTagPr>
          <w:attr w:name="ref" w:val="cfr\26\1.1411-4(f)(2)(ii)"/>
        </w:smartTagPr>
        <w:r>
          <w:t>§1.1411-4(f)(2)(ii)</w:t>
        </w:r>
      </w:smartTag>
      <w:r>
        <w:t xml:space="preserve">. </w:t>
      </w:r>
      <w:r>
        <w:rPr>
          <w:rStyle w:val="FootnoteReference"/>
        </w:rPr>
        <w:footnoteReference w:id="554"/>
      </w:r>
    </w:p>
    <w:p w14:paraId="4EE649D0" w14:textId="77777777" w:rsidR="00494B49" w:rsidRDefault="00494B49">
      <w:pPr>
        <w:pStyle w:val="BNormal"/>
      </w:pPr>
      <w:r>
        <w:t xml:space="preserve">Second, the cross-reference was necessary because of the way expenses are reported for Chapter 1 purposes. This practical necessity is best explained by example. If an individual owns a rental property directly, the taxpayer will report all income and deductions associated with that property on the individual’s Form </w:t>
      </w:r>
      <w:smartTag w:uri="http://www.bna.com/sgml2word/cite" w:element="cite.fed.form">
        <w:smartTagPr>
          <w:attr w:name="ref" w:val="irs\form1040"/>
        </w:smartTagPr>
        <w:r>
          <w:t>1040</w:t>
        </w:r>
      </w:smartTag>
      <w:r>
        <w:t xml:space="preserve">, Schedule E, page 1. The taxpayer will know the gross rental income and the specific deductions that it incurs during the tax year. However, if the same rental property was held in a partnership or S corporation (assume 100% taxpayer ownership for simplicity and illustrative purposes), the individual will receive a Schedule K-1 from the entity at the end of the year reflecting his distributive share of </w:t>
      </w:r>
      <w:r>
        <w:rPr>
          <w:i/>
        </w:rPr>
        <w:t>net</w:t>
      </w:r>
      <w:r>
        <w:t xml:space="preserve"> income or loss. The resulting Schedule K-1 number should be identical to the net income or loss reported on Schedule E, page 1.</w:t>
      </w:r>
      <w:r>
        <w:rPr>
          <w:rStyle w:val="FootnoteReference"/>
        </w:rPr>
        <w:footnoteReference w:id="555"/>
      </w:r>
      <w:r>
        <w:t xml:space="preserve"> Generally, the impact on the individual’s regular income tax liability should be largely the same, whether the activity is operated outright or through a pass-through entity.</w:t>
      </w:r>
    </w:p>
    <w:p w14:paraId="73AA7F02" w14:textId="77777777" w:rsidR="00494B49" w:rsidRDefault="00494B49">
      <w:pPr>
        <w:pStyle w:val="BNormal"/>
      </w:pPr>
      <w:r>
        <w:t xml:space="preserve">Third, the cross-reference to </w:t>
      </w:r>
      <w:smartTag w:uri="http://www.bna.com/sgml2word/cite" w:element="cite.usc">
        <w:smartTagPr>
          <w:attr w:name="ref" w:val="USC\26\62(a)(4)"/>
        </w:smartTagPr>
        <w:r>
          <w:t>§62(a)(4)</w:t>
        </w:r>
      </w:smartTag>
      <w:r>
        <w:t xml:space="preserve"> takes into account all deduction limitation mechanisms in Chapter 1. For example, if deductions are limited by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xml:space="preserve">, those deductions are not deductions described in </w:t>
      </w:r>
      <w:smartTag w:uri="http://www.bna.com/sgml2word/cite" w:element="cite.usc">
        <w:smartTagPr>
          <w:attr w:name="ref" w:val="USC\26\62(a)(4)"/>
        </w:smartTagPr>
        <w:r>
          <w:t>§62(a)(4)</w:t>
        </w:r>
      </w:smartTag>
      <w:r>
        <w:t xml:space="preserve"> in the year of suspension.</w:t>
      </w:r>
      <w:r>
        <w:rPr>
          <w:rStyle w:val="FootnoteReference"/>
        </w:rPr>
        <w:footnoteReference w:id="556"/>
      </w:r>
      <w:r>
        <w:t xml:space="preserve"> Although not expressly stated in </w:t>
      </w:r>
      <w:r>
        <w:lastRenderedPageBreak/>
        <w:t xml:space="preserve">the regulations, the same result would also occur for any other deduction deferral provision, such as </w:t>
      </w:r>
      <w:smartTag w:uri="http://www.bna.com/sgml2word/cite" w:element="cite.usc">
        <w:smartTagPr>
          <w:attr w:name="ref" w:val="USC\26\267(a)"/>
        </w:smartTagPr>
        <w:r>
          <w:t>§267(a)</w:t>
        </w:r>
      </w:smartTag>
      <w:r>
        <w:t xml:space="preserve">. In addition, if a deduction is limited in Chapter 1 (permanently excluded, versus deferred), then the deduction is not included in </w:t>
      </w:r>
      <w:smartTag w:uri="http://www.bna.com/sgml2word/cite" w:element="cite.usc">
        <w:smartTagPr>
          <w:attr w:name="ref" w:val="USC\26\62(a)(4)"/>
        </w:smartTagPr>
        <w:r>
          <w:t>§62(a)(4)</w:t>
        </w:r>
      </w:smartTag>
      <w:r>
        <w:t xml:space="preserve"> and is also nondeductible for NIIT purposes. For example, expenses categorized as nondeductible under </w:t>
      </w:r>
      <w:smartTag w:uri="http://www.bna.com/sgml2word/cite" w:element="cite.usc">
        <w:smartTagPr>
          <w:attr w:name="ref" w:val="USC\26\274(a)"/>
        </w:smartTagPr>
        <w:r>
          <w:t>§274(a)</w:t>
        </w:r>
      </w:smartTag>
      <w:r>
        <w:t xml:space="preserve"> (entertainment expenses) or </w:t>
      </w:r>
      <w:smartTag w:uri="http://www.bna.com/sgml2word/cite" w:element="cite.usc">
        <w:smartTagPr>
          <w:attr w:name="ref" w:val="USC\26\280G"/>
        </w:smartTagPr>
        <w:r>
          <w:t>§280G</w:t>
        </w:r>
      </w:smartTag>
      <w:r>
        <w:t xml:space="preserve"> (golden parachute payments), or only partially deductible (such as the 50% deduction limitation on meals in </w:t>
      </w:r>
      <w:smartTag w:uri="http://www.bna.com/sgml2word/cite" w:element="cite.usc">
        <w:smartTagPr>
          <w:attr w:name="ref" w:val="USC\26\274(n)"/>
        </w:smartTagPr>
        <w:r>
          <w:t>§274(n)</w:t>
        </w:r>
      </w:smartTag>
      <w:r>
        <w:t xml:space="preserve">), are taken into account by </w:t>
      </w:r>
      <w:smartTag w:uri="http://www.bna.com/sgml2word/cite" w:element="cite.usc">
        <w:smartTagPr>
          <w:attr w:name="ref" w:val="USC\26\62(a)(4)"/>
        </w:smartTagPr>
        <w:r>
          <w:t>§62(a)(4)</w:t>
        </w:r>
      </w:smartTag>
      <w:r>
        <w:t xml:space="preserve">, and thus no special conforming rules are required within </w:t>
      </w:r>
      <w:smartTag w:uri="http://www.bna.com/sgml2word/cite" w:element="cite.usc">
        <w:smartTagPr>
          <w:attr w:name="ref" w:val="USC\26\1411(c)(1)(B)"/>
        </w:smartTagPr>
        <w:r>
          <w:t>§1411(c)(1)(B)</w:t>
        </w:r>
      </w:smartTag>
      <w:r>
        <w:t>.</w:t>
      </w:r>
    </w:p>
    <w:p w14:paraId="6ED776BF" w14:textId="77777777" w:rsidR="00494B49" w:rsidRDefault="00494B49">
      <w:pPr>
        <w:pStyle w:val="BNormal"/>
      </w:pPr>
      <w:r>
        <w:rPr>
          <w:i/>
        </w:rPr>
        <w:t>Comment:</w:t>
      </w:r>
      <w:r>
        <w:t xml:space="preserve"> This same analysis applies to the cross-</w:t>
      </w:r>
      <w:r>
        <w:br/>
        <w:t xml:space="preserve">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deductions, as discussed below. From a compliance perspective, the simplest way to conceptualize what deductions are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is to note that they are generally the deductions taken into account on the individual taxpayer’s Form </w:t>
      </w:r>
      <w:smartTag w:uri="http://www.bna.com/sgml2word/cite" w:element="cite.fed.form">
        <w:smartTagPr>
          <w:attr w:name="ref" w:val="irs\form1040"/>
        </w:smartTagPr>
        <w:r>
          <w:t>1040</w:t>
        </w:r>
      </w:smartTag>
      <w:r>
        <w:t>, Schedule C, E, or F.</w:t>
      </w:r>
      <w:r>
        <w:rPr>
          <w:rStyle w:val="FootnoteReference"/>
        </w:rPr>
        <w:footnoteReference w:id="557"/>
      </w:r>
      <w:r>
        <w:t xml:space="preserve"> Nonetheless, there are some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that are not reported directly on those schedules. </w:t>
      </w:r>
    </w:p>
    <w:p w14:paraId="5AF36383" w14:textId="77777777" w:rsidR="00494B49" w:rsidRDefault="00494B49">
      <w:pPr>
        <w:pStyle w:val="BNormal"/>
      </w:pPr>
      <w:r>
        <w:rPr>
          <w:i/>
        </w:rPr>
        <w:t>Comment:</w:t>
      </w:r>
      <w:r>
        <w:t xml:space="preserve"> Interestingly, in the case of an estate or trust, </w:t>
      </w:r>
      <w:smartTag w:uri="http://www.bna.com/sgml2word/cite" w:element="cite.usc">
        <w:smartTagPr>
          <w:attr w:name="ref" w:val="USC\26\641(b)"/>
        </w:smartTagPr>
        <w:r>
          <w:t>§641(b)</w:t>
        </w:r>
      </w:smartTag>
      <w:r>
        <w:t xml:space="preserve"> provides, in relevant part, that the “taxable income of an estate or trust shall be computed in the same manner as in the case of an individual, except as otherwise provided in this part.” However, Reg. </w:t>
      </w:r>
      <w:smartTag w:uri="http://www.bna.com/sgml2word/cite" w:element="cite.cfr">
        <w:smartTagPr>
          <w:attr w:name="ref" w:val="cfr\26\1.652(b)-3"/>
        </w:smartTagPr>
        <w:r>
          <w:t>§1.652(b)-3</w:t>
        </w:r>
      </w:smartTag>
      <w:r>
        <w:t xml:space="preserve"> contains rules on the allocation of deductions among classes of income, which include trade or business income and rental and royalty. Reg. </w:t>
      </w:r>
      <w:smartTag w:uri="http://www.bna.com/sgml2word/cite" w:element="cite.cfr">
        <w:smartTagPr>
          <w:attr w:name="ref" w:val="cfr\26\1.652(b)-3(a)"/>
        </w:smartTagPr>
        <w:r>
          <w:t>§1.652(b)-3(a)</w:t>
        </w:r>
      </w:smartTag>
      <w:r>
        <w:t xml:space="preserve"> requires directly related deductions, to be allocated to the income to which they relate. Accounting for expenses in Reg. </w:t>
      </w:r>
      <w:smartTag w:uri="http://www.bna.com/sgml2word/cite" w:element="cite.cfr">
        <w:smartTagPr>
          <w:attr w:name="ref" w:val="cfr\26\1.652(b)-3(a)"/>
        </w:smartTagPr>
        <w:r>
          <w:t>§1.652(b)-3(a)</w:t>
        </w:r>
      </w:smartTag>
      <w:r>
        <w:t xml:space="preserve"> appears to be functionally similar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but this author has never seen a situation in which the allocation rules in Reg. </w:t>
      </w:r>
      <w:smartTag w:uri="http://www.bna.com/sgml2word/cite" w:element="cite.cfr">
        <w:smartTagPr>
          <w:attr w:name="ref" w:val="cfr\26\1.652(b)-3(a)"/>
        </w:smartTagPr>
        <w:r>
          <w:t>§1.652(b)-3(a)</w:t>
        </w:r>
      </w:smartTag>
      <w:r>
        <w:t xml:space="preserve"> caused an estate or trust to have a different net income or net loss number than an individual using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(with the exception of the special rules pertaining to depreciation in Reg. </w:t>
      </w:r>
      <w:smartTag w:uri="http://www.bna.com/sgml2word/cite" w:element="cite.cfr">
        <w:smartTagPr>
          <w:attr w:name="ref" w:val="cfr\26\1.642(e)-1"/>
        </w:smartTagPr>
        <w:r>
          <w:t>§1.642(e)-1</w:t>
        </w:r>
      </w:smartTag>
      <w:r>
        <w:t xml:space="preserve">). Therefore, one may reasonably presume that the use of cross-references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in Reg. </w:t>
      </w:r>
      <w:smartTag w:uri="http://www.bna.com/sgml2word/cite" w:element="cite.cfr">
        <w:smartTagPr>
          <w:attr w:name="ref" w:val="cfr\26\1.1411-4(f)(2)"/>
        </w:smartTagPr>
        <w:r>
          <w:t>§1.1411-4(f)(2)</w:t>
        </w:r>
      </w:smartTag>
      <w:r>
        <w:t xml:space="preserve"> was intended to produce the same amount of net investment income regardless of whether the taxpayer is an individual, estate, or trust. </w:t>
      </w:r>
    </w:p>
    <w:p w14:paraId="463D889C" w14:textId="77777777" w:rsidR="00494B49" w:rsidRDefault="00494B49">
      <w:pPr>
        <w:pStyle w:val="BHead4"/>
      </w:pPr>
      <w:r>
        <w:t xml:space="preserve">(2) Allocable to Rents and Royalties Included in Net Investment Income </w:t>
      </w:r>
    </w:p>
    <w:p w14:paraId="41AE915A" w14:textId="77777777" w:rsidR="00494B49" w:rsidRDefault="00494B49">
      <w:pPr>
        <w:pStyle w:val="BNormal"/>
      </w:pPr>
      <w:r>
        <w:t xml:space="preserve">Deductions under </w:t>
      </w:r>
      <w:smartTag w:uri="http://www.bna.com/sgml2word/cite" w:element="cite.usc">
        <w:smartTagPr>
          <w:attr w:name="ref" w:val="USC\26\62(a)(4)"/>
        </w:smartTagPr>
        <w:r>
          <w:t>§62(a)(4)</w:t>
        </w:r>
      </w:smartTag>
      <w:r>
        <w:t xml:space="preserve"> are deductible for </w:t>
      </w:r>
      <w:smartTag w:uri="http://www.bna.com/sgml2word/cite" w:element="cite.usc">
        <w:smartTagPr>
          <w:attr w:name="ref" w:val="USC\26\1411"/>
        </w:smartTagPr>
        <w:r>
          <w:t>§1411</w:t>
        </w:r>
      </w:smartTag>
      <w:r>
        <w:t xml:space="preserve"> purposes only to the extent that they are allocable to investment income included in the computation of net investment income under </w:t>
      </w:r>
      <w:smartTag w:uri="http://www.bna.com/sgml2word/cite" w:element="cite.usc">
        <w:smartTagPr>
          <w:attr w:name="ref" w:val="USC\26\1411(c)(1)(A)(i)"/>
        </w:smartTagPr>
        <w:r>
          <w:t>§1411(c)(1)(A)(i)</w:t>
        </w:r>
      </w:smartTag>
      <w:r>
        <w:t xml:space="preserve">. To the extent that income is not included in </w:t>
      </w:r>
      <w:smartTag w:uri="http://www.bna.com/sgml2word/cite" w:element="cite.usc">
        <w:smartTagPr>
          <w:attr w:name="ref" w:val="USC\26\1411(c)(1)(A)(i)"/>
        </w:smartTagPr>
        <w:r>
          <w:t>§1411(c)(1)(A)(i)</w:t>
        </w:r>
      </w:smartTag>
      <w:r>
        <w:t xml:space="preserve"> by reason of a specific rule in Chapter 1, or by reason of a special NIIT rule, the associated deductions are excluded as well.</w:t>
      </w:r>
      <w:r>
        <w:rPr>
          <w:rStyle w:val="FootnoteReference"/>
        </w:rPr>
        <w:footnoteReference w:id="558"/>
      </w:r>
    </w:p>
    <w:p w14:paraId="610B0AE0" w14:textId="77777777" w:rsidR="00494B49" w:rsidRDefault="00494B49">
      <w:pPr>
        <w:pStyle w:val="BNormal"/>
      </w:pPr>
      <w:r>
        <w:lastRenderedPageBreak/>
        <w:t xml:space="preserve">As an example of the application of this rule, consider the special exclusion from net investment income of rentals grouped with a nonpassive activity under Reg. </w:t>
      </w:r>
      <w:smartTag w:uri="http://www.bna.com/sgml2word/cite" w:element="cite.cfr">
        <w:smartTagPr>
          <w:attr w:name="ref" w:val="cfr\26\1.1411-4(g)(6)"/>
        </w:smartTagPr>
        <w:r>
          <w:t>§1.1411-4(g)(6)</w:t>
        </w:r>
      </w:smartTag>
      <w:r>
        <w:t xml:space="preserve">. Reg. </w:t>
      </w:r>
      <w:smartTag w:uri="http://www.bna.com/sgml2word/cite" w:element="cite.cfr">
        <w:smartTagPr>
          <w:attr w:name="ref" w:val="cfr\26\1.1411-4(g)(6)(i)"/>
        </w:smartTagPr>
        <w:r>
          <w:t>§1.1411-4(g)(6)(i)</w:t>
        </w:r>
      </w:smartTag>
      <w:r>
        <w:t xml:space="preserve"> excludes gross rents that are considered nonpassive by reason of a grouping under Reg. </w:t>
      </w:r>
      <w:smartTag w:uri="http://www.bna.com/sgml2word/cite" w:element="cite.cfr">
        <w:smartTagPr>
          <w:attr w:name="ref" w:val="cfr\26\1.469-4(d)(1)"/>
        </w:smartTagPr>
        <w:r>
          <w:t>§1.469-4(d)(1)</w:t>
        </w:r>
      </w:smartTag>
      <w:r>
        <w:t xml:space="preserve"> from the computation of net investment income because it deems them to be derived in the ordinary course of a trade or business that is not a </w:t>
      </w:r>
      <w:smartTag w:uri="http://www.bna.com/sgml2word/cite" w:element="cite.usc">
        <w:smartTagPr>
          <w:attr w:name="ref" w:val="USC\26\1411(c)(2)"/>
        </w:smartTagPr>
        <w:r>
          <w:t>§1411(c)(2)</w:t>
        </w:r>
      </w:smartTag>
      <w:r>
        <w:t xml:space="preserve"> trade or business. In other words, the income is excluded from the computation of net investment income by reason of the ordinary course of business exception in Reg. </w:t>
      </w:r>
      <w:smartTag w:uri="http://www.bna.com/sgml2word/cite" w:element="cite.cfr">
        <w:smartTagPr>
          <w:attr w:name="ref" w:val="cfr\26\1.1411-4(b)"/>
        </w:smartTagPr>
        <w:r>
          <w:t>§1.1411-4(b)</w:t>
        </w:r>
      </w:smartTag>
      <w:r>
        <w:t xml:space="preserve">. In this case, because Reg. </w:t>
      </w:r>
      <w:smartTag w:uri="http://www.bna.com/sgml2word/cite" w:element="cite.cfr">
        <w:smartTagPr>
          <w:attr w:name="ref" w:val="cfr\26\1.1411-4(g)(6)(i)"/>
        </w:smartTagPr>
        <w:r>
          <w:t>§1.1411-4(g)(6)(i)</w:t>
        </w:r>
      </w:smartTag>
      <w:r>
        <w:t xml:space="preserve"> excludes the gross nonpassive rental income from </w:t>
      </w:r>
      <w:smartTag w:uri="http://www.bna.com/sgml2word/cite" w:element="cite.usc">
        <w:smartTagPr>
          <w:attr w:name="ref" w:val="USC\26\1411(c)(1)(A)(i)"/>
        </w:smartTagPr>
        <w:r>
          <w:t>§1411(c)(1)(A)(i)</w:t>
        </w:r>
      </w:smartTag>
      <w:r>
        <w:t xml:space="preserve">, the expenses associated with the nonpassive rental income that are described in </w:t>
      </w:r>
      <w:smartTag w:uri="http://www.bna.com/sgml2word/cite" w:element="cite.usc">
        <w:smartTagPr>
          <w:attr w:name="ref" w:val="USC\26\62(a)(4)"/>
        </w:smartTagPr>
        <w:r>
          <w:t>§62(a)(4)</w:t>
        </w:r>
      </w:smartTag>
      <w:r>
        <w:t xml:space="preserve"> are not deductible under Reg. </w:t>
      </w:r>
      <w:smartTag w:uri="http://www.bna.com/sgml2word/cite" w:element="cite.cfr">
        <w:smartTagPr>
          <w:attr w:name="ref" w:val="cfr\26\1.1411-4(f)(2)(i)"/>
        </w:smartTagPr>
        <w:r>
          <w:t>§1.1411-4(f)(2)(i)</w:t>
        </w:r>
      </w:smartTag>
      <w:r>
        <w:t xml:space="preserve">. Reg. </w:t>
      </w:r>
      <w:smartTag w:uri="http://www.bna.com/sgml2word/cite" w:element="cite.cfr">
        <w:smartTagPr>
          <w:attr w:name="ref" w:val="cfr\26\1.1411-4(g)(6)(i)"/>
        </w:smartTagPr>
        <w:r>
          <w:t>§1.1411-4(g)(6)(i)</w:t>
        </w:r>
      </w:smartTag>
      <w:r>
        <w:t xml:space="preserve"> causes the rent to be tax-exempt income for purposes of the NIIT, thus Reg. </w:t>
      </w:r>
      <w:smartTag w:uri="http://www.bna.com/sgml2word/cite" w:element="cite.cfr">
        <w:smartTagPr>
          <w:attr w:name="ref" w:val="cfr\26\1.1411-4(f)(2)(i)"/>
        </w:smartTagPr>
        <w:r>
          <w:t>§1.1411-4(f)(2)(i)</w:t>
        </w:r>
      </w:smartTag>
      <w:r>
        <w:t xml:space="preserve"> operates like </w:t>
      </w:r>
      <w:smartTag w:uri="http://www.bna.com/sgml2word/cite" w:element="cite.usc">
        <w:smartTagPr>
          <w:attr w:name="ref" w:val="USC\26\265"/>
        </w:smartTagPr>
        <w:r>
          <w:t>§265</w:t>
        </w:r>
      </w:smartTag>
      <w:r>
        <w:t xml:space="preserve"> to eliminate the associated deductions.</w:t>
      </w:r>
    </w:p>
    <w:p w14:paraId="7FAD23C4" w14:textId="77777777" w:rsidR="00494B49" w:rsidRDefault="00494B49">
      <w:pPr>
        <w:pStyle w:val="BHead3"/>
      </w:pPr>
      <w:r>
        <w:t>b. Trade or Business Deductions Allocable to §1411(c)(2) Trades or Businesses</w:t>
      </w:r>
    </w:p>
    <w:p w14:paraId="304201BA" w14:textId="77777777" w:rsidR="00494B49" w:rsidRDefault="00494B49">
      <w:pPr>
        <w:pStyle w:val="BNormal"/>
      </w:pPr>
      <w:r>
        <w:t xml:space="preserve">Properly allocable deductions, which include all deductions described in </w:t>
      </w:r>
      <w:smartTag w:uri="http://www.bna.com/sgml2word/cite" w:element="cite.usc">
        <w:smartTagPr>
          <w:attr w:name="ref" w:val="USC\26\62(a)(1)"/>
        </w:smartTagPr>
        <w:r>
          <w:t>§62(a)(1)</w:t>
        </w:r>
      </w:smartTag>
      <w:r>
        <w:t xml:space="preserve"> allocable to income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r>
        <w:rPr>
          <w:rStyle w:val="FootnoteReference"/>
        </w:rPr>
        <w:footnoteReference w:id="559"/>
      </w:r>
      <w:r>
        <w:t xml:space="preserve"> are taken into account in determining net investment income to the extent that the deductions have not been taken into account in determining self-employment income within the meaning of Reg. </w:t>
      </w:r>
      <w:smartTag w:uri="http://www.bna.com/sgml2word/cite" w:element="cite.cfr">
        <w:smartTagPr>
          <w:attr w:name="ref" w:val="cfr\26\1.1411-9"/>
        </w:smartTagPr>
        <w:r>
          <w:t>§1.1411-9</w:t>
        </w:r>
      </w:smartTag>
      <w:r>
        <w:t>.</w:t>
      </w:r>
      <w:r>
        <w:rPr>
          <w:rStyle w:val="FootnoteReference"/>
        </w:rPr>
        <w:footnoteReference w:id="560"/>
      </w:r>
      <w:r>
        <w:t xml:space="preserve"> There are three criteria for an item to be deductible under this provision.</w:t>
      </w:r>
    </w:p>
    <w:p w14:paraId="6F490938" w14:textId="77777777" w:rsidR="00494B49" w:rsidRDefault="00494B49">
      <w:pPr>
        <w:pStyle w:val="BNormal"/>
      </w:pPr>
      <w:r>
        <w:t xml:space="preserve">First, the deduction must be of a type “which are attributable to a trade or business carried on by the taxpayer, if such trade or business does not consist of the performance of services by the taxpayer as an employee” under </w:t>
      </w:r>
      <w:smartTag w:uri="http://www.bna.com/sgml2word/cite" w:element="cite.usc">
        <w:smartTagPr>
          <w:attr w:name="ref" w:val="USC\26\62(a)(1)"/>
        </w:smartTagPr>
        <w:r>
          <w:t>§62(a)(1)</w:t>
        </w:r>
      </w:smartTag>
      <w:r>
        <w:t xml:space="preserve">. Second, any deduction captured by </w:t>
      </w:r>
      <w:smartTag w:uri="http://www.bna.com/sgml2word/cite" w:element="cite.usc">
        <w:smartTagPr>
          <w:attr w:name="ref" w:val="USC\26\62(a)(1)"/>
        </w:smartTagPr>
        <w:r>
          <w:t>§62(a)(1)</w:t>
        </w:r>
      </w:smartTag>
      <w:r>
        <w:t xml:space="preserve"> must be associated with trade or business income included in the computation of net investment income under </w:t>
      </w:r>
      <w:smartTag w:uri="http://www.bna.com/sgml2word/cite" w:element="cite.usc">
        <w:smartTagPr>
          <w:attr w:name="ref" w:val="USC\26\1411(c)(1)(A)(ii)"/>
        </w:smartTagPr>
        <w:r>
          <w:t>§1411(c)(1)(A)(ii)</w:t>
        </w:r>
      </w:smartTag>
      <w:r>
        <w:t xml:space="preserve">. These two criteria are substantially similar to the requirements for deductibility of rent and royalty expenses described in </w:t>
      </w:r>
      <w:smartTag w:uri="http://www.bna.com/sgml2word/cite" w:element="cite.usc">
        <w:smartTagPr>
          <w:attr w:name="ref" w:val="USC\26\62(a)(4)"/>
        </w:smartTagPr>
        <w:r>
          <w:t>§62(a)(4)</w:t>
        </w:r>
      </w:smartTag>
      <w:r>
        <w:t xml:space="preserve"> (discussed above). Finally, the deductions must not be deductible in determining self-employment income. </w:t>
      </w:r>
    </w:p>
    <w:p w14:paraId="5FF3A293" w14:textId="77777777" w:rsidR="00494B49" w:rsidRDefault="00494B49">
      <w:pPr>
        <w:pStyle w:val="BHead4"/>
      </w:pPr>
      <w:r>
        <w:t>(1) Section 62(a)(1) Requirements</w:t>
      </w:r>
    </w:p>
    <w:p w14:paraId="20B0DDB6" w14:textId="77777777" w:rsidR="00494B49" w:rsidRDefault="00494B49">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1)"/>
        </w:smartTagPr>
        <w:r>
          <w:t>§62(a)(1)</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1)"/>
        </w:smartTagPr>
        <w:r>
          <w:t>§62(a)(1)</w:t>
        </w:r>
      </w:smartTag>
      <w:r>
        <w:t xml:space="preserve"> does not actually provide an identifiable list of deductible items. To determine the deductibility of an item under this provision, the taxpayer must determine what deductions are “attributable to a trade or business carried on by the taxpayer” in order to determine the proper NIIT treatment.</w:t>
      </w:r>
      <w:r>
        <w:rPr>
          <w:rStyle w:val="FootnoteReference"/>
        </w:rPr>
        <w:footnoteReference w:id="561"/>
      </w:r>
      <w:r>
        <w:t xml:space="preserve"> As discussed in detail in the context of </w:t>
      </w:r>
      <w:smartTag w:uri="http://www.bna.com/sgml2word/cite" w:element="cite.usc">
        <w:smartTagPr>
          <w:attr w:name="ref" w:val="USC\26\62(a)(4)"/>
        </w:smartTagPr>
        <w:r>
          <w:t>§62(a)(4)</w:t>
        </w:r>
      </w:smartTag>
      <w:r>
        <w:t xml:space="preserve"> deductions (in </w:t>
      </w:r>
      <w:smartTag w:uri="http://www.bna.com/sgml2word/cite" w:element="cite.bna.reference">
        <w:smartTagPr>
          <w:attr w:name="bna.id.ref" w:val="TM\511.V.B.1.a.(1)"/>
        </w:smartTagPr>
        <w:r>
          <w:t>V.B.1.a.(1)</w:t>
        </w:r>
      </w:smartTag>
      <w:smartTag w:uri="http://www.bna.com/sgml2word/cite" w:element="cite.bna.reference">
        <w:smartTagPr>
          <w:attr w:name="bna.id.ref" w:val="TM\511.V.B.1.a.(1)"/>
        </w:smartTagPr>
        <w:r>
          <w:t>V.B.1.a.(1)</w:t>
        </w:r>
      </w:smartTag>
      <w:r>
        <w:t xml:space="preserve">, above), the cross-reference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serves several functions, including </w:t>
      </w:r>
      <w:r>
        <w:lastRenderedPageBreak/>
        <w:t xml:space="preserve">allowing properly allocable deductions under </w:t>
      </w:r>
      <w:smartTag w:uri="http://www.bna.com/sgml2word/cite" w:element="cite.usc">
        <w:smartTagPr>
          <w:attr w:name="ref" w:val="USC\26\1411"/>
        </w:smartTagPr>
        <w:r>
          <w:t>§1411</w:t>
        </w:r>
      </w:smartTag>
      <w:r>
        <w:t xml:space="preserve"> to automatically take into account changes to deductions within Chapter 1.</w:t>
      </w:r>
      <w:r>
        <w:rPr>
          <w:rStyle w:val="FootnoteReference"/>
        </w:rPr>
        <w:footnoteReference w:id="562"/>
      </w:r>
    </w:p>
    <w:p w14:paraId="3C364FB5" w14:textId="77777777" w:rsidR="00494B49" w:rsidRDefault="00494B49">
      <w:pPr>
        <w:pStyle w:val="BHead4"/>
      </w:pPr>
      <w:r>
        <w:t xml:space="preserve">(2) Properly Allocable to Income from a §1411(c)(2) Trade or Business </w:t>
      </w:r>
    </w:p>
    <w:p w14:paraId="0A9C9C43" w14:textId="77777777" w:rsidR="00494B49" w:rsidRDefault="00494B49">
      <w:pPr>
        <w:pStyle w:val="BNormal"/>
      </w:pPr>
      <w:r>
        <w:t xml:space="preserve">Deductions under </w:t>
      </w:r>
      <w:smartTag w:uri="http://www.bna.com/sgml2word/cite" w:element="cite.usc">
        <w:smartTagPr>
          <w:attr w:name="ref" w:val="USC\26\62(a)(1)"/>
        </w:smartTagPr>
        <w:r>
          <w:t>§62(a)(1)</w:t>
        </w:r>
      </w:smartTag>
      <w:r>
        <w:t xml:space="preserve"> are deductible for </w:t>
      </w:r>
      <w:smartTag w:uri="http://www.bna.com/sgml2word/cite" w:element="cite.usc">
        <w:smartTagPr>
          <w:attr w:name="ref" w:val="USC\26\1411"/>
        </w:smartTagPr>
        <w:r>
          <w:t>§1411</w:t>
        </w:r>
      </w:smartTag>
      <w:r>
        <w:t xml:space="preserve"> purposes only to the extent that they are allocable to income from a </w:t>
      </w:r>
      <w:smartTag w:uri="http://www.bna.com/sgml2word/cite" w:element="cite.usc">
        <w:smartTagPr>
          <w:attr w:name="ref" w:val="USC\26\1411(c)(2)"/>
        </w:smartTagPr>
        <w:r>
          <w:t>§1411(c)(2)</w:t>
        </w:r>
      </w:smartTag>
      <w:r>
        <w:t xml:space="preserve"> trade or business included in the computation of net investment income under </w:t>
      </w:r>
      <w:smartTag w:uri="http://www.bna.com/sgml2word/cite" w:element="cite.usc">
        <w:smartTagPr>
          <w:attr w:name="ref" w:val="USC\26\1411(c)(1)(A)(ii)"/>
        </w:smartTagPr>
        <w:r>
          <w:t>§1411(c)(1)(A)(ii)</w:t>
        </w:r>
      </w:smartTag>
      <w:r>
        <w:t xml:space="preserve">. To the extent that income is not included in </w:t>
      </w:r>
      <w:smartTag w:uri="http://www.bna.com/sgml2word/cite" w:element="cite.usc">
        <w:smartTagPr>
          <w:attr w:name="ref" w:val="USC\26\1411(c)(1)(A)(ii)"/>
        </w:smartTagPr>
        <w:r>
          <w:t>§1411(c)(1)(A)(ii)</w:t>
        </w:r>
      </w:smartTag>
      <w:r>
        <w:t xml:space="preserve"> by reason of a specific rule in Chapter 1, or by reason of a special NIIT rule, the associated deductions are excluded as well.</w:t>
      </w:r>
      <w:r>
        <w:rPr>
          <w:rStyle w:val="FootnoteReference"/>
        </w:rPr>
        <w:footnoteReference w:id="563"/>
      </w:r>
    </w:p>
    <w:p w14:paraId="35237116" w14:textId="77777777" w:rsidR="00494B49" w:rsidRDefault="00494B49">
      <w:pPr>
        <w:pStyle w:val="BHead4"/>
      </w:pPr>
      <w:r>
        <w:t>(3) Not Taken into Account in Determining Self-</w:t>
      </w:r>
      <w:r>
        <w:br/>
        <w:t>Employment Income</w:t>
      </w:r>
    </w:p>
    <w:p w14:paraId="2BB61C0E" w14:textId="77777777" w:rsidR="00494B49" w:rsidRDefault="00494B49">
      <w:pPr>
        <w:pStyle w:val="BNormal"/>
      </w:pPr>
      <w:r>
        <w:t xml:space="preserve">As discussed in more detail in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xml:space="preserve">, above, </w:t>
      </w:r>
      <w:smartTag w:uri="http://www.bna.com/sgml2word/cite" w:element="cite.usc">
        <w:smartTagPr>
          <w:attr w:name="ref" w:val="USC\26\1411(c)(6)"/>
        </w:smartTagPr>
        <w:r>
          <w:t>§1411(c)(6)</w:t>
        </w:r>
      </w:smartTag>
      <w:r>
        <w:t xml:space="preserve"> provides that net investment income does not include any item of income that is taken into account in determining self-</w:t>
      </w:r>
      <w:r>
        <w:br/>
        <w:t>employment income.</w:t>
      </w:r>
      <w:r>
        <w:rPr>
          <w:rStyle w:val="FootnoteReference"/>
        </w:rPr>
        <w:footnoteReference w:id="564"/>
      </w:r>
      <w:r>
        <w:t xml:space="preserve"> More simply, if the income is included in the self-employment tax base (referred to as “net earnings from self-employment”) it is not included in net investment income. The last criterion for deductibility of trade or business expenses embodies that same theory. Just as income is not included in the tax base of both regimes, Reg. </w:t>
      </w:r>
      <w:smartTag w:uri="http://www.bna.com/sgml2word/cite" w:element="cite.cfr">
        <w:smartTagPr>
          <w:attr w:name="ref" w:val="cfr\26\1.1411-4(f)(2)(ii)"/>
        </w:smartTagPr>
        <w:r>
          <w:t>§1.1411-4(f)(2)(ii)</w:t>
        </w:r>
      </w:smartTag>
      <w:r>
        <w:t xml:space="preserve"> ensures that deductions are not either (and, consistent with the income rule, it “breaks the tie” in favor of the self-employment income regime). Because Reg. </w:t>
      </w:r>
      <w:smartTag w:uri="http://www.bna.com/sgml2word/cite" w:element="cite.cfr">
        <w:smartTagPr>
          <w:attr w:name="ref" w:val="cfr\26\1.1411-4(f)(2)(ii)"/>
        </w:smartTagPr>
        <w:r>
          <w:t>§1.1411-4(f)(2)(ii)</w:t>
        </w:r>
      </w:smartTag>
      <w:r>
        <w:t xml:space="preserve"> cross-references Reg. </w:t>
      </w:r>
      <w:smartTag w:uri="http://www.bna.com/sgml2word/cite" w:element="cite.cfr">
        <w:smartTagPr>
          <w:attr w:name="ref" w:val="cfr\26\1.1411-9(a)"/>
        </w:smartTagPr>
        <w:r>
          <w:t>§1.1411-9(a)</w:t>
        </w:r>
      </w:smartTag>
      <w:r>
        <w:t xml:space="preserve"> with regard to the term “taken into account,” the deductions are not included in the net investment income calculation even though they produce no self-employment tax savings.</w:t>
      </w:r>
    </w:p>
    <w:p w14:paraId="045F0E5F" w14:textId="77777777" w:rsidR="00494B49" w:rsidRDefault="00494B49">
      <w:pPr>
        <w:pStyle w:val="BHead4"/>
      </w:pPr>
      <w:r>
        <w:t xml:space="preserve">(4) Special Rules for Traders in Financial Instruments or Commodities </w:t>
      </w:r>
    </w:p>
    <w:p w14:paraId="4DB6F85A" w14:textId="77777777" w:rsidR="00494B49" w:rsidRDefault="00494B49">
      <w:pPr>
        <w:pStyle w:val="BNormal"/>
      </w:pPr>
      <w:r>
        <w:t xml:space="preserve">As discussed above, Reg. </w:t>
      </w:r>
      <w:smartTag w:uri="http://www.bna.com/sgml2word/cite" w:element="cite.cfr">
        <w:smartTagPr>
          <w:attr w:name="ref" w:val="cfr\26\1.1411-4(f)(2)(ii)"/>
        </w:smartTagPr>
        <w:r>
          <w:t>§1.1411-4(f)(2)(ii)</w:t>
        </w:r>
      </w:smartTag>
      <w:r>
        <w:t xml:space="preserve"> provides that trade or business expenses are allowed as deductions only to the extent that those expenses are not taken into account in computing self-employment income. Reg. </w:t>
      </w:r>
      <w:smartTag w:uri="http://www.bna.com/sgml2word/cite" w:element="cite.cfr">
        <w:smartTagPr>
          <w:attr w:name="ref" w:val="cfr\26\1.1411-9(b)"/>
        </w:smartTagPr>
        <w:r>
          <w:t>§1.1411-9(b)</w:t>
        </w:r>
      </w:smartTag>
      <w:r>
        <w:t xml:space="preserve"> contains a special rule applicable to certain taxpayers operating a </w:t>
      </w:r>
      <w:smartTag w:uri="http://www.bna.com/sgml2word/cite" w:element="cite.usc">
        <w:smartTagPr>
          <w:attr w:name="ref" w:val="USC\26\1411(c)(2)(B)"/>
        </w:smartTagPr>
        <w:r>
          <w:t>§1411(c)(2)(B)</w:t>
        </w:r>
      </w:smartTag>
      <w:r>
        <w:t xml:space="preserve"> trade or business (trading in financial instruments or commodities) that operates as a reverse-tie-breaker rule. </w:t>
      </w:r>
    </w:p>
    <w:p w14:paraId="7F62641E" w14:textId="77777777" w:rsidR="00494B49" w:rsidRDefault="00494B49">
      <w:pPr>
        <w:pStyle w:val="BNormal"/>
      </w:pPr>
      <w:r>
        <w:t xml:space="preserve">The exception contained in Reg. </w:t>
      </w:r>
      <w:smartTag w:uri="http://www.bna.com/sgml2word/cite" w:element="cite.cfr">
        <w:smartTagPr>
          <w:attr w:name="ref" w:val="cfr\26\1.1411-9(b)"/>
        </w:smartTagPr>
        <w:r>
          <w:t>§1.1411-9(b)</w:t>
        </w:r>
      </w:smartTag>
      <w:r>
        <w:t xml:space="preserve"> provides that certain deductions described in Reg. </w:t>
      </w:r>
      <w:smartTag w:uri="http://www.bna.com/sgml2word/cite" w:element="cite.cfr">
        <w:smartTagPr>
          <w:attr w:name="ref" w:val="cfr\26\1.1411-4(f)(2)(ii)"/>
        </w:smartTagPr>
        <w:r>
          <w:t>§1.1411-4(f)(2)(ii)</w:t>
        </w:r>
      </w:smartTag>
      <w:r>
        <w:t xml:space="preserve"> (</w:t>
      </w:r>
      <w:smartTag w:uri="http://www.bna.com/sgml2word/cite" w:element="cite.usc">
        <w:smartTagPr>
          <w:attr w:name="ref" w:val="USC\26\62(a)(1)"/>
        </w:smartTagPr>
        <w:r>
          <w:t>§62(a)(1)</w:t>
        </w:r>
      </w:smartTag>
      <w:r>
        <w:t xml:space="preserve"> deductions attributable to a trade or business of trading in financial instruments or commodities) that do not reduce a taxpayer’s net earnings from self-employment (after aggregating the net earnings from self-employment from all of the taxpayer’s trades or business) are not considered taken into account for purposes of </w:t>
      </w:r>
      <w:smartTag w:uri="http://www.bna.com/sgml2word/cite" w:element="cite.usc">
        <w:smartTagPr>
          <w:attr w:name="ref" w:val="USC\26\1411(c)(6)"/>
        </w:smartTagPr>
        <w:r>
          <w:t>§1411(c)(6)</w:t>
        </w:r>
      </w:smartTag>
      <w:r>
        <w:t xml:space="preserve"> and may be considered in determining the taxpayer’s net investment income for NIIT purposes. In the first instance, this exception will apply if the taxpayer is engaged in a trade or business of trading in financial instruments or commodities and does not have any net earnings from self-employment </w:t>
      </w:r>
      <w:r>
        <w:lastRenderedPageBreak/>
        <w:t xml:space="preserve">or the deductions from trading exceed the taxpayer’s net earnings from self-employment. Example 3 in Reg. </w:t>
      </w:r>
      <w:smartTag w:uri="http://www.bna.com/sgml2word/cite" w:element="cite.cfr">
        <w:smartTagPr>
          <w:attr w:name="ref" w:val="cfr\26\1.1411-9(c)"/>
        </w:smartTagPr>
        <w:r>
          <w:t>§1.1411-9(c)</w:t>
        </w:r>
      </w:smartTag>
      <w:r>
        <w:t xml:space="preserve"> provides an example of the application of this rule.</w:t>
      </w:r>
    </w:p>
    <w:p w14:paraId="7CA7C16A" w14:textId="77777777" w:rsidR="00494B49" w:rsidRDefault="00494B49">
      <w:pPr>
        <w:pStyle w:val="BNormal"/>
      </w:pPr>
      <w:r>
        <w:t xml:space="preserve">It is important to note that, although the regulation example is written in the context of a trader with income and expenses reported on a Schedule C, the special rule for traders in Reg. </w:t>
      </w:r>
      <w:smartTag w:uri="http://www.bna.com/sgml2word/cite" w:element="cite.cfr">
        <w:smartTagPr>
          <w:attr w:name="ref" w:val="cfr\26\1.1411-9(b)"/>
        </w:smartTagPr>
        <w:r>
          <w:t>§1.1411-9(b)</w:t>
        </w:r>
      </w:smartTag>
      <w:r>
        <w:t xml:space="preserve"> applies equally to net earnings from self-employment allocated to an individual on a Schedule K-1 from a partnership. In this context, the taxpayer could have a loss from trading activities reported on Schedule K-1, Line 1 (or other expenses reported on the “other deductions line”) and interest, dividends, and trading gains on other lines. To the extent that the taxpayer must take into account the net loss in the calculation of net earnings from self-employment (because the loss is not excluded under </w:t>
      </w:r>
      <w:smartTag w:uri="http://www.bna.com/sgml2word/cite" w:element="cite.usc">
        <w:smartTagPr>
          <w:attr w:name="ref" w:val="USC\26\1402(a)(13)"/>
        </w:smartTagPr>
        <w:r>
          <w:t>§1402(a)(13)</w:t>
        </w:r>
      </w:smartTag>
      <w:r>
        <w:t xml:space="preserve">), the special rule for expenses in Reg. </w:t>
      </w:r>
      <w:smartTag w:uri="http://www.bna.com/sgml2word/cite" w:element="cite.cfr">
        <w:smartTagPr>
          <w:attr w:name="ref" w:val="cfr\26\1.1411-9(b)"/>
        </w:smartTagPr>
        <w:r>
          <w:t>§1.1411-9(b)</w:t>
        </w:r>
      </w:smartTag>
      <w:r>
        <w:t xml:space="preserve"> applies.</w:t>
      </w:r>
    </w:p>
    <w:p w14:paraId="4AB3FCB6" w14:textId="77777777" w:rsidR="00494B49" w:rsidRDefault="00494B49">
      <w:pPr>
        <w:pStyle w:val="BCommentpara"/>
      </w:pPr>
      <w:r>
        <w:rPr>
          <w:rStyle w:val="BCommenthead"/>
        </w:rPr>
        <w:t xml:space="preserve">Practice Point: </w:t>
      </w:r>
      <w:r>
        <w:t xml:space="preserve">From a tax compliance perspective, the loss (or excess expenses) used to reduce the taxpayer’s net earnings from self-employment that are taken into account by the taxpayer for regular income taxes on his Schedule E would be adjusted on </w:t>
      </w:r>
      <w:smartTag w:uri="http://www.bna.com/sgml2word/cite" w:element="cite.fed.form">
        <w:smartTagPr>
          <w:attr w:name="ref" w:val="irs\form8960"/>
        </w:smartTagPr>
        <w:r>
          <w:t>Form 8960</w:t>
        </w:r>
      </w:smartTag>
      <w:r>
        <w:t xml:space="preserve">, </w:t>
      </w:r>
      <w:r>
        <w:rPr>
          <w:i/>
        </w:rPr>
        <w:t>Net Investment Income Tax—Individuals, Estates, and Trusts</w:t>
      </w:r>
      <w:r>
        <w:t>, Line 4b. If only a portion of the loss reported on Schedule E reduces net earnings from self-employment (e.g., reduced net earnings from self-employment below zero), only a portion of the loss would be adjusted on Line 4b.</w:t>
      </w:r>
    </w:p>
    <w:p w14:paraId="75F2C009" w14:textId="77777777" w:rsidR="00494B49" w:rsidRDefault="00494B49">
      <w:pPr>
        <w:pStyle w:val="BNormal"/>
      </w:pPr>
      <w:r>
        <w:t xml:space="preserve">In the second instance, this exception applies to a taxpayer that is engaged in a trade or business of trading in financial instruments or commodities and another trade or business subject to </w:t>
      </w:r>
      <w:smartTag w:uri="http://www.bna.com/sgml2word/cite" w:element="cite.usc">
        <w:smartTagPr>
          <w:attr w:name="ref" w:val="USC\26\1402"/>
        </w:smartTagPr>
        <w:r>
          <w:t>§1402</w:t>
        </w:r>
      </w:smartTag>
      <w:r>
        <w:t xml:space="preserve"> where the deductions from trading exceed the taxpayer’s net earnings from self-employment from the other business. Example 4 in Reg. </w:t>
      </w:r>
      <w:smartTag w:uri="http://www.bna.com/sgml2word/cite" w:element="cite.cfr">
        <w:smartTagPr>
          <w:attr w:name="ref" w:val="cfr\26\1.1411-9(c)"/>
        </w:smartTagPr>
        <w:r>
          <w:t>§1.1411-9(c)</w:t>
        </w:r>
      </w:smartTag>
      <w:r>
        <w:t xml:space="preserve"> provides an intriguing example of the application of this rule: </w:t>
      </w:r>
    </w:p>
    <w:p w14:paraId="7CBE0503" w14:textId="77777777" w:rsidR="00494B49" w:rsidRDefault="00494B49">
      <w:pPr>
        <w:pStyle w:val="BQuotelong"/>
      </w:pPr>
      <w:r>
        <w:t xml:space="preserve">E is an individual engaged in two trades or businesses, Business X (which is not a trade or business of trading in financial instruments or commodities) and Business Y (which is a trade or business of trading in financial instruments or commodities (as described in Reg. </w:t>
      </w:r>
      <w:smartTag w:uri="http://www.bna.com/sgml2word/cite" w:element="cite.cfr">
        <w:smartTagPr>
          <w:attr w:name="ref" w:val="cfr\26\1.1411-5(a)(2)"/>
        </w:smartTagPr>
        <w:r>
          <w:t>§1.1411-5(a)(2)</w:t>
        </w:r>
      </w:smartTag>
      <w:r>
        <w:t xml:space="preserve">)). E made a valid and timely mark-to-market election under </w:t>
      </w:r>
      <w:smartTag w:uri="http://www.bna.com/sgml2word/cite" w:element="cite.usc">
        <w:smartTagPr>
          <w:attr w:name="ref" w:val="USC\26\475(f)"/>
        </w:smartTagPr>
        <w:r>
          <w:t>§475(f)</w:t>
        </w:r>
      </w:smartTag>
      <w:r>
        <w:t xml:space="preserve"> with respect to Business Y. During Year 1, E had net earnings from self-employment from Business X of $35,000. During Year 1, E also had $300,000 of trading gains, which are gross income described in Reg. </w:t>
      </w:r>
      <w:smartTag w:uri="http://www.bna.com/sgml2word/cite" w:element="cite.cfr">
        <w:smartTagPr>
          <w:attr w:name="ref" w:val="cfr\26\1.1411-4(a)(1)"/>
        </w:smartTagPr>
        <w:r>
          <w:t>§1.1411-4(a)(1)</w:t>
        </w:r>
      </w:smartTag>
      <w:r>
        <w:t xml:space="preserve"> and $40,000 of expenses described in Reg. </w:t>
      </w:r>
      <w:smartTag w:uri="http://www.bna.com/sgml2word/cite" w:element="cite.cfr">
        <w:smartTagPr>
          <w:attr w:name="ref" w:val="cfr\26\1.1411-4(f)(2)(ii)"/>
        </w:smartTagPr>
        <w:r>
          <w:t>§1.1411-4(f)(2)(ii)</w:t>
        </w:r>
      </w:smartTag>
      <w:r>
        <w:t xml:space="preserve"> from Business Y. E’s $300,000 of gross income from Business Y is excluded from net earnings from self-employment and self-employment income pursuant to §</w:t>
      </w:r>
      <w:smartTag w:uri="http://www.bna.com/sgml2word/cite" w:element="cite.usc">
        <w:smartTagPr>
          <w:attr w:name="ref" w:val="USC\26\475(f)(1)(D)"/>
        </w:smartTagPr>
        <w:r>
          <w:t>475(f)(1)(D)</w:t>
        </w:r>
      </w:smartTag>
      <w:r>
        <w:t xml:space="preserve"> and §</w:t>
      </w:r>
      <w:smartTag w:uri="http://www.bna.com/sgml2word/cite" w:element="cite.usc">
        <w:smartTagPr>
          <w:attr w:name="ref" w:val="USC\26\1402(a)(3)(A)"/>
        </w:smartTagPr>
        <w:r>
          <w:t>1402(a)(3)(A)</w:t>
        </w:r>
      </w:smartTag>
      <w:r>
        <w:t xml:space="preserve">. E’s $40,000 of deductions from Business Y reduce E’s $35,000 of net earnings from self-employment from Business X to $0. Pursuant to Reg. </w:t>
      </w:r>
      <w:smartTag w:uri="http://www.bna.com/sgml2word/cite" w:element="cite.cfr">
        <w:smartTagPr>
          <w:attr w:name="ref" w:val="cfr\26\1.1411-9(b)"/>
        </w:smartTagPr>
        <w:r>
          <w:t>§1.1411-9(b)</w:t>
        </w:r>
      </w:smartTag>
      <w:r>
        <w:t xml:space="preserve"> and </w:t>
      </w:r>
      <w:smartTag w:uri="http://www.bna.com/sgml2word/cite" w:element="cite.cfr">
        <w:smartTagPr>
          <w:attr w:name="ref" w:val="cfr\26\1.1411-4(f)(2)(ii)"/>
        </w:smartTagPr>
        <w:r>
          <w:t>§1.1411-4(f)(2)(ii)</w:t>
        </w:r>
      </w:smartTag>
      <w:r>
        <w:t xml:space="preserve">, the remaining $5,000 of deductions from Business Y are taken into account in determining E’s net investment income (by reducing E’s gross income of $300,000 from Business Y to $295,000) for purposes of </w:t>
      </w:r>
      <w:smartTag w:uri="http://www.bna.com/sgml2word/cite" w:element="cite.usc">
        <w:smartTagPr>
          <w:attr w:name="ref" w:val="USC\26\1411"/>
        </w:smartTagPr>
        <w:r>
          <w:t>§1411</w:t>
        </w:r>
      </w:smartTag>
      <w:r>
        <w:t xml:space="preserve">. </w:t>
      </w:r>
    </w:p>
    <w:p w14:paraId="20D34C16" w14:textId="77777777" w:rsidR="00494B49" w:rsidRDefault="00494B49">
      <w:pPr>
        <w:pStyle w:val="BNormal"/>
      </w:pPr>
      <w:r>
        <w:t xml:space="preserve">This Example is intriguing and noteworthy for several reasons. First, the presence or absence of a </w:t>
      </w:r>
      <w:smartTag w:uri="http://www.bna.com/sgml2word/cite" w:element="cite.usc">
        <w:smartTagPr>
          <w:attr w:name="ref" w:val="USC\26\475(f)"/>
        </w:smartTagPr>
        <w:r>
          <w:t>§475(f)</w:t>
        </w:r>
      </w:smartTag>
      <w:r>
        <w:t xml:space="preserve"> election is irrelevant for the analysis. By stating that the taxpayer made a </w:t>
      </w:r>
      <w:smartTag w:uri="http://www.bna.com/sgml2word/cite" w:element="cite.usc">
        <w:smartTagPr>
          <w:attr w:name="ref" w:val="USC\26\475(f)"/>
        </w:smartTagPr>
        <w:r>
          <w:t>§475(f)</w:t>
        </w:r>
      </w:smartTag>
      <w:r>
        <w:t xml:space="preserve"> </w:t>
      </w:r>
      <w:r>
        <w:lastRenderedPageBreak/>
        <w:t>election, the example reinforces two main points.</w:t>
      </w:r>
      <w:r>
        <w:rPr>
          <w:rStyle w:val="FootnoteReference"/>
        </w:rPr>
        <w:footnoteReference w:id="565"/>
      </w:r>
      <w:r>
        <w:t xml:space="preserve"> First, it dispels a possible reading that the taxpayer was somehow not in a trade or business of trading (because the taxpayer would not have qualified for the election in the first place). Second, the resulting trading income was ordinary gain because the election did not otherwise eliminate the exception in </w:t>
      </w:r>
      <w:smartTag w:uri="http://www.bna.com/sgml2word/cite" w:element="cite.usc">
        <w:smartTagPr>
          <w:attr w:name="ref" w:val="USC\26\1402(a)(3)"/>
        </w:smartTagPr>
        <w:r>
          <w:t>§1402(a)(3)</w:t>
        </w:r>
      </w:smartTag>
      <w:r>
        <w:t xml:space="preserve"> for the disposition of capital assets,</w:t>
      </w:r>
      <w:r>
        <w:rPr>
          <w:rStyle w:val="FootnoteReference"/>
        </w:rPr>
        <w:footnoteReference w:id="566"/>
      </w:r>
      <w:r>
        <w:t xml:space="preserve"> or assets that are neither inventory,</w:t>
      </w:r>
      <w:r>
        <w:rPr>
          <w:rStyle w:val="FootnoteReference"/>
        </w:rPr>
        <w:footnoteReference w:id="567"/>
      </w:r>
      <w:r>
        <w:t xml:space="preserve"> nor otherwise held for sale to customers in the ordinary course of a trade or business.</w:t>
      </w:r>
      <w:r>
        <w:rPr>
          <w:rStyle w:val="FootnoteReference"/>
        </w:rPr>
        <w:footnoteReference w:id="568"/>
      </w:r>
    </w:p>
    <w:p w14:paraId="651AB58B" w14:textId="77777777" w:rsidR="00494B49" w:rsidRDefault="00494B49">
      <w:pPr>
        <w:pStyle w:val="BNormal"/>
      </w:pPr>
      <w:r>
        <w:t xml:space="preserve">Second, the Example is not specific with respect to the type of operation conducted by Business X (the nontrading business) and does not focus on any interdependencies between Business X and Business Y, which would be irrelevant to the analysis. The key to the example is that Business Y is a trading business. Business X could be any business that is subject to SECA, from a flower shop conducted through a general partnership to Directors fees reported on an individual’s Schedule C via </w:t>
      </w:r>
      <w:smartTag w:uri="http://www.bna.com/sgml2word/cite" w:element="cite.fed.form">
        <w:smartTagPr>
          <w:attr w:name="ref" w:val="irs\form1099-MISC"/>
        </w:smartTagPr>
        <w:r>
          <w:t>Form 1099-MISC</w:t>
        </w:r>
      </w:smartTag>
      <w:r>
        <w:t>.</w:t>
      </w:r>
      <w:r>
        <w:rPr>
          <w:rStyle w:val="FootnoteReference"/>
        </w:rPr>
        <w:footnoteReference w:id="569"/>
      </w:r>
    </w:p>
    <w:p w14:paraId="4CB36F42" w14:textId="77777777" w:rsidR="00494B49" w:rsidRDefault="00494B49">
      <w:pPr>
        <w:pStyle w:val="BNormal"/>
      </w:pPr>
      <w:r>
        <w:t xml:space="preserve">Third, a trading business is different than a rental business. For purposes of SECA, there is no general rule in Chapter 2 that bars expenses associated with the production of income excluded from net earnings from self-employment under </w:t>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from being taken into account in calculating an individual’s net earnings from self-employment.</w:t>
      </w:r>
      <w:r>
        <w:rPr>
          <w:rStyle w:val="FootnoteReference"/>
        </w:rPr>
        <w:footnoteReference w:id="570"/>
      </w:r>
      <w:r>
        <w:t xml:space="preserve"> Nonetheless, </w:t>
      </w:r>
      <w:smartTag w:uri="http://www.bna.com/sgml2word/cite" w:element="cite.usc">
        <w:smartTagPr>
          <w:attr w:name="ref" w:val="USC\26\1402(a)(1)"/>
        </w:smartTagPr>
        <w:r>
          <w:t>§1402(a)(1)</w:t>
        </w:r>
      </w:smartTag>
      <w:r>
        <w:t xml:space="preserve"> excludes both rents and the associated expenses from net earnings from self-employment.</w:t>
      </w:r>
      <w:r>
        <w:rPr>
          <w:rStyle w:val="FootnoteReference"/>
        </w:rPr>
        <w:footnoteReference w:id="571"/>
      </w:r>
      <w:r>
        <w:t xml:space="preserve"> In the case of traders in financial instruments or commodities, there is no similar rule under </w:t>
      </w:r>
      <w:smartTag w:uri="http://www.bna.com/sgml2word/cite" w:element="cite.usc">
        <w:smartTagPr>
          <w:attr w:name="ref" w:val="USC\26\1402(a)(2)"/>
        </w:smartTagPr>
        <w:r>
          <w:t>§1402(a)(2)</w:t>
        </w:r>
      </w:smartTag>
      <w:r>
        <w:t xml:space="preserve"> (interest and dividends), or </w:t>
      </w:r>
      <w:smartTag w:uri="http://www.bna.com/sgml2word/cite" w:element="cite.usc">
        <w:smartTagPr>
          <w:attr w:name="ref" w:val="USC\26\1402(a)(3)"/>
        </w:smartTagPr>
        <w:r>
          <w:t>§1402(a)(3)</w:t>
        </w:r>
      </w:smartTag>
      <w:r>
        <w:t xml:space="preserve"> (gains and losses) to exclude the associated expenses from the general rule in </w:t>
      </w:r>
      <w:smartTag w:uri="http://www.bna.com/sgml2word/cite" w:element="cite.usc">
        <w:smartTagPr>
          <w:attr w:name="ref" w:val="USC\26\1402(a)"/>
        </w:smartTagPr>
        <w:r>
          <w:t>§1402(a)</w:t>
        </w:r>
      </w:smartTag>
      <w:r>
        <w:t>.</w:t>
      </w:r>
    </w:p>
    <w:p w14:paraId="1AC0280C" w14:textId="77777777" w:rsidR="00494B49" w:rsidRDefault="00494B49">
      <w:pPr>
        <w:pStyle w:val="BNormal"/>
      </w:pPr>
      <w:r>
        <w:t xml:space="preserve">Finally, the number of taxpayers to which Example 4 will apply is very small. In order for Reg. </w:t>
      </w:r>
      <w:smartTag w:uri="http://www.bna.com/sgml2word/cite" w:element="cite.cfr">
        <w:smartTagPr>
          <w:attr w:name="ref" w:val="cfr\26\1.1411-9(b)"/>
        </w:smartTagPr>
        <w:r>
          <w:t>§1.1411-9(b)</w:t>
        </w:r>
      </w:smartTag>
      <w:r>
        <w:t xml:space="preserve"> to apply, the net earnings from self-employment attributable to Business X (which can be one business or more than one business) must be positive and the net earnings from self-employment attributable to the trading business must be negative.</w:t>
      </w:r>
    </w:p>
    <w:p w14:paraId="58CD0B81" w14:textId="77777777" w:rsidR="00494B49" w:rsidRDefault="00494B49">
      <w:pPr>
        <w:pStyle w:val="BCommentpara"/>
      </w:pPr>
      <w:r>
        <w:rPr>
          <w:rStyle w:val="BCommenthead"/>
        </w:rPr>
        <w:t>Practice Point</w:t>
      </w:r>
      <w:r>
        <w:t xml:space="preserve">: The </w:t>
      </w:r>
      <w:hyperlink r:id="rId8" w:history="1">
        <w:r>
          <w:rPr>
            <w:rStyle w:val="Hyperlink"/>
          </w:rPr>
          <w:t>Instructions for Form 8960</w:t>
        </w:r>
      </w:hyperlink>
      <w:r>
        <w:t xml:space="preserve">, </w:t>
      </w:r>
      <w:r>
        <w:rPr>
          <w:i/>
        </w:rPr>
        <w:t>Net Investment Income Tax—Individuals, Estates, and Trusts</w:t>
      </w:r>
      <w:r>
        <w:t xml:space="preserve">, Line 10, provide a worksheet to implement the Reg. </w:t>
      </w:r>
      <w:smartTag w:uri="http://www.bna.com/sgml2word/cite" w:element="cite.cfr">
        <w:smartTagPr>
          <w:attr w:name="ref" w:val="cfr\26\1.1411-9(b)"/>
        </w:smartTagPr>
        <w:r>
          <w:t>§1.1411-9(b)</w:t>
        </w:r>
      </w:smartTag>
      <w:r>
        <w:t xml:space="preserve"> reverse-tie-breaker rule. The worksheet calculates a taxpayer’s net earnings from self-employment with and without the trader deductions. The worksheet has several outcomes: </w:t>
      </w:r>
    </w:p>
    <w:p w14:paraId="4D3F4814" w14:textId="77777777" w:rsidR="00494B49" w:rsidRDefault="00494B49">
      <w:pPr>
        <w:pStyle w:val="BListitembul"/>
      </w:pPr>
      <w:r>
        <w:t xml:space="preserve">If the trader’s net earnings from self-employment is positive when taking into account trader expenses, then none of the expenses are deductible in computing net investment income. </w:t>
      </w:r>
    </w:p>
    <w:p w14:paraId="0FBCF68B" w14:textId="77777777" w:rsidR="00494B49" w:rsidRDefault="00494B49">
      <w:pPr>
        <w:pStyle w:val="BListitembul"/>
      </w:pPr>
      <w:r>
        <w:lastRenderedPageBreak/>
        <w:t xml:space="preserve">If the trader’s net earnings from self-employment are negative with and without the trader expenses, then all of the trader expenses are deductible in computing net investment income. </w:t>
      </w:r>
    </w:p>
    <w:p w14:paraId="5F4AECB7" w14:textId="77777777" w:rsidR="00494B49" w:rsidRDefault="00494B49">
      <w:pPr>
        <w:pStyle w:val="BListitembul"/>
      </w:pPr>
      <w:r>
        <w:t>If the net earnings from self-employment is negative with the trader expenses, but positive without the trader expenses, then only the amount of trader expenses that cause net earnings from self-employment to fall below zero are deductible in computing net investment income.</w:t>
      </w:r>
    </w:p>
    <w:p w14:paraId="5868077D" w14:textId="77777777" w:rsidR="00494B49" w:rsidRDefault="00494B49">
      <w:pPr>
        <w:pStyle w:val="BCommentpara"/>
      </w:pPr>
      <w:r>
        <w:rPr>
          <w:rStyle w:val="BCommenthead"/>
        </w:rPr>
        <w:t xml:space="preserve">Comment: </w:t>
      </w:r>
      <w:r>
        <w:t xml:space="preserve">Only after Reg. </w:t>
      </w:r>
      <w:smartTag w:uri="http://www.bna.com/sgml2word/cite" w:element="cite.cfr">
        <w:smartTagPr>
          <w:attr w:name="ref" w:val="cfr\26\1.1411-9(b)"/>
        </w:smartTagPr>
        <w:r>
          <w:t>§1.1411-9(b)</w:t>
        </w:r>
      </w:smartTag>
      <w:r>
        <w:t xml:space="preserve"> was finalized did this author appreciate that there are certain businesses that need this reverse-tie breaker rule which are not included in the very narrow exception. For example, rental of personal property (e.g., personal property rentals that both (1) fail to qualify for the exceptions to the definition of rental under </w:t>
      </w:r>
      <w:smartTag w:uri="http://www.bna.com/sgml2word/cite" w:element="cite.usc">
        <w:smartTagPr>
          <w:attr w:name="ref" w:val="USC\26\469"/>
        </w:smartTagPr>
        <w:r>
          <w:t>§469</w:t>
        </w:r>
      </w:smartTag>
      <w:r>
        <w:t xml:space="preserve">, and thus are per se passive, and (2) are subject to self-employment tax because they are not excluded rentals under </w:t>
      </w:r>
      <w:smartTag w:uri="http://www.bna.com/sgml2word/cite" w:element="cite.usc">
        <w:smartTagPr>
          <w:attr w:name="ref" w:val="USC\26\1402(a)(1)"/>
        </w:smartTagPr>
        <w:r>
          <w:t>§1402(a)(1)</w:t>
        </w:r>
      </w:smartTag>
      <w:r>
        <w:t>) that generates a loss will be excluded from net investment income because it is subject to self-employment tax.</w:t>
      </w:r>
      <w:r>
        <w:rPr>
          <w:rStyle w:val="FootnoteReference"/>
        </w:rPr>
        <w:footnoteReference w:id="572"/>
      </w:r>
      <w:r>
        <w:t xml:space="preserve"> If the individual has no other self-employment income, the overall net rental loss that is allowed due to other passive income not only will be excluded from net investment income, but also will not benefit the taxpayer for self-employment tax purposes. Although this is the exact mathematical scenario that Reg. </w:t>
      </w:r>
      <w:smartTag w:uri="http://www.bna.com/sgml2word/cite" w:element="cite.cfr">
        <w:smartTagPr>
          <w:attr w:name="ref" w:val="cfr\26\1.1411-9(b)"/>
        </w:smartTagPr>
        <w:r>
          <w:t>§1.1411-9(b)</w:t>
        </w:r>
      </w:smartTag>
      <w:r>
        <w:t xml:space="preserve"> was designed to resolve in a taxpayer-favorable way, only the trader fact pattern was brought to the attention of the government during the regulation development process. Thus, the example was narrowly tailored to cover only traders. For other situations, such as the personal property rentals discussed in this paragraph, to be covered by the special reverse-tie breaker rule, Reg. </w:t>
      </w:r>
      <w:smartTag w:uri="http://www.bna.com/sgml2word/cite" w:element="cite.cfr">
        <w:smartTagPr>
          <w:attr w:name="ref" w:val="cfr\26\1.1411-9(b)"/>
        </w:smartTagPr>
        <w:r>
          <w:t>§1.1411-9(b)</w:t>
        </w:r>
      </w:smartTag>
      <w:r>
        <w:t xml:space="preserve"> would need to be amended or special relief would need to be provided by the IRS either in the Internal Revenue Bulletin or, possibly, through the </w:t>
      </w:r>
      <w:hyperlink r:id="rId9" w:history="1">
        <w:r>
          <w:rPr>
            <w:rStyle w:val="Hyperlink"/>
          </w:rPr>
          <w:t>Instructions for Form 8960</w:t>
        </w:r>
      </w:hyperlink>
      <w:r>
        <w:t xml:space="preserve">. In all cases, there is no basis for a taxpayer to apply the “theory” or “spirit” embodied in Reg. </w:t>
      </w:r>
      <w:smartTag w:uri="http://www.bna.com/sgml2word/cite" w:element="cite.cfr">
        <w:smartTagPr>
          <w:attr w:name="ref" w:val="cfr\26\1.1411-9(b)"/>
        </w:smartTagPr>
        <w:r>
          <w:t>§1.1411-9(b)</w:t>
        </w:r>
      </w:smartTag>
      <w:r>
        <w:t xml:space="preserve"> to loss activities other than trading activities.</w:t>
      </w:r>
    </w:p>
    <w:p w14:paraId="29F42C8A" w14:textId="77777777" w:rsidR="00494B49" w:rsidRDefault="00494B49">
      <w:pPr>
        <w:pStyle w:val="BHead3"/>
      </w:pPr>
      <w:r>
        <w:t>c. Deductions for Early Withdrawal from Savings</w:t>
      </w:r>
    </w:p>
    <w:p w14:paraId="175D73B7" w14:textId="77777777" w:rsidR="00494B49" w:rsidRDefault="00494B49">
      <w:pPr>
        <w:pStyle w:val="BNormal"/>
      </w:pPr>
      <w:r>
        <w:t xml:space="preserve">Deductions described in </w:t>
      </w:r>
      <w:smartTag w:uri="http://www.bna.com/sgml2word/cite" w:element="cite.usc">
        <w:smartTagPr>
          <w:attr w:name="ref" w:val="USC\26\62(a)(9)"/>
        </w:smartTagPr>
        <w:r>
          <w:t>§62(a)(9)</w:t>
        </w:r>
      </w:smartTag>
      <w:r>
        <w:t xml:space="preserve"> are taken into account in determining net investment income.</w:t>
      </w:r>
      <w:r>
        <w:rPr>
          <w:rStyle w:val="FootnoteReference"/>
        </w:rPr>
        <w:footnoteReference w:id="573"/>
      </w:r>
      <w:r>
        <w:t xml:space="preserve"> In essence, these amounts are negative interest that a taxpayer repays to the bank for early withdrawal of funds.</w:t>
      </w:r>
    </w:p>
    <w:p w14:paraId="772CF531" w14:textId="77777777" w:rsidR="00494B49" w:rsidRDefault="00494B49">
      <w:pPr>
        <w:pStyle w:val="BHead3"/>
      </w:pPr>
      <w:r>
        <w:t xml:space="preserve">d. Net Operating Losses </w:t>
      </w:r>
    </w:p>
    <w:p w14:paraId="12C73E1B" w14:textId="77777777" w:rsidR="00494B49" w:rsidRDefault="00494B49">
      <w:pPr>
        <w:pStyle w:val="BNormal"/>
      </w:pPr>
      <w:r>
        <w:t xml:space="preserve">The total </w:t>
      </w:r>
      <w:smartTag w:uri="http://www.bna.com/sgml2word/cite" w:element="cite.usc">
        <w:smartTagPr>
          <w:attr w:name="ref" w:val="USC\26\1411"/>
        </w:smartTagPr>
        <w:r>
          <w:t>§1411</w:t>
        </w:r>
      </w:smartTag>
      <w:r>
        <w:t xml:space="preserve"> NOL amount of a net operating loss deduction allowed under </w:t>
      </w:r>
      <w:smartTag w:uri="http://www.bna.com/sgml2word/cite" w:element="cite.usc">
        <w:smartTagPr>
          <w:attr w:name="ref" w:val="USC\26\172"/>
        </w:smartTagPr>
        <w:r>
          <w:t>§172</w:t>
        </w:r>
      </w:smartTag>
      <w:r>
        <w:t xml:space="preserve"> is allowed as a properly allocable deduction in determining net investment income for any tax year.</w:t>
      </w:r>
      <w:r>
        <w:rPr>
          <w:rStyle w:val="FootnoteReference"/>
        </w:rPr>
        <w:footnoteReference w:id="574"/>
      </w:r>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detailed discussion of the creation and use of NOLs under </w:t>
      </w:r>
      <w:smartTag w:uri="http://www.bna.com/sgml2word/cite" w:element="cite.usc">
        <w:smartTagPr>
          <w:attr w:name="ref" w:val="USC\26\1411(c)(1)(B)"/>
        </w:smartTagPr>
        <w:r>
          <w:t>§1411(c)(1)(B)</w:t>
        </w:r>
      </w:smartTag>
      <w:r>
        <w:t>.</w:t>
      </w:r>
    </w:p>
    <w:p w14:paraId="00A65B78" w14:textId="77777777" w:rsidR="00494B49" w:rsidRDefault="00494B49" w:rsidP="006951DA">
      <w:pPr>
        <w:pStyle w:val="BHead2"/>
        <w:keepNext/>
        <w:keepLines/>
      </w:pPr>
      <w:r>
        <w:lastRenderedPageBreak/>
        <w:t>2. Section 63 — Itemized Deductions</w:t>
      </w:r>
    </w:p>
    <w:p w14:paraId="090FACEA" w14:textId="77777777" w:rsidR="00494B49" w:rsidRDefault="00494B49" w:rsidP="006951DA">
      <w:pPr>
        <w:pStyle w:val="BNormal"/>
        <w:keepNext/>
        <w:keepLines/>
      </w:pPr>
      <w:r>
        <w:t xml:space="preserve">Reg. </w:t>
      </w:r>
      <w:smartTag w:uri="http://www.bna.com/sgml2word/cite" w:element="cite.cfr">
        <w:smartTagPr>
          <w:attr w:name="ref" w:val="cfr\26\1.1411-4(f)(3)"/>
        </w:smartTagPr>
        <w:r>
          <w:t>§1.1411-4(f)(3)</w:t>
        </w:r>
      </w:smartTag>
      <w:r>
        <w:t xml:space="preserve"> provides the following exclusive list of properly allocable </w:t>
      </w:r>
      <w:smartTag w:uri="http://www.bna.com/sgml2word/cite" w:element="cite.usc">
        <w:smartTagPr>
          <w:attr w:name="ref" w:val="USC\26\63(d)"/>
        </w:smartTagPr>
        <w:r>
          <w:t>§63(d)</w:t>
        </w:r>
      </w:smartTag>
      <w:r>
        <w:t xml:space="preserve"> itemized deductions:</w:t>
      </w:r>
      <w:r>
        <w:rPr>
          <w:rStyle w:val="FootnoteReference"/>
        </w:rPr>
        <w:footnoteReference w:id="575"/>
      </w:r>
    </w:p>
    <w:p w14:paraId="396947D4" w14:textId="77777777" w:rsidR="00494B49" w:rsidRDefault="00494B49">
      <w:pPr>
        <w:pStyle w:val="BListitembul"/>
      </w:pPr>
      <w:r>
        <w:t> §163 investment interest to the extent allowed under §163(d)(1);</w:t>
      </w:r>
      <w:r>
        <w:rPr>
          <w:rStyle w:val="FootnoteReference"/>
        </w:rPr>
        <w:footnoteReference w:id="576"/>
      </w:r>
    </w:p>
    <w:p w14:paraId="16F5658D" w14:textId="77777777" w:rsidR="00494B49" w:rsidRDefault="00494B49">
      <w:pPr>
        <w:pStyle w:val="BListitembul"/>
      </w:pPr>
      <w:r>
        <w:t> §163(d)(4)(C) investment expenses;</w:t>
      </w:r>
      <w:r>
        <w:rPr>
          <w:rStyle w:val="FootnoteReference"/>
        </w:rPr>
        <w:footnoteReference w:id="577"/>
      </w:r>
    </w:p>
    <w:p w14:paraId="5F457FA1" w14:textId="77777777" w:rsidR="00494B49" w:rsidRDefault="00494B49">
      <w:pPr>
        <w:pStyle w:val="BListitembul"/>
      </w:pPr>
      <w:r>
        <w:t>taxes described in §164(a)(3) that are allocable to net investment income under Reg. §1.1411-4(g)(1);</w:t>
      </w:r>
      <w:r>
        <w:rPr>
          <w:rStyle w:val="FootnoteReference"/>
        </w:rPr>
        <w:footnoteReference w:id="578"/>
      </w:r>
    </w:p>
    <w:p w14:paraId="083E202E" w14:textId="77777777" w:rsidR="00494B49" w:rsidRDefault="00494B49">
      <w:pPr>
        <w:pStyle w:val="BListitembul"/>
      </w:pPr>
      <w:r>
        <w:t xml:space="preserve"> §72(b)(3) amounts if deducted in the same year that the annuity income would have been included in the computation of net investment income; </w:t>
      </w:r>
      <w:r>
        <w:rPr>
          <w:rStyle w:val="FootnoteReference"/>
        </w:rPr>
        <w:footnoteReference w:id="579"/>
      </w:r>
    </w:p>
    <w:p w14:paraId="52652C46" w14:textId="77777777" w:rsidR="00494B49" w:rsidRDefault="00494B49">
      <w:pPr>
        <w:pStyle w:val="BListitembul"/>
      </w:pPr>
      <w:r>
        <w:t xml:space="preserve"> §691(c) estate and generation-skipping taxes allocable to net investment income under Reg. §1.1411-4(g)(1) (with the exception of any portion of the deduction that is taken into account in computing net gain for §1411 purposes); </w:t>
      </w:r>
      <w:r>
        <w:rPr>
          <w:rStyle w:val="FootnoteReference"/>
        </w:rPr>
        <w:footnoteReference w:id="580"/>
      </w:r>
    </w:p>
    <w:p w14:paraId="0E604FAD" w14:textId="77777777" w:rsidR="00494B49" w:rsidRDefault="00494B49">
      <w:pPr>
        <w:pStyle w:val="BListitembul"/>
      </w:pPr>
      <w:r>
        <w:t> §212(3) and Reg. §1.212-1(i) investment income under Reg. §1.1411-4(g)(1);</w:t>
      </w:r>
      <w:r>
        <w:rPr>
          <w:rStyle w:val="FootnoteReference"/>
        </w:rPr>
        <w:footnoteReference w:id="581"/>
      </w:r>
    </w:p>
    <w:p w14:paraId="1FDD55F3" w14:textId="77777777" w:rsidR="00494B49" w:rsidRDefault="00494B49">
      <w:pPr>
        <w:pStyle w:val="BListitembul"/>
      </w:pPr>
      <w:r>
        <w:t xml:space="preserve"> §171(a)(1) amortizable bond premium; </w:t>
      </w:r>
      <w:r>
        <w:rPr>
          <w:rStyle w:val="FootnoteReference"/>
        </w:rPr>
        <w:footnoteReference w:id="582"/>
      </w:r>
      <w:r>
        <w:t xml:space="preserve"> and</w:t>
      </w:r>
    </w:p>
    <w:p w14:paraId="0937044D" w14:textId="77777777" w:rsidR="00494B49" w:rsidRDefault="00494B49">
      <w:pPr>
        <w:pStyle w:val="BListitembul"/>
      </w:pPr>
      <w:r>
        <w:t>for an estate or trust, fiduciary expenses described in Reg. §1.212-1(i) to the extent that they are allocable to net investment income under Reg. §1.1411-4(g)(1).</w:t>
      </w:r>
      <w:r>
        <w:rPr>
          <w:rStyle w:val="FootnoteReference"/>
        </w:rPr>
        <w:footnoteReference w:id="583"/>
      </w:r>
    </w:p>
    <w:p w14:paraId="1EACBA38" w14:textId="77777777" w:rsidR="00494B49" w:rsidRDefault="00494B49">
      <w:pPr>
        <w:pStyle w:val="BNormal"/>
      </w:pPr>
      <w:r>
        <w:t>If an individual claims the standard deduction for regular income tax purposes, the individual may not use any itemized deductions in the computation of net investment income.</w:t>
      </w:r>
    </w:p>
    <w:p w14:paraId="6370AB51" w14:textId="77777777" w:rsidR="00494B49" w:rsidRDefault="00494B49">
      <w:pPr>
        <w:pStyle w:val="BCommentpara"/>
      </w:pPr>
      <w:r>
        <w:rPr>
          <w:rStyle w:val="BCommenthead"/>
        </w:rPr>
        <w:t xml:space="preserve">Practice Point: </w:t>
      </w:r>
      <w:r>
        <w:t xml:space="preserve">This limitation is not explicitly stated in Reg. </w:t>
      </w:r>
      <w:smartTag w:uri="http://www.bna.com/sgml2word/cite" w:element="cite.cfr">
        <w:smartTagPr>
          <w:attr w:name="ref" w:val="cfr\26\1.1411-4(f)(3)"/>
        </w:smartTagPr>
        <w:r>
          <w:t>§1.1411-4(f)(3)</w:t>
        </w:r>
      </w:smartTag>
      <w:r>
        <w:t xml:space="preserve">. </w:t>
      </w:r>
      <w:smartTag w:uri="http://www.bna.com/sgml2word/cite" w:element="cite.usc">
        <w:smartTagPr>
          <w:attr w:name="ref" w:val="USC\26\63(a)"/>
        </w:smartTagPr>
        <w:r>
          <w:t>Section 63(a)</w:t>
        </w:r>
      </w:smartTag>
      <w:r>
        <w:t xml:space="preserve"> provides that the term “taxable income” means gross income minus the deductions allowed by Chapter 1 (other than the standard deduction). </w:t>
      </w:r>
      <w:smartTag w:uri="http://www.bna.com/sgml2word/cite" w:element="cite.usc">
        <w:smartTagPr>
          <w:attr w:name="ref" w:val="USC\26\63(b)"/>
        </w:smartTagPr>
        <w:r>
          <w:t>Section 63(b)</w:t>
        </w:r>
      </w:smartTag>
      <w:r>
        <w:t xml:space="preserve"> provides that the term “taxable income” means adjusted gross income, minus (1) the standard deduction, (2) the deduction for personal exemptions provided in </w:t>
      </w:r>
      <w:smartTag w:uri="http://www.bna.com/sgml2word/cite" w:element="cite.usc">
        <w:smartTagPr>
          <w:attr w:name="ref" w:val="USC\26\151"/>
        </w:smartTagPr>
        <w:r>
          <w:t>§151</w:t>
        </w:r>
      </w:smartTag>
      <w:r>
        <w:t xml:space="preserve"> (which is $0 for tax years beginning in 2018 through 2025), (3) any deduction provided in </w:t>
      </w:r>
      <w:smartTag w:uri="http://www.bna.com/sgml2word/cite" w:element="cite.usc">
        <w:smartTagPr>
          <w:attr w:name="ref" w:val="USC\26\199A"/>
        </w:smartTagPr>
        <w:r>
          <w:t>§199A</w:t>
        </w:r>
      </w:smartTag>
      <w:r>
        <w:t xml:space="preserve">, and (4) the deduction provided in </w:t>
      </w:r>
      <w:smartTag w:uri="http://www.bna.com/sgml2word/cite" w:element="cite.usc">
        <w:smartTagPr>
          <w:attr w:name="ref" w:val="usc\26\170(p)"/>
        </w:smartTagPr>
        <w:r>
          <w:t>§170(p)</w:t>
        </w:r>
      </w:smartTag>
      <w:r>
        <w:t>.</w:t>
      </w:r>
      <w:r>
        <w:rPr>
          <w:rStyle w:val="FootnoteReference"/>
        </w:rPr>
        <w:footnoteReference w:id="584"/>
      </w:r>
      <w:r>
        <w:t xml:space="preserve"> </w:t>
      </w:r>
      <w:smartTag w:uri="http://www.bna.com/sgml2word/cite" w:element="cite.usc">
        <w:smartTagPr>
          <w:attr w:name="ref" w:val="USC\26\63(b)"/>
        </w:smartTagPr>
        <w:r>
          <w:t>§63(b)</w:t>
        </w:r>
      </w:smartTag>
      <w:r>
        <w:t xml:space="preserve">. When a taxpayer computes taxable income using the standard deduction, </w:t>
      </w:r>
      <w:smartTag w:uri="http://www.bna.com/sgml2word/cite" w:element="cite.usc">
        <w:smartTagPr>
          <w:attr w:name="ref" w:val="USC\26\63(b)"/>
        </w:smartTagPr>
        <w:r>
          <w:t>§63(b)</w:t>
        </w:r>
      </w:smartTag>
      <w:r>
        <w:t xml:space="preserve"> functionally “turns off” </w:t>
      </w:r>
      <w:smartTag w:uri="http://www.bna.com/sgml2word/cite" w:element="cite.usc">
        <w:smartTagPr>
          <w:attr w:name="ref" w:val="USC\26\63(a)"/>
        </w:smartTagPr>
        <w:r>
          <w:t>§63(a)</w:t>
        </w:r>
      </w:smartTag>
      <w:r>
        <w:t xml:space="preserve"> which substitutes the standard deduction for “deductions allowed by this Chapter.” In this case, those deductions (such as state income taxes and investment interest expense) are no longer allowed as a deduction in Subtitle A. As a result, any would-be itemized deductions fall outside of </w:t>
      </w:r>
      <w:smartTag w:uri="http://www.bna.com/sgml2word/cite" w:element="cite.usc">
        <w:smartTagPr>
          <w:attr w:name="ref" w:val="USC\26\1411(c)(1)(B)"/>
        </w:smartTagPr>
        <w:r>
          <w:t>§1411(c)(1)(B)</w:t>
        </w:r>
      </w:smartTag>
      <w:r>
        <w:t>.</w:t>
      </w:r>
    </w:p>
    <w:p w14:paraId="74692C5F" w14:textId="77777777" w:rsidR="00494B49" w:rsidRDefault="00494B49">
      <w:pPr>
        <w:pStyle w:val="BHead3"/>
      </w:pPr>
      <w:r>
        <w:lastRenderedPageBreak/>
        <w:t>a. Investment Interest Expense</w:t>
      </w:r>
    </w:p>
    <w:p w14:paraId="01D83293" w14:textId="77777777" w:rsidR="00494B49" w:rsidRDefault="00494B49">
      <w:pPr>
        <w:pStyle w:val="BHead4"/>
      </w:pPr>
      <w:r>
        <w:t xml:space="preserve">(1) General Rule </w:t>
      </w:r>
    </w:p>
    <w:p w14:paraId="5E18E0D5" w14:textId="77777777" w:rsidR="00494B49" w:rsidRDefault="00494B49">
      <w:pPr>
        <w:pStyle w:val="BNormal"/>
      </w:pPr>
      <w:r>
        <w:t xml:space="preserve">Properly allocable deductions include investment interest to the extent allowed under </w:t>
      </w:r>
      <w:smartTag w:uri="http://www.bna.com/sgml2word/cite" w:element="cite.usc">
        <w:smartTagPr>
          <w:attr w:name="ref" w:val="USC\26\163(d)(1)"/>
        </w:smartTagPr>
        <w:r>
          <w:t>§163(d)(1)</w:t>
        </w:r>
      </w:smartTag>
      <w:r>
        <w:t>.</w:t>
      </w:r>
      <w:r>
        <w:rPr>
          <w:rStyle w:val="FootnoteReference"/>
        </w:rPr>
        <w:footnoteReference w:id="585"/>
      </w:r>
      <w:r>
        <w:t xml:space="preserve"> For this purpose, investment interest is defined in </w:t>
      </w:r>
      <w:smartTag w:uri="http://www.bna.com/sgml2word/cite" w:element="cite.usc">
        <w:smartTagPr>
          <w:attr w:name="ref" w:val="USC\26\163(d)(3)"/>
        </w:smartTagPr>
        <w:r>
          <w:t>§163(d)(3)</w:t>
        </w:r>
      </w:smartTag>
      <w:r>
        <w:t xml:space="preserve">. Any investment interest not allowed under </w:t>
      </w:r>
      <w:smartTag w:uri="http://www.bna.com/sgml2word/cite" w:element="cite.usc">
        <w:smartTagPr>
          <w:attr w:name="ref" w:val="USC\26\163(d)(1)"/>
        </w:smartTagPr>
        <w:r>
          <w:t>§163(d)(1)</w:t>
        </w:r>
      </w:smartTag>
      <w:r>
        <w:t xml:space="preserve"> is treated as investment interest paid or accrued by the taxpayer in the succeeding tax year.</w:t>
      </w:r>
      <w:r>
        <w:rPr>
          <w:rStyle w:val="FootnoteReference"/>
        </w:rPr>
        <w:footnoteReference w:id="586"/>
      </w:r>
      <w:r>
        <w:t xml:space="preserve"> For a more detailed discussion of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p w14:paraId="7B762465" w14:textId="77777777" w:rsidR="00494B49" w:rsidRDefault="00494B49">
      <w:pPr>
        <w:pStyle w:val="BNormal"/>
      </w:pPr>
      <w:r>
        <w:t>The regulations provide the following example:</w:t>
      </w:r>
      <w:r>
        <w:rPr>
          <w:rStyle w:val="FootnoteReference"/>
        </w:rPr>
        <w:footnoteReference w:id="587"/>
      </w:r>
    </w:p>
    <w:p w14:paraId="7E5F1F70" w14:textId="77777777" w:rsidR="00494B49" w:rsidRDefault="00494B49">
      <w:pPr>
        <w:pStyle w:val="BExamplepara"/>
      </w:pPr>
      <w:r>
        <w:rPr>
          <w:rStyle w:val="BExamplehead"/>
          <w:rFonts w:eastAsiaTheme="minorHAnsi"/>
          <w:i/>
        </w:rPr>
        <w:t>Example:</w:t>
      </w:r>
      <w:r>
        <w:t xml:space="preserve"> In Year 1, A, an unmarried individual, pays interest of $4,000 on debt incurred to purchase stock. Under Reg. </w:t>
      </w:r>
      <w:smartTag w:uri="http://www.bna.com/sgml2word/cite" w:element="cite.cfr">
        <w:smartTagPr>
          <w:attr w:name="ref" w:val="cfr\26\1.163-8T"/>
        </w:smartTagPr>
        <w:r>
          <w:t>§1.163-8T</w:t>
        </w:r>
      </w:smartTag>
      <w:r>
        <w:t xml:space="preserve">, this interest is allocable to the stock and is investment interest within the meaning of </w:t>
      </w:r>
      <w:smartTag w:uri="http://www.bna.com/sgml2word/cite" w:element="cite.usc">
        <w:smartTagPr>
          <w:attr w:name="ref" w:val="USC\26\163(d)(3)"/>
        </w:smartTagPr>
        <w:r>
          <w:t>§163(d)(3)</w:t>
        </w:r>
      </w:smartTag>
      <w:r>
        <w:t xml:space="preserve">. A has no investment income as defined by </w:t>
      </w:r>
      <w:smartTag w:uri="http://www.bna.com/sgml2word/cite" w:element="cite.usc">
        <w:smartTagPr>
          <w:attr w:name="ref" w:val="usc\26\163(d)(4)"/>
        </w:smartTagPr>
        <w:r>
          <w:t>§163(d)(4)</w:t>
        </w:r>
      </w:smartTag>
      <w:r>
        <w:t xml:space="preserve">. A has $10,000 of income from a trade or business that is a passive activity (as defined in Reg. </w:t>
      </w:r>
      <w:smartTag w:uri="http://www.bna.com/sgml2word/cite" w:element="cite.cfr">
        <w:smartTagPr>
          <w:attr w:name="ref" w:val="cfr\26\1.1411-5(a)(1)"/>
        </w:smartTagPr>
        <w:r>
          <w:t>§1.1411-5(a)(1)</w:t>
        </w:r>
      </w:smartTag>
      <w:r>
        <w:t xml:space="preserve">) with respect to A. For income tax purposes, under </w:t>
      </w:r>
      <w:smartTag w:uri="http://www.bna.com/sgml2word/cite" w:element="cite.usc">
        <w:smartTagPr>
          <w:attr w:name="ref" w:val="USC\26\163(d)(1)"/>
        </w:smartTagPr>
        <w:r>
          <w:t>§163(d)(1)</w:t>
        </w:r>
      </w:smartTag>
      <w:r>
        <w:t xml:space="preserve">, A may not deduct the $4,000 investment interest in Year 1 because A does not have any </w:t>
      </w:r>
      <w:smartTag w:uri="http://www.bna.com/sgml2word/cite" w:element="cite.usc">
        <w:smartTagPr>
          <w:attr w:name="ref" w:val="usc\26\163(d)(4)"/>
        </w:smartTagPr>
        <w:r>
          <w:t>§163(d)(4)</w:t>
        </w:r>
      </w:smartTag>
      <w:r>
        <w:t xml:space="preserve"> net investment income. Under </w:t>
      </w:r>
      <w:smartTag w:uri="http://www.bna.com/sgml2word/cite" w:element="cite.usc">
        <w:smartTagPr>
          <w:attr w:name="ref" w:val="USC\26\163(d)(2)"/>
        </w:smartTagPr>
        <w:r>
          <w:t>§163(d)(2)</w:t>
        </w:r>
      </w:smartTag>
      <w:r>
        <w:t xml:space="preserve">, the $4,000 investment interest is a carryforward of disallowed interest that is treated as investment interest paid by A in the succeeding tax year. Similarly, for purposes of determining A’s Year 1 net investment income, A may not deduct the $4,000 of investment interest. </w:t>
      </w:r>
    </w:p>
    <w:p w14:paraId="2246097F" w14:textId="77777777" w:rsidR="00494B49" w:rsidRDefault="00494B49">
      <w:pPr>
        <w:pStyle w:val="BExamplepara"/>
      </w:pPr>
      <w:r>
        <w:t xml:space="preserve">In Year 2, A has $5,000 of </w:t>
      </w:r>
      <w:smartTag w:uri="http://www.bna.com/sgml2word/cite" w:element="cite.usc">
        <w:smartTagPr>
          <w:attr w:name="ref" w:val="usc\26\163(d)(4)"/>
        </w:smartTagPr>
        <w:r>
          <w:t>§163(d)(4)</w:t>
        </w:r>
      </w:smartTag>
      <w:r>
        <w:t xml:space="preserve"> net investment income. For both income tax purposes and for determining </w:t>
      </w:r>
      <w:smartTag w:uri="http://www.bna.com/sgml2word/cite" w:element="cite.usc">
        <w:smartTagPr>
          <w:attr w:name="ref" w:val="USC\26\1411"/>
        </w:smartTagPr>
        <w:r>
          <w:t>§1411</w:t>
        </w:r>
      </w:smartTag>
      <w:r>
        <w:t xml:space="preserve"> net investment income, A’s $4,000 carryforward of interest expense disallowed in Year 1 may be deducted in Year 2. </w:t>
      </w:r>
    </w:p>
    <w:p w14:paraId="73E6FFB6" w14:textId="77777777" w:rsidR="00494B49" w:rsidRDefault="00494B49">
      <w:pPr>
        <w:pStyle w:val="BHead4"/>
      </w:pPr>
      <w:r>
        <w:t>(2) Optional Investment Interest Expense Calculation for CFC/PFIC Related Items</w:t>
      </w:r>
    </w:p>
    <w:p w14:paraId="7FECDA41" w14:textId="77777777" w:rsidR="00494B49" w:rsidRDefault="00494B49">
      <w:pPr>
        <w:pStyle w:val="BNormal"/>
      </w:pPr>
      <w:r>
        <w:t xml:space="preserve">Reg. </w:t>
      </w:r>
      <w:smartTag w:uri="http://www.bna.com/sgml2word/cite" w:element="cite.cfr">
        <w:smartTagPr>
          <w:attr w:name="ref" w:val="cfr\26\1.1411-10(g)"/>
        </w:smartTagPr>
        <w:r>
          <w:t>§1.1411-10(g)</w:t>
        </w:r>
      </w:smartTag>
      <w:r>
        <w:t xml:space="preserve"> allows taxpayers to make an election to treat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a CFC or QEF as net investment income under Reg. </w:t>
      </w:r>
      <w:smartTag w:uri="http://www.bna.com/sgml2word/cite" w:element="cite.cfr">
        <w:smartTagPr>
          <w:attr w:name="ref" w:val="cfr\26\1.1411-4(a)(1)(i)"/>
        </w:smartTagPr>
        <w:r>
          <w:t>§1.1411-4(a)(1)(i)</w:t>
        </w:r>
      </w:smartTag>
      <w:r>
        <w:t xml:space="preserve"> and amounts included in gross income under </w:t>
      </w:r>
      <w:smartTag w:uri="http://www.bna.com/sgml2word/cite" w:element="cite.usc">
        <w:smartTagPr>
          <w:attr w:name="ref" w:val="USC\26\1293(a)(1)(B)"/>
        </w:smartTagPr>
        <w:r>
          <w:t>§1293(a)(1)(B)</w:t>
        </w:r>
      </w:smartTag>
      <w:r>
        <w:t xml:space="preserve"> with respect to a QEF as net gain attributable to the disposition of property under Reg. </w:t>
      </w:r>
      <w:smartTag w:uri="http://www.bna.com/sgml2word/cite" w:element="cite.cfr">
        <w:smartTagPr>
          <w:attr w:name="ref" w:val="cfr\26\1.1411-4(a)(1)(iii)"/>
        </w:smartTagPr>
        <w:r>
          <w:t>§1.1411-4(a)(1)(iii)</w:t>
        </w:r>
      </w:smartTag>
      <w:r>
        <w:t xml:space="preserve">. In the absence of an election under Reg. </w:t>
      </w:r>
      <w:smartTag w:uri="http://www.bna.com/sgml2word/cite" w:element="cite.cfr">
        <w:smartTagPr>
          <w:attr w:name="ref" w:val="cfr\26\1.1411-10(g)"/>
        </w:smartTagPr>
        <w:r>
          <w:t>§1.1411-10(g)</w:t>
        </w:r>
      </w:smartTag>
      <w:r>
        <w:t xml:space="preserve">, differences may occur in the timing of income derived with respect to CFCs and QEFs for Chapter 1 and NIIT purposes. Where differences in timing occur, the regulations provide a special rule pursuant to which the investment interest expense deduction is based on amounts included in net investment income for NIIT purposes, in determining the amount of investment interest expense allocable to net investment income for NIIT purposes. </w:t>
      </w:r>
    </w:p>
    <w:p w14:paraId="3C7DFA9B" w14:textId="77777777" w:rsidR="00494B49" w:rsidRDefault="00494B49">
      <w:pPr>
        <w:pStyle w:val="BNormal"/>
      </w:pPr>
      <w:r>
        <w:t xml:space="preserve">The regulations provide that the </w:t>
      </w:r>
      <w:smartTag w:uri="http://www.bna.com/sgml2word/cite" w:element="cite.usc">
        <w:smartTagPr>
          <w:attr w:name="ref" w:val="USC\26\163(d)(1)"/>
        </w:smartTagPr>
        <w:r>
          <w:t>§163(d)(1)</w:t>
        </w:r>
      </w:smartTag>
      <w:r>
        <w:t xml:space="preserve"> investment interest expense deduction related to items of net investment income described in Reg. </w:t>
      </w:r>
      <w:smartTag w:uri="http://www.bna.com/sgml2word/cite" w:element="cite.cfr">
        <w:smartTagPr>
          <w:attr w:name="ref" w:val="cfr\26\1.1411-10(c)"/>
        </w:smartTagPr>
        <w:r>
          <w:t>§1.1411-10(c)</w:t>
        </w:r>
      </w:smartTag>
      <w:r>
        <w:t xml:space="preserve"> may be calculated for NIIT purposes by adjusting </w:t>
      </w:r>
      <w:smartTag w:uri="http://www.bna.com/sgml2word/cite" w:element="cite.usc">
        <w:smartTagPr>
          <w:attr w:name="ref" w:val="USC\26\163(d)(3)(B)"/>
        </w:smartTagPr>
        <w:r>
          <w:t>§163(d)(3)(B)</w:t>
        </w:r>
      </w:smartTag>
      <w:r>
        <w:t xml:space="preserve"> “investment income” for NIIT purposes to reflect the inclusions under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that are not included in net investment income, and the distributions of previously taxed earnings and profits that are included in net investment </w:t>
      </w:r>
      <w:r>
        <w:lastRenderedPageBreak/>
        <w:t>income.</w:t>
      </w:r>
      <w:r>
        <w:rPr>
          <w:rStyle w:val="FootnoteReference"/>
        </w:rPr>
        <w:footnoteReference w:id="588"/>
      </w:r>
      <w:r>
        <w:t xml:space="preserve"> The method of calculation must be adopted no later than the first year the taxpayer is first subject to the NIIT.</w:t>
      </w:r>
      <w:r>
        <w:rPr>
          <w:rStyle w:val="FootnoteReference"/>
        </w:rPr>
        <w:footnoteReference w:id="589"/>
      </w:r>
      <w:r>
        <w:t xml:space="preserve"> To the extent that the taxpayer chooses to calculate any of these deductions based on the amount of net investment income described in Reg. </w:t>
      </w:r>
      <w:smartTag w:uri="http://www.bna.com/sgml2word/cite" w:element="cite.cfr">
        <w:smartTagPr>
          <w:attr w:name="ref" w:val="cfr\26\1.1411-10(c)"/>
        </w:smartTagPr>
        <w:r>
          <w:t>§1.1411-10(c)</w:t>
        </w:r>
      </w:smartTag>
      <w:r>
        <w:t xml:space="preserve">, that method of calculation must be applied to all CFCs and QEFs to which a Reg. </w:t>
      </w:r>
      <w:smartTag w:uri="http://www.bna.com/sgml2word/cite" w:element="cite.cfr">
        <w:smartTagPr>
          <w:attr w:name="ref" w:val="cfr\26\1.1411-10(g)"/>
        </w:smartTagPr>
        <w:r>
          <w:t>§1.1411-10(g)</w:t>
        </w:r>
      </w:smartTag>
      <w:r>
        <w:t xml:space="preserve"> election is not in effect,</w:t>
      </w:r>
      <w:r>
        <w:rPr>
          <w:rStyle w:val="FootnoteReference"/>
        </w:rPr>
        <w:footnoteReference w:id="590"/>
      </w:r>
      <w:r>
        <w:t xml:space="preserve"> and must be consistently applied for NIIT purposes.</w:t>
      </w:r>
      <w:r>
        <w:rPr>
          <w:rStyle w:val="FootnoteReference"/>
        </w:rPr>
        <w:footnoteReference w:id="591"/>
      </w:r>
      <w:r>
        <w:t xml:space="preserve"> The method of calculation may only be changed with the consent of the IRS.</w:t>
      </w:r>
      <w:r>
        <w:rPr>
          <w:rStyle w:val="FootnoteReference"/>
        </w:rPr>
        <w:footnoteReference w:id="592"/>
      </w:r>
    </w:p>
    <w:p w14:paraId="4803E40D" w14:textId="77777777" w:rsidR="00494B49" w:rsidRDefault="00494B49">
      <w:pPr>
        <w:pStyle w:val="BNormal"/>
      </w:pPr>
      <w:r>
        <w:rPr>
          <w:i/>
        </w:rPr>
        <w:t>Comment:</w:t>
      </w:r>
      <w:r>
        <w:t xml:space="preserve"> It is highly unlikely that using this alternative calculation for investment interest expense will produce a net present value tax benefit. If there is a net tax benefit, the additional compliance and record burden would limit any value. </w:t>
      </w:r>
    </w:p>
    <w:p w14:paraId="58509519" w14:textId="77777777" w:rsidR="00494B49" w:rsidRDefault="00494B49">
      <w:pPr>
        <w:pStyle w:val="BHead3"/>
      </w:pPr>
      <w:r>
        <w:t>b. Investment Expenses</w:t>
      </w:r>
    </w:p>
    <w:p w14:paraId="2674B9C6" w14:textId="77777777" w:rsidR="00494B49" w:rsidRDefault="00494B49">
      <w:pPr>
        <w:pStyle w:val="BNormal"/>
      </w:pPr>
      <w:r>
        <w:t>Properly allocable deductions include investment expenses.</w:t>
      </w:r>
      <w:r>
        <w:rPr>
          <w:rStyle w:val="FootnoteReference"/>
        </w:rPr>
        <w:footnoteReference w:id="593"/>
      </w:r>
      <w:r>
        <w:t xml:space="preserve"> For this purpose, the term investment expenses includes only investment expenses as defined by </w:t>
      </w:r>
      <w:smartTag w:uri="http://www.bna.com/sgml2word/cite" w:element="cite.usc">
        <w:smartTagPr>
          <w:attr w:name="ref" w:val="USC\26\163(d)(4)(C)"/>
        </w:smartTagPr>
        <w:r>
          <w:t>§163(d)(4)(C)</w:t>
        </w:r>
      </w:smartTag>
      <w:r>
        <w:t>.</w:t>
      </w:r>
      <w:r>
        <w:rPr>
          <w:rStyle w:val="FootnoteReference"/>
        </w:rPr>
        <w:footnoteReference w:id="594"/>
      </w:r>
    </w:p>
    <w:p w14:paraId="6707A4AA" w14:textId="77777777" w:rsidR="00494B49" w:rsidRDefault="00494B49">
      <w:pPr>
        <w:pStyle w:val="BNormal"/>
      </w:pPr>
      <w:r>
        <w:rPr>
          <w:i/>
        </w:rPr>
        <w:t>Comment:</w:t>
      </w:r>
      <w:r>
        <w:t xml:space="preserve"> Similar to the cross-references to </w:t>
      </w:r>
      <w:smartTag w:uri="http://www.bna.com/sgml2word/cite" w:element="cite.usc">
        <w:smartTagPr>
          <w:attr w:name="ref" w:val="USC\26\62"/>
        </w:smartTagPr>
        <w:r>
          <w:t>§62</w:t>
        </w:r>
      </w:smartTag>
      <w:r>
        <w:t xml:space="preserve"> in Reg. </w:t>
      </w:r>
      <w:smartTag w:uri="http://www.bna.com/sgml2word/cite" w:element="cite.cfr">
        <w:smartTagPr>
          <w:attr w:name="ref" w:val="cfr\26\1.1411-4(f)(2)"/>
        </w:smartTagPr>
        <w:r>
          <w:t>§1.1411-4(f)(2)</w:t>
        </w:r>
      </w:smartTag>
      <w:r>
        <w:t xml:space="preserve">, the cross-reference to </w:t>
      </w:r>
      <w:smartTag w:uri="http://www.bna.com/sgml2word/cite" w:element="cite.usc">
        <w:smartTagPr>
          <w:attr w:name="ref" w:val="USC\26\163(d)(4)(C)"/>
        </w:smartTagPr>
        <w:r>
          <w:t>§163(d)(4)(C)</w:t>
        </w:r>
      </w:smartTag>
      <w:r>
        <w:t xml:space="preserve"> is another reference to an aggregator of deductions, because </w:t>
      </w:r>
      <w:smartTag w:uri="http://www.bna.com/sgml2word/cite" w:element="cite.usc">
        <w:smartTagPr>
          <w:attr w:name="ref" w:val="USC\26\163(d)(4)(C)"/>
        </w:smartTagPr>
        <w:r>
          <w:t>§163(d)(4)(C)</w:t>
        </w:r>
      </w:smartTag>
      <w:r>
        <w:t xml:space="preserve"> does not create deductions itself. As a result, </w:t>
      </w:r>
      <w:smartTag w:uri="http://www.bna.com/sgml2word/cite" w:element="cite.usc">
        <w:smartTagPr>
          <w:attr w:name="ref" w:val="USC\26\1411(c)(1)(B)"/>
        </w:smartTagPr>
        <w:r>
          <w:t>§1411(c)(1)(B)</w:t>
        </w:r>
      </w:smartTag>
      <w:r>
        <w:t xml:space="preserve"> (an aggregator of deductions) cross-references </w:t>
      </w:r>
      <w:smartTag w:uri="http://www.bna.com/sgml2word/cite" w:element="cite.usc">
        <w:smartTagPr>
          <w:attr w:name="ref" w:val="USC\26\163(d)(4)(C)"/>
        </w:smartTagPr>
        <w:r>
          <w:t>§163(d)(4)(C)</w:t>
        </w:r>
      </w:smartTag>
      <w:r>
        <w:t xml:space="preserve"> (another aggregator of deductions), which ultimately leaves taxpayers with no clear guidance of what is deductible in computing net investment income. The Instructions for </w:t>
      </w:r>
      <w:smartTag w:uri="http://www.bna.com/sgml2word/cite" w:element="cite.fed.form">
        <w:smartTagPr>
          <w:attr w:name="ref" w:val="irs\form4952"/>
        </w:smartTagPr>
        <w:r>
          <w:t>Form 4952</w:t>
        </w:r>
      </w:smartTag>
      <w:r>
        <w:t xml:space="preserve">, </w:t>
      </w:r>
      <w:r>
        <w:rPr>
          <w:i/>
        </w:rPr>
        <w:t>Investment Interest Expense Deduction</w:t>
      </w:r>
      <w:r>
        <w:t>, provide some guidance, but are still vague.</w:t>
      </w:r>
      <w:r>
        <w:rPr>
          <w:rStyle w:val="FootnoteReference"/>
        </w:rPr>
        <w:footnoteReference w:id="595"/>
      </w:r>
      <w:r>
        <w:t xml:space="preserve"> </w:t>
      </w:r>
      <w:smartTag w:uri="http://www.bna.com/sgml2word/cite" w:element="cite.agency.doc">
        <w:smartTagPr>
          <w:attr w:name="ref" w:val="IRS\PUBLICATION\550"/>
        </w:smartTagPr>
        <w:r>
          <w:t>IRS Pub. 550</w:t>
        </w:r>
      </w:smartTag>
      <w:r>
        <w:t xml:space="preserve">, </w:t>
      </w:r>
      <w:r>
        <w:rPr>
          <w:i/>
        </w:rPr>
        <w:t>Investment Income and Expenses</w:t>
      </w:r>
      <w:r>
        <w:t>, does not provide notable additional insight.</w:t>
      </w:r>
      <w:r>
        <w:rPr>
          <w:rStyle w:val="FootnoteReference"/>
        </w:rPr>
        <w:footnoteReference w:id="596"/>
      </w:r>
    </w:p>
    <w:p w14:paraId="2B44EF64" w14:textId="77777777" w:rsidR="00494B49" w:rsidRDefault="00494B49">
      <w:pPr>
        <w:pStyle w:val="BNormal"/>
      </w:pPr>
      <w:r>
        <w:t xml:space="preserve">The general intent behind the cross-reference to </w:t>
      </w:r>
      <w:smartTag w:uri="http://www.bna.com/sgml2word/cite" w:element="cite.usc">
        <w:smartTagPr>
          <w:attr w:name="ref" w:val="USC\26\163(d)(4)(C)"/>
        </w:smartTagPr>
        <w:r>
          <w:t>§163(d)(4)(C)</w:t>
        </w:r>
      </w:smartTag>
      <w:r>
        <w:t xml:space="preserve">, which is notably different than a simple cross-reference to </w:t>
      </w:r>
      <w:smartTag w:uri="http://www.bna.com/sgml2word/cite" w:element="cite.usc">
        <w:smartTagPr>
          <w:attr w:name="ref" w:val="USC\26\212"/>
        </w:smartTagPr>
        <w:r>
          <w:t>§212</w:t>
        </w:r>
      </w:smartTag>
      <w:r>
        <w:t xml:space="preserve">, was to capture deduction items that taxpayers commonly associate with investment income. </w:t>
      </w:r>
      <w:smartTag w:uri="http://www.bna.com/sgml2word/cite" w:element="cite.usc">
        <w:smartTagPr>
          <w:attr w:name="ref" w:val="USC\26\163(d)(4)(C)"/>
        </w:smartTagPr>
        <w:r>
          <w:t>Section 163(d)(4)(C)</w:t>
        </w:r>
      </w:smartTag>
      <w:r>
        <w:t xml:space="preserve"> is both broader than </w:t>
      </w:r>
      <w:smartTag w:uri="http://www.bna.com/sgml2word/cite" w:element="cite.usc">
        <w:smartTagPr>
          <w:attr w:name="ref" w:val="USC\26\212"/>
        </w:smartTagPr>
        <w:r>
          <w:t>§212</w:t>
        </w:r>
      </w:smartTag>
      <w:r>
        <w:t xml:space="preserve"> (</w:t>
      </w:r>
      <w:smartTag w:uri="http://www.bna.com/sgml2word/cite" w:element="cite.usc">
        <w:smartTagPr>
          <w:attr w:name="ref" w:val="USC\26\163(d)(4)(C)"/>
        </w:smartTagPr>
        <w:r>
          <w:t>§163(d)(4)(C)</w:t>
        </w:r>
      </w:smartTag>
      <w:r>
        <w:t xml:space="preserve"> covers more than only </w:t>
      </w:r>
      <w:smartTag w:uri="http://www.bna.com/sgml2word/cite" w:element="cite.usc">
        <w:smartTagPr>
          <w:attr w:name="ref" w:val="USC\26\212"/>
        </w:smartTagPr>
        <w:r>
          <w:t>§212</w:t>
        </w:r>
      </w:smartTag>
      <w:r>
        <w:t xml:space="preserve"> expenses) and narrower than </w:t>
      </w:r>
      <w:smartTag w:uri="http://www.bna.com/sgml2word/cite" w:element="cite.usc">
        <w:smartTagPr>
          <w:attr w:name="ref" w:val="USC\26\212"/>
        </w:smartTagPr>
        <w:r>
          <w:t>§212</w:t>
        </w:r>
      </w:smartTag>
      <w:r>
        <w:t xml:space="preserve"> (not all </w:t>
      </w:r>
      <w:smartTag w:uri="http://www.bna.com/sgml2word/cite" w:element="cite.usc">
        <w:smartTagPr>
          <w:attr w:name="ref" w:val="USC\26\212"/>
        </w:smartTagPr>
        <w:r>
          <w:t>§212</w:t>
        </w:r>
      </w:smartTag>
      <w:r>
        <w:t xml:space="preserve"> expenses are </w:t>
      </w:r>
      <w:smartTag w:uri="http://www.bna.com/sgml2word/cite" w:element="cite.usc">
        <w:smartTagPr>
          <w:attr w:name="ref" w:val="USC\26\163(d)(4)(C)"/>
        </w:smartTagPr>
        <w:r>
          <w:t>§163(d)(4)(C)</w:t>
        </w:r>
      </w:smartTag>
      <w:r>
        <w:t xml:space="preserve"> expenses). Generally, </w:t>
      </w:r>
      <w:smartTag w:uri="http://www.bna.com/sgml2word/cite" w:element="cite.usc">
        <w:smartTagPr>
          <w:attr w:name="ref" w:val="USC\26\163(d)(4)(C)"/>
        </w:smartTagPr>
        <w:r>
          <w:t>§163(d)(4)(C)</w:t>
        </w:r>
      </w:smartTag>
      <w:r>
        <w:t xml:space="preserve"> investment expenses would include investment advisory and brokerage fees not included in the calculation of gain or loss (not deductible in tax years beginning in 2018 through 2025); investment publications and research (</w:t>
      </w:r>
      <w:r>
        <w:rPr>
          <w:i/>
        </w:rPr>
        <w:t>Wall Street Journal</w:t>
      </w:r>
      <w:r>
        <w:t xml:space="preserve">, </w:t>
      </w:r>
      <w:r>
        <w:rPr>
          <w:i/>
        </w:rPr>
        <w:t>Barrons</w:t>
      </w:r>
      <w:r>
        <w:t xml:space="preserve">, </w:t>
      </w:r>
      <w:r>
        <w:rPr>
          <w:i/>
        </w:rPr>
        <w:t>Bloomberg</w:t>
      </w:r>
      <w:r>
        <w:t xml:space="preserve"> publications, etc.) (not deductible in tax years </w:t>
      </w:r>
      <w:r>
        <w:lastRenderedPageBreak/>
        <w:t>beginning in 2018 through 2025); and real estate taxes,</w:t>
      </w:r>
      <w:r>
        <w:rPr>
          <w:rStyle w:val="FootnoteReference"/>
        </w:rPr>
        <w:footnoteReference w:id="597"/>
      </w:r>
      <w:r>
        <w:t xml:space="preserve"> depletion, and depreciation</w:t>
      </w:r>
      <w:r>
        <w:rPr>
          <w:rStyle w:val="FootnoteReference"/>
        </w:rPr>
        <w:footnoteReference w:id="598"/>
      </w:r>
      <w:r>
        <w:t xml:space="preserve"> on property held for investment (but not deductions included in Reg. </w:t>
      </w:r>
      <w:smartTag w:uri="http://www.bna.com/sgml2word/cite" w:element="cite.cfr">
        <w:smartTagPr>
          <w:attr w:name="ref" w:val="cfr\26\1.1411-4(f)(2)"/>
        </w:smartTagPr>
        <w:r>
          <w:t>§1.1411-4(f)(2)</w:t>
        </w:r>
      </w:smartTag>
      <w:r>
        <w:t xml:space="preserve"> as deductions described in </w:t>
      </w:r>
      <w:smartTag w:uri="http://www.bna.com/sgml2word/cite" w:element="cite.usc">
        <w:smartTagPr>
          <w:attr w:name="ref" w:val="USC\26\62(a)"/>
        </w:smartTagPr>
        <w:r>
          <w:t>§62(a)</w:t>
        </w:r>
      </w:smartTag>
      <w:r>
        <w:t>).</w:t>
      </w:r>
    </w:p>
    <w:p w14:paraId="0EA09CCF" w14:textId="77777777" w:rsidR="00494B49" w:rsidRDefault="00494B49">
      <w:pPr>
        <w:pStyle w:val="BCommentpara"/>
      </w:pPr>
      <w:r>
        <w:rPr>
          <w:rStyle w:val="BCommenthead"/>
        </w:rPr>
        <w:t xml:space="preserve">Practice Point: </w:t>
      </w:r>
      <w:r>
        <w:t xml:space="preserve">Real estate taxes as investment expenses are expressly noted in the </w:t>
      </w:r>
      <w:hyperlink r:id="rId10" w:history="1">
        <w:r>
          <w:rPr>
            <w:rStyle w:val="Hyperlink"/>
          </w:rPr>
          <w:t>Instructions for Form 8960</w:t>
        </w:r>
      </w:hyperlink>
      <w:r>
        <w:t>. However, only real estate tax imposed on property held for investment is deductible. Real estate taxes on a taxpayer's principal residence are not deductible.</w:t>
      </w:r>
    </w:p>
    <w:p w14:paraId="42AC5DA2" w14:textId="77777777" w:rsidR="00494B49" w:rsidRDefault="00494B49">
      <w:pPr>
        <w:pStyle w:val="BNormal"/>
      </w:pPr>
      <w:r>
        <w:t xml:space="preserve">The perplexing part of the use of </w:t>
      </w:r>
      <w:smartTag w:uri="http://www.bna.com/sgml2word/cite" w:element="cite.usc">
        <w:smartTagPr>
          <w:attr w:name="ref" w:val="USC\26\163(d)(4)(C)"/>
        </w:smartTagPr>
        <w:r>
          <w:t>§163(d)(4)(C)</w:t>
        </w:r>
      </w:smartTag>
      <w:r>
        <w:t xml:space="preserve"> is that investment income (within the meaning of </w:t>
      </w:r>
      <w:smartTag w:uri="http://www.bna.com/sgml2word/cite" w:element="cite.usc">
        <w:smartTagPr>
          <w:attr w:name="ref" w:val="USC\26\163(d)"/>
        </w:smartTagPr>
        <w:r>
          <w:t>§163(d)</w:t>
        </w:r>
      </w:smartTag>
      <w:r>
        <w:t xml:space="preserve">) does not line up neatly with the NIIT definition of net investment income. Facially, the regulations allow any deduction that would qualify as a deduction under </w:t>
      </w:r>
      <w:smartTag w:uri="http://www.bna.com/sgml2word/cite" w:element="cite.usc">
        <w:smartTagPr>
          <w:attr w:name="ref" w:val="USC\26\163(d)(4)(C)"/>
        </w:smartTagPr>
        <w:r>
          <w:t>§163(d)(4)(C)</w:t>
        </w:r>
      </w:smartTag>
      <w:r>
        <w:t xml:space="preserve">, regardless of whether the deduction is allocable to items that are investment income under </w:t>
      </w:r>
      <w:smartTag w:uri="http://www.bna.com/sgml2word/cite" w:element="cite.usc">
        <w:smartTagPr>
          <w:attr w:name="ref" w:val="USC\26\163(d)"/>
        </w:smartTagPr>
        <w:r>
          <w:t>§163(d)</w:t>
        </w:r>
      </w:smartTag>
      <w:r>
        <w:t xml:space="preserve">, but not </w:t>
      </w:r>
      <w:smartTag w:uri="http://www.bna.com/sgml2word/cite" w:element="cite.usc">
        <w:smartTagPr>
          <w:attr w:name="ref" w:val="USC\26\1411(c)(1)(A)"/>
        </w:smartTagPr>
        <w:r>
          <w:t>§1411(c)(1)(A)</w:t>
        </w:r>
      </w:smartTag>
      <w:r>
        <w:t xml:space="preserve">. The title of Reg. </w:t>
      </w:r>
      <w:smartTag w:uri="http://www.bna.com/sgml2word/cite" w:element="cite.cfr">
        <w:smartTagPr>
          <w:attr w:name="ref" w:val="cfr\26\1.1411-4(f)(3)"/>
        </w:smartTagPr>
        <w:r>
          <w:t>§1.1411-4(f)(3)</w:t>
        </w:r>
      </w:smartTag>
      <w:r>
        <w:t xml:space="preserve"> is “</w:t>
      </w:r>
      <w:r>
        <w:rPr>
          <w:i/>
        </w:rPr>
        <w:t>properly allocable</w:t>
      </w:r>
      <w:r>
        <w:t xml:space="preserve"> deductions described in </w:t>
      </w:r>
      <w:smartTag w:uri="http://www.bna.com/sgml2word/cite" w:element="cite.usc">
        <w:smartTagPr>
          <w:attr w:name="ref" w:val="USC\26\63(d)"/>
        </w:smartTagPr>
        <w:r>
          <w:t>Section 63(d)</w:t>
        </w:r>
      </w:smartTag>
      <w:r>
        <w:t xml:space="preserve">” (emphasis added), and the language in </w:t>
      </w:r>
      <w:smartTag w:uri="http://www.bna.com/sgml2word/cite" w:element="cite.usc">
        <w:smartTagPr>
          <w:attr w:name="ref" w:val="USC\26\1411(c)(1)(B)"/>
        </w:smartTagPr>
        <w:r>
          <w:t>§1411(c)(1)(B)</w:t>
        </w:r>
      </w:smartTag>
      <w:r>
        <w:t xml:space="preserve"> refers to deductions that are “properly allocable” to </w:t>
      </w:r>
      <w:smartTag w:uri="http://www.bna.com/sgml2word/cite" w:element="cite.usc">
        <w:smartTagPr>
          <w:attr w:name="ref" w:val="USC\26\1411"/>
        </w:smartTagPr>
        <w:r>
          <w:t>§1411</w:t>
        </w:r>
      </w:smartTag>
      <w:r>
        <w:t xml:space="preserve"> income or net gain. In addition, Reg. </w:t>
      </w:r>
      <w:smartTag w:uri="http://www.bna.com/sgml2word/cite" w:element="cite.cfr">
        <w:smartTagPr>
          <w:attr w:name="ref" w:val="cfr\26\1.1411-4(g)(1)"/>
        </w:smartTagPr>
        <w:r>
          <w:t>§1.1411-4(g)(1)</w:t>
        </w:r>
      </w:smartTag>
      <w:r>
        <w:t xml:space="preserve"> provides, generally, that if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is allocable to both net investment income and excluded income, the taxpayer must use a reasonable method to determine the portion properly allocable to net investment income. However, the discussion of each particular itemized deduction in Reg. </w:t>
      </w:r>
      <w:smartTag w:uri="http://www.bna.com/sgml2word/cite" w:element="cite.cfr">
        <w:smartTagPr>
          <w:attr w:name="ref" w:val="cfr\26\1.1411-4(f)(3)"/>
        </w:smartTagPr>
        <w:r>
          <w:t>§1.1411-4(f)(3)</w:t>
        </w:r>
      </w:smartTag>
      <w:r>
        <w:t xml:space="preserve"> suggests that only those described in Reg. </w:t>
      </w:r>
      <w:smartTag w:uri="http://www.bna.com/sgml2word/cite" w:element="cite.cfr">
        <w:smartTagPr>
          <w:attr w:name="ref" w:val="cfr\26\1.1411-4(f)(3)(iii)"/>
        </w:smartTagPr>
        <w:r>
          <w:t>§1.1411-4(f)(3)(iii)</w:t>
        </w:r>
      </w:smartTag>
      <w:r>
        <w:t xml:space="preserv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are subject to the Reg. </w:t>
      </w:r>
      <w:smartTag w:uri="http://www.bna.com/sgml2word/cite" w:element="cite.cfr">
        <w:smartTagPr>
          <w:attr w:name="ref" w:val="cfr\26\1.1411-4(g)(1)"/>
        </w:smartTagPr>
        <w:r>
          <w:t>§1.1411-4(g)(1)</w:t>
        </w:r>
      </w:smartTag>
      <w:r>
        <w:t xml:space="preserve"> allocation rule because each of those three provisions specifically refers to that rule. Reg. </w:t>
      </w:r>
      <w:smartTag w:uri="http://www.bna.com/sgml2word/cite" w:element="cite.cfr">
        <w:smartTagPr>
          <w:attr w:name="ref" w:val="cfr\26\1.1411-4(f)(3)(ii)"/>
        </w:smartTagPr>
        <w:r>
          <w:t>§1.1411-4(f)(3)(ii)</w:t>
        </w:r>
      </w:smartTag>
      <w:r>
        <w:t xml:space="preserve"> (investment expenses) does not contain a similar reference. Therefore, there is arguably no regulatory limitation on the deductibility of a </w:t>
      </w:r>
      <w:smartTag w:uri="http://www.bna.com/sgml2word/cite" w:element="cite.usc">
        <w:smartTagPr>
          <w:attr w:name="ref" w:val="USC\26\163(d)(4)(C)"/>
        </w:smartTagPr>
        <w:r>
          <w:t>§163(d)(4)(C)</w:t>
        </w:r>
      </w:smartTag>
      <w:r>
        <w:t xml:space="preserve"> investment expense for </w:t>
      </w:r>
      <w:smartTag w:uri="http://www.bna.com/sgml2word/cite" w:element="cite.usc">
        <w:smartTagPr>
          <w:attr w:name="ref" w:val="USC\26\1411"/>
        </w:smartTagPr>
        <w:r>
          <w:t>§1411</w:t>
        </w:r>
      </w:smartTag>
      <w:r>
        <w:t xml:space="preserve"> purposes even if the expense is not related to </w:t>
      </w:r>
      <w:smartTag w:uri="http://www.bna.com/sgml2word/cite" w:element="cite.usc">
        <w:smartTagPr>
          <w:attr w:name="ref" w:val="USC\26\1411(c)(1)(A)"/>
        </w:smartTagPr>
        <w:r>
          <w:t>§1411(c)(1)(A)</w:t>
        </w:r>
      </w:smartTag>
      <w:r>
        <w:t xml:space="preserve"> income.</w:t>
      </w:r>
    </w:p>
    <w:p w14:paraId="6990DEAD" w14:textId="77777777" w:rsidR="00494B49" w:rsidRDefault="00494B49">
      <w:pPr>
        <w:pStyle w:val="BNormal"/>
      </w:pPr>
      <w:r>
        <w:t xml:space="preserve">The complete allowance of </w:t>
      </w:r>
      <w:smartTag w:uri="http://www.bna.com/sgml2word/cite" w:element="cite.usc">
        <w:smartTagPr>
          <w:attr w:name="ref" w:val="USC\26\163(d)(4)(C)"/>
        </w:smartTagPr>
        <w:r>
          <w:t>§163(d)(4)(C)</w:t>
        </w:r>
      </w:smartTag>
      <w:r>
        <w:t xml:space="preserve"> expenses against net investment income creates some computational difficulty for estates and trusts. Under Reg. </w:t>
      </w:r>
      <w:smartTag w:uri="http://www.bna.com/sgml2word/cite" w:element="cite.cfr">
        <w:smartTagPr>
          <w:attr w:name="ref" w:val="cfr\26\1.652(b)-3(b)"/>
        </w:smartTagPr>
        <w:r>
          <w:t>§1.652(b)-3(b)</w:t>
        </w:r>
      </w:smartTag>
      <w:r>
        <w:t xml:space="preserve">, indirect expenses of estates and trusts may be allocated between types of income using any reasonable method. The fact that </w:t>
      </w:r>
      <w:smartTag w:uri="http://www.bna.com/sgml2word/cite" w:element="cite.usc">
        <w:smartTagPr>
          <w:attr w:name="ref" w:val="USC\26\163(d)(4)(C)"/>
        </w:smartTagPr>
        <w:r>
          <w:t>§163(d)(4)(C)</w:t>
        </w:r>
      </w:smartTag>
      <w:r>
        <w:t xml:space="preserve"> expenses are fully deductible for net investment income tax purposes, although reasonably allocated to items of Excluded Income in Reg. </w:t>
      </w:r>
      <w:smartTag w:uri="http://www.bna.com/sgml2word/cite" w:element="cite.cfr">
        <w:smartTagPr>
          <w:attr w:name="ref" w:val="cfr\26\1.652(b)-3(b)"/>
        </w:smartTagPr>
        <w:r>
          <w:t>§1.652(b)-3(b)</w:t>
        </w:r>
      </w:smartTag>
      <w:r>
        <w:t>, results in an unusual situation in which the NIIT treatment of an item may cause fiduciaries to rethink their allocation of indirect deductions for regular income tax purposes.</w:t>
      </w:r>
      <w:r>
        <w:rPr>
          <w:rStyle w:val="FootnoteReference"/>
        </w:rPr>
        <w:footnoteReference w:id="599"/>
      </w:r>
      <w:r>
        <w:t xml:space="preserve"> For a more detailed discussion of the computation of net investment income, and undistributed net investment income of estate and trusts,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75BB6FFB" w14:textId="77777777" w:rsidR="00494B49" w:rsidRDefault="00494B49">
      <w:pPr>
        <w:pStyle w:val="BCommentpara"/>
      </w:pPr>
      <w:r>
        <w:rPr>
          <w:rStyle w:val="BCommenthead"/>
        </w:rPr>
        <w:lastRenderedPageBreak/>
        <w:t xml:space="preserve">Practice Point: </w:t>
      </w:r>
      <w:r>
        <w:t xml:space="preserve">Because the NIIT rules cross-refer to the investment interest expense rules, it is reasonable to assume that amounts reported on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Line 9c, for investment expenses would be the same types of items (and amounts) reported on </w:t>
      </w:r>
      <w:smartTag w:uri="http://www.bna.com/sgml2word/cite" w:element="cite.fed.form">
        <w:smartTagPr>
          <w:attr w:name="ref" w:val="irs\form4952"/>
        </w:smartTagPr>
        <w:r>
          <w:t>Form 4952</w:t>
        </w:r>
      </w:smartTag>
      <w:r>
        <w:t xml:space="preserve">, </w:t>
      </w:r>
      <w:r>
        <w:rPr>
          <w:i/>
        </w:rPr>
        <w:t>Investment Interest Expense Deduction</w:t>
      </w:r>
      <w:r>
        <w:t xml:space="preserve">, Line 5. However, to the extent that these amounts are above-the-line deductions reported on, for example, Schedule E, they would not be included on Form </w:t>
      </w:r>
      <w:smartTag w:uri="http://www.bna.com/sgml2word/cite" w:element="cite.fed.form">
        <w:smartTagPr>
          <w:attr w:name="ref" w:val="irs\form8960"/>
        </w:smartTagPr>
        <w:r>
          <w:t>8960</w:t>
        </w:r>
      </w:smartTag>
      <w:r>
        <w:t xml:space="preserve">, Line 9c, because they would have already be taken into account in computing net investment income by reason of their inclusion on </w:t>
      </w:r>
      <w:smartTag w:uri="http://www.bna.com/sgml2word/cite" w:element="cite.fed.form">
        <w:smartTagPr>
          <w:attr w:name="ref" w:val="irs\form8960"/>
        </w:smartTagPr>
        <w:r>
          <w:t>Form 8960</w:t>
        </w:r>
      </w:smartTag>
      <w:r>
        <w:t>, Line 4a (which reports items reported on Schedule E).</w:t>
      </w:r>
    </w:p>
    <w:p w14:paraId="32C3E7EC" w14:textId="77777777" w:rsidR="00494B49" w:rsidRDefault="00494B49">
      <w:pPr>
        <w:pStyle w:val="BNormal"/>
      </w:pPr>
      <w:r>
        <w:t>For tax years beginning in 2018 through 2025, miscellaneous itemized deductions are not deductible for regular tax purposes.</w:t>
      </w:r>
      <w:r>
        <w:rPr>
          <w:rStyle w:val="FootnoteReference"/>
        </w:rPr>
        <w:footnoteReference w:id="600"/>
      </w:r>
      <w:r>
        <w:t xml:space="preserve"> Most, but not all, investment expenses covered by </w:t>
      </w:r>
      <w:smartTag w:uri="http://www.bna.com/sgml2word/cite" w:element="cite.usc">
        <w:smartTagPr>
          <w:attr w:name="ref" w:val="USC\26\163(d)(4)(C)"/>
        </w:smartTagPr>
        <w:r>
          <w:t>§163(d)(4)(C)</w:t>
        </w:r>
      </w:smartTag>
      <w:r>
        <w:t xml:space="preserve"> are miscellaneous itemized deductions. Because those deductions are not allowed in calculating taxable income, they cannot be deductible in calculating NII because </w:t>
      </w:r>
      <w:smartTag w:uri="http://www.bna.com/sgml2word/cite" w:element="cite.usc">
        <w:smartTagPr>
          <w:attr w:name="ref" w:val="USC\26\1411(c)(1)(B)"/>
        </w:smartTagPr>
        <w:r>
          <w:t>§1411(c)(1)(B)</w:t>
        </w:r>
      </w:smartTag>
      <w:r>
        <w:t xml:space="preserve"> requires an NII deduction to be allowable in computing taxable income.</w:t>
      </w:r>
    </w:p>
    <w:p w14:paraId="20A50667" w14:textId="77777777" w:rsidR="00494B49" w:rsidRDefault="00494B49">
      <w:pPr>
        <w:pStyle w:val="BCommentpara"/>
      </w:pPr>
      <w:r>
        <w:rPr>
          <w:rStyle w:val="BCommenthead"/>
        </w:rPr>
        <w:t xml:space="preserve">Practice Point: </w:t>
      </w:r>
      <w:r>
        <w:t xml:space="preserve">Real estate taxes on real property held for investment, but not rented, are investment expenses described in </w:t>
      </w:r>
      <w:smartTag w:uri="http://www.bna.com/sgml2word/cite" w:element="cite.usc">
        <w:smartTagPr>
          <w:attr w:name="ref" w:val="USC\26\163(d)(4)(C)"/>
        </w:smartTagPr>
        <w:r>
          <w:t>§163(d)(4)(C)</w:t>
        </w:r>
      </w:smartTag>
      <w:r>
        <w:t xml:space="preserve"> but are not miscellaneous itemized deductions. Additionally, real estate taxes on real property held for investment, but not rented, are not subject to the state and local tax (SALT) deduction limitation for years 2018 through 2025, and thus continue to remain deductible for NII purposes under this provision in the NIIT regulations. Keep in mind, however, that foreign real estate taxes are covered by the itemized deduction limitation on taxes and, thus, would not be deductible as investment expenses.</w:t>
      </w:r>
    </w:p>
    <w:p w14:paraId="75F363B3" w14:textId="77777777" w:rsidR="00494B49" w:rsidRDefault="00494B49">
      <w:pPr>
        <w:pStyle w:val="BHead3"/>
      </w:pPr>
      <w:r>
        <w:t>c. Section 164(a)(3) — State, Local, and Foreign Taxes</w:t>
      </w:r>
    </w:p>
    <w:p w14:paraId="1544B268" w14:textId="77777777" w:rsidR="00494B49" w:rsidRDefault="00494B49">
      <w:pPr>
        <w:pStyle w:val="BHead4"/>
      </w:pPr>
      <w:r>
        <w:t>(1) State and Local Income Taxes (Other Than Those Deductible in Tax Years Beginning in 2018–2025)</w:t>
      </w:r>
    </w:p>
    <w:p w14:paraId="077CF44F"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the term properly allocable deductions includes state, local, and foreign income, war profits, and excess profits taxes described in </w:t>
      </w:r>
      <w:smartTag w:uri="http://www.bna.com/sgml2word/cite" w:element="cite.usc">
        <w:smartTagPr>
          <w:attr w:name="ref" w:val="USC\26\164(a)(3)"/>
        </w:smartTagPr>
        <w:r>
          <w:t>§164(a)(3)</w:t>
        </w:r>
      </w:smartTag>
      <w:r>
        <w:t xml:space="preserve"> that are allocable to net investment income pursuant to Reg. </w:t>
      </w:r>
      <w:smartTag w:uri="http://www.bna.com/sgml2word/cite" w:element="cite.cfr">
        <w:smartTagPr>
          <w:attr w:name="ref" w:val="cfr\26\1.1411-4(g)(1)"/>
        </w:smartTagPr>
        <w:r>
          <w:t>§1.1411-4(g)(1)</w:t>
        </w:r>
      </w:smartTag>
      <w:r>
        <w:t>.</w:t>
      </w:r>
      <w:r>
        <w:rPr>
          <w:rStyle w:val="FootnoteReference"/>
        </w:rPr>
        <w:footnoteReference w:id="601"/>
      </w:r>
      <w:r>
        <w:t xml:space="preserve"> However, except to the extent specifically excepted from </w:t>
      </w:r>
      <w:smartTag w:uri="http://www.bna.com/sgml2word/cite" w:element="cite.usc">
        <w:smartTagPr>
          <w:attr w:name="ref" w:val="USC\26\275(a)(4)"/>
        </w:smartTagPr>
        <w:r>
          <w:t>§275(a)(4)</w:t>
        </w:r>
      </w:smartTag>
      <w:r>
        <w:t xml:space="preserve">, foreign income, war profits, and excess profits taxes are not allowed as deductions under </w:t>
      </w:r>
      <w:smartTag w:uri="http://www.bna.com/sgml2word/cite" w:element="cite.usc">
        <w:smartTagPr>
          <w:attr w:name="ref" w:val="USC\26\164(a)(3)"/>
        </w:smartTagPr>
        <w:r>
          <w:t>§164(a)(3)</w:t>
        </w:r>
      </w:smartTag>
      <w:r>
        <w:t xml:space="preserve"> in determining net investment income if the taxpayer claims the benefit of the foreign tax credit under </w:t>
      </w:r>
      <w:smartTag w:uri="http://www.bna.com/sgml2word/cite" w:element="cite.usc">
        <w:smartTagPr>
          <w:attr w:name="ref" w:val="USC\26\901"/>
        </w:smartTagPr>
        <w:r>
          <w:t>§901</w:t>
        </w:r>
      </w:smartTag>
      <w:r>
        <w:t xml:space="preserve"> with respect to the same tax year.</w:t>
      </w:r>
      <w:r>
        <w:rPr>
          <w:rStyle w:val="FootnoteReference"/>
        </w:rPr>
        <w:footnoteReference w:id="602"/>
      </w:r>
    </w:p>
    <w:p w14:paraId="5FB53AD6" w14:textId="77777777" w:rsidR="00494B49" w:rsidRDefault="00494B49">
      <w:pPr>
        <w:pStyle w:val="BNormal"/>
      </w:pPr>
      <w:r>
        <w:rPr>
          <w:i/>
        </w:rPr>
        <w:t>Comment:</w:t>
      </w:r>
      <w:r>
        <w:t xml:space="preserve"> For taxes to be deductible under Reg. </w:t>
      </w:r>
      <w:smartTag w:uri="http://www.bna.com/sgml2word/cite" w:element="cite.cfr">
        <w:smartTagPr>
          <w:attr w:name="ref" w:val="cfr\26\1.1411-4(f)(3)(iii)"/>
        </w:smartTagPr>
        <w:r>
          <w:t>§1.1411-4(f)(3)(iii)</w:t>
        </w:r>
      </w:smartTag>
      <w:r>
        <w:t xml:space="preserve">, they must be deductible under </w:t>
      </w:r>
      <w:smartTag w:uri="http://www.bna.com/sgml2word/cite" w:element="cite.usc">
        <w:smartTagPr>
          <w:attr w:name="ref" w:val="USC\26\164(a)(3)"/>
        </w:smartTagPr>
        <w:r>
          <w:t>§164(a)(3)</w:t>
        </w:r>
      </w:smartTag>
      <w:r>
        <w:t>. Although this statement seems intuitive, the Treasury Department and IRS received many questions about the operation of this rule during the development of the 2013 Final Regulations.</w:t>
      </w:r>
    </w:p>
    <w:p w14:paraId="469F102A" w14:textId="77777777" w:rsidR="00494B49" w:rsidRDefault="00494B49">
      <w:pPr>
        <w:pStyle w:val="BNormal"/>
      </w:pPr>
      <w:r>
        <w:t xml:space="preserve">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lastRenderedPageBreak/>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5F3BEEBA" w14:textId="77777777" w:rsidR="00494B49" w:rsidRDefault="00494B49">
      <w:pPr>
        <w:pStyle w:val="BNormal"/>
      </w:pPr>
      <w:r>
        <w:t xml:space="preserve">By referencing </w:t>
      </w:r>
      <w:smartTag w:uri="http://www.bna.com/sgml2word/cite" w:element="cite.usc">
        <w:smartTagPr>
          <w:attr w:name="ref" w:val="USC\26\164(a)(3)"/>
        </w:smartTagPr>
        <w:r>
          <w:t>§164(a)(3)</w:t>
        </w:r>
      </w:smartTag>
      <w:r>
        <w:t xml:space="preserve">, Reg. </w:t>
      </w:r>
      <w:smartTag w:uri="http://www.bna.com/sgml2word/cite" w:element="cite.cfr">
        <w:smartTagPr>
          <w:attr w:name="ref" w:val="cfr\26\1.1411-4(f)(3)(iii)"/>
        </w:smartTagPr>
        <w:r>
          <w:t>§1.1411-4(f)(3)(iii)</w:t>
        </w:r>
      </w:smartTag>
      <w:r>
        <w:t xml:space="preserve"> adopts the taxpayer’s method of accounting.</w:t>
      </w:r>
      <w:r>
        <w:rPr>
          <w:rStyle w:val="FootnoteReference"/>
        </w:rPr>
        <w:footnoteReference w:id="603"/>
      </w:r>
      <w:r>
        <w:t xml:space="preserve"> Therefore, if the amount deducted by a cash basis taxpayer in the current year is attributable to the prior year tax liability, that tax payment is still a deduction under </w:t>
      </w:r>
      <w:smartTag w:uri="http://www.bna.com/sgml2word/cite" w:element="cite.usc">
        <w:smartTagPr>
          <w:attr w:name="ref" w:val="USC\26\164(a)(3)"/>
        </w:smartTagPr>
        <w:r>
          <w:t>§164(a)(3)</w:t>
        </w:r>
      </w:smartTag>
      <w:r>
        <w:t>.</w:t>
      </w:r>
      <w:r>
        <w:rPr>
          <w:rStyle w:val="FootnoteReference"/>
        </w:rPr>
        <w:footnoteReference w:id="604"/>
      </w:r>
      <w:r>
        <w:t xml:space="preserve"> In this context, a taxpayer may not calculate the amount of deductible taxes allocable to net investment income using the accrual method of accounting if a taxpayer is a cash basis taxpayer. In a majority of cases, the differences in the deduction would be timing differences only. However, the issue of using the accrual method when the amount of the deduction exceeds the amount of the cash-basis deduction presents two problematic issues. First, the calculation is inconsistent with the theoretical operating principles enumerated in Reg. </w:t>
      </w:r>
      <w:smartTag w:uri="http://www.bna.com/sgml2word/cite" w:element="cite.cfr">
        <w:smartTagPr>
          <w:attr w:name="ref" w:val="cfr\26\1.1411-1(a)"/>
        </w:smartTagPr>
        <w:r>
          <w:t>§1.1411-1(a)</w:t>
        </w:r>
      </w:smartTag>
      <w:r>
        <w:t>.</w:t>
      </w:r>
      <w:r>
        <w:rPr>
          <w:rStyle w:val="FootnoteReference"/>
        </w:rPr>
        <w:footnoteReference w:id="605"/>
      </w:r>
      <w:r>
        <w:t xml:space="preserve"> Second, if the accrual method results in a deductible tax amount greater than the amount actually paid in the year, the excess amounts are not allowable deductions under Subtitle A, and therefore cannot be deductible under </w:t>
      </w:r>
      <w:smartTag w:uri="http://www.bna.com/sgml2word/cite" w:element="cite.usc">
        <w:smartTagPr>
          <w:attr w:name="ref" w:val="USC\26\1411(c)(1)(B)"/>
        </w:smartTagPr>
        <w:r>
          <w:t>§1411(c)(1)(B)</w:t>
        </w:r>
      </w:smartTag>
      <w:r>
        <w:t>. However, it may be possible (although complicated) to use accrual accounting concepts in developing a reasonable allocation method.</w:t>
      </w:r>
      <w:r>
        <w:rPr>
          <w:rStyle w:val="FootnoteReference"/>
        </w:rPr>
        <w:footnoteReference w:id="606"/>
      </w:r>
    </w:p>
    <w:p w14:paraId="19423CC0" w14:textId="77777777" w:rsidR="00494B49" w:rsidRDefault="00494B49">
      <w:pPr>
        <w:pStyle w:val="BNormal"/>
      </w:pPr>
      <w:r>
        <w:rPr>
          <w:i/>
        </w:rPr>
        <w:t>Comment:</w:t>
      </w:r>
      <w:r>
        <w:t xml:space="preserve"> If a taxpayer claims a deduction for state sales taxes in lieu of state income taxes, the sales taxes are not a properly allocable deduction.</w:t>
      </w:r>
      <w:r>
        <w:rPr>
          <w:rStyle w:val="FootnoteReference"/>
        </w:rPr>
        <w:footnoteReference w:id="607"/>
      </w:r>
      <w:r>
        <w:t xml:space="preserve"> Although the mechanical rules in </w:t>
      </w:r>
      <w:smartTag w:uri="http://www.bna.com/sgml2word/cite" w:element="cite.usc">
        <w:smartTagPr>
          <w:attr w:name="ref" w:val="USC\26\164(b)(5)"/>
        </w:smartTagPr>
        <w:r>
          <w:t>§164(b)(5)</w:t>
        </w:r>
      </w:smartTag>
      <w:r>
        <w:t xml:space="preserve"> generally provide that </w:t>
      </w:r>
      <w:smartTag w:uri="http://www.bna.com/sgml2word/cite" w:element="cite.usc">
        <w:smartTagPr>
          <w:attr w:name="ref" w:val="USC\26\164(a)(3)"/>
        </w:smartTagPr>
        <w:r>
          <w:t>§164(a)(3)</w:t>
        </w:r>
      </w:smartTag>
      <w:r>
        <w:t xml:space="preserve"> is applied by replacing income taxes for sales taxes, Reg. </w:t>
      </w:r>
      <w:smartTag w:uri="http://www.bna.com/sgml2word/cite" w:element="cite.cfr">
        <w:smartTagPr>
          <w:attr w:name="ref" w:val="cfr\26\1.1411-4(f)(3)(iii)"/>
        </w:smartTagPr>
        <w:r>
          <w:t>§1.1411-4(f)(3)(iii)</w:t>
        </w:r>
      </w:smartTag>
      <w:r>
        <w:t xml:space="preserve"> specifically uses the phrase “income taxes.” Therefore, sales taxes are not deductible. Furthermore, if a taxpayer claims a regular income tax deduction for sales taxes, any income taxes paid during the year are nondeductible for regular income tax purposes. It follows that such income taxes are not deductible under </w:t>
      </w:r>
      <w:smartTag w:uri="http://www.bna.com/sgml2word/cite" w:element="cite.usc">
        <w:smartTagPr>
          <w:attr w:name="ref" w:val="USC\26\1411(c)(1)(B)"/>
        </w:smartTagPr>
        <w:r>
          <w:t>§1411(c)(1)(B)</w:t>
        </w:r>
      </w:smartTag>
      <w:r>
        <w:t xml:space="preserve"> because they are not “deductions allowed by Subtitle A.”</w:t>
      </w:r>
    </w:p>
    <w:p w14:paraId="1D2149CC" w14:textId="77777777" w:rsidR="00494B49" w:rsidRDefault="00494B49">
      <w:pPr>
        <w:pStyle w:val="BHead4"/>
      </w:pPr>
      <w:r>
        <w:t>(2) State and Local Income Taxes Deductible in Tax Years Beginning in 2018-2025</w:t>
      </w:r>
    </w:p>
    <w:p w14:paraId="2118EBDB" w14:textId="77777777" w:rsidR="00494B49" w:rsidRDefault="00494B49">
      <w:pPr>
        <w:pStyle w:val="BNormal"/>
      </w:pPr>
      <w:r>
        <w:t xml:space="preserve">Treasury and the IRS have not issued guidance pertaining to </w:t>
      </w:r>
      <w:smartTag w:uri="http://www.bna.com/sgml2word/cite" w:element="cite.usc">
        <w:smartTagPr>
          <w:attr w:name="ref" w:val="USC\26\1411"/>
        </w:smartTagPr>
        <w:r>
          <w:t>§1411</w:t>
        </w:r>
      </w:smartTag>
      <w:r>
        <w:t xml:space="preserve"> and the SALT deduction limitation. Until guidance is issued, taxpayers are forced to come up with their own reasonable method of applying these provisions and determining the amount of the SALT deduction allocable to </w:t>
      </w:r>
      <w:smartTag w:uri="http://www.bna.com/sgml2word/cite" w:element="cite.usc">
        <w:smartTagPr>
          <w:attr w:name="ref" w:val="USC\26\1411"/>
        </w:smartTagPr>
        <w:r>
          <w:t>§1411</w:t>
        </w:r>
      </w:smartTag>
      <w:r>
        <w:t xml:space="preserve"> income in accordance with the Reg. </w:t>
      </w:r>
      <w:smartTag w:uri="http://www.bna.com/sgml2word/cite" w:element="cite.cfr">
        <w:smartTagPr>
          <w:attr w:name="ref" w:val="cfr\26\1.1411-4(g)(1)"/>
        </w:smartTagPr>
        <w:r>
          <w:t>§1.1411-4(g)(1)</w:t>
        </w:r>
      </w:smartTag>
      <w:r>
        <w:t xml:space="preserve"> allocation rules. Fortunately, the 2013 Final Regulations contain some guideposts that could be mimicked by taxpayers.</w:t>
      </w:r>
    </w:p>
    <w:p w14:paraId="541CF4BE" w14:textId="77777777" w:rsidR="00494B49" w:rsidRDefault="00494B49">
      <w:pPr>
        <w:pStyle w:val="BNormal"/>
      </w:pPr>
      <w:r>
        <w:t xml:space="preserve">As a fundamental principal, </w:t>
      </w:r>
      <w:smartTag w:uri="http://www.bna.com/sgml2word/cite" w:element="cite.usc">
        <w:smartTagPr>
          <w:attr w:name="ref" w:val="usc\26\164(b)(6)"/>
        </w:smartTagPr>
        <w:r>
          <w:t>§164(b)(6)</w:t>
        </w:r>
      </w:smartTag>
      <w:r>
        <w:t xml:space="preserve"> is a deduction disallowance provision. Therefore, SALT deductions that are disallowed by </w:t>
      </w:r>
      <w:smartTag w:uri="http://www.bna.com/sgml2word/cite" w:element="cite.usc">
        <w:smartTagPr>
          <w:attr w:name="ref" w:val="usc\26\164(b)(6)"/>
        </w:smartTagPr>
        <w:r>
          <w:t>§164(b)(6)</w:t>
        </w:r>
      </w:smartTag>
      <w:r>
        <w:t xml:space="preserve"> will not be allowed in arriving at taxable income, and </w:t>
      </w:r>
      <w:smartTag w:uri="http://www.bna.com/sgml2word/cite" w:element="cite.usc">
        <w:smartTagPr>
          <w:attr w:name="ref" w:val="USC\26\1411(c)(1)(B)"/>
        </w:smartTagPr>
        <w:r>
          <w:t>§1411(c)(1)(B)</w:t>
        </w:r>
      </w:smartTag>
      <w:r>
        <w:t xml:space="preserve"> similarly would not allow them as “properly allocable” to net investment </w:t>
      </w:r>
      <w:r>
        <w:lastRenderedPageBreak/>
        <w:t>income (NII).</w:t>
      </w:r>
      <w:r>
        <w:rPr>
          <w:rStyle w:val="FootnoteReference"/>
        </w:rPr>
        <w:footnoteReference w:id="608"/>
      </w:r>
      <w:r>
        <w:t xml:space="preserve"> As a consequence, one can reasonably conclude that if the maximum SALT deduction allowed as an itemized deduction is $10,000, then the maximum SALT amount deductible for NII purposes is $10,000.</w:t>
      </w:r>
    </w:p>
    <w:p w14:paraId="75E60219" w14:textId="77777777" w:rsidR="00494B49" w:rsidRDefault="00494B49">
      <w:pPr>
        <w:pStyle w:val="BNormal"/>
      </w:pPr>
      <w:r>
        <w:t xml:space="preserve">As noted above, 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However, these allocation rules were written when there was no limitation on </w:t>
      </w:r>
      <w:smartTag w:uri="http://www.bna.com/sgml2word/cite" w:element="cite.usc">
        <w:smartTagPr>
          <w:attr w:name="ref" w:val="USC\26\164(a)(3)"/>
        </w:smartTagPr>
        <w:r>
          <w:t>§164(a)(3)</w:t>
        </w:r>
      </w:smartTag>
      <w:r>
        <w:t xml:space="preserve"> taxes (other than the </w:t>
      </w:r>
      <w:smartTag w:uri="http://www.bna.com/sgml2word/cite" w:element="cite.usc">
        <w:smartTagPr>
          <w:attr w:name="ref" w:val="USC\26\68"/>
        </w:smartTagPr>
        <w:r>
          <w:t>§68</w:t>
        </w:r>
      </w:smartTag>
      <w:r>
        <w:t xml:space="preserve"> limitation discussed below). So the question becomes, what is a reasonable allocation for NIIT purposes when the maximum deduction is $10,000, and it is blended with real estate taxes that are nondeductible for NII? There are several approaches to consider.</w:t>
      </w:r>
    </w:p>
    <w:p w14:paraId="13EB7A90" w14:textId="77777777" w:rsidR="00494B49" w:rsidRDefault="00494B49">
      <w:pPr>
        <w:pStyle w:val="BNormal"/>
      </w:pPr>
      <w:r>
        <w:t>The first approach could be to apply the NII to MAGI ratio to the $10,000 limited amount. For example, assume Individual A has $1,000,000 of NII and MAGI of $1,500,000. If Individual A has paid $80,000 of state income taxes during the year, but only $10,000 are limited, then one could conclude that the proper allocation is 2/3 of $10,000, or $6,667 of properly allocable deductions.</w:t>
      </w:r>
      <w:r>
        <w:rPr>
          <w:rStyle w:val="FootnoteReference"/>
        </w:rPr>
        <w:footnoteReference w:id="609"/>
      </w:r>
    </w:p>
    <w:p w14:paraId="4BC994FE" w14:textId="77777777" w:rsidR="00494B49" w:rsidRDefault="00494B49">
      <w:pPr>
        <w:pStyle w:val="BNormal"/>
      </w:pPr>
      <w:r>
        <w:t xml:space="preserve">Should the answer change if Individual A has $20,000 of real estate taxes that are also limited? Does the $10,000 allowed as a deduction after the application of </w:t>
      </w:r>
      <w:smartTag w:uri="http://www.bna.com/sgml2word/cite" w:element="cite.usc">
        <w:smartTagPr>
          <w:attr w:name="ref" w:val="usc\26\164(b)(6)"/>
        </w:smartTagPr>
        <w:r>
          <w:t>§164(b)(6)</w:t>
        </w:r>
      </w:smartTag>
      <w:r>
        <w:t xml:space="preserve"> include a pro rata share of income taxes (80,000 / 100,000) and a pro rata share of real estate taxes (20,000 / 100,000)? If this is the case, Individual A would have to allocate their NII-to-MAGI ratio against the pro rata share of income taxes imbedded in the $10,000 limit (which would be $8,000 in this example). If this is the correct approach, Individual A’s deductible amount would be $5,333.</w:t>
      </w:r>
      <w:r>
        <w:rPr>
          <w:rStyle w:val="FootnoteReference"/>
        </w:rPr>
        <w:footnoteReference w:id="610"/>
      </w:r>
    </w:p>
    <w:p w14:paraId="0F65B456" w14:textId="77777777" w:rsidR="00494B49" w:rsidRDefault="00494B49">
      <w:pPr>
        <w:pStyle w:val="BNormal"/>
      </w:pPr>
      <w:r>
        <w:t xml:space="preserve">Another approach to applying </w:t>
      </w:r>
      <w:smartTag w:uri="http://www.bna.com/sgml2word/cite" w:element="cite.usc">
        <w:smartTagPr>
          <w:attr w:name="ref" w:val="usc\26\164(b)(6)"/>
        </w:smartTagPr>
        <w:r>
          <w:t>§164(b)(6)</w:t>
        </w:r>
      </w:smartTag>
      <w:r>
        <w:t xml:space="preserve"> is currently imbedded in the 2013 Final Regulations pertaining to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The tax policy approach adopted in Reg. </w:t>
      </w:r>
      <w:smartTag w:uri="http://www.bna.com/sgml2word/cite" w:element="cite.cfr">
        <w:smartTagPr>
          <w:attr w:name="ref" w:val="cfr\26\1.1411-4(f)(7)"/>
        </w:smartTagPr>
        <w:r>
          <w:t>§1.1411-4(f)(7)</w:t>
        </w:r>
      </w:smartTag>
      <w:r>
        <w:t xml:space="preserve"> for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 was to impose the limitation first against non-NII deductions thereby leaving NII deductions to the greatest extent possible.</w:t>
      </w:r>
      <w:r>
        <w:rPr>
          <w:rStyle w:val="FootnoteReference"/>
        </w:rPr>
        <w:footnoteReference w:id="611"/>
      </w:r>
      <w:r>
        <w:t xml:space="preserve"> In other words, the limitation mechanics were designed to allow the taxpayers the maximum amount of NII deductions.</w:t>
      </w:r>
    </w:p>
    <w:p w14:paraId="4BC3F579" w14:textId="77777777" w:rsidR="00494B49" w:rsidRDefault="00494B49">
      <w:pPr>
        <w:pStyle w:val="BNormal"/>
      </w:pPr>
      <w:r>
        <w:t xml:space="preserve">If a taxpayer were to apply this pro-taxpayer policy approach to the $10,000 deduction limit, the policy would be that all deductions that go into the </w:t>
      </w:r>
      <w:smartTag w:uri="http://www.bna.com/sgml2word/cite" w:element="cite.usc">
        <w:smartTagPr>
          <w:attr w:name="ref" w:val="usc\26\164(b)(6)"/>
        </w:smartTagPr>
        <w:r>
          <w:t>§164(b)(6)</w:t>
        </w:r>
      </w:smartTag>
      <w:r>
        <w:t xml:space="preserve"> calculation will be limited by non-NII deductions first. In the case of Individual A from the example above, the total amount of taxes disallowed is $90,000.</w:t>
      </w:r>
      <w:r>
        <w:rPr>
          <w:rStyle w:val="FootnoteReference"/>
        </w:rPr>
        <w:footnoteReference w:id="612"/>
      </w:r>
      <w:r>
        <w:t xml:space="preserve"> First, the $90,000 limitation would be reduced by the non-NII real estate taxes. The remaining $70,000 of the limitation would be applied to the non-NII portion of the $80,000 of state income taxes of $26,667.</w:t>
      </w:r>
      <w:r>
        <w:rPr>
          <w:rStyle w:val="FootnoteReference"/>
        </w:rPr>
        <w:footnoteReference w:id="613"/>
      </w:r>
      <w:r>
        <w:t xml:space="preserve"> As a consequence, the remaining NII-related state income taxes would be $53,333. Thus, the remaining </w:t>
      </w:r>
      <w:smartTag w:uri="http://www.bna.com/sgml2word/cite" w:element="cite.usc">
        <w:smartTagPr>
          <w:attr w:name="ref" w:val="usc\26\164(b)(6)"/>
        </w:smartTagPr>
        <w:r>
          <w:t>§164(b)(6)</w:t>
        </w:r>
      </w:smartTag>
      <w:r>
        <w:t xml:space="preserve"> limitation eliminates $43,333 of NII-related state income taxes, leaving a total deductible amount of $10,000. Thus, the NII deductible amount is the same as the itemized deduction amount of $10,000.</w:t>
      </w:r>
    </w:p>
    <w:p w14:paraId="37ACFF92" w14:textId="77777777" w:rsidR="00494B49" w:rsidRDefault="00494B49">
      <w:pPr>
        <w:pStyle w:val="BCommentpara"/>
      </w:pPr>
      <w:r>
        <w:rPr>
          <w:rStyle w:val="BCommenthead"/>
        </w:rPr>
        <w:lastRenderedPageBreak/>
        <w:t xml:space="preserve">Comment: </w:t>
      </w:r>
      <w:r>
        <w:t>To many NIIT taxpayers, the deduction calculation for the SALT deduction is largely immaterial. In the first approach, Individual A has a deduction of $5,333; in the second approach, the deduction was $10,000. The overall difference in net NII is only $4,667. The out-of-pocket tax cost between the two situations is $177.</w:t>
      </w:r>
    </w:p>
    <w:p w14:paraId="02D54B00" w14:textId="77777777" w:rsidR="00494B49" w:rsidRDefault="00494B49">
      <w:pPr>
        <w:pStyle w:val="BHead4"/>
      </w:pPr>
      <w:r>
        <w:t>(3) Foreign Income Taxes</w:t>
      </w:r>
    </w:p>
    <w:p w14:paraId="4BAAF300" w14:textId="77777777" w:rsidR="00494B49" w:rsidRDefault="00494B49">
      <w:pPr>
        <w:pStyle w:val="BNormal"/>
      </w:pPr>
      <w:r>
        <w:t>Properly allocable deductions also include foreign income taxes that are deducted in the current year. In general, a taxpayer may not take a foreign tax credit and an income tax deduction for foreign taxes in the same year.</w:t>
      </w:r>
      <w:r>
        <w:rPr>
          <w:rStyle w:val="FootnoteReference"/>
        </w:rPr>
        <w:footnoteReference w:id="614"/>
      </w:r>
      <w:r>
        <w:t xml:space="preserve"> However, there is a very limited exception for foreign income taxes for which a credit is disallowed under any Code section and to which </w:t>
      </w:r>
      <w:smartTag w:uri="http://www.bna.com/sgml2word/cite" w:element="cite.usc">
        <w:smartTagPr>
          <w:attr w:name="ref" w:val="usc\26\275"/>
        </w:smartTagPr>
        <w:r>
          <w:t>§275</w:t>
        </w:r>
      </w:smartTag>
      <w:r>
        <w:t xml:space="preserve"> does not apply, such as </w:t>
      </w:r>
      <w:smartTag w:uri="http://www.bna.com/sgml2word/cite" w:element="cite.usc">
        <w:smartTagPr>
          <w:attr w:name="ref" w:val="usc\26\901(f)"/>
        </w:smartTagPr>
        <w:r>
          <w:t>§901(f)</w:t>
        </w:r>
      </w:smartTag>
      <w:r>
        <w:t xml:space="preserve">, </w:t>
      </w:r>
      <w:smartTag w:uri="http://www.bna.com/sgml2word/cite" w:element="cite.usc">
        <w:smartTagPr>
          <w:attr w:name="ref" w:val="usc\26\901(j)(3)"/>
        </w:smartTagPr>
        <w:r>
          <w:t>§901(j)(3)</w:t>
        </w:r>
      </w:smartTag>
      <w:r>
        <w:t xml:space="preserve">, </w:t>
      </w:r>
      <w:smartTag w:uri="http://www.bna.com/sgml2word/cite" w:element="cite.usc">
        <w:smartTagPr>
          <w:attr w:name="ref" w:val="usc\26\901(k)(7)"/>
        </w:smartTagPr>
        <w:r>
          <w:t>§901(k)(7)</w:t>
        </w:r>
      </w:smartTag>
      <w:r>
        <w:t xml:space="preserve">, </w:t>
      </w:r>
      <w:smartTag w:uri="http://www.bna.com/sgml2word/cite" w:element="cite.usc">
        <w:smartTagPr>
          <w:attr w:name="ref" w:val="usc\26\901(l)(4)"/>
        </w:smartTagPr>
        <w:r>
          <w:t>§901(l)(4)</w:t>
        </w:r>
      </w:smartTag>
      <w:r>
        <w:t xml:space="preserve">, </w:t>
      </w:r>
      <w:smartTag w:uri="http://www.bna.com/sgml2word/cite" w:element="cite.usc">
        <w:smartTagPr>
          <w:attr w:name="ref" w:val="usc\26\901(m)(6)"/>
        </w:smartTagPr>
        <w:r>
          <w:t>§901(m)(6)</w:t>
        </w:r>
      </w:smartTag>
      <w:r>
        <w:t xml:space="preserve">, and </w:t>
      </w:r>
      <w:smartTag w:uri="http://www.bna.com/sgml2word/cite" w:element="cite.usc">
        <w:smartTagPr>
          <w:attr w:name="ref" w:val="usc\26\908(b)"/>
        </w:smartTagPr>
        <w:r>
          <w:t>§908(b)</w:t>
        </w:r>
      </w:smartTag>
      <w:r>
        <w:t xml:space="preserve">. For example, in the case of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a taxpayer may deduct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in the year paid, but also take a foreign tax credit in the current year for other foreign income taxes paid, accrued, or applied to the current year from another year. For NIIT purposes, because </w:t>
      </w:r>
      <w:smartTag w:uri="http://www.bna.com/sgml2word/cite" w:element="cite.usc">
        <w:smartTagPr>
          <w:attr w:name="ref" w:val="USC\26\275(a)(4)"/>
        </w:smartTagPr>
        <w:r>
          <w:t>§275(a)(4)</w:t>
        </w:r>
      </w:smartTag>
      <w:r>
        <w:t xml:space="preserve"> does not bar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from being deducted in the same year as a credit is taken, those foreign taxes may be properly allocable to net investment income under Reg. </w:t>
      </w:r>
      <w:smartTag w:uri="http://www.bna.com/sgml2word/cite" w:element="cite.cfr">
        <w:smartTagPr>
          <w:attr w:name="ref" w:val="cfr\26\1.1411-4(f)(3)(iii)"/>
        </w:smartTagPr>
        <w:r>
          <w:t>§1.1411-4(f)(3)(iii)</w:t>
        </w:r>
      </w:smartTag>
      <w:r>
        <w:t>. The limitation on taxes imposed by the TCJA for tax years beginning in 2018–2025 does not extend to deductible foreign income taxes, and therefore they remain deductible for net investment income tax purposes.</w:t>
      </w:r>
    </w:p>
    <w:p w14:paraId="78392316" w14:textId="77777777" w:rsidR="00494B49" w:rsidRDefault="00494B49">
      <w:pPr>
        <w:pStyle w:val="BHead3"/>
      </w:pPr>
      <w:r>
        <w:t xml:space="preserve">d. Section 72(b)(3) — Annuity Basis </w:t>
      </w:r>
    </w:p>
    <w:p w14:paraId="4303FCE7"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allowed as deductions to the annuitant for the annuitant’s last tax year under </w:t>
      </w:r>
      <w:smartTag w:uri="http://www.bna.com/sgml2word/cite" w:element="cite.usc">
        <w:smartTagPr>
          <w:attr w:name="ref" w:val="USC\26\72(b)(3)"/>
        </w:smartTagPr>
        <w:r>
          <w:t>§72(b)(3)</w:t>
        </w:r>
      </w:smartTag>
      <w:r>
        <w:t>, but only if the income from the annuity (had the annuitant lived to receive the income) would have been included in the computation of net investment income.</w:t>
      </w:r>
      <w:r>
        <w:rPr>
          <w:rStyle w:val="FootnoteReference"/>
        </w:rPr>
        <w:footnoteReference w:id="615"/>
      </w:r>
    </w:p>
    <w:p w14:paraId="0B09F1C7" w14:textId="77777777" w:rsidR="00494B49" w:rsidRDefault="00494B49">
      <w:pPr>
        <w:pStyle w:val="BNormal"/>
      </w:pPr>
      <w:r>
        <w:t xml:space="preserve">For an amount deductible under </w:t>
      </w:r>
      <w:smartTag w:uri="http://www.bna.com/sgml2word/cite" w:element="cite.usc">
        <w:smartTagPr>
          <w:attr w:name="ref" w:val="USC\26\72(b)(3)"/>
        </w:smartTagPr>
        <w:r>
          <w:t>§72(b)(3)</w:t>
        </w:r>
      </w:smartTag>
      <w:r>
        <w:t xml:space="preserve"> to be a properly allocable deduction, the annuity must be of a type that is included in the computation of net investment income by reason of </w:t>
      </w:r>
      <w:smartTag w:uri="http://www.bna.com/sgml2word/cite" w:element="cite.usc">
        <w:smartTagPr>
          <w:attr w:name="ref" w:val="USC\26\1411(c)(1)(A)(i)"/>
        </w:smartTagPr>
        <w:r>
          <w:t>§1411(c)(1)(A)(i)</w:t>
        </w:r>
      </w:smartTag>
      <w:r>
        <w:t xml:space="preserve">. If the annuity payment would have been excluded from the computation of net investment income by reason of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(the exception for distributions to qualified plans), then no portion of the </w:t>
      </w:r>
      <w:smartTag w:uri="http://www.bna.com/sgml2word/cite" w:element="cite.usc">
        <w:smartTagPr>
          <w:attr w:name="ref" w:val="USC\26\72(b)(3)"/>
        </w:smartTagPr>
        <w:r>
          <w:t>§72(b)(3)</w:t>
        </w:r>
      </w:smartTag>
      <w:r>
        <w:t xml:space="preserve"> deductible amount is allowed as a properly allocable deduction.</w:t>
      </w:r>
    </w:p>
    <w:p w14:paraId="178D1A30" w14:textId="77777777" w:rsidR="00494B49" w:rsidRDefault="00494B49">
      <w:pPr>
        <w:pStyle w:val="BNormal"/>
      </w:pPr>
      <w:r>
        <w:rPr>
          <w:i/>
        </w:rPr>
        <w:t>Comment:</w:t>
      </w:r>
      <w:r>
        <w:t xml:space="preserve"> For purposes of this rule, it does not matter if the decedent was receiving annuity payments before death, or whether the decedent owed the NIIT in any prior year. This rule applies to both commercial annuities and private annuities.</w:t>
      </w:r>
      <w:r>
        <w:rPr>
          <w:rStyle w:val="FootnoteReference"/>
        </w:rPr>
        <w:footnoteReference w:id="616"/>
      </w:r>
    </w:p>
    <w:p w14:paraId="1B327470" w14:textId="77777777" w:rsidR="00494B49" w:rsidRDefault="00494B49">
      <w:pPr>
        <w:pStyle w:val="BHead3"/>
      </w:pPr>
      <w:r>
        <w:t>e. Section 691(c) — Deductions for Estate Taxes</w:t>
      </w:r>
    </w:p>
    <w:p w14:paraId="79A9ADB9" w14:textId="77777777" w:rsidR="00494B49" w:rsidRDefault="00494B49">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w:t>
      </w:r>
      <w:r>
        <w:lastRenderedPageBreak/>
        <w:t>for regular tax purposes.</w:t>
      </w:r>
      <w:r>
        <w:rPr>
          <w:rStyle w:val="FootnoteReference"/>
        </w:rPr>
        <w:footnoteReference w:id="617"/>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18"/>
      </w:r>
    </w:p>
    <w:p w14:paraId="7D7A8585" w14:textId="77777777" w:rsidR="00494B49" w:rsidRDefault="00494B49">
      <w:pPr>
        <w:pStyle w:val="BNormal"/>
      </w:pPr>
      <w:r>
        <w:rPr>
          <w:i/>
        </w:rPr>
        <w:t>Comment:</w:t>
      </w:r>
      <w:r>
        <w:t xml:space="preserve"> Although the regulation text (Reg. </w:t>
      </w:r>
      <w:smartTag w:uri="http://www.bna.com/sgml2word/cite" w:element="cite.cfr">
        <w:smartTagPr>
          <w:attr w:name="ref" w:val="cfr\26\1.1411-4(f)(3)(v)"/>
        </w:smartTagPr>
        <w:r>
          <w:t>§1.1411-4(f)(3)(v)</w:t>
        </w:r>
      </w:smartTag>
      <w:r>
        <w:t xml:space="preserve">) refers to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60612E22" w14:textId="77777777" w:rsidR="00494B49" w:rsidRDefault="00494B49">
      <w:pPr>
        <w:pStyle w:val="BNormal"/>
      </w:pPr>
      <w:r>
        <w:t xml:space="preserve">This deduction is further discussed in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0B33C112" w14:textId="77777777" w:rsidR="00494B49" w:rsidRDefault="00494B49">
      <w:pPr>
        <w:pStyle w:val="BHead3"/>
      </w:pPr>
      <w:r>
        <w:t xml:space="preserve">f. Section 212(3) and Reg. §1.212-1(l) — Tax </w:t>
      </w:r>
      <w:r>
        <w:br/>
        <w:t>Expenses</w:t>
      </w:r>
    </w:p>
    <w:p w14:paraId="5B828689"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described in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w:t>
      </w:r>
      <w:r>
        <w:rPr>
          <w:rStyle w:val="FootnoteReference"/>
        </w:rPr>
        <w:footnoteReference w:id="619"/>
      </w:r>
      <w:r>
        <w:t xml:space="preserve"> </w:t>
      </w:r>
      <w:smartTag w:uri="http://www.bna.com/sgml2word/cite" w:element="cite.usc">
        <w:smartTagPr>
          <w:attr w:name="ref" w:val="USC\26\212(3)"/>
        </w:smartTagPr>
        <w:r>
          <w:t>Section 212(3)</w:t>
        </w:r>
      </w:smartTag>
      <w:r>
        <w:t xml:space="preserve"> and Reg. </w:t>
      </w:r>
      <w:smartTag w:uri="http://www.bna.com/sgml2word/cite" w:element="cite.cfr">
        <w:smartTagPr>
          <w:attr w:name="ref" w:val="cfr\26\1.212-1(l)"/>
        </w:smartTagPr>
        <w:r>
          <w:t>§1.212-1(l)</w:t>
        </w:r>
      </w:smartTag>
      <w:r>
        <w:t xml:space="preserve"> provide, in general, that expenses paid or incurred by an individual in connection with the determination, collection, or refund of any tax, whether the taxing authority be federal, state, or municipal, and whether the tax be income, estate, gift, property, or any other tax, are deductible,</w:t>
      </w:r>
      <w:r>
        <w:rPr>
          <w:rStyle w:val="FootnoteReference"/>
        </w:rPr>
        <w:footnoteReference w:id="620"/>
      </w:r>
      <w:r>
        <w:t xml:space="preserve"> except in tax years beginning in 2018 through 2025.</w:t>
      </w:r>
      <w:r>
        <w:rPr>
          <w:rStyle w:val="FootnoteReference"/>
        </w:rPr>
        <w:footnoteReference w:id="621"/>
      </w:r>
      <w:r>
        <w:t xml:space="preserve"> For example, a taxpayer may deduct (except in tax years beginning in 2018 through 2025) expenses paid or incurred for tax counsel or expenses paid or incurred in connection with the preparation of his tax returns or in connection with any proceedings involved in determining the extent of his tax liability or in contesting his tax liability.</w:t>
      </w:r>
      <w:r>
        <w:rPr>
          <w:rStyle w:val="FootnoteReference"/>
        </w:rPr>
        <w:footnoteReference w:id="622"/>
      </w:r>
    </w:p>
    <w:p w14:paraId="39701C0C" w14:textId="77777777" w:rsidR="00494B49" w:rsidRDefault="00494B49">
      <w:pPr>
        <w:pStyle w:val="BNormal"/>
      </w:pPr>
      <w:r>
        <w:t xml:space="preserve">The deduction for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expenses is one of three allowable (except in tax years beginning in 2018 through 2025)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1CF0CFE1" w14:textId="77777777" w:rsidR="00494B49" w:rsidRDefault="00494B49">
      <w:pPr>
        <w:pStyle w:val="BNormal"/>
      </w:pPr>
      <w:r>
        <w:rPr>
          <w:i/>
        </w:rPr>
        <w:t>Comment:</w:t>
      </w:r>
      <w:r>
        <w:t xml:space="preserve"> It is clear from the text of Reg. </w:t>
      </w:r>
      <w:smartTag w:uri="http://www.bna.com/sgml2word/cite" w:element="cite.cfr">
        <w:smartTagPr>
          <w:attr w:name="ref" w:val="cfr\26\1.212-1(l)"/>
        </w:smartTagPr>
        <w:r>
          <w:t>§1.212-1(l)</w:t>
        </w:r>
      </w:smartTag>
      <w:r>
        <w:t xml:space="preserve"> that the scope of deductible (except in tax years beginning in 2018 through 2025) expenses captured by </w:t>
      </w:r>
      <w:smartTag w:uri="http://www.bna.com/sgml2word/cite" w:element="cite.usc">
        <w:smartTagPr>
          <w:attr w:name="ref" w:val="USC\26\212(3)"/>
        </w:smartTagPr>
        <w:r>
          <w:t>§212(3)</w:t>
        </w:r>
      </w:smartTag>
      <w:r>
        <w:t xml:space="preserve"> is beyond income taxes. Therefore, it is intuitive that a method of allocation that does not take this variance into account is unlikely to be a reasonable method.</w:t>
      </w:r>
      <w:r>
        <w:rPr>
          <w:rStyle w:val="FootnoteReference"/>
        </w:rPr>
        <w:footnoteReference w:id="623"/>
      </w:r>
      <w:r>
        <w:t xml:space="preserve"> In addition, the taxpayer must make some attempt to </w:t>
      </w:r>
      <w:r>
        <w:lastRenderedPageBreak/>
        <w:t>identify what portion of the expense is attributable to the NIIT. Finally, because the vast majority of taxpayers subject to NIIT are cash basis taxpayers, the expenses might not be allocable to the NIIT liability in the year the expenses is paid and deducted, so it is intuitively reasonable for an allocation method to take that fact into account.</w:t>
      </w:r>
    </w:p>
    <w:p w14:paraId="5D63A435" w14:textId="77777777" w:rsidR="00494B49" w:rsidRDefault="00494B49">
      <w:pPr>
        <w:pStyle w:val="BHead3"/>
      </w:pPr>
      <w:r>
        <w:t>g. Amortizable Bond Premium</w:t>
      </w:r>
    </w:p>
    <w:p w14:paraId="529F6B4E"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deductions allowed under </w:t>
      </w:r>
      <w:smartTag w:uri="http://www.bna.com/sgml2word/cite" w:element="cite.usc">
        <w:smartTagPr>
          <w:attr w:name="ref" w:val="USC\26\171(a)(1)"/>
        </w:smartTagPr>
        <w:r>
          <w:t>§171(a)(1)</w:t>
        </w:r>
      </w:smartTag>
      <w:r>
        <w:t xml:space="preserve"> for the amortizable bond premium on a taxable bond.</w:t>
      </w:r>
      <w:r>
        <w:rPr>
          <w:rStyle w:val="FootnoteReference"/>
        </w:rPr>
        <w:footnoteReference w:id="624"/>
      </w:r>
    </w:p>
    <w:p w14:paraId="48E4784F" w14:textId="77777777" w:rsidR="00494B49" w:rsidRDefault="00494B49">
      <w:pPr>
        <w:pStyle w:val="BNormal"/>
      </w:pPr>
      <w:r>
        <w:t xml:space="preserve">In general, if a taxpayer purchases a taxable debt instrument at a premium, the taxpayer can elect under </w:t>
      </w:r>
      <w:smartTag w:uri="http://www.bna.com/sgml2word/cite" w:element="cite.usc">
        <w:smartTagPr>
          <w:attr w:name="ref" w:val="USC\26\171"/>
        </w:smartTagPr>
        <w:r>
          <w:t>§171</w:t>
        </w:r>
      </w:smartTag>
      <w:r>
        <w:t xml:space="preserve"> to amortize the bond premium.</w:t>
      </w:r>
      <w:r>
        <w:rPr>
          <w:rStyle w:val="FootnoteReference"/>
        </w:rPr>
        <w:footnoteReference w:id="625"/>
      </w:r>
      <w:r>
        <w:t xml:space="preserve"> In general, the amount of amortizable bond premium for a period offsets the interest income allocable to the period and the taxpayer includes the net amount of interest in taxable income. In certain circumstances, however, the taxpayer is entitled to deduct all or part of the bond premium under </w:t>
      </w:r>
      <w:smartTag w:uri="http://www.bna.com/sgml2word/cite" w:element="cite.usc">
        <w:smartTagPr>
          <w:attr w:name="ref" w:val="USC\26\171(a)(1)"/>
        </w:smartTagPr>
        <w:r>
          <w:t>§171(a)(1)</w:t>
        </w:r>
      </w:smartTag>
      <w:r>
        <w:t xml:space="preserve">. </w:t>
      </w:r>
    </w:p>
    <w:p w14:paraId="7FE85AE4" w14:textId="77777777" w:rsidR="00494B49" w:rsidRDefault="00494B49">
      <w:pPr>
        <w:pStyle w:val="BExamplepara"/>
      </w:pPr>
      <w:r>
        <w:rPr>
          <w:rStyle w:val="BExamplehead"/>
          <w:rFonts w:eastAsiaTheme="minorHAnsi"/>
          <w:i/>
        </w:rPr>
        <w:t xml:space="preserve">Example: </w:t>
      </w:r>
      <w:r>
        <w:t xml:space="preserve">If an electing taxpayer acquires a Treasury bill at a premium and holds the bill until maturity, the taxpayer can deduct the premium at maturity under </w:t>
      </w:r>
      <w:smartTag w:uri="http://www.bna.com/sgml2word/cite" w:element="cite.usc">
        <w:smartTagPr>
          <w:attr w:name="ref" w:val="USC\26\171(a)(1)"/>
        </w:smartTagPr>
        <w:r>
          <w:t>§171(a)(1)</w:t>
        </w:r>
      </w:smartTag>
      <w:r>
        <w:t xml:space="preserve">. </w:t>
      </w:r>
      <w:r>
        <w:rPr>
          <w:rStyle w:val="FootnoteReference"/>
        </w:rPr>
        <w:footnoteReference w:id="626"/>
      </w:r>
      <w:r>
        <w:t xml:space="preserve"> In these circumstances, the regulations provide that a deduction under </w:t>
      </w:r>
      <w:smartTag w:uri="http://www.bna.com/sgml2word/cite" w:element="cite.usc">
        <w:smartTagPr>
          <w:attr w:name="ref" w:val="USC\26\171(a)(1)"/>
        </w:smartTagPr>
        <w:r>
          <w:t>§171(a)(1)</w:t>
        </w:r>
      </w:smartTag>
      <w:r>
        <w:t xml:space="preserve"> is a properly allocable deduction.</w:t>
      </w:r>
    </w:p>
    <w:p w14:paraId="0FF3E820" w14:textId="77777777" w:rsidR="00494B49" w:rsidRDefault="00494B49">
      <w:pPr>
        <w:pStyle w:val="BCommentpara"/>
      </w:pPr>
      <w:r>
        <w:rPr>
          <w:rStyle w:val="BCommenthead"/>
        </w:rPr>
        <w:t xml:space="preserve">Practice Point: </w:t>
      </w:r>
      <w:r>
        <w:t xml:space="preserve">In some circumstances, a taxpayer will deduct the amortizable bond premium on its Schedule B as negative interest income. In this case, no additional compliance is necessary because the deduction will be taken into account on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However, if the amortizable bond premium is reported as a deduction somewhere on the return other than as a contra-interest amount (such as a deduction on Line 21 or on Schedule A), the amortizable bond premium should be reported on Line 10 of </w:t>
      </w:r>
      <w:smartTag w:uri="http://www.bna.com/sgml2word/cite" w:element="cite.fed.form">
        <w:smartTagPr>
          <w:attr w:name="ref" w:val="irs\form8960"/>
        </w:smartTagPr>
        <w:r>
          <w:t>Form 8960</w:t>
        </w:r>
      </w:smartTag>
      <w:r>
        <w:t>.</w:t>
      </w:r>
    </w:p>
    <w:p w14:paraId="1B1CBA84" w14:textId="77777777" w:rsidR="00494B49" w:rsidRDefault="00494B49">
      <w:pPr>
        <w:pStyle w:val="BHead3"/>
      </w:pPr>
      <w:r>
        <w:t>h. Fiduciary Expenses</w:t>
      </w:r>
    </w:p>
    <w:p w14:paraId="382C17D8" w14:textId="77777777" w:rsidR="00494B49" w:rsidRDefault="00494B49">
      <w:pPr>
        <w:pStyle w:val="BCommentpara"/>
      </w:pPr>
      <w:r>
        <w:rPr>
          <w:rStyle w:val="BCommenthead"/>
        </w:rPr>
        <w:t xml:space="preserve">Comment: </w:t>
      </w:r>
      <w:r>
        <w:t xml:space="preserve">Section </w:t>
      </w:r>
      <w:smartTag w:uri="http://www.bna.com/sgml2word/cite" w:element="cite.usc">
        <w:smartTagPr>
          <w:attr w:name="ref" w:val="USC\26\67(g)"/>
        </w:smartTagPr>
        <w:r>
          <w:t>§67(g)</w:t>
        </w:r>
      </w:smartTag>
      <w:r>
        <w:t xml:space="preserve"> prohibits individual taxpayers from claiming miscellaneous itemized deductions for any tax year beginning in 2018 through 2025. </w:t>
      </w:r>
      <w:smartTag w:uri="http://www.bna.com/sgml2word/cite" w:element="cite.usc">
        <w:smartTagPr>
          <w:attr w:name="ref" w:val="USC\26\67(e)"/>
        </w:smartTagPr>
        <w:r>
          <w:t>Section 67(e)</w:t>
        </w:r>
      </w:smartTag>
      <w:r>
        <w:t xml:space="preserve"> provides that an estate or trust computes its adjusted gross income in the same manner as an individual, except that the following additional deductions are treated as allowable in arriving at adjusted gross income: (1) the deductions for costs that are paid or incurred in connection with the administration of the estate or trust and that would not have been incurred if the property were not held in the estate or trust; and (2) deductions allowable under </w:t>
      </w:r>
      <w:smartTag w:uri="http://www.bna.com/sgml2word/cite" w:element="cite.usc">
        <w:smartTagPr>
          <w:attr w:name="ref" w:val="usc\26\642(b)"/>
        </w:smartTagPr>
        <w:r>
          <w:t>§642(b)</w:t>
        </w:r>
      </w:smartTag>
      <w:r>
        <w:t xml:space="preserve"> (concerning the personal exemption of an estate or nongrantor trust), </w:t>
      </w:r>
      <w:smartTag w:uri="http://www.bna.com/sgml2word/cite" w:element="cite.usc">
        <w:smartTagPr>
          <w:attr w:name="ref" w:val="usc\26\651"/>
        </w:smartTagPr>
        <w:r>
          <w:t>§651</w:t>
        </w:r>
      </w:smartTag>
      <w:r>
        <w:t xml:space="preserve"> (concerning the deduction for trusts distributing current income), and </w:t>
      </w:r>
      <w:smartTag w:uri="http://www.bna.com/sgml2word/cite" w:element="cite.usc">
        <w:smartTagPr>
          <w:attr w:name="ref" w:val="usc\26\661"/>
        </w:smartTagPr>
        <w:r>
          <w:t>§661</w:t>
        </w:r>
      </w:smartTag>
      <w:r>
        <w:t xml:space="preserve"> (concerning the deduction for trusts accumulating income). Accordingly, </w:t>
      </w:r>
      <w:smartTag w:uri="http://www.bna.com/sgml2word/cite" w:element="cite.usc">
        <w:smartTagPr>
          <w:attr w:name="ref" w:val="USC\26\67(e)"/>
        </w:smartTagPr>
        <w:r>
          <w:t>§67(e)</w:t>
        </w:r>
      </w:smartTag>
      <w:r>
        <w:t xml:space="preserve"> removes the deductions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from the definition of itemized deductions under </w:t>
      </w:r>
      <w:smartTag w:uri="http://www.bna.com/sgml2word/cite" w:element="cite.usc">
        <w:smartTagPr>
          <w:attr w:name="ref" w:val="USC\26\63(d)"/>
        </w:smartTagPr>
        <w:r>
          <w:t>§63(d)</w:t>
        </w:r>
      </w:smartTag>
      <w:r>
        <w:t xml:space="preserve">, and in turn, removes such deductions from the definition of miscellaneous itemized deductions under </w:t>
      </w:r>
      <w:smartTag w:uri="http://www.bna.com/sgml2word/cite" w:element="cite.usc">
        <w:smartTagPr>
          <w:attr w:name="ref" w:val="usc\26\67(b)"/>
        </w:smartTagPr>
        <w:r>
          <w:t>§67(b)</w:t>
        </w:r>
      </w:smartTag>
      <w:r>
        <w:t xml:space="preserve"> and treats them as deductions allowable in arriving at </w:t>
      </w:r>
      <w:r>
        <w:lastRenderedPageBreak/>
        <w:t xml:space="preserve">adjusted gross income under </w:t>
      </w:r>
      <w:smartTag w:uri="http://www.bna.com/sgml2word/cite" w:element="cite.usc">
        <w:smartTagPr>
          <w:attr w:name="ref" w:val="USC\26\62(a)"/>
        </w:smartTagPr>
        <w:r>
          <w:t>§62(a)</w:t>
        </w:r>
      </w:smartTag>
      <w:r>
        <w:t xml:space="preserve">. The IRS issued regulations in October 2020 clarifying that expenses described in </w:t>
      </w:r>
      <w:smartTag w:uri="http://www.bna.com/sgml2word/cite" w:element="cite.usc">
        <w:smartTagPr>
          <w:attr w:name="ref" w:val="USC\26\67(e)"/>
        </w:smartTagPr>
        <w:r>
          <w:t>§67(e)</w:t>
        </w:r>
      </w:smartTag>
      <w:r>
        <w:t xml:space="preserve"> remain deductible in determining the adjusted gross income of an estate or nongrantor trust during the tax years in which </w:t>
      </w:r>
      <w:smartTag w:uri="http://www.bna.com/sgml2word/cite" w:element="cite.usc">
        <w:smartTagPr>
          <w:attr w:name="ref" w:val="USC\26\67(g)"/>
        </w:smartTagPr>
        <w:r>
          <w:t>§67(g)</w:t>
        </w:r>
      </w:smartTag>
      <w:r>
        <w:t xml:space="preserve"> applies. Accordingly, </w:t>
      </w:r>
      <w:smartTag w:uri="http://www.bna.com/sgml2word/cite" w:element="cite.usc">
        <w:smartTagPr>
          <w:attr w:name="ref" w:val="USC\26\67(g)"/>
        </w:smartTagPr>
        <w:r>
          <w:t>§67(g)</w:t>
        </w:r>
      </w:smartTag>
      <w:r>
        <w:t xml:space="preserve"> does not deny an estate or nongrantor trust (including the S portion of an electing small business trust) a deduction for expenses described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because the deductions are allowable in arriving at adjusted gross income and are not miscellaneous itemized deductions under </w:t>
      </w:r>
      <w:smartTag w:uri="http://www.bna.com/sgml2word/cite" w:element="cite.usc">
        <w:smartTagPr>
          <w:attr w:name="ref" w:val="usc\26\67(b)"/>
        </w:smartTagPr>
        <w:r>
          <w:t>§67(b)</w:t>
        </w:r>
      </w:smartTag>
      <w:r>
        <w:t xml:space="preserve">. Because these deductions are not limited by </w:t>
      </w:r>
      <w:smartTag w:uri="http://www.bna.com/sgml2word/cite" w:element="cite.usc">
        <w:smartTagPr>
          <w:attr w:name="ref" w:val="USC\26\67(g)"/>
        </w:smartTagPr>
        <w:r>
          <w:t>§67(g)</w:t>
        </w:r>
      </w:smartTag>
      <w:r>
        <w:t xml:space="preserve">, they remain fully deductible for regular tax purposes, as well as fully deductible for NII purposes (subject to the allocation rules discussed in </w:t>
      </w:r>
      <w:smartTag w:uri="http://www.bna.com/sgml2word/cite" w:element="cite.bna.reference">
        <w:smartTagPr>
          <w:attr w:name="bna.id.ref" w:val="TM\511.V.D"/>
        </w:smartTagPr>
        <w:r>
          <w:t>V.D.</w:t>
        </w:r>
      </w:smartTag>
      <w:smartTag w:uri="http://www.bna.com/sgml2word/cite" w:element="cite.bna.reference">
        <w:smartTagPr>
          <w:attr w:name="bna.id.ref" w:val="TM\873.V.D"/>
        </w:smartTagPr>
        <w:r>
          <w:t>V.D.</w:t>
        </w:r>
      </w:smartTag>
      <w:r>
        <w:t xml:space="preserve">, below, and </w:t>
      </w:r>
      <w:smartTag w:uri="http://www.bna.com/sgml2word/cite" w:element="cite.bna.reference">
        <w:smartTagPr>
          <w:attr w:name="bna.id.ref" w:val="tm\511.V.E"/>
        </w:smartTagPr>
        <w:r>
          <w:t>V.E.</w:t>
        </w:r>
      </w:smartTag>
      <w:smartTag w:uri="http://www.bna.com/sgml2word/cite" w:element="cite.bna.reference">
        <w:smartTagPr>
          <w:attr w:name="bna.id.ref" w:val="TM\873.V.E"/>
        </w:smartTagPr>
        <w:r>
          <w:t>V.E.</w:t>
        </w:r>
      </w:smartTag>
      <w:r>
        <w:t>, below).</w:t>
      </w:r>
    </w:p>
    <w:p w14:paraId="0E9B94A9" w14:textId="77777777" w:rsidR="00494B49" w:rsidRDefault="00494B49">
      <w:pPr>
        <w:pStyle w:val="BNormal"/>
      </w:pPr>
      <w:r>
        <w:t>In the case of an estate or trust, “properly allocable deductions” include amounts described in Reg.</w:t>
      </w:r>
      <w:smartTag w:uri="http://www.bna.com/sgml2word/cite" w:element="cite.cfr">
        <w:smartTagPr>
          <w:attr w:name="ref" w:val="cfr\26\1.212-1(i)"/>
        </w:smartTagPr>
        <w:r>
          <w:t>§1.212-1(i)</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 xml:space="preserve">. Reg. </w:t>
      </w:r>
      <w:smartTag w:uri="http://www.bna.com/sgml2word/cite" w:element="cite.cfr">
        <w:smartTagPr>
          <w:attr w:name="ref" w:val="cfr\26\1.212-1(i)"/>
        </w:smartTagPr>
        <w:r>
          <w:t>§1.212-1(i)</w:t>
        </w:r>
      </w:smartTag>
      <w:r>
        <w:t xml:space="preserve"> provides, in general, that reasonable amounts paid or incurred by the fiduciary of an estate or trust on account of administration expenses, including fiduciaries’ fees and expenses of litigation that are ordinary and necessary in connection with the performance of the duties of administration, are deductible under </w:t>
      </w:r>
      <w:smartTag w:uri="http://www.bna.com/sgml2word/cite" w:element="cite.usc">
        <w:smartTagPr>
          <w:attr w:name="ref" w:val="USC\26\212"/>
        </w:smartTagPr>
        <w:r>
          <w:t>§212</w:t>
        </w:r>
      </w:smartTag>
      <w:r>
        <w:t>, even though the estate or trust is not engaged in a trade or business, except to the extent that the expenses are allocable to the production or collection of tax-exempt income.</w:t>
      </w:r>
      <w:r>
        <w:rPr>
          <w:rStyle w:val="FootnoteReference"/>
        </w:rPr>
        <w:footnoteReference w:id="627"/>
      </w:r>
    </w:p>
    <w:p w14:paraId="01A2CD0C" w14:textId="77777777" w:rsidR="00494B49" w:rsidRDefault="00494B49">
      <w:pPr>
        <w:pStyle w:val="BNormal"/>
      </w:pPr>
      <w:r>
        <w:t xml:space="preserve">The deduction of fiduciary expenses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5DA0FAEE" w14:textId="77777777" w:rsidR="00494B49" w:rsidRDefault="00494B49">
      <w:pPr>
        <w:pStyle w:val="BHead2"/>
      </w:pPr>
      <w:r>
        <w:t>3. Section 165 — Loss Deductions</w:t>
      </w:r>
    </w:p>
    <w:p w14:paraId="03C777CC" w14:textId="77777777" w:rsidR="00494B49" w:rsidRDefault="00494B49">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However, Reg. </w:t>
      </w:r>
      <w:smartTag w:uri="http://www.bna.com/sgml2word/cite" w:element="cite.cfr">
        <w:smartTagPr>
          <w:attr w:name="ref" w:val="cfr\26\1.1411-4(f)(4)"/>
        </w:smartTagPr>
        <w:r>
          <w:t>§1.1411-4(f)(4)</w:t>
        </w:r>
      </w:smartTag>
      <w:r>
        <w:t xml:space="preserve"> provides that </w:t>
      </w:r>
      <w:smartTag w:uri="http://www.bna.com/sgml2word/cite" w:element="cite.usc">
        <w:smartTagPr>
          <w:attr w:name="ref" w:val="USC\26\165"/>
        </w:smartTagPr>
        <w:r>
          <w:t>§165</w:t>
        </w:r>
      </w:smartTag>
      <w:r>
        <w:t xml:space="preserve"> losses are allowed as properly allocable deductions to the extent that those losses exceed </w:t>
      </w:r>
      <w:smartTag w:uri="http://www.bna.com/sgml2word/cite" w:element="cite.usc">
        <w:smartTagPr>
          <w:attr w:name="ref" w:val="USC\26\61(a)(3)"/>
        </w:smartTagPr>
        <w:r>
          <w:t>§61(a)(3)</w:t>
        </w:r>
      </w:smartTag>
      <w:r>
        <w:t xml:space="preserve"> gain and are not taken into account in computing net gain included in the computation of net investment income under </w:t>
      </w:r>
      <w:smartTag w:uri="http://www.bna.com/sgml2word/cite" w:element="cite.usc">
        <w:smartTagPr>
          <w:attr w:name="ref" w:val="USC\26\1411(c)(1)(A)(iii)"/>
        </w:smartTagPr>
        <w:r>
          <w:t>§1411(c)(1)(A)(iii)</w:t>
        </w:r>
      </w:smartTag>
      <w:r>
        <w:t xml:space="preserve">. </w:t>
      </w:r>
    </w:p>
    <w:p w14:paraId="164B8B4D" w14:textId="77777777" w:rsidR="00494B49" w:rsidRDefault="00494B49">
      <w:pPr>
        <w:pStyle w:val="BNormal"/>
      </w:pPr>
      <w:r>
        <w:t xml:space="preserve">The deductibility of </w:t>
      </w:r>
      <w:smartTag w:uri="http://www.bna.com/sgml2word/cite" w:element="cite.usc">
        <w:smartTagPr>
          <w:attr w:name="ref" w:val="USC\26\165"/>
        </w:smartTagPr>
        <w:r>
          <w:t>§165</w:t>
        </w:r>
      </w:smartTag>
      <w:r>
        <w:t xml:space="preserve"> losses for NIIT purposes is discussed in detail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above.</w:t>
      </w:r>
    </w:p>
    <w:p w14:paraId="6B2BD9AB" w14:textId="77777777" w:rsidR="00494B49" w:rsidRDefault="00494B49">
      <w:pPr>
        <w:pStyle w:val="BHead2"/>
      </w:pPr>
      <w:r>
        <w:t>4. Ordinary Loss Deductions on Contingent Payment Debt Instruments and Inflation-Indexed Debt Instruments</w:t>
      </w:r>
    </w:p>
    <w:p w14:paraId="0C4A6704"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an amount treated as an ordinary loss by a holder of a contingent payment debt instrument under Reg. </w:t>
      </w:r>
      <w:smartTag w:uri="http://www.bna.com/sgml2word/cite" w:element="cite.cfr">
        <w:smartTagPr>
          <w:attr w:name="ref" w:val="cfr\26\1.1275-4(b)"/>
        </w:smartTagPr>
        <w:r>
          <w:t>§1.1275-4(b)</w:t>
        </w:r>
      </w:smartTag>
      <w:r>
        <w:t xml:space="preserve"> or an inflation-indexed debt instrument under Reg. </w:t>
      </w:r>
      <w:smartTag w:uri="http://www.bna.com/sgml2word/cite" w:element="cite.cfr">
        <w:smartTagPr>
          <w:attr w:name="ref" w:val="cfr\26\1.1275-7(f)(1)"/>
        </w:smartTagPr>
        <w:r>
          <w:t>§1.1275-7(f)(1)</w:t>
        </w:r>
      </w:smartTag>
      <w:r>
        <w:t>.</w:t>
      </w:r>
      <w:r>
        <w:rPr>
          <w:rStyle w:val="FootnoteReference"/>
        </w:rPr>
        <w:footnoteReference w:id="628"/>
      </w:r>
      <w:r>
        <w:t xml:space="preserve">  </w:t>
      </w:r>
    </w:p>
    <w:p w14:paraId="1D5EBB87" w14:textId="77777777" w:rsidR="00494B49" w:rsidRDefault="00494B49">
      <w:pPr>
        <w:pStyle w:val="BNormal"/>
      </w:pPr>
      <w:r>
        <w:lastRenderedPageBreak/>
        <w:t xml:space="preserve">In the case of a contingent payment debt instrument, the holder may receive a payment that is less than the corresponding projected payment determined under the noncontingent bond method, resulting in a negative adjustment under Reg. </w:t>
      </w:r>
      <w:smartTag w:uri="http://www.bna.com/sgml2word/cite" w:element="cite.cfr">
        <w:smartTagPr>
          <w:attr w:name="ref" w:val="cfr\26\1.1275-4(b)"/>
        </w:smartTagPr>
        <w:r>
          <w:t>§1.1275-4(b)</w:t>
        </w:r>
      </w:smartTag>
      <w:r>
        <w:t>.</w:t>
      </w:r>
      <w:r>
        <w:rPr>
          <w:rStyle w:val="FootnoteReference"/>
        </w:rPr>
        <w:footnoteReference w:id="629"/>
      </w:r>
      <w:r>
        <w:t xml:space="preserve"> In general, a holder treats a negative adjustment as a reduction in interest income otherwise includible for the tax year and, if there is any excess, as an ordinary loss for the tax year to the extent of prior interest inclusions. The loss, in effect, reverses the holder’s prior interest over-inclusions on the debt instrument. The regulations also provide a similar rule for a deflation adjustment on an inflation-indexed debt instrument subject to Reg. </w:t>
      </w:r>
      <w:smartTag w:uri="http://www.bna.com/sgml2word/cite" w:element="cite.cfr">
        <w:smartTagPr>
          <w:attr w:name="ref" w:val="cfr\26\1.1275-7"/>
        </w:smartTagPr>
        <w:r>
          <w:t>§1.1275-7</w:t>
        </w:r>
      </w:smartTag>
      <w:r>
        <w:t>.</w:t>
      </w:r>
      <w:r>
        <w:rPr>
          <w:rStyle w:val="FootnoteReference"/>
        </w:rPr>
        <w:footnoteReference w:id="630"/>
      </w:r>
    </w:p>
    <w:p w14:paraId="564CF0ED" w14:textId="77777777" w:rsidR="00494B49" w:rsidRDefault="00494B49">
      <w:pPr>
        <w:pStyle w:val="BHead1"/>
      </w:pPr>
      <w:r>
        <w:t>C. Allocation Between Net Investment Income and Excluded Income</w:t>
      </w:r>
    </w:p>
    <w:p w14:paraId="60C3877E" w14:textId="77777777" w:rsidR="00494B49" w:rsidRDefault="00494B49">
      <w:pPr>
        <w:pStyle w:val="BNormal"/>
      </w:pPr>
      <w:r>
        <w:t xml:space="preserve">Reg. </w:t>
      </w:r>
      <w:smartTag w:uri="http://www.bna.com/sgml2word/cite" w:element="cite.cfr">
        <w:smartTagPr>
          <w:attr w:name="ref" w:val="cfr\26\1.1411-4(g)(1)"/>
        </w:smartTagPr>
        <w:r>
          <w:t>§1.1411-4(g)(1)</w:t>
        </w:r>
      </w:smartTag>
      <w:r>
        <w:t xml:space="preserve"> provides rules and examples for allocating a deduction between net investment income and Excluded Income. The Reg. </w:t>
      </w:r>
      <w:smartTag w:uri="http://www.bna.com/sgml2word/cite" w:element="cite.cfr">
        <w:smartTagPr>
          <w:attr w:name="ref" w:val="cfr\26\1.1411-4(g)(1)"/>
        </w:smartTagPr>
        <w:r>
          <w:t>§1.1411-4(g)(1)</w:t>
        </w:r>
      </w:smartTag>
      <w:r>
        <w:t xml:space="preserve"> allocation rule and allocation methods apply to three types of deductions — taxes (Reg. </w:t>
      </w:r>
      <w:smartTag w:uri="http://www.bna.com/sgml2word/cite" w:element="cite.cfr">
        <w:smartTagPr>
          <w:attr w:name="ref" w:val="cfr\26\1.1411-4(f)(3)(iii)"/>
        </w:smartTagPr>
        <w:r>
          <w:t>§1.1411-4(f)(3)(iii)</w:t>
        </w:r>
      </w:smartTag>
      <w:r>
        <w:t xml:space="preserve">), tax expenses (Reg. </w:t>
      </w:r>
      <w:smartTag w:uri="http://www.bna.com/sgml2word/cite" w:element="cite.cfr">
        <w:smartTagPr>
          <w:attr w:name="ref" w:val="cfr\26\1.1411-4(f)(3)(vi)"/>
        </w:smartTagPr>
        <w:r>
          <w:t>§1.1411-4(f)(3)(vi)</w:t>
        </w:r>
      </w:smartTag>
      <w:r>
        <w:t xml:space="preserve">), and fiduciary expenses (Reg. </w:t>
      </w:r>
      <w:smartTag w:uri="http://www.bna.com/sgml2word/cite" w:element="cite.cfr">
        <w:smartTagPr>
          <w:attr w:name="ref" w:val="cfr\26\1.1411-4(f)(3)(viii)"/>
        </w:smartTagPr>
        <w:r>
          <w:t>§1.1411-4(f)(3)(viii)</w:t>
        </w:r>
      </w:smartTag>
      <w:r>
        <w:t xml:space="preserve">). The Reg. </w:t>
      </w:r>
      <w:smartTag w:uri="http://www.bna.com/sgml2word/cite" w:element="cite.cfr">
        <w:smartTagPr>
          <w:attr w:name="ref" w:val="cfr\26\1.1411-4(g)(1)"/>
        </w:smartTagPr>
        <w:r>
          <w:t>§1.1411-4(g)(1)</w:t>
        </w:r>
      </w:smartTag>
      <w:r>
        <w:t xml:space="preserve"> allocation occurs before the application of any itemized deduction limitations.</w:t>
      </w:r>
      <w:r>
        <w:rPr>
          <w:rStyle w:val="FootnoteReference"/>
        </w:rPr>
        <w:footnoteReference w:id="631"/>
      </w:r>
    </w:p>
    <w:p w14:paraId="4831CCFB" w14:textId="77777777" w:rsidR="00494B49" w:rsidRDefault="00494B49">
      <w:pPr>
        <w:pStyle w:val="BNormal"/>
      </w:pPr>
      <w:r>
        <w:t>The preamble to the 2013 Final Regulations acknowledges that examples of reasonable methods in the text of such regulations do not represent an exclusive list.</w:t>
      </w:r>
      <w:r>
        <w:rPr>
          <w:rStyle w:val="FootnoteReference"/>
        </w:rPr>
        <w:footnoteReference w:id="632"/>
      </w:r>
      <w:r>
        <w:t xml:space="preserve"> The Treasury Department and the IRS wanted to provide taxpayers with flexibility to determine a method of allocation that best applies to their specific facts.</w:t>
      </w:r>
    </w:p>
    <w:p w14:paraId="39919BB7" w14:textId="77777777" w:rsidR="00494B49" w:rsidRDefault="00494B49">
      <w:pPr>
        <w:pStyle w:val="BNormal"/>
      </w:pPr>
      <w:r>
        <w:rPr>
          <w:i/>
        </w:rPr>
        <w:t>Comment:</w:t>
      </w:r>
      <w:r>
        <w:t xml:space="preserve"> The source of the deduction may not be relevant for purposes of apportioning the deduction. For example, if a taxpayer chooses to over-withhold state income taxes from the taxpayer’s biweekly paycheck in lieu of making quarterly estimated state tax payments, the fact that those payments are reported on the taxpayer’s year-end Form </w:t>
      </w:r>
      <w:smartTag w:uri="http://www.bna.com/sgml2word/cite" w:element="cite.fed.form">
        <w:smartTagPr>
          <w:attr w:name="ref" w:val="irs\formw-2"/>
        </w:smartTagPr>
        <w:r>
          <w:t>W-2</w:t>
        </w:r>
      </w:smartTag>
      <w:r>
        <w:t xml:space="preserve"> does not lead to the conclusion that they are only allocable to Excluded Income (compensation). The taxpayer’s strategy should not foreclose the ability to allocate a portion of the state tax liability to net investment income using a reasonable method. </w:t>
      </w:r>
    </w:p>
    <w:p w14:paraId="220F8FDA" w14:textId="77777777" w:rsidR="00494B49" w:rsidRDefault="00494B49">
      <w:pPr>
        <w:pStyle w:val="BNormal"/>
      </w:pPr>
      <w:r>
        <w:t xml:space="preserve">It is also important to remember that if a deduction is allocated between net investment income and Excluded Income pursuant to Reg. </w:t>
      </w:r>
      <w:smartTag w:uri="http://www.bna.com/sgml2word/cite" w:element="cite.cfr">
        <w:smartTagPr>
          <w:attr w:name="ref" w:val="cfr\26\1.1411-4(g)(1)"/>
        </w:smartTagPr>
        <w:r>
          <w:t>§1.1411-4(g)(1)</w:t>
        </w:r>
      </w:smartTag>
      <w:r>
        <w:t xml:space="preserve">, any recovery of the deduction in a future year (such as a tax refund) may be included in net investment income in the recovery </w:t>
      </w:r>
      <w:r>
        <w:lastRenderedPageBreak/>
        <w:t>year.</w:t>
      </w:r>
      <w:r>
        <w:rPr>
          <w:rStyle w:val="FootnoteReference"/>
        </w:rPr>
        <w:footnoteReference w:id="633"/>
      </w:r>
      <w:r>
        <w:t xml:space="preserve"> Therefore, the allocation method also dictates net investment income inclusion in a future year. Consider a situation in which a taxpayer uses an “aggressive” allocation method for state taxes in Year 1 because of a high proper net investment income tax (NIIT) liability. The taxpayer’s subsequent refund and net investment income inclusion might not increase NIIT liability if, for example, AGI in the year of recovery is below the statutory thresholds, or there are so few </w:t>
      </w:r>
      <w:smartTag w:uri="http://www.bna.com/sgml2word/cite" w:element="cite.usc">
        <w:smartTagPr>
          <w:attr w:name="ref" w:val="USC\26\1411(c)(1)(B)"/>
        </w:smartTagPr>
        <w:r>
          <w:t>§1411(c)(1)(B)</w:t>
        </w:r>
      </w:smartTag>
      <w:r>
        <w:t xml:space="preserve"> properly allocable deductions in the subsequent year that the recovery cap limits the NIIT liability increase. In both instances, the NIIT liability reduction in Year 1 would be greater than the NIIT liability increase in the subsequent recovery year.</w:t>
      </w:r>
    </w:p>
    <w:p w14:paraId="4A0E65E7" w14:textId="77777777" w:rsidR="00494B49" w:rsidRDefault="00494B49">
      <w:pPr>
        <w:pStyle w:val="BNormal"/>
      </w:pPr>
      <w:r>
        <w:t>The same may not be true in the converse situation. The limitation on the amount of recovery is intended to recapture the previously deducted amount but should not give rise to a situation in which the taxpayer’s NIIT liability in the subsequent recovery year is increased by an amount greater than the NIIT liability reduction associated with the apportioned deduction in Year 1.</w:t>
      </w:r>
    </w:p>
    <w:p w14:paraId="2568223D" w14:textId="77777777" w:rsidR="00494B49" w:rsidRDefault="00494B49">
      <w:pPr>
        <w:pStyle w:val="BHead2"/>
      </w:pPr>
      <w:r>
        <w:t>1. Reasonable Methods Specifically Listed in the Regulations</w:t>
      </w:r>
    </w:p>
    <w:p w14:paraId="26F65767" w14:textId="77777777" w:rsidR="00494B49" w:rsidRDefault="00494B49">
      <w:pPr>
        <w:pStyle w:val="BNormal"/>
      </w:pPr>
      <w:r>
        <w:t xml:space="preserve">Examples of reasonable methods of allocation in Reg. </w:t>
      </w:r>
      <w:smartTag w:uri="http://www.bna.com/sgml2word/cite" w:element="cite.cfr">
        <w:smartTagPr>
          <w:attr w:name="ref" w:val="cfr\26\1.1411-4(g)(1)"/>
        </w:smartTagPr>
        <w:r>
          <w:t>§1.1411-4(g)(1)</w:t>
        </w:r>
      </w:smartTag>
      <w:r>
        <w:t xml:space="preserve"> include an allocation of the deduction based on the ratio of the amount of a taxpayer’s gross investment income (described in </w:t>
      </w:r>
      <w:smartTag w:uri="http://www.bna.com/sgml2word/cite" w:element="cite.usc">
        <w:smartTagPr>
          <w:attr w:name="ref" w:val="USC\26\1411(c)(1)(A)"/>
        </w:smartTagPr>
        <w:r>
          <w:t>§1411(c)(1)(A)</w:t>
        </w:r>
      </w:smartTag>
      <w:r>
        <w:t xml:space="preserve">) to the amount of the taxpayer’s adjusted gross income (as defined under </w:t>
      </w:r>
      <w:smartTag w:uri="http://www.bna.com/sgml2word/cite" w:element="cite.usc">
        <w:smartTagPr>
          <w:attr w:name="ref" w:val="USC\26\62"/>
        </w:smartTagPr>
        <w:r>
          <w:t>§62</w:t>
        </w:r>
      </w:smartTag>
      <w:r>
        <w:t xml:space="preserve"> (or </w:t>
      </w:r>
      <w:smartTag w:uri="http://www.bna.com/sgml2word/cite" w:element="cite.usc">
        <w:smartTagPr>
          <w:attr w:name="ref" w:val="USC\26\67(e)"/>
        </w:smartTagPr>
        <w:r>
          <w:t>§67(e)</w:t>
        </w:r>
      </w:smartTag>
      <w:r>
        <w:t xml:space="preserve"> in the case of an estate or trust)).</w:t>
      </w:r>
      <w:r>
        <w:rPr>
          <w:rStyle w:val="FootnoteReference"/>
        </w:rPr>
        <w:footnoteReference w:id="634"/>
      </w:r>
      <w:r>
        <w:t xml:space="preserve"> In the case of an estate or trust, an allocation of a deduction pursuant to rules described in Reg. </w:t>
      </w:r>
      <w:smartTag w:uri="http://www.bna.com/sgml2word/cite" w:element="cite.cfr">
        <w:smartTagPr>
          <w:attr w:name="ref" w:val="cfr\26\1.652(b)-3(b)"/>
        </w:smartTagPr>
        <w:r>
          <w:t>§1.652(b)-3(b)</w:t>
        </w:r>
      </w:smartTag>
      <w:r>
        <w:t xml:space="preserve"> (and Reg. </w:t>
      </w:r>
      <w:smartTag w:uri="http://www.bna.com/sgml2word/cite" w:element="cite.cfr">
        <w:smartTagPr>
          <w:attr w:name="ref" w:val="cfr\26\1.641(c)-1(h)"/>
        </w:smartTagPr>
        <w:r>
          <w:t>§1.641(c)-1(h)</w:t>
        </w:r>
      </w:smartTag>
      <w:r>
        <w:t xml:space="preserve"> in the case of an Electing Small Business Trust (ESBT)) is also a reasonable method.</w:t>
      </w:r>
      <w:r>
        <w:rPr>
          <w:rStyle w:val="FootnoteReference"/>
        </w:rPr>
        <w:footnoteReference w:id="635"/>
      </w:r>
      <w:r>
        <w:t xml:space="preserve"> Additionally, although absent from the regulation text, the allocation of deductions under Reg. </w:t>
      </w:r>
      <w:smartTag w:uri="http://www.bna.com/sgml2word/cite" w:element="cite.cfr">
        <w:smartTagPr>
          <w:attr w:name="ref" w:val="cfr\26\1.664-1(d)(2)"/>
        </w:smartTagPr>
        <w:r>
          <w:t>§1.664-1(d)(2)</w:t>
        </w:r>
      </w:smartTag>
      <w:r>
        <w:t xml:space="preserve"> for charitable remainder trusts</w:t>
      </w:r>
      <w:r>
        <w:rPr>
          <w:rStyle w:val="FootnoteReference"/>
        </w:rPr>
        <w:footnoteReference w:id="636"/>
      </w:r>
      <w:r>
        <w:t xml:space="preserve"> would also be considered a reasonable method.</w:t>
      </w:r>
    </w:p>
    <w:p w14:paraId="5383CAB5" w14:textId="77777777" w:rsidR="00494B49" w:rsidRDefault="00494B49">
      <w:pPr>
        <w:pStyle w:val="BNormal"/>
      </w:pPr>
      <w:r>
        <w:t>If a taxpayer has more than one deduction subject to allocation,</w:t>
      </w:r>
      <w:r>
        <w:rPr>
          <w:rStyle w:val="FootnoteReference"/>
        </w:rPr>
        <w:footnoteReference w:id="637"/>
      </w:r>
      <w:r>
        <w:t xml:space="preserve"> the taxpayer may use a different method of allocation for each one, as long as each method is reasonable.</w:t>
      </w:r>
      <w:r>
        <w:rPr>
          <w:rStyle w:val="FootnoteReference"/>
        </w:rPr>
        <w:footnoteReference w:id="638"/>
      </w:r>
    </w:p>
    <w:p w14:paraId="020455C1" w14:textId="77777777" w:rsidR="00494B49" w:rsidRDefault="00494B49">
      <w:pPr>
        <w:pStyle w:val="BNormal"/>
      </w:pPr>
      <w:r>
        <w:lastRenderedPageBreak/>
        <w:t>The reasonable method of allocation may differ from year to year.</w:t>
      </w:r>
      <w:r>
        <w:rPr>
          <w:rStyle w:val="FootnoteReference"/>
        </w:rPr>
        <w:footnoteReference w:id="639"/>
      </w:r>
      <w:r>
        <w:t xml:space="preserve"> During the development of the 2013 Final Regulations, there was some discussion that a reasonable allocation method was an accounting method that, once chosen, would bind the taxpayer to that method unless changed with the consent of the IRS. The 2013 Final Regulations do not contain any such rule,</w:t>
      </w:r>
      <w:r>
        <w:rPr>
          <w:rStyle w:val="FootnoteReference"/>
        </w:rPr>
        <w:footnoteReference w:id="640"/>
      </w:r>
      <w:r>
        <w:t xml:space="preserve"> and instead provide “taxpayers flexibility to determine a method of allocation that best applies to their specific facts.”</w:t>
      </w:r>
      <w:r>
        <w:rPr>
          <w:rStyle w:val="FootnoteReference"/>
        </w:rPr>
        <w:footnoteReference w:id="641"/>
      </w:r>
    </w:p>
    <w:p w14:paraId="7B5A71FA" w14:textId="77777777" w:rsidR="00494B49" w:rsidRDefault="00494B49">
      <w:pPr>
        <w:pStyle w:val="BNormal"/>
      </w:pPr>
      <w:r>
        <w:t xml:space="preserve">The method provided in the regulations is an example of an allocation method. It was not designed to be a safe harbor. Therefore, if the application of the net investment income to AGI ratio produces unusual and/or unreasonable results, the taxpayer should not rely on the regulation as sole support for its position, and the IRS should not be bound by the result of this method if it clearly produces unrealistic outcomes. This is most likely to occur in the allocation of </w:t>
      </w:r>
      <w:smartTag w:uri="http://www.bna.com/sgml2word/cite" w:element="cite.usc">
        <w:smartTagPr>
          <w:attr w:name="ref" w:val="USC\26\164(a)(3)"/>
        </w:smartTagPr>
        <w:r>
          <w:t>§164(a)(3)</w:t>
        </w:r>
      </w:smartTag>
      <w:r>
        <w:t xml:space="preserve"> taxes when the state income tax base is materially different than the federal tax base. For further discussion of unreasonable allocations, see </w:t>
      </w:r>
      <w:smartTag w:uri="http://www.bna.com/sgml2word/cite" w:element="cite.bna.reference">
        <w:smartTagPr>
          <w:attr w:name="bna.id.ref" w:val="TM\511.V.C.3"/>
        </w:smartTagPr>
        <w:r>
          <w:t>V.C.3.</w:t>
        </w:r>
      </w:smartTag>
      <w:smartTag w:uri="http://www.bna.com/sgml2word/cite" w:element="cite.bna.reference">
        <w:smartTagPr>
          <w:attr w:name="bna.id.ref" w:val="TM\873.V.C.3"/>
        </w:smartTagPr>
        <w:r>
          <w:t>V.C.3.</w:t>
        </w:r>
      </w:smartTag>
      <w:r>
        <w:t>, below.</w:t>
      </w:r>
    </w:p>
    <w:p w14:paraId="57D36BBF" w14:textId="77777777" w:rsidR="00494B49" w:rsidRDefault="00494B49">
      <w:pPr>
        <w:pStyle w:val="BHead2"/>
      </w:pPr>
      <w:r>
        <w:t xml:space="preserve">2. Other Possible Reasonable Allocation Methods </w:t>
      </w:r>
    </w:p>
    <w:p w14:paraId="64D96CC1" w14:textId="77777777" w:rsidR="00494B49" w:rsidRDefault="00494B49">
      <w:pPr>
        <w:pStyle w:val="BHead3"/>
      </w:pPr>
      <w:r>
        <w:t>a. Specific Identification</w:t>
      </w:r>
    </w:p>
    <w:p w14:paraId="042E1750" w14:textId="77777777" w:rsidR="00494B49" w:rsidRDefault="00494B49">
      <w:pPr>
        <w:pStyle w:val="BNormal"/>
      </w:pPr>
      <w:r>
        <w:t xml:space="preserve">To the extent that expenses are specifically identifiable to NIIT items, it would be hard to argue that the use of those items to reduce net investment income is not a reasonable allocation method under Reg. </w:t>
      </w:r>
      <w:smartTag w:uri="http://www.bna.com/sgml2word/cite" w:element="cite.cfr">
        <w:smartTagPr>
          <w:attr w:name="ref" w:val="cfr\26\1.1411-4(g)(1)"/>
        </w:smartTagPr>
        <w:r>
          <w:t>§1.1411-4(g)(1)</w:t>
        </w:r>
      </w:smartTag>
      <w:r>
        <w:t xml:space="preserve">. Consider, for example, a situation in which a taxpayer specifically engages a tax advisor (e.g., an accountant, lawyer, or general financial planner) to prepare a NIIT liability analysis, calculate the gain or loss excluded from net investment income under </w:t>
      </w:r>
      <w:smartTag w:uri="http://www.bna.com/sgml2word/cite" w:element="cite.usc">
        <w:smartTagPr>
          <w:attr w:name="ref" w:val="USC\26\1411(c)(4)"/>
        </w:smartTagPr>
        <w:r>
          <w:t>§1411(c)(4)</w:t>
        </w:r>
      </w:smartTag>
      <w:r>
        <w:t xml:space="preserve">, or undertake investment or business restructuring to reduce anticipated NIIT liabilities, and the tax advisor includes the additional charge as a separate line item on a bill. As long as those charges are otherwise deductible under </w:t>
      </w:r>
      <w:smartTag w:uri="http://www.bna.com/sgml2word/cite" w:element="cite.usc">
        <w:smartTagPr>
          <w:attr w:name="ref" w:val="USC\26\212(3)"/>
        </w:smartTagPr>
        <w:r>
          <w:t>§212(3)</w:t>
        </w:r>
      </w:smartTag>
      <w:r>
        <w:t xml:space="preserve"> and Reg. </w:t>
      </w:r>
      <w:smartTag w:uri="http://www.bna.com/sgml2word/cite" w:element="cite.cfr">
        <w:smartTagPr>
          <w:attr w:name="ref" w:val="cfr\26\1.1411-4(f)(3)(vi)"/>
        </w:smartTagPr>
        <w:r>
          <w:t>§1.1411-4(f)(3)(vi)</w:t>
        </w:r>
      </w:smartTag>
      <w:r>
        <w:t xml:space="preserve">, it would be reasonable to directly deduct those specifically identified items, even if there are non-NIIT tax benefits from, for example, a restructuring. </w:t>
      </w:r>
    </w:p>
    <w:p w14:paraId="7740FA74" w14:textId="77777777" w:rsidR="00494B49" w:rsidRDefault="00494B49">
      <w:pPr>
        <w:pStyle w:val="BHead3"/>
      </w:pPr>
      <w:r>
        <w:t>b. Specific Identification with Residual Apportionment</w:t>
      </w:r>
    </w:p>
    <w:p w14:paraId="12D51C4B" w14:textId="77777777" w:rsidR="00494B49" w:rsidRDefault="00494B49">
      <w:pPr>
        <w:pStyle w:val="BNormal"/>
      </w:pPr>
      <w:r>
        <w:t>In some instances, it is possible to directly attribute some items to net investment income (or Excluded Income), while another portion of the same deduction may not have any clearly identifiable sourcing characteristics. In this case, a reasonable allocation method may directly allocate the identifiable deductions to net investment income or Excluded Income, and then use an apportionment method to allocate the balance (as long as the apportionment takes into account the effect of the direct deduction of identifiable items).</w:t>
      </w:r>
    </w:p>
    <w:p w14:paraId="14AB2F4F" w14:textId="77777777" w:rsidR="00494B49" w:rsidRDefault="00494B49">
      <w:pPr>
        <w:pStyle w:val="BExamplepara"/>
      </w:pPr>
      <w:r>
        <w:rPr>
          <w:rStyle w:val="BExamplehead"/>
          <w:rFonts w:eastAsiaTheme="minorHAnsi"/>
          <w:i/>
        </w:rPr>
        <w:t>Example 1:</w:t>
      </w:r>
      <w:r>
        <w:t xml:space="preserve"> Assume that a taxpayer is an owner of a partnership or S corporation interest (which is a passive activity to the taxpayer), and the entity files composite state income tax returns for its nonresident owners and separately reports the state income tax expense to owners on their annual Schedule K-1, K-2, or K-3. Assume that the taxpayer has $100,000 </w:t>
      </w:r>
      <w:r>
        <w:lastRenderedPageBreak/>
        <w:t>in wages and $50,000 in net passive income from the passthrough entity. The taxpayer deducts the state taxes paid by the entity on the taxpayer’s income tax return (Schedule A) for the year and may, in many instances, take a tax credit against resident state income taxes for taxes paid to other states. In this situation, because the state income taxes from the composite return are directly allocable to the passive activity income (presumably net income), it would be reasonable for the taxpayer to directly deduct those taxes from net investment income. For the other income tax reported on the resident state income tax return, and deductible on the federal income tax return (Schedule A) for the year, the taxpayer could reasonably allocate the tax liability between net investment income items and Excluded Income.</w:t>
      </w:r>
    </w:p>
    <w:p w14:paraId="064296CF" w14:textId="77777777" w:rsidR="00494B49" w:rsidRDefault="00494B49" w:rsidP="006951DA">
      <w:pPr>
        <w:pStyle w:val="BExamplepara"/>
      </w:pPr>
      <w:r>
        <w:t>This method may quickly get complicated because the taxpayer must ensure that the allocation of residual resident state taxes do not take into account the passive income from the partnership. As an example, assume that the resident state has a flat 5% income tax rate and the composite returns reported $1,600 of taxes on nonresident income of $40,000. The taxpayer’s resident state income tax return may look like this:</w:t>
      </w:r>
    </w:p>
    <w:p w14:paraId="43A0440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79"/>
        <w:gridCol w:w="4671"/>
      </w:tblGrid>
      <w:tr w:rsidR="00494B49" w14:paraId="4AAC3925" w14:textId="77777777">
        <w:tc>
          <w:tcPr>
            <w:tcW w:w="5040" w:type="dxa"/>
          </w:tcPr>
          <w:p w14:paraId="765E057F" w14:textId="77777777" w:rsidR="00494B49" w:rsidRDefault="00494B49">
            <w:r>
              <w:t>$150,000 income × 5%</w:t>
            </w:r>
          </w:p>
        </w:tc>
        <w:tc>
          <w:tcPr>
            <w:tcW w:w="5040" w:type="dxa"/>
          </w:tcPr>
          <w:p w14:paraId="1005D43F" w14:textId="77777777" w:rsidR="00494B49" w:rsidRDefault="00494B49">
            <w:r>
              <w:t>$7,500</w:t>
            </w:r>
          </w:p>
        </w:tc>
      </w:tr>
      <w:tr w:rsidR="00494B49" w14:paraId="4E7FDAD6" w14:textId="77777777">
        <w:tc>
          <w:tcPr>
            <w:tcW w:w="5040" w:type="dxa"/>
          </w:tcPr>
          <w:p w14:paraId="4C192C7D" w14:textId="77777777" w:rsidR="00494B49" w:rsidRDefault="00494B49">
            <w:r>
              <w:t>Credit for Taxes Paid on $40,000</w:t>
            </w:r>
          </w:p>
        </w:tc>
        <w:tc>
          <w:tcPr>
            <w:tcW w:w="5040" w:type="dxa"/>
          </w:tcPr>
          <w:p w14:paraId="7CCC8E66" w14:textId="77777777" w:rsidR="00494B49" w:rsidRDefault="00494B49">
            <w:r>
              <w:t>($1,600)</w:t>
            </w:r>
          </w:p>
        </w:tc>
      </w:tr>
      <w:tr w:rsidR="00494B49" w14:paraId="1DE7ABEE" w14:textId="77777777">
        <w:tc>
          <w:tcPr>
            <w:tcW w:w="5040" w:type="dxa"/>
          </w:tcPr>
          <w:p w14:paraId="19FB2048" w14:textId="77777777" w:rsidR="00494B49" w:rsidRDefault="00494B49">
            <w:r>
              <w:t>Resident State Liability</w:t>
            </w:r>
          </w:p>
        </w:tc>
        <w:tc>
          <w:tcPr>
            <w:tcW w:w="5040" w:type="dxa"/>
          </w:tcPr>
          <w:p w14:paraId="52122A25" w14:textId="77777777" w:rsidR="00494B49" w:rsidRDefault="00494B49">
            <w:r>
              <w:t>$5,900</w:t>
            </w:r>
          </w:p>
        </w:tc>
      </w:tr>
    </w:tbl>
    <w:p w14:paraId="5BBB7ECF" w14:textId="77777777" w:rsidR="00494B49" w:rsidRDefault="00494B49">
      <w:pPr>
        <w:pStyle w:val="BNormal"/>
      </w:pPr>
    </w:p>
    <w:p w14:paraId="42FCB1A0" w14:textId="77777777" w:rsidR="00494B49" w:rsidRDefault="00494B49" w:rsidP="006951DA">
      <w:pPr>
        <w:pStyle w:val="BExamplepara"/>
      </w:pPr>
      <w:r>
        <w:t xml:space="preserve">An allocation of the residual $5,900 of state taxes based on the method described in the regulations would include the passive income from the passthrough entity in both the numerator (gross net investment income) and denominator (AGI), even though the state taxes on the passive income may be reduced (or completely offset) by credits for the composite taxes paid. This might lead to an excessive allocation of taxes to net investment income, which the IRS may ultimately challenge. Using this method, one-third of the $5,900 would be allocated to net investment income, but that is not an accurate reflection of taxes imposed on net investment income. </w:t>
      </w:r>
    </w:p>
    <w:p w14:paraId="73372C9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82"/>
        <w:gridCol w:w="4668"/>
      </w:tblGrid>
      <w:tr w:rsidR="00494B49" w14:paraId="66CE47B9" w14:textId="77777777">
        <w:tc>
          <w:tcPr>
            <w:tcW w:w="5040" w:type="dxa"/>
          </w:tcPr>
          <w:p w14:paraId="26B6015C" w14:textId="77777777" w:rsidR="00494B49" w:rsidRDefault="00494B49">
            <w:r>
              <w:t>Net Investment Income</w:t>
            </w:r>
          </w:p>
        </w:tc>
        <w:tc>
          <w:tcPr>
            <w:tcW w:w="5040" w:type="dxa"/>
          </w:tcPr>
          <w:p w14:paraId="2F5EE6F0" w14:textId="77777777" w:rsidR="00494B49" w:rsidRDefault="00494B49">
            <w:r>
              <w:t>$ 50,000 × $5,900 = $1,967</w:t>
            </w:r>
          </w:p>
        </w:tc>
      </w:tr>
      <w:tr w:rsidR="00494B49" w14:paraId="37821FAD" w14:textId="77777777">
        <w:tc>
          <w:tcPr>
            <w:tcW w:w="5040" w:type="dxa"/>
          </w:tcPr>
          <w:p w14:paraId="12A26970" w14:textId="77777777" w:rsidR="00494B49" w:rsidRDefault="00494B49">
            <w:r>
              <w:t>AGI</w:t>
            </w:r>
          </w:p>
        </w:tc>
        <w:tc>
          <w:tcPr>
            <w:tcW w:w="5040" w:type="dxa"/>
          </w:tcPr>
          <w:p w14:paraId="7BB3B05F" w14:textId="77777777" w:rsidR="00494B49" w:rsidRDefault="00494B49">
            <w:r>
              <w:t>$150,000</w:t>
            </w:r>
          </w:p>
        </w:tc>
      </w:tr>
    </w:tbl>
    <w:p w14:paraId="160610BC" w14:textId="77777777" w:rsidR="00494B49" w:rsidRDefault="00494B49">
      <w:pPr>
        <w:pStyle w:val="BNormal"/>
      </w:pPr>
    </w:p>
    <w:p w14:paraId="01BCAA75" w14:textId="77777777" w:rsidR="00494B49" w:rsidRDefault="00494B49">
      <w:pPr>
        <w:pStyle w:val="BExamplepara"/>
      </w:pPr>
      <w:r>
        <w:t xml:space="preserve">However, it would likely be an unreasonable method to deduct $3,567 ($1,600 of nonresident state taxes and $1,967 of resident state taxes). </w:t>
      </w:r>
    </w:p>
    <w:p w14:paraId="3DE3F9C9" w14:textId="77777777" w:rsidR="00494B49" w:rsidRDefault="00494B49">
      <w:pPr>
        <w:pStyle w:val="BExamplepara"/>
      </w:pPr>
      <w:r>
        <w:t xml:space="preserve">In reality, the taxpayer paid $5,000 in state taxes on wages (5% × $100,000). Therefore, the residual resident state taxes allocable to net investment income should only be $900, and the specific allocation of $1,600 plus the residual of $900 would yield a NIIT deduction of $2,500 (which is, consequently, 5% × $50,000 of passive income). </w:t>
      </w:r>
    </w:p>
    <w:p w14:paraId="6DF25F19" w14:textId="77777777" w:rsidR="00494B49" w:rsidRDefault="00494B49">
      <w:pPr>
        <w:pStyle w:val="BExamplepara"/>
      </w:pPr>
      <w:r>
        <w:t xml:space="preserve">In this example, the outcome under the specific identification method with residual allocation does not yield a higher NIIT deduction than the allocation method in the regulations. </w:t>
      </w:r>
    </w:p>
    <w:p w14:paraId="06373314" w14:textId="77777777" w:rsidR="00494B49" w:rsidRDefault="00494B49" w:rsidP="006951DA">
      <w:pPr>
        <w:pStyle w:val="BExamplepara"/>
      </w:pPr>
      <w:r>
        <w:rPr>
          <w:rStyle w:val="BExamplehead"/>
          <w:rFonts w:eastAsiaTheme="minorHAnsi"/>
          <w:i/>
        </w:rPr>
        <w:lastRenderedPageBreak/>
        <w:t>Example 2:</w:t>
      </w:r>
      <w:r>
        <w:t xml:space="preserve"> Assume the same facts as in </w:t>
      </w:r>
      <w:r>
        <w:rPr>
          <w:i/>
        </w:rPr>
        <w:t>Example 1</w:t>
      </w:r>
      <w:r>
        <w:t xml:space="preserve"> but assume that the composite returns reported a state tax liability of $3,000. In this case, the resident state might not allow the entire credit because the rate is higher than the resident state rate. </w:t>
      </w:r>
    </w:p>
    <w:p w14:paraId="0EAF367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79"/>
        <w:gridCol w:w="4671"/>
      </w:tblGrid>
      <w:tr w:rsidR="00494B49" w14:paraId="73320376" w14:textId="77777777">
        <w:tc>
          <w:tcPr>
            <w:tcW w:w="5040" w:type="dxa"/>
          </w:tcPr>
          <w:p w14:paraId="72C88562" w14:textId="77777777" w:rsidR="00494B49" w:rsidRDefault="00494B49">
            <w:r>
              <w:t>$150,000 income × 5%</w:t>
            </w:r>
          </w:p>
        </w:tc>
        <w:tc>
          <w:tcPr>
            <w:tcW w:w="5040" w:type="dxa"/>
          </w:tcPr>
          <w:p w14:paraId="11B1F5DE" w14:textId="77777777" w:rsidR="00494B49" w:rsidRDefault="00494B49">
            <w:r>
              <w:t>$7,500</w:t>
            </w:r>
          </w:p>
        </w:tc>
      </w:tr>
      <w:tr w:rsidR="00494B49" w14:paraId="3D4B5535" w14:textId="77777777">
        <w:tc>
          <w:tcPr>
            <w:tcW w:w="5040" w:type="dxa"/>
          </w:tcPr>
          <w:p w14:paraId="60BBC073" w14:textId="77777777" w:rsidR="00494B49" w:rsidRDefault="00494B49">
            <w:r>
              <w:t>Credit for Taxes Paid on $40,000</w:t>
            </w:r>
          </w:p>
        </w:tc>
        <w:tc>
          <w:tcPr>
            <w:tcW w:w="5040" w:type="dxa"/>
          </w:tcPr>
          <w:p w14:paraId="1DD2DBEA" w14:textId="77777777" w:rsidR="00494B49" w:rsidRDefault="00494B49">
            <w:r>
              <w:t>($2,000) (capped at 5%)</w:t>
            </w:r>
          </w:p>
        </w:tc>
      </w:tr>
      <w:tr w:rsidR="00494B49" w14:paraId="4CEDF1AF" w14:textId="77777777">
        <w:tc>
          <w:tcPr>
            <w:tcW w:w="5040" w:type="dxa"/>
          </w:tcPr>
          <w:p w14:paraId="0E10AABF" w14:textId="77777777" w:rsidR="00494B49" w:rsidRDefault="00494B49">
            <w:r>
              <w:t>Resident State Liability</w:t>
            </w:r>
          </w:p>
        </w:tc>
        <w:tc>
          <w:tcPr>
            <w:tcW w:w="5040" w:type="dxa"/>
          </w:tcPr>
          <w:p w14:paraId="307328B8" w14:textId="77777777" w:rsidR="00494B49" w:rsidRDefault="00494B49">
            <w:r>
              <w:t>$5,500</w:t>
            </w:r>
          </w:p>
        </w:tc>
      </w:tr>
    </w:tbl>
    <w:p w14:paraId="5F5DB46B" w14:textId="77777777" w:rsidR="00494B49" w:rsidRDefault="00494B49">
      <w:pPr>
        <w:pStyle w:val="BNormal"/>
      </w:pPr>
    </w:p>
    <w:p w14:paraId="28DF51A7" w14:textId="77777777" w:rsidR="00494B49" w:rsidRDefault="00494B49" w:rsidP="007865AF">
      <w:pPr>
        <w:pStyle w:val="BExamplepara"/>
      </w:pPr>
      <w:r>
        <w:t>Therefore, the residual resident state taxes allocable to net investment income should only be $500 (5% × $10,000 of resident state passive income). The specific allocation of $3,000 plus the residual of $500 would yield a NIIT deduction of $3,500. However, if the taxpayer used the method in the regulations, it would yield a deductible amount of $2,833:</w:t>
      </w:r>
    </w:p>
    <w:p w14:paraId="1A4C32E9"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4682"/>
        <w:gridCol w:w="4668"/>
      </w:tblGrid>
      <w:tr w:rsidR="00494B49" w14:paraId="5D8B174E" w14:textId="77777777">
        <w:tc>
          <w:tcPr>
            <w:tcW w:w="5040" w:type="dxa"/>
          </w:tcPr>
          <w:p w14:paraId="7849D3CE" w14:textId="77777777" w:rsidR="00494B49" w:rsidRDefault="00494B49">
            <w:r>
              <w:t>Net Investment Income</w:t>
            </w:r>
          </w:p>
        </w:tc>
        <w:tc>
          <w:tcPr>
            <w:tcW w:w="5040" w:type="dxa"/>
          </w:tcPr>
          <w:p w14:paraId="434F8AC2" w14:textId="77777777" w:rsidR="00494B49" w:rsidRDefault="00494B49">
            <w:r>
              <w:t>$50,000 × ($3,000 + 5,500) = $2,833</w:t>
            </w:r>
          </w:p>
        </w:tc>
      </w:tr>
      <w:tr w:rsidR="00494B49" w14:paraId="719C6383" w14:textId="77777777">
        <w:tc>
          <w:tcPr>
            <w:tcW w:w="5040" w:type="dxa"/>
          </w:tcPr>
          <w:p w14:paraId="3C09FB94" w14:textId="77777777" w:rsidR="00494B49" w:rsidRDefault="00494B49">
            <w:r>
              <w:t>AGI</w:t>
            </w:r>
          </w:p>
        </w:tc>
        <w:tc>
          <w:tcPr>
            <w:tcW w:w="5040" w:type="dxa"/>
          </w:tcPr>
          <w:p w14:paraId="66053A59" w14:textId="77777777" w:rsidR="00494B49" w:rsidRDefault="00494B49">
            <w:r>
              <w:t>$150,000</w:t>
            </w:r>
          </w:p>
        </w:tc>
      </w:tr>
    </w:tbl>
    <w:p w14:paraId="17A28A1C" w14:textId="77777777" w:rsidR="00494B49" w:rsidRDefault="00494B49">
      <w:pPr>
        <w:pStyle w:val="BNormal"/>
      </w:pPr>
    </w:p>
    <w:p w14:paraId="51990ED7" w14:textId="77777777" w:rsidR="00494B49" w:rsidRDefault="00494B49">
      <w:pPr>
        <w:pStyle w:val="BExamplepara"/>
      </w:pPr>
      <w:r>
        <w:t xml:space="preserve">In this case, the specific identification method with residual allocation yields a more taxpayer-favorable outcome. However, as shown in </w:t>
      </w:r>
      <w:r>
        <w:rPr>
          <w:i/>
        </w:rPr>
        <w:t>Example 1</w:t>
      </w:r>
      <w:r>
        <w:t>, such a method does not always yield a higher NIIT deduction.</w:t>
      </w:r>
    </w:p>
    <w:p w14:paraId="77DB308F" w14:textId="77777777" w:rsidR="00494B49" w:rsidRDefault="00494B49">
      <w:pPr>
        <w:pStyle w:val="BHead3"/>
      </w:pPr>
      <w:r>
        <w:t>c. Simple Apportionment Using Different Bases</w:t>
      </w:r>
    </w:p>
    <w:p w14:paraId="2EE2D1B7" w14:textId="77777777" w:rsidR="00494B49" w:rsidRDefault="00494B49">
      <w:pPr>
        <w:pStyle w:val="BNormal"/>
      </w:pPr>
      <w:r>
        <w:t xml:space="preserve">As noted above, Reg. </w:t>
      </w:r>
      <w:smartTag w:uri="http://www.bna.com/sgml2word/cite" w:element="cite.cfr">
        <w:smartTagPr>
          <w:attr w:name="ref" w:val="cfr\26\1.1411-4(g)(1)"/>
        </w:smartTagPr>
        <w:r>
          <w:t>§1.1411-4(g)(1)</w:t>
        </w:r>
      </w:smartTag>
      <w:r>
        <w:t xml:space="preserve"> states that one reasonable method of allocation is an allocation based on a ratio of gross investment income</w:t>
      </w:r>
      <w:r>
        <w:rPr>
          <w:rStyle w:val="FootnoteReference"/>
        </w:rPr>
        <w:footnoteReference w:id="642"/>
      </w:r>
      <w:r>
        <w:t xml:space="preserve"> to AGI.</w:t>
      </w:r>
      <w:r>
        <w:rPr>
          <w:rStyle w:val="FootnoteReference"/>
        </w:rPr>
        <w:footnoteReference w:id="643"/>
      </w:r>
      <w:r>
        <w:t xml:space="preserve"> However, as explained above, that is not meant to be the exclusive reasonable method. Other examples of allocation methods based on apportionment may include the following: </w:t>
      </w:r>
    </w:p>
    <w:p w14:paraId="4E942562" w14:textId="77777777" w:rsidR="00494B49" w:rsidRDefault="00494B49">
      <w:pPr>
        <w:pStyle w:val="BListitembul"/>
      </w:pPr>
      <w:r>
        <w:t xml:space="preserve">In the case of an allocation of tax expenses under Reg. §1.1411-4(f)(3)(vi), a reasonable allocation may be based on the ratio of NIIT liability to total federal income taxes. </w:t>
      </w:r>
    </w:p>
    <w:p w14:paraId="246AFA84" w14:textId="77777777" w:rsidR="00494B49" w:rsidRDefault="00494B49">
      <w:pPr>
        <w:pStyle w:val="BListitembul"/>
      </w:pPr>
      <w:r>
        <w:t xml:space="preserve">In the case of state income taxes where the relevant tax base differs significantly from taxable income (within the meaning of §63), then an apportionment of the state income taxes based on the ratio of net investment income items to total taxable items on the state return may be a reasonable method. This method may be particularly applicable to individuals living in states, such as Pennsylvania and Tennessee, that do not use federal taxable income (or adjusted gross income) as a starting point for income taxation. </w:t>
      </w:r>
    </w:p>
    <w:p w14:paraId="37197298" w14:textId="77777777" w:rsidR="00494B49" w:rsidRDefault="00494B49">
      <w:pPr>
        <w:pStyle w:val="BListitembul"/>
      </w:pPr>
      <w:r>
        <w:t>In the case of fiduciary expenses, an allocation of fiduciary expenses based on assets that produce net investment income and assets that do not produce net investment income could be reasonable (however, such allocation must be consistent with the allocation of the fiduciary fee for regular income tax purposes).</w:t>
      </w:r>
      <w:r>
        <w:rPr>
          <w:rStyle w:val="FootnoteReference"/>
        </w:rPr>
        <w:footnoteReference w:id="644"/>
      </w:r>
    </w:p>
    <w:p w14:paraId="664E067C" w14:textId="77777777" w:rsidR="00494B49" w:rsidRDefault="00494B49">
      <w:pPr>
        <w:pStyle w:val="BListitembul"/>
      </w:pPr>
      <w:r>
        <w:lastRenderedPageBreak/>
        <w:t xml:space="preserve">For cash basis taxpayers, it is common for expenses paid in Year 2 to relate to items for the preceding tax year; it would seem reasonable to allocate a Year 2 deduction based on an apportionment between Year 1 amounts. </w:t>
      </w:r>
    </w:p>
    <w:p w14:paraId="5A5BB802" w14:textId="77777777" w:rsidR="00494B49" w:rsidRDefault="00494B49">
      <w:pPr>
        <w:pStyle w:val="BExamplepara"/>
      </w:pPr>
      <w:r>
        <w:rPr>
          <w:rStyle w:val="BExamplehead"/>
          <w:rFonts w:eastAsiaTheme="minorHAnsi"/>
          <w:i/>
        </w:rPr>
        <w:t>Example 1:</w:t>
      </w:r>
      <w:r>
        <w:t xml:space="preserve"> A taxpayer pays his accountant in May 2015 for tax preparation services for his 2014 income tax return. An allocation of the </w:t>
      </w:r>
      <w:smartTag w:uri="http://www.bna.com/sgml2word/cite" w:element="cite.usc">
        <w:smartTagPr>
          <w:attr w:name="ref" w:val="USC\26\212(3)"/>
        </w:smartTagPr>
        <w:r>
          <w:t>§212(3)</w:t>
        </w:r>
      </w:smartTag>
      <w:r>
        <w:t xml:space="preserve"> expenses based on items included in the 2014 return would appear reasonable.</w:t>
      </w:r>
    </w:p>
    <w:p w14:paraId="0BAF1353" w14:textId="77777777" w:rsidR="00494B49" w:rsidRDefault="00494B49">
      <w:pPr>
        <w:pStyle w:val="BExamplepara"/>
      </w:pPr>
      <w:r>
        <w:rPr>
          <w:rStyle w:val="BExamplehead"/>
          <w:rFonts w:eastAsiaTheme="minorHAnsi"/>
          <w:i/>
        </w:rPr>
        <w:t>Example 2:</w:t>
      </w:r>
      <w:r>
        <w:t xml:space="preserve"> A taxpayer pays her fourth quarter state estimated tax payment for tax year 2014 in January 2015 and pays the remaining amount owed in April 2015. The taxpayer also makes first, second, and third quarter estimated payments during calendar year 2015 against her 2015 state income tax liability. In this case, it would be reasonable to allocate the deductible taxes pertaining to the 2014 tax year based on an apportionment of items on the 2014 return and allocate the 2015 estimated tax payments based on an apportionment of items on the 2015 return. </w:t>
      </w:r>
    </w:p>
    <w:p w14:paraId="56850E86" w14:textId="77777777" w:rsidR="00494B49" w:rsidRDefault="00494B49">
      <w:pPr>
        <w:pStyle w:val="BHead3"/>
      </w:pPr>
      <w:r>
        <w:t xml:space="preserve">d. Accrual Method </w:t>
      </w:r>
    </w:p>
    <w:p w14:paraId="498B0D6F" w14:textId="77777777" w:rsidR="00494B49" w:rsidRDefault="00494B49">
      <w:pPr>
        <w:pStyle w:val="BNormal"/>
      </w:pPr>
      <w:r>
        <w:t xml:space="preserve">The adoption of the accrual method of accounting as a deduction </w:t>
      </w:r>
      <w:r>
        <w:rPr>
          <w:i/>
        </w:rPr>
        <w:t>allocation method</w:t>
      </w:r>
      <w:r>
        <w:t xml:space="preserve"> may, or may not be a reasonable method depending on the circumstances. However, the use of the accrual method to determine the </w:t>
      </w:r>
      <w:r>
        <w:rPr>
          <w:i/>
        </w:rPr>
        <w:t>amount</w:t>
      </w:r>
      <w:r>
        <w:t xml:space="preserve"> of a deduction was expressly rejected in the 2013 Final Regulations because the amount of a deduction is determined under Chapter 1 based on the taxpayer’s method of accounting (which is predominantly cash basis).</w:t>
      </w:r>
      <w:r>
        <w:rPr>
          <w:rStyle w:val="FootnoteReference"/>
        </w:rPr>
        <w:footnoteReference w:id="645"/>
      </w:r>
    </w:p>
    <w:p w14:paraId="768F4498" w14:textId="77777777" w:rsidR="00494B49" w:rsidRDefault="00494B49">
      <w:pPr>
        <w:pStyle w:val="BNormal"/>
      </w:pPr>
      <w:r>
        <w:t>As an example of using an accrual method of allocation, a taxpayer would apportion the amount of the state income tax deduction reported on a Year 1 tax return based on the ratio of net investment income to Excluded Income on the Year 1 state income tax return, even though some of the current year deduction relates to taxes paid for years other than Year 1.</w:t>
      </w:r>
    </w:p>
    <w:p w14:paraId="71478349" w14:textId="77777777" w:rsidR="00494B49" w:rsidRDefault="00494B49">
      <w:pPr>
        <w:pStyle w:val="BNormal"/>
      </w:pPr>
      <w:r>
        <w:t xml:space="preserve">Due to the regulations’ outright rejection of the use of an accrual method to determine the proper amount of a deduction, extra care should be taken when considering an accrual method allocation to ensure that it does not lead to unreasonable results. Two notes of caution are in order. </w:t>
      </w:r>
    </w:p>
    <w:p w14:paraId="5F848253" w14:textId="77777777" w:rsidR="00494B49" w:rsidRDefault="00494B49">
      <w:pPr>
        <w:pStyle w:val="BListitembul"/>
      </w:pPr>
      <w:r>
        <w:t>First, if a taxpayer adopts an accrual method of allocation, the taxpayer should apply that method consistently for successive years (despite the instructions specifically stating that methods may change from year to year) because the toggling between an accrual method of allocation and a cash basis allocation method may result in double counting in the allocation base. The double counting may be taxpayer favorable or unfavorable. For regular income tax purposes, the potential for double-counting, or under-counting, when switching between cash and accrual methods is remedied using §481 adjustments.</w:t>
      </w:r>
      <w:r>
        <w:rPr>
          <w:rStyle w:val="FootnoteReference"/>
        </w:rPr>
        <w:footnoteReference w:id="646"/>
      </w:r>
      <w:r>
        <w:t xml:space="preserve"> However, there is no mechanism within the NIIT system for a §481-type adjustment for a NIIT-only accounting method change.</w:t>
      </w:r>
    </w:p>
    <w:p w14:paraId="79889F43" w14:textId="77777777" w:rsidR="00494B49" w:rsidRDefault="00494B49">
      <w:pPr>
        <w:pStyle w:val="BListitembul"/>
      </w:pPr>
      <w:r>
        <w:lastRenderedPageBreak/>
        <w:t>Second, use of the accrual method may lead to unusual results in the case of the adjustment for recoveries, which may make the recovery rules unmanageable.</w:t>
      </w:r>
    </w:p>
    <w:p w14:paraId="0952C9E0" w14:textId="77777777" w:rsidR="00494B49" w:rsidRDefault="00494B49">
      <w:pPr>
        <w:pStyle w:val="BNormal"/>
      </w:pPr>
      <w:r>
        <w:rPr>
          <w:i/>
        </w:rPr>
        <w:t>Comment:</w:t>
      </w:r>
      <w:r>
        <w:t xml:space="preserve"> Although it may be possible to use accrual method concepts for a method of allocation, it is likely more complicated and troublesome than it is worth, and therefore, is not recommended.</w:t>
      </w:r>
    </w:p>
    <w:p w14:paraId="481745A8" w14:textId="77777777" w:rsidR="00494B49" w:rsidRDefault="00494B49">
      <w:pPr>
        <w:pStyle w:val="BHead2"/>
      </w:pPr>
      <w:r>
        <w:t>3. Unreasonable Allocation Methods</w:t>
      </w:r>
    </w:p>
    <w:p w14:paraId="3FD8091C" w14:textId="77777777" w:rsidR="00494B49" w:rsidRDefault="00494B49">
      <w:pPr>
        <w:pStyle w:val="BHead3"/>
      </w:pPr>
      <w:r>
        <w:t>a. Allocations of Deductions Pertaining to Pre-2013 Tax Years</w:t>
      </w:r>
    </w:p>
    <w:p w14:paraId="5DE25129" w14:textId="77777777" w:rsidR="00494B49" w:rsidRDefault="00494B49">
      <w:pPr>
        <w:pStyle w:val="BNormal"/>
      </w:pPr>
      <w:r>
        <w:t xml:space="preserve">Although not expressly stated in the regulations, it may be intuitive to conclude that an allocation of current year deductions against net investment income when the underlying deduction pertains to tax years before 2013 may be considered an unreasonable method. For example, it may be logical to conclude that an allocation of tax preparation fees paid in 2013 that pertain to the preparation of the 2012 income tax return is not properly allocable to net investment income because the NIIT was not in effect in 2012. However, if some of the 2013 bill related to tax year 2013 projections and estimated payment or withholding calculations, that portion may be properly allocable. Absent that situation, the core bill relating to the preparation of the 2012 return is unlikely to be deductible. The same argument could be made for state income taxes attributable to tax years before 2013. </w:t>
      </w:r>
    </w:p>
    <w:p w14:paraId="4E507181" w14:textId="77777777" w:rsidR="00494B49" w:rsidRDefault="00494B49">
      <w:pPr>
        <w:pStyle w:val="BNormal"/>
      </w:pPr>
      <w:r>
        <w:t xml:space="preserve">However, the regulations do specifically provide that taxes deductible under </w:t>
      </w:r>
      <w:smartTag w:uri="http://www.bna.com/sgml2word/cite" w:element="cite.usc">
        <w:smartTagPr>
          <w:attr w:name="ref" w:val="USC\26\164(a)(3)"/>
        </w:smartTagPr>
        <w:r>
          <w:t>§164(a)(3)</w:t>
        </w:r>
      </w:smartTag>
      <w:r>
        <w:t xml:space="preserve"> and tax expenses deductible under </w:t>
      </w:r>
      <w:smartTag w:uri="http://www.bna.com/sgml2word/cite" w:element="cite.usc">
        <w:smartTagPr>
          <w:attr w:name="ref" w:val="USC\26\212(3)"/>
        </w:smartTagPr>
        <w:r>
          <w:t>§212(3)</w:t>
        </w:r>
      </w:smartTag>
      <w:r>
        <w:rPr>
          <w:rStyle w:val="FootnoteReference"/>
        </w:rPr>
        <w:footnoteReference w:id="647"/>
      </w:r>
      <w:r>
        <w:t xml:space="preserve"> are deductible against net investment income. Cash basis taxpayers will include taxes and expenses from 2012 returns in their 2013 year, and this accounting method does lead to benefits and detriments for both the IRS and the taxpayer from year to year.</w:t>
      </w:r>
    </w:p>
    <w:p w14:paraId="7F1F3302" w14:textId="77777777" w:rsidR="00494B49" w:rsidRDefault="00494B49">
      <w:pPr>
        <w:pStyle w:val="BNormal"/>
      </w:pPr>
      <w:r>
        <w:t>Given that the regulations were not effective for the 2013 tax year,</w:t>
      </w:r>
      <w:r>
        <w:rPr>
          <w:rStyle w:val="FootnoteReference"/>
        </w:rPr>
        <w:footnoteReference w:id="648"/>
      </w:r>
      <w:r>
        <w:t xml:space="preserve"> taxpayers may have chosen to take the position that fourth quarter estimated taxes and taxes due with the filing of the 2012 return paid in 2013 (along with tax preparation fees) were allocable to net investment income. Although this position is not without risk, if the composition of the taxpayer’s income in 2012 and 2013 was relatively consistent, and the state tax liability and tax fees were likewise consistent, such a position may have been reasonable. Taxpayers may also find solace in the fact that the IRS knew how to exclude items relating to years preceding 2013 (as in the case with the nondeductibility of NOLs created before 2013 under Reg. </w:t>
      </w:r>
      <w:smartTag w:uri="http://www.bna.com/sgml2word/cite" w:element="cite.cfr">
        <w:smartTagPr>
          <w:attr w:name="ref" w:val="cfr\26\1.1411-4(h)"/>
        </w:smartTagPr>
        <w:r>
          <w:t>§1.1411-4(h)</w:t>
        </w:r>
      </w:smartTag>
      <w:r>
        <w:t xml:space="preserve">), but did not do so in this case in the regulation preamble, regulation text, or the </w:t>
      </w:r>
      <w:hyperlink r:id="rId11" w:history="1">
        <w:r>
          <w:rPr>
            <w:rStyle w:val="Hyperlink"/>
            <w:i/>
          </w:rPr>
          <w:t>Instructions for Form 8960, Net Investment Income Tax Individuals, Estates, and Trusts</w:t>
        </w:r>
        <w:r>
          <w:rPr>
            <w:rStyle w:val="Hyperlink"/>
          </w:rPr>
          <w:t xml:space="preserve"> (2013)</w:t>
        </w:r>
      </w:hyperlink>
      <w:r>
        <w:t>.</w:t>
      </w:r>
      <w:r>
        <w:rPr>
          <w:rStyle w:val="FootnoteReference"/>
        </w:rPr>
        <w:footnoteReference w:id="649"/>
      </w:r>
      <w:r>
        <w:t xml:space="preserve"> However, if the taxpayer’s 2012 tax liability was unusually high because of nonrecurring items (such as the sale of a business to capture lower capital gain rates in 2012), or the taxpayer incurred abnormal </w:t>
      </w:r>
      <w:smartTag w:uri="http://www.bna.com/sgml2word/cite" w:element="cite.usc">
        <w:smartTagPr>
          <w:attr w:name="ref" w:val="USC\26\212(3)"/>
        </w:smartTagPr>
        <w:r>
          <w:t>§212(3)</w:t>
        </w:r>
      </w:smartTag>
      <w:r>
        <w:t xml:space="preserve"> expenses, it may not have been reasonable to take into account the payment of those 2012 items in 2013.</w:t>
      </w:r>
    </w:p>
    <w:p w14:paraId="6AF4C910" w14:textId="77777777" w:rsidR="00494B49" w:rsidRDefault="00494B49">
      <w:pPr>
        <w:pStyle w:val="BHead3"/>
      </w:pPr>
      <w:r>
        <w:lastRenderedPageBreak/>
        <w:t xml:space="preserve">b. Unreasonable Reliance on Regulations </w:t>
      </w:r>
    </w:p>
    <w:p w14:paraId="4BD25609" w14:textId="77777777" w:rsidR="00494B49" w:rsidRDefault="00494B49">
      <w:pPr>
        <w:pStyle w:val="BNormal"/>
      </w:pPr>
      <w:r>
        <w:t xml:space="preserve">When the deductible </w:t>
      </w:r>
      <w:smartTag w:uri="http://www.bna.com/sgml2word/cite" w:element="cite.usc">
        <w:smartTagPr>
          <w:attr w:name="ref" w:val="USC\26\164(a)(3)"/>
        </w:smartTagPr>
        <w:r>
          <w:t>§164(a)(3)</w:t>
        </w:r>
      </w:smartTag>
      <w:r>
        <w:t xml:space="preserve"> taxes are imposed on an income base that is materially different from the federal income tax base, a deviation from the method described in the regulations is appropriate.</w:t>
      </w:r>
    </w:p>
    <w:p w14:paraId="5F3B6E69" w14:textId="77777777" w:rsidR="00494B49" w:rsidRDefault="00494B49" w:rsidP="007865AF">
      <w:pPr>
        <w:pStyle w:val="BNormal"/>
      </w:pPr>
      <w:r>
        <w:t>In some instances, a deviation from the regulations may be in the taxpayer’s favor and justified. For example, assume that the taxpayer has the following income for federal and state tax purposes:</w:t>
      </w:r>
    </w:p>
    <w:p w14:paraId="06079581" w14:textId="77777777" w:rsidR="00494B49" w:rsidRDefault="00494B49" w:rsidP="007865AF">
      <w:pPr>
        <w:pStyle w:val="BNormal"/>
      </w:pPr>
    </w:p>
    <w:tbl>
      <w:tblPr>
        <w:tblStyle w:val="TableGrid"/>
        <w:tblW w:w="0" w:type="auto"/>
        <w:tblLook w:val="04A0" w:firstRow="1" w:lastRow="0" w:firstColumn="1" w:lastColumn="0" w:noHBand="0" w:noVBand="1"/>
      </w:tblPr>
      <w:tblGrid>
        <w:gridCol w:w="2362"/>
        <w:gridCol w:w="2342"/>
        <w:gridCol w:w="2323"/>
        <w:gridCol w:w="2323"/>
      </w:tblGrid>
      <w:tr w:rsidR="00494B49" w14:paraId="0928CE6C" w14:textId="77777777">
        <w:tc>
          <w:tcPr>
            <w:tcW w:w="2520" w:type="dxa"/>
          </w:tcPr>
          <w:p w14:paraId="6BFF23CB" w14:textId="77777777" w:rsidR="00494B49" w:rsidRDefault="00494B49"/>
        </w:tc>
        <w:tc>
          <w:tcPr>
            <w:tcW w:w="2520" w:type="dxa"/>
          </w:tcPr>
          <w:p w14:paraId="360D09D9" w14:textId="77777777" w:rsidR="00494B49" w:rsidRDefault="00494B49">
            <w:r>
              <w:t>Federal Regular Tax</w:t>
            </w:r>
          </w:p>
        </w:tc>
        <w:tc>
          <w:tcPr>
            <w:tcW w:w="2520" w:type="dxa"/>
          </w:tcPr>
          <w:p w14:paraId="2D3FA146" w14:textId="77777777" w:rsidR="00494B49" w:rsidRDefault="00494B49">
            <w:r>
              <w:t>Federal NIIT</w:t>
            </w:r>
          </w:p>
        </w:tc>
        <w:tc>
          <w:tcPr>
            <w:tcW w:w="2520" w:type="dxa"/>
          </w:tcPr>
          <w:p w14:paraId="7D1AD34B" w14:textId="77777777" w:rsidR="00494B49" w:rsidRDefault="00494B49">
            <w:r>
              <w:t>State</w:t>
            </w:r>
          </w:p>
        </w:tc>
      </w:tr>
      <w:tr w:rsidR="00494B49" w14:paraId="3A55E858" w14:textId="77777777">
        <w:tc>
          <w:tcPr>
            <w:tcW w:w="2520" w:type="dxa"/>
          </w:tcPr>
          <w:p w14:paraId="7D83C78B" w14:textId="77777777" w:rsidR="00494B49" w:rsidRDefault="00494B49">
            <w:r>
              <w:t xml:space="preserve">Taxable Interest &amp; </w:t>
            </w:r>
            <w:r>
              <w:br/>
              <w:t xml:space="preserve">Dividends </w:t>
            </w:r>
          </w:p>
        </w:tc>
        <w:tc>
          <w:tcPr>
            <w:tcW w:w="2520" w:type="dxa"/>
          </w:tcPr>
          <w:p w14:paraId="438B162F" w14:textId="77777777" w:rsidR="00494B49" w:rsidRDefault="00494B49">
            <w:r>
              <w:t>$400,000</w:t>
            </w:r>
          </w:p>
        </w:tc>
        <w:tc>
          <w:tcPr>
            <w:tcW w:w="2520" w:type="dxa"/>
          </w:tcPr>
          <w:p w14:paraId="49DED820" w14:textId="77777777" w:rsidR="00494B49" w:rsidRDefault="00494B49">
            <w:r>
              <w:t>$400,000</w:t>
            </w:r>
          </w:p>
        </w:tc>
        <w:tc>
          <w:tcPr>
            <w:tcW w:w="2520" w:type="dxa"/>
          </w:tcPr>
          <w:p w14:paraId="05160F4E" w14:textId="77777777" w:rsidR="00494B49" w:rsidRDefault="00494B49">
            <w:r>
              <w:t>$400,000</w:t>
            </w:r>
          </w:p>
        </w:tc>
      </w:tr>
      <w:tr w:rsidR="00494B49" w14:paraId="676DBBAC" w14:textId="77777777">
        <w:tc>
          <w:tcPr>
            <w:tcW w:w="2520" w:type="dxa"/>
          </w:tcPr>
          <w:p w14:paraId="0CBF5CFA" w14:textId="77777777" w:rsidR="00494B49" w:rsidRDefault="00494B49">
            <w:r>
              <w:t>IRAs/Pension</w:t>
            </w:r>
          </w:p>
        </w:tc>
        <w:tc>
          <w:tcPr>
            <w:tcW w:w="2520" w:type="dxa"/>
          </w:tcPr>
          <w:p w14:paraId="245E909B" w14:textId="77777777" w:rsidR="00494B49" w:rsidRDefault="00494B49">
            <w:r>
              <w:t>$600,000</w:t>
            </w:r>
          </w:p>
        </w:tc>
        <w:tc>
          <w:tcPr>
            <w:tcW w:w="2520" w:type="dxa"/>
          </w:tcPr>
          <w:p w14:paraId="5ADE3D1C" w14:textId="77777777" w:rsidR="00494B49" w:rsidRDefault="00494B49">
            <w:r>
              <w:t>$0</w:t>
            </w:r>
          </w:p>
        </w:tc>
        <w:tc>
          <w:tcPr>
            <w:tcW w:w="2520" w:type="dxa"/>
          </w:tcPr>
          <w:p w14:paraId="1ADB3ADC" w14:textId="77777777" w:rsidR="00494B49" w:rsidRDefault="00494B49">
            <w:r>
              <w:t>$0</w:t>
            </w:r>
          </w:p>
        </w:tc>
      </w:tr>
      <w:tr w:rsidR="00494B49" w14:paraId="31BEE53D" w14:textId="77777777">
        <w:tc>
          <w:tcPr>
            <w:tcW w:w="2520" w:type="dxa"/>
          </w:tcPr>
          <w:p w14:paraId="77C5A6B3" w14:textId="77777777" w:rsidR="00494B49" w:rsidRDefault="00494B49">
            <w:r>
              <w:t xml:space="preserve">Tax Base </w:t>
            </w:r>
          </w:p>
        </w:tc>
        <w:tc>
          <w:tcPr>
            <w:tcW w:w="2520" w:type="dxa"/>
          </w:tcPr>
          <w:p w14:paraId="74990C79" w14:textId="77777777" w:rsidR="00494B49" w:rsidRDefault="00494B49">
            <w:r>
              <w:t>$1,000,000</w:t>
            </w:r>
          </w:p>
        </w:tc>
        <w:tc>
          <w:tcPr>
            <w:tcW w:w="2520" w:type="dxa"/>
          </w:tcPr>
          <w:p w14:paraId="2E806A14" w14:textId="77777777" w:rsidR="00494B49" w:rsidRDefault="00494B49">
            <w:r>
              <w:t>$400,000</w:t>
            </w:r>
          </w:p>
        </w:tc>
        <w:tc>
          <w:tcPr>
            <w:tcW w:w="2520" w:type="dxa"/>
          </w:tcPr>
          <w:p w14:paraId="0F725F4E" w14:textId="77777777" w:rsidR="00494B49" w:rsidRDefault="00494B49">
            <w:r>
              <w:t>$400,000</w:t>
            </w:r>
          </w:p>
        </w:tc>
      </w:tr>
    </w:tbl>
    <w:p w14:paraId="036D2DF4" w14:textId="77777777" w:rsidR="00494B49" w:rsidRDefault="00494B49">
      <w:pPr>
        <w:pStyle w:val="BNormal"/>
      </w:pPr>
    </w:p>
    <w:p w14:paraId="0E88A67C" w14:textId="77777777" w:rsidR="00494B49" w:rsidRDefault="00494B49">
      <w:pPr>
        <w:pStyle w:val="BNormal"/>
      </w:pPr>
      <w:r>
        <w:t>In this case, the state income tax base does not include pensions or IRAs.</w:t>
      </w:r>
      <w:r>
        <w:rPr>
          <w:rStyle w:val="FootnoteReference"/>
        </w:rPr>
        <w:footnoteReference w:id="650"/>
      </w:r>
      <w:r>
        <w:t xml:space="preserve"> Therefore, following the NII-to-AGI ratio in the regulations would apportion only 40% of the state tax liability to net investment income, even though the state income tax basis is materially different than the federal tax base for regular income tax, but virtually identical to the federal NIIT tax base. In this situation, it’s a reasonable deviation from the regulations to allocate 100% of the state income tax liability to net investment income. A similar outcome would occur for a taxpayer with large amounts of U.S. government interest that is exempt from state and local taxation.</w:t>
      </w:r>
      <w:r>
        <w:rPr>
          <w:rStyle w:val="FootnoteReference"/>
        </w:rPr>
        <w:footnoteReference w:id="651"/>
      </w:r>
    </w:p>
    <w:p w14:paraId="2B67A968" w14:textId="77777777" w:rsidR="00494B49" w:rsidRDefault="00494B49" w:rsidP="007865AF">
      <w:pPr>
        <w:pStyle w:val="BNormal"/>
      </w:pPr>
      <w:r>
        <w:t xml:space="preserve">However, taking a literal approach to following the NII-to-AGI ratio in the regulations also leads to curious results when the state income tax basis is materially different than both the federal tax base for regular income tax and NIIT. In these instances, a deviation from the regulations may be required because following the NII-to-AGI ratio produces a per se unreasonable allocation. For example, assume the taxpayer has the following income and state income tax items in Year X: </w:t>
      </w:r>
    </w:p>
    <w:p w14:paraId="42DAC3C3" w14:textId="77777777" w:rsidR="00494B49" w:rsidRDefault="00494B49" w:rsidP="007865AF">
      <w:pPr>
        <w:pStyle w:val="BNormal"/>
      </w:pPr>
    </w:p>
    <w:tbl>
      <w:tblPr>
        <w:tblStyle w:val="TableGrid"/>
        <w:tblW w:w="0" w:type="auto"/>
        <w:tblLook w:val="04A0" w:firstRow="1" w:lastRow="0" w:firstColumn="1" w:lastColumn="0" w:noHBand="0" w:noVBand="1"/>
      </w:tblPr>
      <w:tblGrid>
        <w:gridCol w:w="2337"/>
        <w:gridCol w:w="2332"/>
        <w:gridCol w:w="2332"/>
        <w:gridCol w:w="2349"/>
      </w:tblGrid>
      <w:tr w:rsidR="00494B49" w14:paraId="3748C241" w14:textId="77777777">
        <w:tc>
          <w:tcPr>
            <w:tcW w:w="2520" w:type="dxa"/>
          </w:tcPr>
          <w:p w14:paraId="5D94E688" w14:textId="77777777" w:rsidR="00494B49" w:rsidRDefault="00494B49"/>
        </w:tc>
        <w:tc>
          <w:tcPr>
            <w:tcW w:w="2520" w:type="dxa"/>
          </w:tcPr>
          <w:p w14:paraId="345CCF51" w14:textId="77777777" w:rsidR="00494B49" w:rsidRDefault="00494B49">
            <w:r>
              <w:t>Federal Regular Tax</w:t>
            </w:r>
          </w:p>
        </w:tc>
        <w:tc>
          <w:tcPr>
            <w:tcW w:w="2520" w:type="dxa"/>
          </w:tcPr>
          <w:p w14:paraId="678A1D15" w14:textId="77777777" w:rsidR="00494B49" w:rsidRDefault="00494B49">
            <w:r>
              <w:t>Federal NIIT</w:t>
            </w:r>
          </w:p>
        </w:tc>
        <w:tc>
          <w:tcPr>
            <w:tcW w:w="2520" w:type="dxa"/>
          </w:tcPr>
          <w:p w14:paraId="388A937C" w14:textId="77777777" w:rsidR="00494B49" w:rsidRDefault="00494B49">
            <w:r>
              <w:t>State</w:t>
            </w:r>
          </w:p>
        </w:tc>
      </w:tr>
      <w:tr w:rsidR="00494B49" w14:paraId="61C49C8F" w14:textId="77777777">
        <w:tc>
          <w:tcPr>
            <w:tcW w:w="2520" w:type="dxa"/>
          </w:tcPr>
          <w:p w14:paraId="7D511904" w14:textId="77777777" w:rsidR="00494B49" w:rsidRDefault="00494B49">
            <w:r>
              <w:t xml:space="preserve">Wages </w:t>
            </w:r>
          </w:p>
        </w:tc>
        <w:tc>
          <w:tcPr>
            <w:tcW w:w="2520" w:type="dxa"/>
          </w:tcPr>
          <w:p w14:paraId="2B39B3C1" w14:textId="77777777" w:rsidR="00494B49" w:rsidRDefault="00494B49">
            <w:r>
              <w:t>$500,000</w:t>
            </w:r>
          </w:p>
        </w:tc>
        <w:tc>
          <w:tcPr>
            <w:tcW w:w="2520" w:type="dxa"/>
          </w:tcPr>
          <w:p w14:paraId="5FB1ABFB" w14:textId="77777777" w:rsidR="00494B49" w:rsidRDefault="00494B49">
            <w:r>
              <w:t>$0</w:t>
            </w:r>
          </w:p>
        </w:tc>
        <w:tc>
          <w:tcPr>
            <w:tcW w:w="2520" w:type="dxa"/>
          </w:tcPr>
          <w:p w14:paraId="3E1FB737" w14:textId="77777777" w:rsidR="00494B49" w:rsidRDefault="00494B49">
            <w:r>
              <w:t>$500,000</w:t>
            </w:r>
          </w:p>
        </w:tc>
      </w:tr>
      <w:tr w:rsidR="00494B49" w14:paraId="1CD41342" w14:textId="77777777">
        <w:tc>
          <w:tcPr>
            <w:tcW w:w="2520" w:type="dxa"/>
          </w:tcPr>
          <w:p w14:paraId="4EB70326" w14:textId="77777777" w:rsidR="00494B49" w:rsidRDefault="00494B49">
            <w:r>
              <w:t>Municipal Bonds (Out of State)</w:t>
            </w:r>
          </w:p>
        </w:tc>
        <w:tc>
          <w:tcPr>
            <w:tcW w:w="2520" w:type="dxa"/>
          </w:tcPr>
          <w:p w14:paraId="5E00A38B" w14:textId="77777777" w:rsidR="00494B49" w:rsidRDefault="00494B49">
            <w:r>
              <w:t>$0</w:t>
            </w:r>
          </w:p>
        </w:tc>
        <w:tc>
          <w:tcPr>
            <w:tcW w:w="2520" w:type="dxa"/>
          </w:tcPr>
          <w:p w14:paraId="598EE40F" w14:textId="77777777" w:rsidR="00494B49" w:rsidRDefault="00494B49">
            <w:r>
              <w:t>$0</w:t>
            </w:r>
          </w:p>
        </w:tc>
        <w:tc>
          <w:tcPr>
            <w:tcW w:w="2520" w:type="dxa"/>
          </w:tcPr>
          <w:p w14:paraId="59D0081C" w14:textId="77777777" w:rsidR="00494B49" w:rsidRDefault="00494B49">
            <w:r>
              <w:t>$2,000,000</w:t>
            </w:r>
          </w:p>
        </w:tc>
      </w:tr>
      <w:tr w:rsidR="00494B49" w14:paraId="40640BC5" w14:textId="77777777">
        <w:tc>
          <w:tcPr>
            <w:tcW w:w="2520" w:type="dxa"/>
          </w:tcPr>
          <w:p w14:paraId="0EF392D6" w14:textId="77777777" w:rsidR="00494B49" w:rsidRDefault="00494B49">
            <w:r>
              <w:t>Taxable Interest &amp; Dividends</w:t>
            </w:r>
          </w:p>
        </w:tc>
        <w:tc>
          <w:tcPr>
            <w:tcW w:w="2520" w:type="dxa"/>
          </w:tcPr>
          <w:p w14:paraId="3154D6A3" w14:textId="77777777" w:rsidR="00494B49" w:rsidRDefault="00494B49">
            <w:r>
              <w:t>$100,000</w:t>
            </w:r>
          </w:p>
        </w:tc>
        <w:tc>
          <w:tcPr>
            <w:tcW w:w="2520" w:type="dxa"/>
          </w:tcPr>
          <w:p w14:paraId="1EBAFC37" w14:textId="77777777" w:rsidR="00494B49" w:rsidRDefault="00494B49">
            <w:r>
              <w:t>$100,000</w:t>
            </w:r>
          </w:p>
        </w:tc>
        <w:tc>
          <w:tcPr>
            <w:tcW w:w="2520" w:type="dxa"/>
          </w:tcPr>
          <w:p w14:paraId="066A8B06" w14:textId="77777777" w:rsidR="00494B49" w:rsidRDefault="00494B49">
            <w:r>
              <w:t>$100,000</w:t>
            </w:r>
          </w:p>
        </w:tc>
      </w:tr>
      <w:tr w:rsidR="00494B49" w14:paraId="419D34A1" w14:textId="77777777">
        <w:tc>
          <w:tcPr>
            <w:tcW w:w="2520" w:type="dxa"/>
          </w:tcPr>
          <w:p w14:paraId="59244CF2" w14:textId="77777777" w:rsidR="00494B49" w:rsidRDefault="00494B49">
            <w:r>
              <w:t>Tax Base</w:t>
            </w:r>
          </w:p>
        </w:tc>
        <w:tc>
          <w:tcPr>
            <w:tcW w:w="2520" w:type="dxa"/>
          </w:tcPr>
          <w:p w14:paraId="60A8CB96" w14:textId="77777777" w:rsidR="00494B49" w:rsidRDefault="00494B49">
            <w:r>
              <w:t>$600,000</w:t>
            </w:r>
          </w:p>
        </w:tc>
        <w:tc>
          <w:tcPr>
            <w:tcW w:w="2520" w:type="dxa"/>
          </w:tcPr>
          <w:p w14:paraId="46971401" w14:textId="77777777" w:rsidR="00494B49" w:rsidRDefault="00494B49">
            <w:r>
              <w:t>$100,000</w:t>
            </w:r>
          </w:p>
        </w:tc>
        <w:tc>
          <w:tcPr>
            <w:tcW w:w="2520" w:type="dxa"/>
          </w:tcPr>
          <w:p w14:paraId="2CE75463" w14:textId="77777777" w:rsidR="00494B49" w:rsidRDefault="00494B49">
            <w:r>
              <w:t>$2,600,000</w:t>
            </w:r>
          </w:p>
        </w:tc>
      </w:tr>
      <w:tr w:rsidR="00494B49" w14:paraId="2E5912D6" w14:textId="77777777">
        <w:tc>
          <w:tcPr>
            <w:tcW w:w="2520" w:type="dxa"/>
          </w:tcPr>
          <w:p w14:paraId="46F8D616" w14:textId="77777777" w:rsidR="00494B49" w:rsidRDefault="00494B49">
            <w:r>
              <w:t>State Tax @ 4%</w:t>
            </w:r>
          </w:p>
        </w:tc>
        <w:tc>
          <w:tcPr>
            <w:tcW w:w="2520" w:type="dxa"/>
          </w:tcPr>
          <w:p w14:paraId="5339DC6A" w14:textId="77777777" w:rsidR="00494B49" w:rsidRDefault="00494B49"/>
        </w:tc>
        <w:tc>
          <w:tcPr>
            <w:tcW w:w="2520" w:type="dxa"/>
          </w:tcPr>
          <w:p w14:paraId="6DC9A0DA" w14:textId="77777777" w:rsidR="00494B49" w:rsidRDefault="00494B49"/>
        </w:tc>
        <w:tc>
          <w:tcPr>
            <w:tcW w:w="2520" w:type="dxa"/>
          </w:tcPr>
          <w:p w14:paraId="6B2CBCEF" w14:textId="77777777" w:rsidR="00494B49" w:rsidRDefault="00494B49">
            <w:r>
              <w:t>$104,000</w:t>
            </w:r>
          </w:p>
        </w:tc>
      </w:tr>
    </w:tbl>
    <w:p w14:paraId="2A3478E1" w14:textId="77777777" w:rsidR="00494B49" w:rsidRDefault="00494B49">
      <w:pPr>
        <w:pStyle w:val="BNormal"/>
      </w:pPr>
    </w:p>
    <w:p w14:paraId="3A0E211C" w14:textId="77777777" w:rsidR="00494B49" w:rsidRDefault="00494B49">
      <w:pPr>
        <w:pStyle w:val="BNormal"/>
      </w:pPr>
      <w:r>
        <w:t xml:space="preserve">In this case, assuming the full state tax liability is paid in the same year, the taxpayer’s </w:t>
      </w:r>
      <w:smartTag w:uri="http://www.bna.com/sgml2word/cite" w:element="cite.usc">
        <w:smartTagPr>
          <w:attr w:name="ref" w:val="USC\26\164(a)(3)"/>
        </w:smartTagPr>
        <w:r>
          <w:t>§164(a)(3)</w:t>
        </w:r>
      </w:smartTag>
      <w:r>
        <w:t xml:space="preserve"> deduction for 20x1 would be $104,000. If the taxpayer followed the allocation method in the regulation, the taxpayer would apportion 16.66% ($100,000 / $600,000) of the $104,000 ($17,333) to net investment income. However, assuming the state income tax is a flat rate of 4%, the taxpayer’s actual state income tax liability on the $100,000 of taxable interest and </w:t>
      </w:r>
      <w:r>
        <w:lastRenderedPageBreak/>
        <w:t>dividends is only $4,000. The IRS may rightfully challenge the $17,333 allocation by arguing that a 16.66% allocation of state taxes resulting from the NII-to-AGI ratio is not a reasonable method in this particular case.</w:t>
      </w:r>
    </w:p>
    <w:p w14:paraId="4B19130D" w14:textId="77777777" w:rsidR="00494B49" w:rsidRDefault="00494B49">
      <w:pPr>
        <w:pStyle w:val="BHead3"/>
      </w:pPr>
      <w:r>
        <w:t xml:space="preserve">c. Unreasonable Toggling Between Methods </w:t>
      </w:r>
    </w:p>
    <w:p w14:paraId="1BFCB86F" w14:textId="77777777" w:rsidR="00494B49" w:rsidRDefault="00494B49">
      <w:pPr>
        <w:pStyle w:val="BNormal"/>
      </w:pPr>
      <w:r>
        <w:t xml:space="preserve">As discussed in </w:t>
      </w:r>
      <w:smartTag w:uri="http://www.bna.com/sgml2word/cite" w:element="cite.bna.reference">
        <w:smartTagPr>
          <w:attr w:name="bna.id.ref" w:val="TM\511.V.C.1"/>
        </w:smartTagPr>
        <w:r>
          <w:t>V.C.1.</w:t>
        </w:r>
      </w:smartTag>
      <w:smartTag w:uri="http://www.bna.com/sgml2word/cite" w:element="cite.bna.reference">
        <w:smartTagPr>
          <w:attr w:name="bna.id.ref" w:val="TM\873.V.C.1"/>
        </w:smartTagPr>
        <w:r>
          <w:t>V.C.1.</w:t>
        </w:r>
      </w:smartTag>
      <w:r>
        <w:t>, above, reasonable methods of allocation may differ from year to year. However, “the virtue of justice consists in moderation, as regulated by wisdom.”</w:t>
      </w:r>
      <w:r>
        <w:rPr>
          <w:rStyle w:val="FootnoteReference"/>
        </w:rPr>
        <w:footnoteReference w:id="652"/>
      </w:r>
      <w:r>
        <w:t xml:space="preserve"> Just as toggling a trust between a grantor trust and a nongrantor trust is not abusive, excessive or nefarious toggling may be.</w:t>
      </w:r>
      <w:r>
        <w:rPr>
          <w:rStyle w:val="FootnoteReference"/>
        </w:rPr>
        <w:footnoteReference w:id="653"/>
      </w:r>
    </w:p>
    <w:p w14:paraId="493C4494" w14:textId="77777777" w:rsidR="00494B49" w:rsidRDefault="00494B49">
      <w:pPr>
        <w:pStyle w:val="BNormal"/>
      </w:pPr>
      <w:r>
        <w:t xml:space="preserve">The troublesome aspect of determining whether switching between allocation methods is unreasonable is the fact that each method, standing alone, is a reasonable method. Therefore, if a taxpayer is audited for a single year, it may not be readily apparent that there is an unreasonable change in methods. </w:t>
      </w:r>
    </w:p>
    <w:p w14:paraId="281FBBD5" w14:textId="77777777" w:rsidR="00494B49" w:rsidRDefault="00494B49">
      <w:pPr>
        <w:pStyle w:val="BNormal"/>
      </w:pPr>
      <w:r>
        <w:t xml:space="preserve">As cautioned in </w:t>
      </w:r>
      <w:smartTag w:uri="http://www.bna.com/sgml2word/cite" w:element="cite.bna.reference">
        <w:smartTagPr>
          <w:attr w:name="bna.id.ref" w:val="TM\511.V.C.2.d"/>
        </w:smartTagPr>
        <w:r>
          <w:t>V.C.2.d.</w:t>
        </w:r>
      </w:smartTag>
      <w:smartTag w:uri="http://www.bna.com/sgml2word/cite" w:element="cite.bna.reference">
        <w:smartTagPr>
          <w:attr w:name="bna.id.ref" w:val="TM\873.V.C.2.d"/>
        </w:smartTagPr>
        <w:r>
          <w:t>V.C.2.d.</w:t>
        </w:r>
      </w:smartTag>
      <w:r>
        <w:t xml:space="preserve">, above, regarding the use of accrual method concepts for allocations, switching between methods may result in double counting. The concern of double counting (or under counting) is not with the amount of the deduction, because the unallocated dollar amount of the deduction is determined under Chapter 1, but double counting could occur within the allocation base. </w:t>
      </w:r>
    </w:p>
    <w:p w14:paraId="64759A97" w14:textId="77777777" w:rsidR="00494B49" w:rsidRDefault="00494B49">
      <w:pPr>
        <w:pStyle w:val="BExamplepara"/>
      </w:pPr>
      <w:r>
        <w:rPr>
          <w:rStyle w:val="BExamplehead"/>
          <w:rFonts w:eastAsiaTheme="minorHAnsi"/>
          <w:i/>
        </w:rPr>
        <w:t>Example:</w:t>
      </w:r>
      <w:r>
        <w:t xml:space="preserve"> Assume that a taxpayer allocates a $10,000 deduction to net investment income in Year 1 based on a ratio of NII to AGI using Year 1 amounts when the ratio produces an 85% allocation to net investment income ($8,500). In Year 2, the taxpayer allocates the same $10,000 deduction using specific identification with a residual allocation that produces a 70% allocation to net investment income ($7,000). If the NII-to-AGI using Year 2 amounts were used, it would have allocated only 30% to net investment income. As a result of the change in method, the taxpayer has cumulatively allocated $15,500 of the $20,000 to net investment income even though a consistent application of the NII-to-AGI ratio method would allocate $11,500 to net investment income over the same two years because the taxpayer’s average NII-to-AGI ratio is 57.5%. In this case, the switch in allocation method has, to some extent, double counted net investment income earned in Year 1 by taking it into account in Year 1 and Year 2.</w:t>
      </w:r>
    </w:p>
    <w:p w14:paraId="0EB88640" w14:textId="77777777" w:rsidR="00494B49" w:rsidRDefault="00494B49">
      <w:pPr>
        <w:pStyle w:val="BHead3"/>
      </w:pPr>
      <w:r>
        <w:t xml:space="preserve">d. Estates and Trusts </w:t>
      </w:r>
    </w:p>
    <w:p w14:paraId="5802EE3C" w14:textId="77777777" w:rsidR="00494B49" w:rsidRDefault="00494B49">
      <w:pPr>
        <w:pStyle w:val="BNormal"/>
      </w:pPr>
      <w:r>
        <w:t xml:space="preserve">During the development of the </w:t>
      </w:r>
      <w:hyperlink r:id="rId12" w:history="1">
        <w:r>
          <w:rPr>
            <w:rStyle w:val="Hyperlink"/>
          </w:rPr>
          <w:t>Instructions for Form 8960</w:t>
        </w:r>
      </w:hyperlink>
      <w:r>
        <w:t xml:space="preserve">, the IRS received a number of questions regarding the allocation of indirect expenses of estates and trusts, specifically of the reference in the regulations to reasonable methods described in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w:t>
      </w:r>
      <w:r>
        <w:rPr>
          <w:rStyle w:val="FootnoteReference"/>
        </w:rPr>
        <w:footnoteReference w:id="654"/>
      </w:r>
      <w:r>
        <w:t xml:space="preserve"> Under Reg. </w:t>
      </w:r>
      <w:smartTag w:uri="http://www.bna.com/sgml2word/cite" w:element="cite.cfr">
        <w:smartTagPr>
          <w:attr w:name="ref" w:val="cfr\26\1.652(b)-3(b)"/>
        </w:smartTagPr>
        <w:r>
          <w:t>§1.652(b)-3(b)</w:t>
        </w:r>
      </w:smartTag>
      <w:r>
        <w:t xml:space="preserve">, deductions that are not directly attributable to a specific class of income may be allocated to any item of income (including capital gains) included in computing distributable net income, but a portion must be allocated to nontaxable </w:t>
      </w:r>
      <w:r>
        <w:lastRenderedPageBreak/>
        <w:t>income.</w:t>
      </w:r>
      <w:r>
        <w:rPr>
          <w:rStyle w:val="FootnoteReference"/>
        </w:rPr>
        <w:footnoteReference w:id="655"/>
      </w:r>
      <w:r>
        <w:t xml:space="preserve"> In response to the indirect expense allocation flexibility granted in Reg. </w:t>
      </w:r>
      <w:smartTag w:uri="http://www.bna.com/sgml2word/cite" w:element="cite.cfr">
        <w:smartTagPr>
          <w:attr w:name="ref" w:val="cfr\26\1.652(b)-3(b)"/>
        </w:smartTagPr>
        <w:r>
          <w:t>§1.652(b)-3(b)</w:t>
        </w:r>
      </w:smartTag>
      <w:r>
        <w:t xml:space="preserve">, taxpayers tend to allocate expenses to income subject to the highest income tax rate. For example, a trustee may allocate his fiduciary commissions first against IRA distributions (taxable at maximum marginal rates in </w:t>
      </w:r>
      <w:smartTag w:uri="http://www.bna.com/sgml2word/cite" w:element="cite.usc">
        <w:smartTagPr>
          <w:attr w:name="ref" w:val="USC\26\1(a)"/>
        </w:smartTagPr>
        <w:r>
          <w:t>§1(a)</w:t>
        </w:r>
      </w:smartTag>
      <w:r>
        <w:t>–</w:t>
      </w:r>
      <w:smartTag w:uri="http://www.bna.com/sgml2word/cite" w:element="cite.usc">
        <w:smartTagPr>
          <w:attr w:name="ref" w:val="USC\26\1(e)"/>
        </w:smartTagPr>
        <w:r>
          <w:t>§1(e)</w:t>
        </w:r>
      </w:smartTag>
      <w:r>
        <w:t xml:space="preserve">) and then against qualified dividends (taxable at lower marginal rates in </w:t>
      </w:r>
      <w:smartTag w:uri="http://www.bna.com/sgml2word/cite" w:element="cite.usc">
        <w:smartTagPr>
          <w:attr w:name="ref" w:val="USC\26\1(h)"/>
        </w:smartTagPr>
        <w:r>
          <w:t>§1(h)</w:t>
        </w:r>
      </w:smartTag>
      <w:r>
        <w:t xml:space="preserve">). This is a logical allocation because the deduction reduces income with the highest rate first. However, for NIIT purposes, the allocation of fiduciary expenses to IRA distributions causes the fiduciary expenses to be nondeductible before it is allocated to, functionally, tax-exempt income. As a result, some taxpayers were reading the reasonable allocation language in Reg. </w:t>
      </w:r>
      <w:smartTag w:uri="http://www.bna.com/sgml2word/cite" w:element="cite.cfr">
        <w:smartTagPr>
          <w:attr w:name="ref" w:val="cfr\26\1.1411-4(g)(1)"/>
        </w:smartTagPr>
        <w:r>
          <w:t>§1.1411-4(g)(1)</w:t>
        </w:r>
      </w:smartTag>
      <w:r>
        <w:t xml:space="preserve"> to allow an allocation of expenses, using the principles of Reg. </w:t>
      </w:r>
      <w:smartTag w:uri="http://www.bna.com/sgml2word/cite" w:element="cite.cfr">
        <w:smartTagPr>
          <w:attr w:name="ref" w:val="cfr\26\1.652(b)-3(b)"/>
        </w:smartTagPr>
        <w:r>
          <w:t>§1.652(b)-3(b)</w:t>
        </w:r>
      </w:smartTag>
      <w:r>
        <w:t xml:space="preserve">, in a manner different than for regular income tax. In this case, taxpayers would use Reg. </w:t>
      </w:r>
      <w:smartTag w:uri="http://www.bna.com/sgml2word/cite" w:element="cite.cfr">
        <w:smartTagPr>
          <w:attr w:name="ref" w:val="cfr\26\1.1411-4(g)(1)"/>
        </w:smartTagPr>
        <w:r>
          <w:t>§1.1411-4(g)(1)</w:t>
        </w:r>
      </w:smartTag>
      <w:r>
        <w:t xml:space="preserve"> and Reg. </w:t>
      </w:r>
      <w:smartTag w:uri="http://www.bna.com/sgml2word/cite" w:element="cite.cfr">
        <w:smartTagPr>
          <w:attr w:name="ref" w:val="cfr\26\1.652(b)-3(b)"/>
        </w:smartTagPr>
        <w:r>
          <w:t>§1.652(b)-3(b)</w:t>
        </w:r>
      </w:smartTag>
      <w:r>
        <w:t xml:space="preserve"> to allocate the same fiduciary commissions first to qualified dividend income, and then the balance to IRS distributions. </w:t>
      </w:r>
    </w:p>
    <w:p w14:paraId="037A5B5A" w14:textId="77777777" w:rsidR="00494B49" w:rsidRDefault="00494B49">
      <w:pPr>
        <w:pStyle w:val="BNormal"/>
      </w:pPr>
      <w:r>
        <w:t xml:space="preserve">The intention of the cross-reference to Reg. </w:t>
      </w:r>
      <w:smartTag w:uri="http://www.bna.com/sgml2word/cite" w:element="cite.cfr">
        <w:smartTagPr>
          <w:attr w:name="ref" w:val="cfr\26\1.652(b)-3(b)"/>
        </w:smartTagPr>
        <w:r>
          <w:t>§1.652(b)-3(b)</w:t>
        </w:r>
      </w:smartTag>
      <w:r>
        <w:t xml:space="preserve"> was to treat any permissible allocation of expenses for regular tax purposes as a </w:t>
      </w:r>
      <w:r>
        <w:rPr>
          <w:i/>
        </w:rPr>
        <w:t>per se</w:t>
      </w:r>
      <w:r>
        <w:t xml:space="preserve"> reasonable allocation under Reg. </w:t>
      </w:r>
      <w:smartTag w:uri="http://www.bna.com/sgml2word/cite" w:element="cite.cfr">
        <w:smartTagPr>
          <w:attr w:name="ref" w:val="cfr\26\1.1411-4(g)(1)"/>
        </w:smartTagPr>
        <w:r>
          <w:t>§1.1411-4(g)(1)</w:t>
        </w:r>
      </w:smartTag>
      <w:r>
        <w:t xml:space="preserve"> in order to assure fiduciaries that a reallocation of expenses is not required for NIIT purposes. The intent was not to allow taxpayers a reallocation opportunity solely for NIIT purposes. To resolve this issue, the </w:t>
      </w:r>
      <w:hyperlink r:id="rId13" w:history="1">
        <w:r>
          <w:rPr>
            <w:rStyle w:val="Hyperlink"/>
          </w:rPr>
          <w:t>Instructions for Form 8960</w:t>
        </w:r>
      </w:hyperlink>
      <w:r>
        <w:t xml:space="preserve"> expressly state that “[i]f an estate or trust allocates expenses for regular tax purposes under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 any deviation from that allocation may not be a reasonable allocation method for NIIT purposes.”</w:t>
      </w:r>
      <w:r>
        <w:rPr>
          <w:rStyle w:val="FootnoteReference"/>
        </w:rPr>
        <w:footnoteReference w:id="656"/>
      </w:r>
    </w:p>
    <w:p w14:paraId="080F4039" w14:textId="77777777" w:rsidR="00494B49" w:rsidRDefault="00494B49">
      <w:pPr>
        <w:pStyle w:val="BHead1"/>
      </w:pPr>
      <w:r>
        <w:t>D. Application of §67 and §68 Limitations</w:t>
      </w:r>
    </w:p>
    <w:p w14:paraId="4C1F8AD8" w14:textId="77777777" w:rsidR="00494B49" w:rsidRDefault="00494B49">
      <w:pPr>
        <w:pStyle w:val="BNormal"/>
      </w:pPr>
      <w:r>
        <w:t xml:space="preserve">Properly allocable deductions that are itemized deductions subject to the 2% floor on miscellaneous itemized deductions under </w:t>
      </w:r>
      <w:smartTag w:uri="http://www.bna.com/sgml2word/cite" w:element="cite.usc">
        <w:smartTagPr>
          <w:attr w:name="ref" w:val="USC\26\67"/>
        </w:smartTagPr>
        <w:r>
          <w:t>§67</w:t>
        </w:r>
      </w:smartTag>
      <w:r>
        <w:t>.</w:t>
      </w:r>
      <w:r>
        <w:rPr>
          <w:rStyle w:val="FootnoteReference"/>
        </w:rPr>
        <w:footnoteReference w:id="657"/>
      </w:r>
      <w:r>
        <w:t xml:space="preserve"> or subject to the overall limitation on itemized deductions under </w:t>
      </w:r>
      <w:smartTag w:uri="http://www.bna.com/sgml2word/cite" w:element="cite.usc">
        <w:smartTagPr>
          <w:attr w:name="ref" w:val="USC\26\68"/>
        </w:smartTagPr>
        <w:r>
          <w:t>§68</w:t>
        </w:r>
      </w:smartTag>
      <w:r>
        <w:rPr>
          <w:rStyle w:val="FootnoteReference"/>
        </w:rPr>
        <w:footnoteReference w:id="658"/>
      </w:r>
      <w:r>
        <w:t xml:space="preserve"> may be deducted in determining net investment income only to the extent they are deductible for income tax purposes (in the case of tax years beginning before 2018, after the application of the 2% floor and the overall deduction limitation).</w:t>
      </w:r>
      <w:r>
        <w:rPr>
          <w:rStyle w:val="FootnoteReference"/>
        </w:rPr>
        <w:footnoteReference w:id="659"/>
      </w:r>
      <w:r>
        <w:t xml:space="preserve"> Some deductions allowable for tax years beginning before 2018, such as investment expenses</w:t>
      </w:r>
      <w:r>
        <w:rPr>
          <w:rStyle w:val="FootnoteReference"/>
        </w:rPr>
        <w:footnoteReference w:id="660"/>
      </w:r>
      <w:r>
        <w:t xml:space="preserve"> and tax-related expenses,</w:t>
      </w:r>
      <w:r>
        <w:rPr>
          <w:rStyle w:val="FootnoteReference"/>
        </w:rPr>
        <w:footnoteReference w:id="661"/>
      </w:r>
      <w:r>
        <w:t xml:space="preserve"> are subject to limitation under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while other deductions, such as deductible state, local, and foreign income taxes,</w:t>
      </w:r>
      <w:r>
        <w:rPr>
          <w:rStyle w:val="FootnoteReference"/>
        </w:rPr>
        <w:footnoteReference w:id="662"/>
      </w:r>
      <w:r>
        <w:t xml:space="preserve"> are subject only to the limitation under </w:t>
      </w:r>
      <w:smartTag w:uri="http://www.bna.com/sgml2word/cite" w:element="cite.usc">
        <w:smartTagPr>
          <w:attr w:name="ref" w:val="USC\26\68"/>
        </w:smartTagPr>
        <w:r>
          <w:t>§68</w:t>
        </w:r>
      </w:smartTag>
      <w:r>
        <w:t>.</w:t>
      </w:r>
    </w:p>
    <w:p w14:paraId="711E6CE3" w14:textId="77777777" w:rsidR="00494B49" w:rsidRDefault="00494B49">
      <w:pPr>
        <w:pStyle w:val="BNormal"/>
      </w:pPr>
      <w:r>
        <w:lastRenderedPageBreak/>
        <w:t>For tax years beginning in 2018 through 2025, miscellaneous itemized deductions are disallowed,</w:t>
      </w:r>
      <w:r>
        <w:rPr>
          <w:rStyle w:val="FootnoteReference"/>
        </w:rPr>
        <w:footnoteReference w:id="663"/>
      </w:r>
      <w:r>
        <w:t xml:space="preserve"> and the overall limitation on itemized deductions under </w:t>
      </w:r>
      <w:smartTag w:uri="http://www.bna.com/sgml2word/cite" w:element="cite.usc">
        <w:smartTagPr>
          <w:attr w:name="ref" w:val="USC\26\68"/>
        </w:smartTagPr>
        <w:r>
          <w:t>§68</w:t>
        </w:r>
      </w:smartTag>
      <w:r>
        <w:t xml:space="preserve"> does not apply.</w:t>
      </w:r>
      <w:r>
        <w:rPr>
          <w:rStyle w:val="FootnoteReference"/>
        </w:rPr>
        <w:footnoteReference w:id="664"/>
      </w:r>
      <w:r>
        <w:t xml:space="preserve"> As a result, the mechanics contained in this portion of the 2013 Final Regulations should be suspended for tax years beginning in 2018 through 2025.</w:t>
      </w:r>
    </w:p>
    <w:p w14:paraId="37443A4D" w14:textId="77777777" w:rsidR="00494B49" w:rsidRDefault="00494B49">
      <w:pPr>
        <w:pStyle w:val="BNormal"/>
      </w:pPr>
      <w:r>
        <w:t xml:space="preserve">The 2013 Final Regulations provide a two-step sequential approach to the application of the </w:t>
      </w:r>
      <w:smartTag w:uri="http://www.bna.com/sgml2word/cite" w:element="cite.usc">
        <w:smartTagPr>
          <w:attr w:name="ref" w:val="USC\26\67"/>
        </w:smartTagPr>
        <w:r>
          <w:t>§67</w:t>
        </w:r>
      </w:smartTag>
      <w:r>
        <w:t xml:space="preserve"> limitation and the </w:t>
      </w:r>
      <w:smartTag w:uri="http://www.bna.com/sgml2word/cite" w:element="cite.usc">
        <w:smartTagPr>
          <w:attr w:name="ref" w:val="USC\26\68"/>
        </w:smartTagPr>
        <w:r>
          <w:t>§68</w:t>
        </w:r>
      </w:smartTag>
      <w:r>
        <w:t xml:space="preserve"> limitation, which is consistent with the way in which these deduction limitations are applied under Chapter 1. </w:t>
      </w:r>
    </w:p>
    <w:p w14:paraId="4F7D5CEF" w14:textId="77777777" w:rsidR="00494B49" w:rsidRDefault="00494B49">
      <w:pPr>
        <w:pStyle w:val="BHead2"/>
      </w:pPr>
      <w:r>
        <w:t xml:space="preserve">1. Step 1 — Application of the §67 Limitation </w:t>
      </w:r>
    </w:p>
    <w:p w14:paraId="1763292C" w14:textId="77777777" w:rsidR="00494B49" w:rsidRDefault="00494B49">
      <w:pPr>
        <w:pStyle w:val="BNormal"/>
      </w:pPr>
      <w:smartTag w:uri="http://www.bna.com/sgml2word/cite" w:element="cite.usc">
        <w:smartTagPr>
          <w:attr w:name="ref" w:val="USC\26\67"/>
        </w:smartTagPr>
        <w:r>
          <w:t>Section 67</w:t>
        </w:r>
      </w:smartTag>
      <w:r>
        <w:t xml:space="preserve"> provides that (for tax years beginning before 2018) in the case of an individual taxpayer, miscellaneous itemized deductions for any tax year are allowed only to the extent that they exceed 2% of the taxpayer’s adjusted gross income.</w:t>
      </w:r>
      <w:r>
        <w:rPr>
          <w:rStyle w:val="FootnoteReference"/>
        </w:rPr>
        <w:footnoteReference w:id="665"/>
      </w:r>
      <w:r>
        <w:t xml:space="preserve"> Thus, </w:t>
      </w:r>
      <w:smartTag w:uri="http://www.bna.com/sgml2word/cite" w:element="cite.usc">
        <w:smartTagPr>
          <w:attr w:name="ref" w:val="USC\26\67"/>
        </w:smartTagPr>
        <w:r>
          <w:t>§67</w:t>
        </w:r>
      </w:smartTag>
      <w:r>
        <w:t xml:space="preserve"> imposes a 2% floor on miscellaneous itemized deductions for tax years beginning before 2018. Under the 2013 Final Regulations, the amount of miscellaneous itemized deductions allowed under </w:t>
      </w:r>
      <w:smartTag w:uri="http://www.bna.com/sgml2word/cite" w:element="cite.usc">
        <w:smartTagPr>
          <w:attr w:name="ref" w:val="USC\26\67"/>
        </w:smartTagPr>
        <w:r>
          <w:t>§67</w:t>
        </w:r>
      </w:smartTag>
      <w:r>
        <w:t xml:space="preserve"> in determining net investment income (but before the application of </w:t>
      </w:r>
      <w:smartTag w:uri="http://www.bna.com/sgml2word/cite" w:element="cite.usc">
        <w:smartTagPr>
          <w:attr w:name="ref" w:val="USC\26\68"/>
        </w:smartTagPr>
        <w:r>
          <w:t>§68</w:t>
        </w:r>
      </w:smartTag>
      <w:r>
        <w:t xml:space="preserve">) is equal to the lesser of: (1) the amount of miscellaneous itemized deductions (before applying </w:t>
      </w:r>
      <w:smartTag w:uri="http://www.bna.com/sgml2word/cite" w:element="cite.usc">
        <w:smartTagPr>
          <w:attr w:name="ref" w:val="USC\26\67"/>
        </w:smartTagPr>
        <w:r>
          <w:t>§67</w:t>
        </w:r>
      </w:smartTag>
      <w:r>
        <w:t xml:space="preserve">) that are properly allocable to net investment income, or (2) the total amount of all miscellaneous itemized deductions allowed after the application of </w:t>
      </w:r>
      <w:smartTag w:uri="http://www.bna.com/sgml2word/cite" w:element="cite.usc">
        <w:smartTagPr>
          <w:attr w:name="ref" w:val="USC\26\67"/>
        </w:smartTagPr>
        <w:r>
          <w:t>§67</w:t>
        </w:r>
      </w:smartTag>
      <w:r>
        <w:t>.</w:t>
      </w:r>
      <w:r>
        <w:rPr>
          <w:rStyle w:val="FootnoteReference"/>
        </w:rPr>
        <w:footnoteReference w:id="666"/>
      </w:r>
      <w:r>
        <w:t xml:space="preserve"> In other words, the amount of miscellaneous itemized deductions allowed in determining net investment income cannot exceed the amount of all miscellaneous itemized deductions allowed after application of </w:t>
      </w:r>
      <w:smartTag w:uri="http://www.bna.com/sgml2word/cite" w:element="cite.usc">
        <w:smartTagPr>
          <w:attr w:name="ref" w:val="USC\26\67"/>
        </w:smartTagPr>
        <w:r>
          <w:t>§67</w:t>
        </w:r>
      </w:smartTag>
      <w:r>
        <w:t xml:space="preserve"> (but before application of </w:t>
      </w:r>
      <w:smartTag w:uri="http://www.bna.com/sgml2word/cite" w:element="cite.usc">
        <w:smartTagPr>
          <w:attr w:name="ref" w:val="USC\26\68"/>
        </w:smartTagPr>
        <w:r>
          <w:t>§68</w:t>
        </w:r>
      </w:smartTag>
      <w:r>
        <w:t>). Because of the disallowance of miscellaneous itemized deductions for tax years beginning in 2018 through 2025, the amount of miscellaneous itemized deductions allowed in determining net investment income is zero for those years.</w:t>
      </w:r>
    </w:p>
    <w:p w14:paraId="522F497C" w14:textId="77777777" w:rsidR="00494B49" w:rsidRDefault="00494B49">
      <w:pPr>
        <w:pStyle w:val="BHead2"/>
      </w:pPr>
      <w:r>
        <w:t>2. Step 2 — Application of the §68 Limitation</w:t>
      </w:r>
    </w:p>
    <w:p w14:paraId="7B230557" w14:textId="77777777" w:rsidR="00494B49" w:rsidRDefault="00494B49">
      <w:pPr>
        <w:pStyle w:val="BNormal"/>
      </w:pPr>
      <w:r>
        <w:t>For tax years beginning before 2018,</w:t>
      </w:r>
      <w:r>
        <w:rPr>
          <w:rStyle w:val="FootnoteReference"/>
        </w:rPr>
        <w:footnoteReference w:id="667"/>
      </w:r>
      <w:r>
        <w:t xml:space="preserve"> </w:t>
      </w:r>
      <w:smartTag w:uri="http://www.bna.com/sgml2word/cite" w:element="cite.usc">
        <w:smartTagPr>
          <w:attr w:name="ref" w:val="USC\26\68"/>
        </w:smartTagPr>
        <w:r>
          <w:t>§68</w:t>
        </w:r>
      </w:smartTag>
      <w:r>
        <w:t xml:space="preserve"> provides that a taxpayer whose adjusted gross incomes exceeds the “applicable amount”</w:t>
      </w:r>
      <w:r>
        <w:rPr>
          <w:rStyle w:val="FootnoteReference"/>
        </w:rPr>
        <w:footnoteReference w:id="668"/>
      </w:r>
      <w:r>
        <w:t xml:space="preserve"> must reduce the amount of otherwise allowable itemized deductions by the lesser of 3% of the excess of adjusted gross income over the applicable amount, or 80% of the amount of otherwise allowable itemized deductions.</w:t>
      </w:r>
      <w:r>
        <w:rPr>
          <w:rStyle w:val="FootnoteReference"/>
        </w:rPr>
        <w:footnoteReference w:id="669"/>
      </w:r>
    </w:p>
    <w:p w14:paraId="0990DF02" w14:textId="77777777" w:rsidR="00494B49" w:rsidRDefault="00494B49">
      <w:pPr>
        <w:pStyle w:val="BNormal"/>
      </w:pPr>
      <w:r>
        <w:t xml:space="preserve">Under the 2013 Final Regulations, the amount of itemized deductions subject to limitation under </w:t>
      </w:r>
      <w:smartTag w:uri="http://www.bna.com/sgml2word/cite" w:element="cite.usc">
        <w:smartTagPr>
          <w:attr w:name="ref" w:val="USC\26\68"/>
        </w:smartTagPr>
        <w:r>
          <w:t>§68</w:t>
        </w:r>
      </w:smartTag>
      <w:r>
        <w:t xml:space="preserve"> that are deducted in determining net investment income is equal to the lesser of: (1) the amount of such deductions that are properly allocable to net investment income allowed after the application of </w:t>
      </w:r>
      <w:smartTag w:uri="http://www.bna.com/sgml2word/cite" w:element="cite.usc">
        <w:smartTagPr>
          <w:attr w:name="ref" w:val="USC\26\67"/>
        </w:smartTagPr>
        <w:r>
          <w:t>§67</w:t>
        </w:r>
      </w:smartTag>
      <w:r>
        <w:t xml:space="preserve"> but before the application of </w:t>
      </w:r>
      <w:smartTag w:uri="http://www.bna.com/sgml2word/cite" w:element="cite.usc">
        <w:smartTagPr>
          <w:attr w:name="ref" w:val="USC\26\68"/>
        </w:smartTagPr>
        <w:r>
          <w:t>§68</w:t>
        </w:r>
      </w:smartTag>
      <w:r>
        <w:t xml:space="preserve"> (which is the amount determined under Step 1, above, plus the amount of nonmiscellaneous itemized deductions properly allocable to net investment income before application of </w:t>
      </w:r>
      <w:smartTag w:uri="http://www.bna.com/sgml2word/cite" w:element="cite.usc">
        <w:smartTagPr>
          <w:attr w:name="ref" w:val="USC\26\68"/>
        </w:smartTagPr>
        <w:r>
          <w:t>§68</w:t>
        </w:r>
      </w:smartTag>
      <w:r>
        <w:t xml:space="preserve">), or (2) the total amount of all itemized deductions allowed after the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r>
        <w:rPr>
          <w:rStyle w:val="FootnoteReference"/>
        </w:rPr>
        <w:footnoteReference w:id="670"/>
      </w:r>
      <w:r>
        <w:t xml:space="preserve"> In other words, the amount of itemized </w:t>
      </w:r>
      <w:r>
        <w:lastRenderedPageBreak/>
        <w:t xml:space="preserve">deductions allowed in determining net investment income cannot exceed the amount of all itemized deductions allowed after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p>
    <w:p w14:paraId="15C801B5" w14:textId="77777777" w:rsidR="00494B49" w:rsidRDefault="00494B49">
      <w:pPr>
        <w:pStyle w:val="BNormal"/>
      </w:pPr>
      <w:r>
        <w:rPr>
          <w:i/>
        </w:rPr>
        <w:t>Note:</w:t>
      </w:r>
      <w:r>
        <w:t xml:space="preserve"> Because of the disallowance of miscellaneous itemized deductions under </w:t>
      </w:r>
      <w:smartTag w:uri="http://www.bna.com/sgml2word/cite" w:element="cite.usc">
        <w:smartTagPr>
          <w:attr w:name="ref" w:val="USC\26\67(g)"/>
        </w:smartTagPr>
        <w:r>
          <w:t>§67(g)</w:t>
        </w:r>
      </w:smartTag>
      <w:r>
        <w:t xml:space="preserve"> and the inapplicability of the overall limitation on itemized deductions rule under </w:t>
      </w:r>
      <w:smartTag w:uri="http://www.bna.com/sgml2word/cite" w:element="cite.usc">
        <w:smartTagPr>
          <w:attr w:name="ref" w:val="USC\26\68(f)"/>
        </w:smartTagPr>
        <w:r>
          <w:t>§68(f)</w:t>
        </w:r>
      </w:smartTag>
      <w:r>
        <w:t xml:space="preserve"> for tax years beginning in 2018 through 2025, the amount of itemized deductions allowed in determining net investment income is only partially limited, and </w:t>
      </w:r>
      <w:smartTag w:uri="http://www.bna.com/sgml2word/cite" w:element="cite.usc">
        <w:smartTagPr>
          <w:attr w:name="ref" w:val="USC\26\68"/>
        </w:smartTagPr>
        <w:r>
          <w:t>§68</w:t>
        </w:r>
      </w:smartTag>
      <w:r>
        <w:t xml:space="preserve"> does not apply.</w:t>
      </w:r>
    </w:p>
    <w:p w14:paraId="34F63626" w14:textId="77777777" w:rsidR="00494B49" w:rsidRDefault="00494B49">
      <w:pPr>
        <w:pStyle w:val="BHead2"/>
      </w:pPr>
      <w:r>
        <w:t>3. Planning and Compliance</w:t>
      </w:r>
    </w:p>
    <w:p w14:paraId="64882EE3" w14:textId="77777777" w:rsidR="00494B49" w:rsidRDefault="00494B49">
      <w:pPr>
        <w:pStyle w:val="BNormal"/>
      </w:pPr>
      <w:r>
        <w:t xml:space="preserve">Reg. </w:t>
      </w:r>
      <w:smartTag w:uri="http://www.bna.com/sgml2word/cite" w:element="cite.cfr">
        <w:smartTagPr>
          <w:attr w:name="ref" w:val="cfr\26\1.1411-4(f)(7)(iv)"/>
        </w:smartTagPr>
        <w:r>
          <w:t>§1.1411-4(f)(7)(iv)</w:t>
        </w:r>
      </w:smartTag>
      <w:r>
        <w:t xml:space="preserve"> includes a comprehensive example of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(applicable to tax years beginning before 2018)</w:t>
      </w:r>
      <w:r>
        <w:rPr>
          <w:rStyle w:val="FootnoteReference"/>
        </w:rPr>
        <w:footnoteReference w:id="671"/>
      </w:r>
      <w:r>
        <w:t xml:space="preserve"> to </w:t>
      </w:r>
      <w:smartTag w:uri="http://www.bna.com/sgml2word/cite" w:element="cite.usc">
        <w:smartTagPr>
          <w:attr w:name="ref" w:val="USC\26\1411(c)(1)(B)"/>
        </w:smartTagPr>
        <w:r>
          <w:t>§1411(c)(1)(B)</w:t>
        </w:r>
      </w:smartTag>
      <w:r>
        <w:t xml:space="preserve"> properly allocable deductions. The Instructions to </w:t>
      </w:r>
      <w:smartTag w:uri="http://www.bna.com/sgml2word/cite" w:element="cite.fed.form">
        <w:smartTagPr>
          <w:attr w:name="ref" w:val="irs\form8960"/>
        </w:smartTagPr>
        <w:r>
          <w:t>Form 8960</w:t>
        </w:r>
      </w:smartTag>
      <w:r>
        <w:t xml:space="preserve"> (2017) also provide a worksheet to calculate the amount of allowable deductions. The instructions pick up where the example in the regulations leaves off. The regulation example applies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to the aggregate amount of deductions subject to the 2% and 3% limitations, but it does not take the next step and show the amount of reduction allocable to each deduction included in the calculation.</w:t>
      </w:r>
      <w:r>
        <w:rPr>
          <w:rStyle w:val="FootnoteReference"/>
        </w:rPr>
        <w:footnoteReference w:id="672"/>
      </w:r>
    </w:p>
    <w:p w14:paraId="577BA78F" w14:textId="77777777" w:rsidR="00494B49" w:rsidRDefault="00494B49">
      <w:pPr>
        <w:pStyle w:val="BNormal"/>
      </w:pPr>
      <w:r>
        <w:rPr>
          <w:i/>
        </w:rPr>
        <w:t>Comment:</w:t>
      </w:r>
      <w:r>
        <w:t xml:space="preserve"> The primary reason that the limitation is allocated to each deduction individually is to make the recovery rules function properly.</w:t>
      </w:r>
      <w:r>
        <w:rPr>
          <w:rStyle w:val="FootnoteReference"/>
        </w:rPr>
        <w:footnoteReference w:id="673"/>
      </w:r>
      <w:r>
        <w:t xml:space="preserve"> If a deduction is partially limited by either the 2% or 3% limitation, and the deduction is recovered in a subsequent year such that Reg. </w:t>
      </w:r>
      <w:smartTag w:uri="http://www.bna.com/sgml2word/cite" w:element="cite.cfr">
        <w:smartTagPr>
          <w:attr w:name="ref" w:val="cfr\26\1.1411-4(g)(2)"/>
        </w:smartTagPr>
        <w:r>
          <w:t>§1.1411-4(g)(2)</w:t>
        </w:r>
      </w:smartTag>
      <w:r>
        <w:t xml:space="preserve"> causes it to be included in net investment income, the amount of the recovery is limited to the amount previously deducted. Unless the amount of total deductions lost to the 2% or 3% limitation is apportioned to the individual deductions, it is impossible to determine the amount of the cap on income inclusion.</w:t>
      </w:r>
      <w:r>
        <w:rPr>
          <w:rStyle w:val="FootnoteReference"/>
        </w:rPr>
        <w:footnoteReference w:id="674"/>
      </w:r>
    </w:p>
    <w:p w14:paraId="3DD804C6" w14:textId="77777777" w:rsidR="00494B49" w:rsidRDefault="00494B49">
      <w:pPr>
        <w:pStyle w:val="BHead3"/>
      </w:pPr>
      <w:r>
        <w:t>a. Application of Form 8960 to Regulation Example</w:t>
      </w:r>
    </w:p>
    <w:p w14:paraId="233BE205" w14:textId="77777777" w:rsidR="00494B49" w:rsidRDefault="00494B49">
      <w:pPr>
        <w:pStyle w:val="BNormal"/>
      </w:pPr>
      <w:r>
        <w:t xml:space="preserve">The following table applies worksheet and allocation methodology from the </w:t>
      </w:r>
      <w:hyperlink r:id="rId14" w:history="1">
        <w:r>
          <w:rPr>
            <w:rStyle w:val="Hyperlink"/>
          </w:rPr>
          <w:t>Instructions for Form 8960</w:t>
        </w:r>
      </w:hyperlink>
      <w:r>
        <w:t xml:space="preserve"> to the facts and figures in the example from Reg. </w:t>
      </w:r>
      <w:smartTag w:uri="http://www.bna.com/sgml2word/cite" w:element="cite.cfr">
        <w:smartTagPr>
          <w:attr w:name="ref" w:val="cfr\26\1.1411-4(f)(7)(iv)"/>
        </w:smartTagPr>
        <w:r>
          <w:t>§1.1411-4(f)(7)(iv)</w:t>
        </w:r>
      </w:smartTag>
      <w:r>
        <w:t xml:space="preserve"> for a hypothetical tax year beginning before 2018.</w:t>
      </w:r>
      <w:r>
        <w:rPr>
          <w:rStyle w:val="FootnoteReference"/>
        </w:rPr>
        <w:footnoteReference w:id="675"/>
      </w:r>
    </w:p>
    <w:p w14:paraId="4B5A953C" w14:textId="77777777" w:rsidR="00494B49" w:rsidRDefault="00494B49">
      <w:pPr>
        <w:pStyle w:val="BNormal"/>
      </w:pPr>
      <w:r>
        <w:t xml:space="preserve">In a tax year beginning before 2018, A, an unmarried individual, has adjusted gross income of $2,000,000 (comprised of interest of $400,000 and wages of $1,600,000). In addition, A has the following items of expense qualifying as itemized deductions: </w:t>
      </w:r>
    </w:p>
    <w:p w14:paraId="6D1BFA35" w14:textId="77777777" w:rsidR="00494B49" w:rsidRDefault="00494B49">
      <w:pPr>
        <w:pStyle w:val="BListitembul"/>
      </w:pPr>
      <w:r>
        <w:t>Investment expenses of $70,000;</w:t>
      </w:r>
    </w:p>
    <w:p w14:paraId="655AB42B" w14:textId="77777777" w:rsidR="00494B49" w:rsidRDefault="00494B49">
      <w:pPr>
        <w:pStyle w:val="BListitembul"/>
      </w:pPr>
      <w:r>
        <w:t xml:space="preserve">Job-related expenses of $30,000; </w:t>
      </w:r>
    </w:p>
    <w:p w14:paraId="63BECBA2" w14:textId="77777777" w:rsidR="00494B49" w:rsidRDefault="00494B49">
      <w:pPr>
        <w:pStyle w:val="BListitembul"/>
      </w:pPr>
      <w:r>
        <w:t xml:space="preserve">Investment interest expense of $75,000; and </w:t>
      </w:r>
    </w:p>
    <w:p w14:paraId="2996E2EA" w14:textId="77777777" w:rsidR="00494B49" w:rsidRDefault="00494B49">
      <w:pPr>
        <w:pStyle w:val="BListitembul"/>
      </w:pPr>
      <w:r>
        <w:lastRenderedPageBreak/>
        <w:t xml:space="preserve">State income taxes of $120,000. </w:t>
      </w:r>
    </w:p>
    <w:p w14:paraId="1C8BF56A" w14:textId="77777777" w:rsidR="00494B49" w:rsidRDefault="00494B49" w:rsidP="007865AF">
      <w:pPr>
        <w:pStyle w:val="BNormal"/>
      </w:pPr>
      <w:r>
        <w:t xml:space="preserve">The investment expenses ($70,000) and job-related expenses ($30,000) are miscellaneous itemized deductions. The investment expenses ($70,000) and investment interest expenses ($75,000) are both properly allocable to net investment income. The job-related expenses are not. The state income tax must be allocated between net investment income and other income, using a reasonable allocation method. Assume that after applying a reasonable method, $20,000 of the state income tax expenses is allocated to net investment income. </w:t>
      </w:r>
    </w:p>
    <w:p w14:paraId="4052A525" w14:textId="77777777" w:rsidR="00494B49" w:rsidRDefault="00494B49" w:rsidP="007865AF">
      <w:pPr>
        <w:pStyle w:val="BNormal"/>
      </w:pPr>
    </w:p>
    <w:tbl>
      <w:tblPr>
        <w:tblStyle w:val="TableGrid"/>
        <w:tblW w:w="9354" w:type="dxa"/>
        <w:tblLook w:val="04A0" w:firstRow="1" w:lastRow="0" w:firstColumn="1" w:lastColumn="0" w:noHBand="0" w:noVBand="1"/>
      </w:tblPr>
      <w:tblGrid>
        <w:gridCol w:w="4858"/>
        <w:gridCol w:w="2607"/>
        <w:gridCol w:w="1889"/>
      </w:tblGrid>
      <w:tr w:rsidR="004D5B60" w14:paraId="1F7A319F" w14:textId="25653527" w:rsidTr="004D5B60">
        <w:tc>
          <w:tcPr>
            <w:tcW w:w="4858" w:type="dxa"/>
          </w:tcPr>
          <w:p w14:paraId="3D965AC7" w14:textId="77777777" w:rsidR="00494B49" w:rsidRDefault="00494B49">
            <w:r>
              <w:t xml:space="preserve"> </w:t>
            </w:r>
            <w:r>
              <w:rPr>
                <w:b/>
                <w:i/>
              </w:rPr>
              <w:t>Form 8960, Lines 9-10 Worksheet</w:t>
            </w:r>
          </w:p>
          <w:p w14:paraId="4C255211" w14:textId="77777777" w:rsidR="00494B49" w:rsidRDefault="00494B49">
            <w:r>
              <w:t xml:space="preserve"> </w:t>
            </w:r>
            <w:r>
              <w:rPr>
                <w:b/>
                <w:i/>
              </w:rPr>
              <w:t>Part I</w:t>
            </w:r>
          </w:p>
          <w:p w14:paraId="4ECA44D8" w14:textId="77777777" w:rsidR="00494B49" w:rsidRDefault="00494B49">
            <w:r>
              <w:t xml:space="preserve"> </w:t>
            </w:r>
            <w:r>
              <w:rPr>
                <w:b/>
                <w:i/>
              </w:rPr>
              <w:t>Application of Section 67 to Deductions Properly Allocable to Investment Income</w:t>
            </w:r>
          </w:p>
          <w:p w14:paraId="40BFF72C" w14:textId="77777777" w:rsidR="00494B49" w:rsidRDefault="00494B49"/>
        </w:tc>
        <w:tc>
          <w:tcPr>
            <w:tcW w:w="2607" w:type="dxa"/>
            <w:shd w:val="clear" w:color="auto" w:fill="auto"/>
          </w:tcPr>
          <w:p w14:paraId="61861FCF" w14:textId="77777777" w:rsidR="004D5B60" w:rsidRDefault="004D5B60"/>
        </w:tc>
        <w:tc>
          <w:tcPr>
            <w:tcW w:w="1889" w:type="dxa"/>
            <w:shd w:val="clear" w:color="auto" w:fill="auto"/>
          </w:tcPr>
          <w:p w14:paraId="36B4E286" w14:textId="77777777" w:rsidR="004D5B60" w:rsidRDefault="004D5B60"/>
        </w:tc>
      </w:tr>
      <w:tr w:rsidR="00494B49" w14:paraId="6F31A393" w14:textId="77777777" w:rsidTr="004D5B60">
        <w:tc>
          <w:tcPr>
            <w:tcW w:w="4858" w:type="dxa"/>
          </w:tcPr>
          <w:p w14:paraId="2DCE640C" w14:textId="77777777" w:rsidR="00494B49" w:rsidRDefault="00494B49">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07" w:type="dxa"/>
          </w:tcPr>
          <w:p w14:paraId="61E0FE8B" w14:textId="77777777" w:rsidR="00494B49" w:rsidRDefault="00494B49"/>
        </w:tc>
        <w:tc>
          <w:tcPr>
            <w:tcW w:w="1889" w:type="dxa"/>
          </w:tcPr>
          <w:p w14:paraId="0F9200B4" w14:textId="77777777" w:rsidR="00494B49" w:rsidRDefault="00494B49"/>
        </w:tc>
      </w:tr>
      <w:tr w:rsidR="004D5B60" w14:paraId="65D443F7" w14:textId="2F0D148B" w:rsidTr="004D5B60">
        <w:tc>
          <w:tcPr>
            <w:tcW w:w="4858" w:type="dxa"/>
          </w:tcPr>
          <w:p w14:paraId="5E5D225B" w14:textId="77777777" w:rsidR="00494B49" w:rsidRDefault="00494B49">
            <w:r>
              <w:t>(a) Investment Expenses     9c</w:t>
            </w:r>
          </w:p>
          <w:p w14:paraId="35FBE2E3" w14:textId="77777777" w:rsidR="00494B49" w:rsidRDefault="00494B49">
            <w:r>
              <w:t> Description        Line</w:t>
            </w:r>
          </w:p>
        </w:tc>
        <w:tc>
          <w:tcPr>
            <w:tcW w:w="2607" w:type="dxa"/>
          </w:tcPr>
          <w:p w14:paraId="1B3BF289" w14:textId="77777777" w:rsidR="00494B49" w:rsidRDefault="00494B49">
            <w:r>
              <w:t>$70,000</w:t>
            </w:r>
          </w:p>
        </w:tc>
        <w:tc>
          <w:tcPr>
            <w:tcW w:w="1889" w:type="dxa"/>
            <w:shd w:val="clear" w:color="auto" w:fill="auto"/>
          </w:tcPr>
          <w:p w14:paraId="23D9EDEB" w14:textId="77777777" w:rsidR="004D5B60" w:rsidRDefault="004D5B60"/>
        </w:tc>
      </w:tr>
      <w:tr w:rsidR="00494B49" w14:paraId="6A7BFD6B" w14:textId="77777777" w:rsidTr="004D5B60">
        <w:tc>
          <w:tcPr>
            <w:tcW w:w="4858" w:type="dxa"/>
          </w:tcPr>
          <w:p w14:paraId="1B403E8A" w14:textId="77777777" w:rsidR="00494B49" w:rsidRDefault="00494B49">
            <w:r>
              <w:t>Enter the total of all items listed in Line 1</w:t>
            </w:r>
          </w:p>
        </w:tc>
        <w:tc>
          <w:tcPr>
            <w:tcW w:w="2607" w:type="dxa"/>
          </w:tcPr>
          <w:p w14:paraId="0AABE584" w14:textId="77777777" w:rsidR="00494B49" w:rsidRDefault="00494B49"/>
        </w:tc>
        <w:tc>
          <w:tcPr>
            <w:tcW w:w="1889" w:type="dxa"/>
          </w:tcPr>
          <w:p w14:paraId="7F90A0F6" w14:textId="77777777" w:rsidR="00494B49" w:rsidRDefault="00494B49">
            <w:r>
              <w:t>$70,000</w:t>
            </w:r>
          </w:p>
        </w:tc>
      </w:tr>
      <w:tr w:rsidR="004D5B60" w14:paraId="07B708F1" w14:textId="7A89068A" w:rsidTr="004D5B60">
        <w:tc>
          <w:tcPr>
            <w:tcW w:w="4858" w:type="dxa"/>
          </w:tcPr>
          <w:p w14:paraId="31B5DC0C" w14:textId="77777777" w:rsidR="00494B49" w:rsidRDefault="00494B49">
            <w:r>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 xml:space="preserve">) </w:t>
            </w:r>
          </w:p>
        </w:tc>
        <w:tc>
          <w:tcPr>
            <w:tcW w:w="2607" w:type="dxa"/>
          </w:tcPr>
          <w:p w14:paraId="28C77A99" w14:textId="77777777" w:rsidR="00494B49" w:rsidRDefault="00494B49">
            <w:r>
              <w:t>$60,000</w:t>
            </w:r>
            <w:r>
              <w:rPr>
                <w:rStyle w:val="FootnoteReference"/>
              </w:rPr>
              <w:footnoteReference w:id="676"/>
            </w:r>
          </w:p>
        </w:tc>
        <w:tc>
          <w:tcPr>
            <w:tcW w:w="1889" w:type="dxa"/>
            <w:shd w:val="clear" w:color="auto" w:fill="auto"/>
          </w:tcPr>
          <w:p w14:paraId="75CCE8D8" w14:textId="77777777" w:rsidR="004D5B60" w:rsidRDefault="004D5B60"/>
        </w:tc>
      </w:tr>
      <w:tr w:rsidR="00494B49" w14:paraId="69516EB0" w14:textId="77777777" w:rsidTr="004D5B60">
        <w:tc>
          <w:tcPr>
            <w:tcW w:w="4858" w:type="dxa"/>
          </w:tcPr>
          <w:p w14:paraId="13DEB25C" w14:textId="77777777" w:rsidR="00494B49" w:rsidRDefault="00494B49">
            <w:r>
              <w:t xml:space="preserve">Enter the lesser of the total reported on Line 2 or Line 3. </w:t>
            </w:r>
          </w:p>
        </w:tc>
        <w:tc>
          <w:tcPr>
            <w:tcW w:w="2607" w:type="dxa"/>
          </w:tcPr>
          <w:p w14:paraId="616D3EB9" w14:textId="77777777" w:rsidR="00494B49" w:rsidRDefault="00494B49"/>
        </w:tc>
        <w:tc>
          <w:tcPr>
            <w:tcW w:w="1889" w:type="dxa"/>
          </w:tcPr>
          <w:p w14:paraId="370C2E1A" w14:textId="77777777" w:rsidR="00494B49" w:rsidRDefault="00494B49">
            <w:r>
              <w:t>$60,000</w:t>
            </w:r>
          </w:p>
        </w:tc>
      </w:tr>
    </w:tbl>
    <w:p w14:paraId="74104E92" w14:textId="77777777" w:rsidR="00494B49" w:rsidRDefault="00494B49">
      <w:pPr>
        <w:pStyle w:val="BNormal"/>
      </w:pPr>
      <w:r>
        <w:t xml:space="preserve"> </w:t>
      </w:r>
    </w:p>
    <w:p w14:paraId="30A321D0" w14:textId="77777777" w:rsidR="00494B49" w:rsidRDefault="00494B49" w:rsidP="007865AF">
      <w:pPr>
        <w:pStyle w:val="BNormal"/>
      </w:pPr>
      <w:r>
        <w:t xml:space="preserve">As a result of Reg. </w:t>
      </w:r>
      <w:smartTag w:uri="http://www.bna.com/sgml2word/cite" w:element="cite.cfr">
        <w:smartTagPr>
          <w:attr w:name="ref" w:val="cfr\26\1.1411-4(f)(7)(ii)"/>
        </w:smartTagPr>
        <w:r>
          <w:t>§1.1411-4(f)(7)(ii)</w:t>
        </w:r>
      </w:smartTag>
      <w:r>
        <w:t xml:space="preserve">, the </w:t>
      </w:r>
      <w:smartTag w:uri="http://www.bna.com/sgml2word/cite" w:element="cite.usc">
        <w:smartTagPr>
          <w:attr w:name="ref" w:val="USC\26\67"/>
        </w:smartTagPr>
        <w:r>
          <w:t>§67</w:t>
        </w:r>
      </w:smartTag>
      <w:r>
        <w:t xml:space="preserve"> reduction in miscellaneous itemized deductions ($40,000) first reduces the $30,000 of job-related expenses to zero. The remaining $10,000 reduces the investment expenses from $70,000 to $60,000. In this case, there is only a single 2% deduction item that is properly allocable to net investment income; therefore the $10,000 loss does not need to be allocated between more than one deduction using Form </w:t>
      </w:r>
      <w:smartTag w:uri="http://www.bna.com/sgml2word/cite" w:element="cite.fed.form">
        <w:smartTagPr>
          <w:attr w:name="ref" w:val="irs\form8960"/>
        </w:smartTagPr>
        <w:r>
          <w:t>8960</w:t>
        </w:r>
      </w:smartTag>
      <w:r>
        <w:t xml:space="preserve">, Lines 9–10 Worksheet, Part II. </w:t>
      </w:r>
    </w:p>
    <w:p w14:paraId="7D54FC41" w14:textId="77777777" w:rsidR="00494B49" w:rsidRDefault="00494B49" w:rsidP="007865AF">
      <w:pPr>
        <w:pStyle w:val="BNormal"/>
      </w:pPr>
    </w:p>
    <w:tbl>
      <w:tblPr>
        <w:tblStyle w:val="TableGrid"/>
        <w:tblW w:w="9357" w:type="dxa"/>
        <w:tblLook w:val="04A0" w:firstRow="1" w:lastRow="0" w:firstColumn="1" w:lastColumn="0" w:noHBand="0" w:noVBand="1"/>
      </w:tblPr>
      <w:tblGrid>
        <w:gridCol w:w="4017"/>
        <w:gridCol w:w="1991"/>
        <w:gridCol w:w="1962"/>
        <w:gridCol w:w="7"/>
        <w:gridCol w:w="1373"/>
        <w:gridCol w:w="7"/>
      </w:tblGrid>
      <w:tr w:rsidR="004D5B60" w14:paraId="6B1923D9" w14:textId="0F1BCE64" w:rsidTr="004D5B60">
        <w:tc>
          <w:tcPr>
            <w:tcW w:w="4017" w:type="dxa"/>
          </w:tcPr>
          <w:p w14:paraId="405E45B2" w14:textId="77777777" w:rsidR="00494B49" w:rsidRDefault="00494B49">
            <w:r>
              <w:t xml:space="preserve"> </w:t>
            </w:r>
            <w:r>
              <w:rPr>
                <w:b/>
                <w:i/>
              </w:rPr>
              <w:t>Form 8960, Lines 9-10 Worksheet</w:t>
            </w:r>
          </w:p>
          <w:p w14:paraId="7BA48FB5" w14:textId="77777777" w:rsidR="00494B49" w:rsidRDefault="00494B49">
            <w:r>
              <w:t xml:space="preserve"> </w:t>
            </w:r>
            <w:r>
              <w:rPr>
                <w:b/>
                <w:i/>
              </w:rPr>
              <w:t>Part III</w:t>
            </w:r>
          </w:p>
          <w:p w14:paraId="732A0EFB" w14:textId="77777777" w:rsidR="00494B49" w:rsidRDefault="00494B49">
            <w:r>
              <w:t xml:space="preserve"> </w:t>
            </w:r>
            <w:r>
              <w:rPr>
                <w:b/>
                <w:i/>
              </w:rPr>
              <w:t>Application of Section 68 to deductions properly allocable to investment income</w:t>
            </w:r>
          </w:p>
          <w:p w14:paraId="2F8DB9AE" w14:textId="77777777" w:rsidR="00494B49" w:rsidRDefault="00494B49">
            <w:r>
              <w:t xml:space="preserve"> </w:t>
            </w:r>
            <w:r>
              <w:rPr>
                <w:b/>
                <w:i/>
              </w:rPr>
              <w:t>(Individuals Only)</w:t>
            </w:r>
          </w:p>
        </w:tc>
        <w:tc>
          <w:tcPr>
            <w:tcW w:w="1991" w:type="dxa"/>
            <w:shd w:val="clear" w:color="auto" w:fill="auto"/>
          </w:tcPr>
          <w:p w14:paraId="37A08843" w14:textId="77777777" w:rsidR="004D5B60" w:rsidRDefault="004D5B60"/>
        </w:tc>
        <w:tc>
          <w:tcPr>
            <w:tcW w:w="1969" w:type="dxa"/>
            <w:gridSpan w:val="2"/>
            <w:shd w:val="clear" w:color="auto" w:fill="auto"/>
          </w:tcPr>
          <w:p w14:paraId="7F482E0E" w14:textId="77777777" w:rsidR="004D5B60" w:rsidRDefault="004D5B60"/>
        </w:tc>
        <w:tc>
          <w:tcPr>
            <w:tcW w:w="1380" w:type="dxa"/>
            <w:gridSpan w:val="2"/>
            <w:shd w:val="clear" w:color="auto" w:fill="auto"/>
          </w:tcPr>
          <w:p w14:paraId="38C99D2F" w14:textId="77777777" w:rsidR="004D5B60" w:rsidRDefault="004D5B60"/>
        </w:tc>
      </w:tr>
      <w:tr w:rsidR="00494B49" w14:paraId="3AACACF1" w14:textId="77777777" w:rsidTr="004D5B60">
        <w:trPr>
          <w:gridAfter w:val="1"/>
          <w:wAfter w:w="7" w:type="dxa"/>
        </w:trPr>
        <w:tc>
          <w:tcPr>
            <w:tcW w:w="4017" w:type="dxa"/>
          </w:tcPr>
          <w:p w14:paraId="3E811B4B" w14:textId="77777777" w:rsidR="00494B49" w:rsidRDefault="00494B49">
            <w:r>
              <w:t>(1)</w:t>
            </w:r>
          </w:p>
        </w:tc>
        <w:tc>
          <w:tcPr>
            <w:tcW w:w="1991" w:type="dxa"/>
          </w:tcPr>
          <w:p w14:paraId="7A00CF9A" w14:textId="77777777" w:rsidR="00494B49" w:rsidRDefault="00494B49">
            <w:r>
              <w:t xml:space="preserve">Enter the amount of Miscellaneous Itemized Deductions properly allocable to investment income from column (C) of Part II. </w:t>
            </w:r>
          </w:p>
        </w:tc>
        <w:tc>
          <w:tcPr>
            <w:tcW w:w="1962" w:type="dxa"/>
          </w:tcPr>
          <w:p w14:paraId="0C295277" w14:textId="77777777" w:rsidR="00494B49" w:rsidRDefault="00494B49"/>
        </w:tc>
        <w:tc>
          <w:tcPr>
            <w:tcW w:w="1380" w:type="dxa"/>
            <w:gridSpan w:val="2"/>
          </w:tcPr>
          <w:p w14:paraId="284D5B1A" w14:textId="77777777" w:rsidR="00494B49" w:rsidRDefault="00494B49"/>
        </w:tc>
      </w:tr>
      <w:tr w:rsidR="00B5099F" w14:paraId="7BB03D38" w14:textId="3DD04D63" w:rsidTr="00B5099F">
        <w:trPr>
          <w:gridAfter w:val="1"/>
          <w:wAfter w:w="7" w:type="dxa"/>
        </w:trPr>
        <w:tc>
          <w:tcPr>
            <w:tcW w:w="4017" w:type="dxa"/>
          </w:tcPr>
          <w:p w14:paraId="0D7371BF" w14:textId="77777777" w:rsidR="00494B49" w:rsidRDefault="00494B49"/>
        </w:tc>
        <w:tc>
          <w:tcPr>
            <w:tcW w:w="1991" w:type="dxa"/>
          </w:tcPr>
          <w:p w14:paraId="20DF57D9" w14:textId="77777777" w:rsidR="00494B49" w:rsidRDefault="00494B49">
            <w:r>
              <w:t>(a) Investment Expenses     9c</w:t>
            </w:r>
          </w:p>
          <w:p w14:paraId="3339E0CC" w14:textId="77777777" w:rsidR="00494B49" w:rsidRDefault="00494B49">
            <w:r>
              <w:t> Description        Line</w:t>
            </w:r>
          </w:p>
        </w:tc>
        <w:tc>
          <w:tcPr>
            <w:tcW w:w="1962" w:type="dxa"/>
          </w:tcPr>
          <w:p w14:paraId="4E71B818" w14:textId="77777777" w:rsidR="00494B49" w:rsidRDefault="00494B49">
            <w:r>
              <w:t>$ 60,000</w:t>
            </w:r>
          </w:p>
        </w:tc>
        <w:tc>
          <w:tcPr>
            <w:tcW w:w="1380" w:type="dxa"/>
            <w:gridSpan w:val="2"/>
            <w:shd w:val="clear" w:color="auto" w:fill="auto"/>
          </w:tcPr>
          <w:p w14:paraId="7B35AB0C" w14:textId="77777777" w:rsidR="00B5099F" w:rsidRDefault="00B5099F"/>
        </w:tc>
      </w:tr>
      <w:tr w:rsidR="00494B49" w14:paraId="7B697A0B" w14:textId="77777777" w:rsidTr="004D5B60">
        <w:trPr>
          <w:gridAfter w:val="1"/>
          <w:wAfter w:w="7" w:type="dxa"/>
        </w:trPr>
        <w:tc>
          <w:tcPr>
            <w:tcW w:w="4017" w:type="dxa"/>
          </w:tcPr>
          <w:p w14:paraId="332978A4" w14:textId="77777777" w:rsidR="00494B49" w:rsidRDefault="00494B49">
            <w:r>
              <w:t>(2)</w:t>
            </w:r>
          </w:p>
        </w:tc>
        <w:tc>
          <w:tcPr>
            <w:tcW w:w="1991" w:type="dxa"/>
          </w:tcPr>
          <w:p w14:paraId="5906099D" w14:textId="77777777" w:rsidR="00494B49" w:rsidRDefault="00494B49">
            <w:r>
              <w:t xml:space="preserve">Enter the amount of state, local, and foreign income taxes that are properly allocable to investment income. </w:t>
            </w:r>
          </w:p>
        </w:tc>
        <w:tc>
          <w:tcPr>
            <w:tcW w:w="1962" w:type="dxa"/>
          </w:tcPr>
          <w:p w14:paraId="57ABA44D" w14:textId="77777777" w:rsidR="00494B49" w:rsidRDefault="00494B49">
            <w:r>
              <w:t>$ 20,000</w:t>
            </w:r>
            <w:r>
              <w:rPr>
                <w:rStyle w:val="FootnoteReference"/>
              </w:rPr>
              <w:footnoteReference w:id="677"/>
            </w:r>
          </w:p>
        </w:tc>
        <w:tc>
          <w:tcPr>
            <w:tcW w:w="1380" w:type="dxa"/>
            <w:gridSpan w:val="2"/>
          </w:tcPr>
          <w:p w14:paraId="6ECAF6C3" w14:textId="77777777" w:rsidR="00494B49" w:rsidRDefault="00494B49"/>
        </w:tc>
      </w:tr>
      <w:tr w:rsidR="00494B49" w14:paraId="2E38099A" w14:textId="77777777" w:rsidTr="004D5B60">
        <w:trPr>
          <w:gridAfter w:val="1"/>
          <w:wAfter w:w="7" w:type="dxa"/>
        </w:trPr>
        <w:tc>
          <w:tcPr>
            <w:tcW w:w="4017" w:type="dxa"/>
          </w:tcPr>
          <w:p w14:paraId="187BE4B8" w14:textId="77777777" w:rsidR="00494B49" w:rsidRDefault="00494B49">
            <w:r>
              <w:t>(3)</w:t>
            </w:r>
          </w:p>
        </w:tc>
        <w:tc>
          <w:tcPr>
            <w:tcW w:w="1991" w:type="dxa"/>
          </w:tcPr>
          <w:p w14:paraId="64022FE6"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962" w:type="dxa"/>
          </w:tcPr>
          <w:p w14:paraId="42F46837" w14:textId="77777777" w:rsidR="00494B49" w:rsidRDefault="00494B49">
            <w:r>
              <w:t>None</w:t>
            </w:r>
          </w:p>
        </w:tc>
        <w:tc>
          <w:tcPr>
            <w:tcW w:w="1380" w:type="dxa"/>
            <w:gridSpan w:val="2"/>
          </w:tcPr>
          <w:p w14:paraId="354EE1C5" w14:textId="77777777" w:rsidR="00494B49" w:rsidRDefault="00494B49"/>
        </w:tc>
      </w:tr>
      <w:tr w:rsidR="00B5099F" w14:paraId="70DE2DFC" w14:textId="54EFF4A1" w:rsidTr="00B5099F">
        <w:trPr>
          <w:gridAfter w:val="1"/>
          <w:wAfter w:w="7" w:type="dxa"/>
        </w:trPr>
        <w:tc>
          <w:tcPr>
            <w:tcW w:w="4017" w:type="dxa"/>
          </w:tcPr>
          <w:p w14:paraId="36D513EA" w14:textId="77777777" w:rsidR="00494B49" w:rsidRDefault="00494B49">
            <w:r>
              <w:t>(4)</w:t>
            </w:r>
          </w:p>
        </w:tc>
        <w:tc>
          <w:tcPr>
            <w:tcW w:w="1991" w:type="dxa"/>
          </w:tcPr>
          <w:p w14:paraId="2769CFFA"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962" w:type="dxa"/>
          </w:tcPr>
          <w:p w14:paraId="215C66BD" w14:textId="77777777" w:rsidR="00494B49" w:rsidRDefault="00494B49">
            <w:r>
              <w:t>$ 80,000</w:t>
            </w:r>
          </w:p>
        </w:tc>
        <w:tc>
          <w:tcPr>
            <w:tcW w:w="1380" w:type="dxa"/>
            <w:gridSpan w:val="2"/>
            <w:shd w:val="clear" w:color="auto" w:fill="auto"/>
          </w:tcPr>
          <w:p w14:paraId="14889557" w14:textId="77777777" w:rsidR="00B5099F" w:rsidRDefault="00B5099F"/>
        </w:tc>
      </w:tr>
      <w:tr w:rsidR="00494B49" w14:paraId="19A4C856" w14:textId="77777777" w:rsidTr="004D5B60">
        <w:trPr>
          <w:gridAfter w:val="1"/>
          <w:wAfter w:w="7" w:type="dxa"/>
        </w:trPr>
        <w:tc>
          <w:tcPr>
            <w:tcW w:w="4017" w:type="dxa"/>
          </w:tcPr>
          <w:p w14:paraId="169707C6" w14:textId="77777777" w:rsidR="00494B49" w:rsidRDefault="00494B49">
            <w:r>
              <w:t>(5)</w:t>
            </w:r>
          </w:p>
        </w:tc>
        <w:tc>
          <w:tcPr>
            <w:tcW w:w="1991" w:type="dxa"/>
          </w:tcPr>
          <w:p w14:paraId="3B11E7B5" w14:textId="77777777" w:rsidR="00494B49" w:rsidRDefault="00494B49">
            <w:r>
              <w:t xml:space="preserve">Enter the amount of total itemized deductions reported on Form </w:t>
            </w:r>
            <w:smartTag w:uri="http://www.bna.com/sgml2word/cite" w:element="cite.fed.form">
              <w:smartTagPr>
                <w:attr w:name="ref" w:val="irs\form1040"/>
              </w:smartTagPr>
              <w:r>
                <w:t>1040</w:t>
              </w:r>
            </w:smartTag>
            <w:r>
              <w:t>, Line 40.</w:t>
            </w:r>
          </w:p>
        </w:tc>
        <w:tc>
          <w:tcPr>
            <w:tcW w:w="1962" w:type="dxa"/>
          </w:tcPr>
          <w:p w14:paraId="38F2EE1C" w14:textId="77777777" w:rsidR="00494B49" w:rsidRDefault="00494B49">
            <w:r>
              <w:t>$201,000</w:t>
            </w:r>
            <w:r>
              <w:rPr>
                <w:rStyle w:val="FootnoteReference"/>
              </w:rPr>
              <w:footnoteReference w:id="678"/>
            </w:r>
          </w:p>
        </w:tc>
        <w:tc>
          <w:tcPr>
            <w:tcW w:w="1380" w:type="dxa"/>
            <w:gridSpan w:val="2"/>
          </w:tcPr>
          <w:p w14:paraId="5AA57C77" w14:textId="77777777" w:rsidR="00494B49" w:rsidRDefault="00494B49"/>
        </w:tc>
      </w:tr>
      <w:tr w:rsidR="00494B49" w14:paraId="5B2E9F1B" w14:textId="77777777" w:rsidTr="004D5B60">
        <w:trPr>
          <w:gridAfter w:val="1"/>
          <w:wAfter w:w="7" w:type="dxa"/>
        </w:trPr>
        <w:tc>
          <w:tcPr>
            <w:tcW w:w="4017" w:type="dxa"/>
          </w:tcPr>
          <w:p w14:paraId="61A63C52" w14:textId="77777777" w:rsidR="00494B49" w:rsidRDefault="00494B49">
            <w:r>
              <w:t>(6)</w:t>
            </w:r>
          </w:p>
        </w:tc>
        <w:tc>
          <w:tcPr>
            <w:tcW w:w="1991" w:type="dxa"/>
          </w:tcPr>
          <w:p w14:paraId="4164EEA7"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962" w:type="dxa"/>
          </w:tcPr>
          <w:p w14:paraId="582466D7" w14:textId="77777777" w:rsidR="00494B49" w:rsidRDefault="00494B49"/>
        </w:tc>
        <w:tc>
          <w:tcPr>
            <w:tcW w:w="1380" w:type="dxa"/>
            <w:gridSpan w:val="2"/>
          </w:tcPr>
          <w:p w14:paraId="078A2EB6" w14:textId="77777777" w:rsidR="00494B49" w:rsidRDefault="00494B49"/>
        </w:tc>
      </w:tr>
      <w:tr w:rsidR="00B5099F" w14:paraId="3D56428C" w14:textId="56D5DDB5" w:rsidTr="00B5099F">
        <w:trPr>
          <w:gridAfter w:val="1"/>
          <w:wAfter w:w="7" w:type="dxa"/>
        </w:trPr>
        <w:tc>
          <w:tcPr>
            <w:tcW w:w="4017" w:type="dxa"/>
          </w:tcPr>
          <w:p w14:paraId="269AC858" w14:textId="77777777" w:rsidR="00494B49" w:rsidRDefault="00494B49"/>
        </w:tc>
        <w:tc>
          <w:tcPr>
            <w:tcW w:w="1991" w:type="dxa"/>
          </w:tcPr>
          <w:p w14:paraId="1B04A346" w14:textId="77777777" w:rsidR="00494B49" w:rsidRDefault="00494B49">
            <w:r>
              <w:t>(a) Investment Interest Expense</w:t>
            </w:r>
          </w:p>
          <w:p w14:paraId="1BF87CF6" w14:textId="77777777" w:rsidR="00494B49" w:rsidRDefault="00494B49">
            <w:r>
              <w:t>(b) Casualty Losses</w:t>
            </w:r>
          </w:p>
          <w:p w14:paraId="26DEBC9D" w14:textId="77777777" w:rsidR="00494B49" w:rsidRDefault="00494B49">
            <w:r>
              <w:t>(c) Medical Expenses</w:t>
            </w:r>
          </w:p>
          <w:p w14:paraId="49F6A54E" w14:textId="77777777" w:rsidR="00494B49" w:rsidRDefault="00494B49">
            <w:r>
              <w:t>(d) Gambling</w:t>
            </w:r>
          </w:p>
          <w:p w14:paraId="16308C1D" w14:textId="77777777" w:rsidR="00494B49" w:rsidRDefault="00494B49">
            <w:r>
              <w:t>(e) Total</w:t>
            </w:r>
          </w:p>
        </w:tc>
        <w:tc>
          <w:tcPr>
            <w:tcW w:w="1962" w:type="dxa"/>
          </w:tcPr>
          <w:p w14:paraId="5F7BE1CA" w14:textId="77777777" w:rsidR="00494B49" w:rsidRDefault="00494B49">
            <w:r>
              <w:t>$ 75,000</w:t>
            </w:r>
          </w:p>
          <w:p w14:paraId="2E91F77F" w14:textId="77777777" w:rsidR="00494B49" w:rsidRDefault="00494B49">
            <w:r>
              <w:t>$____________</w:t>
            </w:r>
          </w:p>
          <w:p w14:paraId="30D0994E" w14:textId="77777777" w:rsidR="00494B49" w:rsidRDefault="00494B49">
            <w:r>
              <w:t>$____________</w:t>
            </w:r>
          </w:p>
          <w:p w14:paraId="4D961AD4" w14:textId="77777777" w:rsidR="00494B49" w:rsidRDefault="00494B49">
            <w:r>
              <w:t>$____________</w:t>
            </w:r>
          </w:p>
          <w:p w14:paraId="12901A86" w14:textId="77777777" w:rsidR="00494B49" w:rsidRDefault="00494B49">
            <w:r>
              <w:t>$ 75,000</w:t>
            </w:r>
          </w:p>
        </w:tc>
        <w:tc>
          <w:tcPr>
            <w:tcW w:w="1380" w:type="dxa"/>
            <w:gridSpan w:val="2"/>
            <w:shd w:val="clear" w:color="auto" w:fill="auto"/>
          </w:tcPr>
          <w:p w14:paraId="65A73DF2" w14:textId="77777777" w:rsidR="00B5099F" w:rsidRDefault="00B5099F"/>
        </w:tc>
      </w:tr>
      <w:tr w:rsidR="00494B49" w14:paraId="54D2718E" w14:textId="77777777" w:rsidTr="004D5B60">
        <w:trPr>
          <w:gridAfter w:val="1"/>
          <w:wAfter w:w="7" w:type="dxa"/>
        </w:trPr>
        <w:tc>
          <w:tcPr>
            <w:tcW w:w="4017" w:type="dxa"/>
          </w:tcPr>
          <w:p w14:paraId="3143D3B8" w14:textId="77777777" w:rsidR="00494B49" w:rsidRDefault="00494B49">
            <w:r>
              <w:t>(7)</w:t>
            </w:r>
          </w:p>
        </w:tc>
        <w:tc>
          <w:tcPr>
            <w:tcW w:w="1991" w:type="dxa"/>
          </w:tcPr>
          <w:p w14:paraId="121E120A" w14:textId="77777777" w:rsidR="00494B49" w:rsidRDefault="00494B49">
            <w:r>
              <w:t>Subtract all items in Line 6 from Line 5</w:t>
            </w:r>
          </w:p>
        </w:tc>
        <w:tc>
          <w:tcPr>
            <w:tcW w:w="1962" w:type="dxa"/>
          </w:tcPr>
          <w:p w14:paraId="26A6B518" w14:textId="77777777" w:rsidR="00494B49" w:rsidRDefault="00494B49"/>
        </w:tc>
        <w:tc>
          <w:tcPr>
            <w:tcW w:w="1380" w:type="dxa"/>
            <w:gridSpan w:val="2"/>
          </w:tcPr>
          <w:p w14:paraId="647E1AAE" w14:textId="77777777" w:rsidR="00494B49" w:rsidRDefault="00494B49">
            <w:r>
              <w:t>$ 126,000</w:t>
            </w:r>
          </w:p>
        </w:tc>
      </w:tr>
      <w:tr w:rsidR="00B5099F" w14:paraId="246C0E15" w14:textId="5C005AE8" w:rsidTr="00B5099F">
        <w:trPr>
          <w:gridAfter w:val="1"/>
          <w:wAfter w:w="7" w:type="dxa"/>
        </w:trPr>
        <w:tc>
          <w:tcPr>
            <w:tcW w:w="4017" w:type="dxa"/>
          </w:tcPr>
          <w:p w14:paraId="285B4774" w14:textId="77777777" w:rsidR="00494B49" w:rsidRDefault="00494B49">
            <w:r>
              <w:t>(8)</w:t>
            </w:r>
          </w:p>
        </w:tc>
        <w:tc>
          <w:tcPr>
            <w:tcW w:w="1991" w:type="dxa"/>
          </w:tcPr>
          <w:p w14:paraId="50D0F213" w14:textId="77777777" w:rsidR="00494B49" w:rsidRDefault="00494B49">
            <w:r>
              <w:t>Enter the lesser of Line 7 or Line 4.</w:t>
            </w:r>
          </w:p>
          <w:p w14:paraId="7AE3A0EF" w14:textId="77777777" w:rsidR="00494B49" w:rsidRDefault="00494B49">
            <w:r>
              <w:t xml:space="preserve">This is the amount of itemized deductions that are properly </w:t>
            </w:r>
            <w:r>
              <w:lastRenderedPageBreak/>
              <w:t xml:space="preserve">allocable to investment income after the application of the </w:t>
            </w:r>
            <w:smartTag w:uri="http://www.bna.com/sgml2word/cite" w:element="cite.usc">
              <w:smartTagPr>
                <w:attr w:name="ref" w:val="USC\26\67"/>
              </w:smartTagPr>
              <w:r>
                <w:t>section 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 xml:space="preserve">. </w:t>
            </w:r>
          </w:p>
        </w:tc>
        <w:tc>
          <w:tcPr>
            <w:tcW w:w="1962" w:type="dxa"/>
          </w:tcPr>
          <w:p w14:paraId="09A1EF75" w14:textId="77777777" w:rsidR="00494B49" w:rsidRDefault="00494B49">
            <w:r>
              <w:lastRenderedPageBreak/>
              <w:t>$ 80,000</w:t>
            </w:r>
          </w:p>
        </w:tc>
        <w:tc>
          <w:tcPr>
            <w:tcW w:w="1380" w:type="dxa"/>
            <w:gridSpan w:val="2"/>
            <w:shd w:val="clear" w:color="auto" w:fill="auto"/>
          </w:tcPr>
          <w:p w14:paraId="14AC6900" w14:textId="77777777" w:rsidR="00B5099F" w:rsidRDefault="00B5099F"/>
        </w:tc>
      </w:tr>
    </w:tbl>
    <w:p w14:paraId="60650668" w14:textId="77777777" w:rsidR="00494B49" w:rsidRDefault="00494B49">
      <w:pPr>
        <w:pStyle w:val="BNormal"/>
      </w:pPr>
      <w:r>
        <w:t xml:space="preserve"> </w:t>
      </w:r>
    </w:p>
    <w:p w14:paraId="1EB3A843" w14:textId="77777777" w:rsidR="00494B49" w:rsidRDefault="00494B49">
      <w:pPr>
        <w:pStyle w:val="BNormal"/>
      </w:pPr>
      <w:r>
        <w:t xml:space="preserve">In this situation, the total itemized deductions subject to the </w:t>
      </w:r>
      <w:smartTag w:uri="http://www.bna.com/sgml2word/cite" w:element="cite.usc">
        <w:smartTagPr>
          <w:attr w:name="ref" w:val="USC\26\68"/>
        </w:smartTagPr>
        <w:r>
          <w:t>§68</w:t>
        </w:r>
      </w:smartTag>
      <w:r>
        <w:t xml:space="preserve"> limitation were $180,000, and the 3% limitation reduced them by $54,000 to $126,000. (Note that this example in the regulations assumes a $200,000 “applicable amount” for purposes of </w:t>
      </w:r>
      <w:smartTag w:uri="http://www.bna.com/sgml2word/cite" w:element="cite.usc">
        <w:smartTagPr>
          <w:attr w:name="ref" w:val="USC\26\68"/>
        </w:smartTagPr>
        <w:r>
          <w:t>§68</w:t>
        </w:r>
      </w:smartTag>
      <w:r>
        <w:t xml:space="preserve">). The entire 3% limitation of $54,000 is allocated to the nonallocable share of state income taxes. Therefore, the full amount of the $20,000 in state taxes is deductible against net investment income. Note that, in addition to the $80,000 of itemized deductions allowed against net investment income after application of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the taxpayer is also allowed to deduct the $75,000 of investment interest expense against net investment income (because that expense is not subject to either deduction limitation). Thus, the total amount of itemized deductions properly allocable to net investment income is $155,000.</w:t>
      </w:r>
    </w:p>
    <w:p w14:paraId="6D4ADC11" w14:textId="77777777" w:rsidR="00494B49" w:rsidRDefault="00494B49">
      <w:pPr>
        <w:pStyle w:val="BHead3"/>
      </w:pPr>
      <w:r>
        <w:t xml:space="preserve">b. Example — Allocations Within Deduction Classes </w:t>
      </w:r>
    </w:p>
    <w:p w14:paraId="6BE96E2F" w14:textId="77777777" w:rsidR="00494B49" w:rsidRDefault="00494B49" w:rsidP="007865AF">
      <w:pPr>
        <w:pStyle w:val="BNormal"/>
      </w:pPr>
      <w:r>
        <w:t xml:space="preserve">In a hypothetical tax year beginning before 2018, A, an unmarried individual, has adjusted gross income of $2,000,000 (comprised of interest of $400,000 and wages of $1,600,000). In addition, A has the following items of expense qualifying as itemized deductions: Investment expenses of $65,000; Job-related expenses of $20,000; Tax Prep Fees of $15,000 ($5,000 allocable to net investment income); Investment interest expense of $75,000; Real Estate Taxes of $60,000 (associated for property held for investment); and state income taxes of $60,000 ($20,000 allocable to net investment income). </w:t>
      </w:r>
    </w:p>
    <w:p w14:paraId="75350492" w14:textId="77777777" w:rsidR="00494B49" w:rsidRDefault="00494B49" w:rsidP="007865AF">
      <w:pPr>
        <w:pStyle w:val="BNormal"/>
      </w:pPr>
    </w:p>
    <w:tbl>
      <w:tblPr>
        <w:tblStyle w:val="TableGrid"/>
        <w:tblW w:w="9354" w:type="dxa"/>
        <w:tblLook w:val="04A0" w:firstRow="1" w:lastRow="0" w:firstColumn="1" w:lastColumn="0" w:noHBand="0" w:noVBand="1"/>
      </w:tblPr>
      <w:tblGrid>
        <w:gridCol w:w="4858"/>
        <w:gridCol w:w="2630"/>
        <w:gridCol w:w="6"/>
        <w:gridCol w:w="1860"/>
      </w:tblGrid>
      <w:tr w:rsidR="00B5099F" w14:paraId="2D20EF31" w14:textId="20A80787" w:rsidTr="00B5099F">
        <w:tc>
          <w:tcPr>
            <w:tcW w:w="4858" w:type="dxa"/>
          </w:tcPr>
          <w:p w14:paraId="0DFD4CDA" w14:textId="77777777" w:rsidR="00494B49" w:rsidRDefault="00494B49">
            <w:r>
              <w:t xml:space="preserve"> </w:t>
            </w:r>
            <w:r>
              <w:rPr>
                <w:b/>
                <w:i/>
              </w:rPr>
              <w:t>Form 8960, Lines 9-10 Worksheet</w:t>
            </w:r>
          </w:p>
          <w:p w14:paraId="497A0BC1" w14:textId="77777777" w:rsidR="00494B49" w:rsidRDefault="00494B49">
            <w:r>
              <w:t xml:space="preserve"> </w:t>
            </w:r>
            <w:r>
              <w:rPr>
                <w:b/>
                <w:i/>
              </w:rPr>
              <w:t>Part I</w:t>
            </w:r>
          </w:p>
          <w:p w14:paraId="6A21CCAB" w14:textId="77777777" w:rsidR="00494B49" w:rsidRDefault="00494B49">
            <w:r>
              <w:t xml:space="preserve"> </w:t>
            </w:r>
            <w:r>
              <w:rPr>
                <w:b/>
                <w:i/>
              </w:rPr>
              <w:t>Application of Section 67 to Deductions Properly Allocable to Investment Income</w:t>
            </w:r>
          </w:p>
          <w:p w14:paraId="2DB5A8FE" w14:textId="77777777" w:rsidR="00494B49" w:rsidRDefault="00494B49"/>
        </w:tc>
        <w:tc>
          <w:tcPr>
            <w:tcW w:w="2630" w:type="dxa"/>
            <w:shd w:val="clear" w:color="auto" w:fill="auto"/>
          </w:tcPr>
          <w:p w14:paraId="2DB8ABEA" w14:textId="77777777" w:rsidR="00B5099F" w:rsidRDefault="00B5099F"/>
        </w:tc>
        <w:tc>
          <w:tcPr>
            <w:tcW w:w="1866" w:type="dxa"/>
            <w:gridSpan w:val="2"/>
            <w:shd w:val="clear" w:color="auto" w:fill="auto"/>
          </w:tcPr>
          <w:p w14:paraId="69357F83" w14:textId="77777777" w:rsidR="00B5099F" w:rsidRDefault="00B5099F"/>
        </w:tc>
      </w:tr>
      <w:tr w:rsidR="00494B49" w14:paraId="4142D40F" w14:textId="77777777" w:rsidTr="00B5099F">
        <w:tc>
          <w:tcPr>
            <w:tcW w:w="4858" w:type="dxa"/>
          </w:tcPr>
          <w:p w14:paraId="6384F940" w14:textId="77777777" w:rsidR="00494B49" w:rsidRDefault="00494B49">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36" w:type="dxa"/>
            <w:gridSpan w:val="2"/>
          </w:tcPr>
          <w:p w14:paraId="7F5AECE7" w14:textId="77777777" w:rsidR="00494B49" w:rsidRDefault="00494B49"/>
        </w:tc>
        <w:tc>
          <w:tcPr>
            <w:tcW w:w="1860" w:type="dxa"/>
          </w:tcPr>
          <w:p w14:paraId="5E3F6642" w14:textId="77777777" w:rsidR="00494B49" w:rsidRDefault="00494B49"/>
        </w:tc>
      </w:tr>
      <w:tr w:rsidR="00B5099F" w14:paraId="0AE4A105" w14:textId="4469AAA4" w:rsidTr="00B5099F">
        <w:tc>
          <w:tcPr>
            <w:tcW w:w="4858" w:type="dxa"/>
          </w:tcPr>
          <w:p w14:paraId="3BCE145F" w14:textId="77777777" w:rsidR="00494B49" w:rsidRDefault="00494B49">
            <w:r>
              <w:t>(a) Investment Expenses     9c</w:t>
            </w:r>
          </w:p>
          <w:p w14:paraId="6BF060F1" w14:textId="77777777" w:rsidR="00494B49" w:rsidRDefault="00494B49">
            <w:r>
              <w:t> Description        Line</w:t>
            </w:r>
          </w:p>
        </w:tc>
        <w:tc>
          <w:tcPr>
            <w:tcW w:w="2636" w:type="dxa"/>
            <w:gridSpan w:val="2"/>
          </w:tcPr>
          <w:p w14:paraId="7FC3F4FC" w14:textId="77777777" w:rsidR="00494B49" w:rsidRDefault="00494B49"/>
          <w:p w14:paraId="1B9A5612" w14:textId="77777777" w:rsidR="00494B49" w:rsidRDefault="00494B49">
            <w:r>
              <w:t>$65,000</w:t>
            </w:r>
          </w:p>
        </w:tc>
        <w:tc>
          <w:tcPr>
            <w:tcW w:w="1860" w:type="dxa"/>
            <w:shd w:val="clear" w:color="auto" w:fill="auto"/>
          </w:tcPr>
          <w:p w14:paraId="24C43E8E" w14:textId="77777777" w:rsidR="00B5099F" w:rsidRDefault="00B5099F"/>
        </w:tc>
      </w:tr>
      <w:tr w:rsidR="00494B49" w14:paraId="5D22CC3B" w14:textId="77777777" w:rsidTr="00B5099F">
        <w:tc>
          <w:tcPr>
            <w:tcW w:w="4858" w:type="dxa"/>
          </w:tcPr>
          <w:p w14:paraId="0002044D" w14:textId="77777777" w:rsidR="00494B49" w:rsidRDefault="00494B49">
            <w:r>
              <w:t>(b) Tax Prep Fees        10</w:t>
            </w:r>
          </w:p>
          <w:p w14:paraId="686BBC63" w14:textId="77777777" w:rsidR="00494B49" w:rsidRDefault="00494B49">
            <w:r>
              <w:t> Description        Line</w:t>
            </w:r>
          </w:p>
        </w:tc>
        <w:tc>
          <w:tcPr>
            <w:tcW w:w="2636" w:type="dxa"/>
            <w:gridSpan w:val="2"/>
          </w:tcPr>
          <w:p w14:paraId="08270793" w14:textId="77777777" w:rsidR="00494B49" w:rsidRDefault="00494B49"/>
          <w:p w14:paraId="5C5A3910" w14:textId="77777777" w:rsidR="00494B49" w:rsidRDefault="00494B49">
            <w:r>
              <w:t>$5,000</w:t>
            </w:r>
          </w:p>
        </w:tc>
        <w:tc>
          <w:tcPr>
            <w:tcW w:w="1860" w:type="dxa"/>
          </w:tcPr>
          <w:p w14:paraId="0C4C1087" w14:textId="77777777" w:rsidR="00494B49" w:rsidRDefault="00494B49"/>
        </w:tc>
      </w:tr>
      <w:tr w:rsidR="00494B49" w14:paraId="6C7350CE" w14:textId="77777777" w:rsidTr="00B5099F">
        <w:tc>
          <w:tcPr>
            <w:tcW w:w="4858" w:type="dxa"/>
          </w:tcPr>
          <w:p w14:paraId="1B01CE53" w14:textId="77777777" w:rsidR="00494B49" w:rsidRDefault="00494B49">
            <w:r>
              <w:t>Enter the total of all items listed in Line 1</w:t>
            </w:r>
          </w:p>
        </w:tc>
        <w:tc>
          <w:tcPr>
            <w:tcW w:w="2636" w:type="dxa"/>
            <w:gridSpan w:val="2"/>
          </w:tcPr>
          <w:p w14:paraId="2F55064B" w14:textId="77777777" w:rsidR="00494B49" w:rsidRDefault="00494B49"/>
        </w:tc>
        <w:tc>
          <w:tcPr>
            <w:tcW w:w="1860" w:type="dxa"/>
          </w:tcPr>
          <w:p w14:paraId="6BDF314D" w14:textId="77777777" w:rsidR="00494B49" w:rsidRDefault="00494B49">
            <w:r>
              <w:t>$70,000</w:t>
            </w:r>
          </w:p>
        </w:tc>
      </w:tr>
      <w:tr w:rsidR="00B5099F" w14:paraId="4AD929E5" w14:textId="17A0936C" w:rsidTr="00B5099F">
        <w:tc>
          <w:tcPr>
            <w:tcW w:w="4858" w:type="dxa"/>
          </w:tcPr>
          <w:p w14:paraId="1EEFD62A" w14:textId="77777777" w:rsidR="00494B49" w:rsidRDefault="00494B49">
            <w:r>
              <w:lastRenderedPageBreak/>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 xml:space="preserve">) </w:t>
            </w:r>
          </w:p>
        </w:tc>
        <w:tc>
          <w:tcPr>
            <w:tcW w:w="2636" w:type="dxa"/>
            <w:gridSpan w:val="2"/>
          </w:tcPr>
          <w:p w14:paraId="71F7CF50" w14:textId="77777777" w:rsidR="00494B49" w:rsidRDefault="00494B49">
            <w:r>
              <w:t>$60,000</w:t>
            </w:r>
            <w:r>
              <w:rPr>
                <w:rStyle w:val="FootnoteReference"/>
              </w:rPr>
              <w:footnoteReference w:id="679"/>
            </w:r>
          </w:p>
        </w:tc>
        <w:tc>
          <w:tcPr>
            <w:tcW w:w="1860" w:type="dxa"/>
            <w:shd w:val="clear" w:color="auto" w:fill="auto"/>
          </w:tcPr>
          <w:p w14:paraId="064454CE" w14:textId="77777777" w:rsidR="00B5099F" w:rsidRDefault="00B5099F"/>
        </w:tc>
      </w:tr>
      <w:tr w:rsidR="00494B49" w14:paraId="7BC13040" w14:textId="77777777" w:rsidTr="00B5099F">
        <w:tc>
          <w:tcPr>
            <w:tcW w:w="4858" w:type="dxa"/>
          </w:tcPr>
          <w:p w14:paraId="08291D85" w14:textId="77777777" w:rsidR="00494B49" w:rsidRDefault="00494B49">
            <w:r>
              <w:t xml:space="preserve">Enter the lesser of the total reported on Line 2 or Line 3. </w:t>
            </w:r>
          </w:p>
        </w:tc>
        <w:tc>
          <w:tcPr>
            <w:tcW w:w="2636" w:type="dxa"/>
            <w:gridSpan w:val="2"/>
          </w:tcPr>
          <w:p w14:paraId="2C5E3D4D" w14:textId="77777777" w:rsidR="00494B49" w:rsidRDefault="00494B49"/>
        </w:tc>
        <w:tc>
          <w:tcPr>
            <w:tcW w:w="1860" w:type="dxa"/>
          </w:tcPr>
          <w:p w14:paraId="36627F7A" w14:textId="77777777" w:rsidR="00494B49" w:rsidRDefault="00494B49">
            <w:r>
              <w:t>$60,000</w:t>
            </w:r>
          </w:p>
        </w:tc>
      </w:tr>
    </w:tbl>
    <w:p w14:paraId="3D650BA6" w14:textId="77777777" w:rsidR="00494B49" w:rsidRDefault="00494B49" w:rsidP="007865AF">
      <w:pPr>
        <w:pStyle w:val="BNormal"/>
      </w:pPr>
      <w:r>
        <w:t xml:space="preserve"> </w:t>
      </w:r>
    </w:p>
    <w:p w14:paraId="687CB7A5" w14:textId="77777777" w:rsidR="00494B49" w:rsidRDefault="00494B49" w:rsidP="007865AF">
      <w:pPr>
        <w:pStyle w:val="BNormal"/>
      </w:pPr>
    </w:p>
    <w:tbl>
      <w:tblPr>
        <w:tblStyle w:val="TableGrid"/>
        <w:tblW w:w="9354" w:type="dxa"/>
        <w:tblLook w:val="04A0" w:firstRow="1" w:lastRow="0" w:firstColumn="1" w:lastColumn="0" w:noHBand="0" w:noVBand="1"/>
      </w:tblPr>
      <w:tblGrid>
        <w:gridCol w:w="2863"/>
        <w:gridCol w:w="1359"/>
        <w:gridCol w:w="1429"/>
        <w:gridCol w:w="1903"/>
        <w:gridCol w:w="574"/>
        <w:gridCol w:w="1220"/>
        <w:gridCol w:w="6"/>
      </w:tblGrid>
      <w:tr w:rsidR="00B5099F" w14:paraId="44F34E21" w14:textId="2B4FA063" w:rsidTr="00B5099F">
        <w:tc>
          <w:tcPr>
            <w:tcW w:w="2863" w:type="dxa"/>
          </w:tcPr>
          <w:p w14:paraId="139E14B4" w14:textId="77777777" w:rsidR="00494B49" w:rsidRDefault="00494B49">
            <w:r>
              <w:t xml:space="preserve"> </w:t>
            </w:r>
            <w:r>
              <w:rPr>
                <w:b/>
                <w:i/>
              </w:rPr>
              <w:t xml:space="preserve">Form </w:t>
            </w:r>
            <w:smartTag w:uri="http://www.bna.com/sgml2word/cite" w:element="cite.fed.form">
              <w:smartTagPr>
                <w:attr w:name="ref" w:val="irs\form8960"/>
              </w:smartTagPr>
              <w:r>
                <w:rPr>
                  <w:b/>
                  <w:i/>
                </w:rPr>
                <w:t>8960</w:t>
              </w:r>
            </w:smartTag>
            <w:r>
              <w:rPr>
                <w:b/>
                <w:i/>
              </w:rPr>
              <w:t>, Lines 9-10 Worksheet</w:t>
            </w:r>
          </w:p>
          <w:p w14:paraId="328CF61D" w14:textId="77777777" w:rsidR="00494B49" w:rsidRDefault="00494B49">
            <w:r>
              <w:t xml:space="preserve"> </w:t>
            </w:r>
            <w:r>
              <w:rPr>
                <w:b/>
                <w:i/>
              </w:rPr>
              <w:t xml:space="preserve">Part II </w:t>
            </w:r>
          </w:p>
          <w:p w14:paraId="64CA7D44" w14:textId="77777777" w:rsidR="00494B49" w:rsidRDefault="00494B49">
            <w:r>
              <w:t xml:space="preserve"> </w:t>
            </w:r>
            <w:r>
              <w:rPr>
                <w:b/>
                <w:i/>
              </w:rPr>
              <w:t>Application of Section 67 Limitation to Specific Deductions</w:t>
            </w:r>
          </w:p>
          <w:p w14:paraId="47348586" w14:textId="77777777" w:rsidR="00494B49" w:rsidRDefault="00494B49"/>
        </w:tc>
        <w:tc>
          <w:tcPr>
            <w:tcW w:w="1359" w:type="dxa"/>
            <w:shd w:val="clear" w:color="auto" w:fill="auto"/>
          </w:tcPr>
          <w:p w14:paraId="795D0296" w14:textId="77777777" w:rsidR="00B5099F" w:rsidRDefault="00B5099F"/>
        </w:tc>
        <w:tc>
          <w:tcPr>
            <w:tcW w:w="1429" w:type="dxa"/>
            <w:shd w:val="clear" w:color="auto" w:fill="auto"/>
          </w:tcPr>
          <w:p w14:paraId="2E7938E6" w14:textId="77777777" w:rsidR="00B5099F" w:rsidRDefault="00B5099F"/>
        </w:tc>
        <w:tc>
          <w:tcPr>
            <w:tcW w:w="1903" w:type="dxa"/>
            <w:shd w:val="clear" w:color="auto" w:fill="auto"/>
          </w:tcPr>
          <w:p w14:paraId="263850E9" w14:textId="77777777" w:rsidR="00B5099F" w:rsidRDefault="00B5099F"/>
        </w:tc>
        <w:tc>
          <w:tcPr>
            <w:tcW w:w="574" w:type="dxa"/>
            <w:shd w:val="clear" w:color="auto" w:fill="auto"/>
          </w:tcPr>
          <w:p w14:paraId="527D4868" w14:textId="77777777" w:rsidR="00B5099F" w:rsidRDefault="00B5099F"/>
        </w:tc>
        <w:tc>
          <w:tcPr>
            <w:tcW w:w="1226" w:type="dxa"/>
            <w:gridSpan w:val="2"/>
            <w:shd w:val="clear" w:color="auto" w:fill="auto"/>
          </w:tcPr>
          <w:p w14:paraId="28C8D14E" w14:textId="77777777" w:rsidR="00B5099F" w:rsidRDefault="00B5099F"/>
        </w:tc>
      </w:tr>
      <w:tr w:rsidR="00B5099F" w14:paraId="011DBA3D" w14:textId="386C6CAD" w:rsidTr="00B5099F">
        <w:tc>
          <w:tcPr>
            <w:tcW w:w="2863" w:type="dxa"/>
          </w:tcPr>
          <w:p w14:paraId="450929C5" w14:textId="77777777" w:rsidR="00494B49" w:rsidRDefault="00494B49">
            <w:r>
              <w:t>(A)</w:t>
            </w:r>
          </w:p>
        </w:tc>
        <w:tc>
          <w:tcPr>
            <w:tcW w:w="1359" w:type="dxa"/>
          </w:tcPr>
          <w:p w14:paraId="0B9445FC" w14:textId="77777777" w:rsidR="00494B49" w:rsidRDefault="00494B49">
            <w:r>
              <w:t>(B)</w:t>
            </w:r>
          </w:p>
        </w:tc>
        <w:tc>
          <w:tcPr>
            <w:tcW w:w="1429" w:type="dxa"/>
          </w:tcPr>
          <w:p w14:paraId="524D78BD" w14:textId="77777777" w:rsidR="00494B49" w:rsidRDefault="00494B49">
            <w:r>
              <w:t>(C)</w:t>
            </w:r>
          </w:p>
        </w:tc>
        <w:tc>
          <w:tcPr>
            <w:tcW w:w="1903" w:type="dxa"/>
            <w:shd w:val="clear" w:color="auto" w:fill="auto"/>
          </w:tcPr>
          <w:p w14:paraId="40E738C6" w14:textId="77777777" w:rsidR="00B5099F" w:rsidRDefault="00B5099F"/>
        </w:tc>
        <w:tc>
          <w:tcPr>
            <w:tcW w:w="574" w:type="dxa"/>
            <w:shd w:val="clear" w:color="auto" w:fill="auto"/>
          </w:tcPr>
          <w:p w14:paraId="3B549F34" w14:textId="77777777" w:rsidR="00B5099F" w:rsidRDefault="00B5099F"/>
        </w:tc>
        <w:tc>
          <w:tcPr>
            <w:tcW w:w="1226" w:type="dxa"/>
            <w:gridSpan w:val="2"/>
            <w:shd w:val="clear" w:color="auto" w:fill="auto"/>
          </w:tcPr>
          <w:p w14:paraId="32920589" w14:textId="77777777" w:rsidR="00B5099F" w:rsidRDefault="00B5099F"/>
        </w:tc>
      </w:tr>
      <w:tr w:rsidR="00B5099F" w14:paraId="68DAC47B" w14:textId="5F429992" w:rsidTr="00B5099F">
        <w:tc>
          <w:tcPr>
            <w:tcW w:w="2863" w:type="dxa"/>
          </w:tcPr>
          <w:p w14:paraId="6C7E65E3" w14:textId="77777777" w:rsidR="00494B49" w:rsidRDefault="00494B49">
            <w:r>
              <w:t>Reenter the amounts and descriptions from Part I, Line 1</w:t>
            </w:r>
          </w:p>
        </w:tc>
        <w:tc>
          <w:tcPr>
            <w:tcW w:w="1359" w:type="dxa"/>
          </w:tcPr>
          <w:p w14:paraId="4817AA5B" w14:textId="77777777" w:rsidR="00494B49" w:rsidRDefault="00494B49">
            <w:r>
              <w:t xml:space="preserve">If Line 3 is less than Line 2, then divide Line 3 by Line 2 and enter the amount in the center column. </w:t>
            </w:r>
          </w:p>
          <w:p w14:paraId="4EEF31DC" w14:textId="77777777" w:rsidR="00494B49" w:rsidRDefault="00494B49">
            <w:r>
              <w:t>If total amount reported on Part I, Lines 2 and 4 are equal, then enter 1.00 in column (B).</w:t>
            </w:r>
          </w:p>
        </w:tc>
        <w:tc>
          <w:tcPr>
            <w:tcW w:w="1429" w:type="dxa"/>
          </w:tcPr>
          <w:p w14:paraId="4958A5BB" w14:textId="77777777" w:rsidR="00494B49" w:rsidRDefault="00494B49">
            <w:r>
              <w:t>Multiply the individual amounts in column (A) by the amount in column (B).</w:t>
            </w:r>
          </w:p>
        </w:tc>
        <w:tc>
          <w:tcPr>
            <w:tcW w:w="1903" w:type="dxa"/>
            <w:shd w:val="clear" w:color="auto" w:fill="auto"/>
          </w:tcPr>
          <w:p w14:paraId="50B28252" w14:textId="77777777" w:rsidR="00B5099F" w:rsidRDefault="00B5099F"/>
        </w:tc>
        <w:tc>
          <w:tcPr>
            <w:tcW w:w="574" w:type="dxa"/>
            <w:shd w:val="clear" w:color="auto" w:fill="auto"/>
          </w:tcPr>
          <w:p w14:paraId="564990BD" w14:textId="77777777" w:rsidR="00B5099F" w:rsidRDefault="00B5099F"/>
        </w:tc>
        <w:tc>
          <w:tcPr>
            <w:tcW w:w="1226" w:type="dxa"/>
            <w:gridSpan w:val="2"/>
            <w:shd w:val="clear" w:color="auto" w:fill="auto"/>
          </w:tcPr>
          <w:p w14:paraId="190A59FF" w14:textId="77777777" w:rsidR="00B5099F" w:rsidRDefault="00B5099F"/>
        </w:tc>
      </w:tr>
      <w:tr w:rsidR="00494B49" w14:paraId="07937840" w14:textId="77777777" w:rsidTr="00B5099F">
        <w:tc>
          <w:tcPr>
            <w:tcW w:w="2863" w:type="dxa"/>
          </w:tcPr>
          <w:p w14:paraId="2BB0A2D0" w14:textId="77777777" w:rsidR="00494B49" w:rsidRDefault="00494B49">
            <w:r>
              <w:t>(a) Inv Expense   9c</w:t>
            </w:r>
          </w:p>
          <w:p w14:paraId="3262D044" w14:textId="77777777" w:rsidR="00494B49" w:rsidRDefault="00494B49">
            <w:r>
              <w:t> Description  Line</w:t>
            </w:r>
          </w:p>
        </w:tc>
        <w:tc>
          <w:tcPr>
            <w:tcW w:w="1359" w:type="dxa"/>
          </w:tcPr>
          <w:p w14:paraId="13DC9E37" w14:textId="77777777" w:rsidR="00494B49" w:rsidRDefault="00494B49">
            <w:r>
              <w:t>$65,000</w:t>
            </w:r>
          </w:p>
          <w:p w14:paraId="11AE71D6" w14:textId="77777777" w:rsidR="00494B49" w:rsidRDefault="00494B49"/>
        </w:tc>
        <w:tc>
          <w:tcPr>
            <w:tcW w:w="1429" w:type="dxa"/>
          </w:tcPr>
          <w:p w14:paraId="6C51C7A7" w14:textId="77777777" w:rsidR="00494B49" w:rsidRDefault="00494B49">
            <w:r>
              <w:t>×</w:t>
            </w:r>
          </w:p>
          <w:p w14:paraId="18653241" w14:textId="77777777" w:rsidR="00494B49" w:rsidRDefault="00494B49"/>
        </w:tc>
        <w:tc>
          <w:tcPr>
            <w:tcW w:w="1903" w:type="dxa"/>
          </w:tcPr>
          <w:p w14:paraId="7D45A055" w14:textId="77777777" w:rsidR="00494B49" w:rsidRDefault="00494B49">
            <w:r>
              <w:t>0.8571428571428571</w:t>
            </w:r>
          </w:p>
          <w:p w14:paraId="7324C9F9" w14:textId="77777777" w:rsidR="00494B49" w:rsidRDefault="00494B49"/>
        </w:tc>
        <w:tc>
          <w:tcPr>
            <w:tcW w:w="574" w:type="dxa"/>
          </w:tcPr>
          <w:p w14:paraId="65654147" w14:textId="77777777" w:rsidR="00494B49" w:rsidRDefault="00494B49">
            <w:r>
              <w:t>=</w:t>
            </w:r>
          </w:p>
          <w:p w14:paraId="78862951" w14:textId="77777777" w:rsidR="00494B49" w:rsidRDefault="00494B49"/>
        </w:tc>
        <w:tc>
          <w:tcPr>
            <w:tcW w:w="1226" w:type="dxa"/>
            <w:gridSpan w:val="2"/>
          </w:tcPr>
          <w:p w14:paraId="4DEBF12D" w14:textId="77777777" w:rsidR="00494B49" w:rsidRDefault="00494B49">
            <w:r>
              <w:t>$55,714.29</w:t>
            </w:r>
          </w:p>
          <w:p w14:paraId="6F9022C9" w14:textId="77777777" w:rsidR="00494B49" w:rsidRDefault="00494B49"/>
        </w:tc>
      </w:tr>
      <w:tr w:rsidR="00494B49" w14:paraId="475C3177" w14:textId="77777777" w:rsidTr="00B5099F">
        <w:tc>
          <w:tcPr>
            <w:tcW w:w="2863" w:type="dxa"/>
          </w:tcPr>
          <w:p w14:paraId="3F78F336" w14:textId="77777777" w:rsidR="00494B49" w:rsidRDefault="00494B49">
            <w:r>
              <w:t>(b) Tax Prep Fee  10</w:t>
            </w:r>
          </w:p>
          <w:p w14:paraId="1E172ECB" w14:textId="77777777" w:rsidR="00494B49" w:rsidRDefault="00494B49">
            <w:r>
              <w:t> Description  Line</w:t>
            </w:r>
          </w:p>
        </w:tc>
        <w:tc>
          <w:tcPr>
            <w:tcW w:w="1359" w:type="dxa"/>
          </w:tcPr>
          <w:p w14:paraId="7A6AE2DB" w14:textId="77777777" w:rsidR="00494B49" w:rsidRDefault="00494B49">
            <w:r>
              <w:t>$ 5,000</w:t>
            </w:r>
          </w:p>
          <w:p w14:paraId="718DE5D7" w14:textId="77777777" w:rsidR="00494B49" w:rsidRDefault="00494B49"/>
        </w:tc>
        <w:tc>
          <w:tcPr>
            <w:tcW w:w="1429" w:type="dxa"/>
          </w:tcPr>
          <w:p w14:paraId="6BB753BA" w14:textId="77777777" w:rsidR="00494B49" w:rsidRDefault="00494B49">
            <w:r>
              <w:t>×</w:t>
            </w:r>
          </w:p>
          <w:p w14:paraId="7313F2B0" w14:textId="77777777" w:rsidR="00494B49" w:rsidRDefault="00494B49"/>
        </w:tc>
        <w:tc>
          <w:tcPr>
            <w:tcW w:w="1903" w:type="dxa"/>
          </w:tcPr>
          <w:p w14:paraId="5F524E56" w14:textId="77777777" w:rsidR="00494B49" w:rsidRDefault="00494B49">
            <w:r>
              <w:t>0.8571428571428571</w:t>
            </w:r>
          </w:p>
          <w:p w14:paraId="73941194" w14:textId="77777777" w:rsidR="00494B49" w:rsidRDefault="00494B49"/>
        </w:tc>
        <w:tc>
          <w:tcPr>
            <w:tcW w:w="574" w:type="dxa"/>
          </w:tcPr>
          <w:p w14:paraId="127360E4" w14:textId="77777777" w:rsidR="00494B49" w:rsidRDefault="00494B49">
            <w:r>
              <w:t>=</w:t>
            </w:r>
          </w:p>
          <w:p w14:paraId="6F58C3B2" w14:textId="77777777" w:rsidR="00494B49" w:rsidRDefault="00494B49"/>
        </w:tc>
        <w:tc>
          <w:tcPr>
            <w:tcW w:w="1226" w:type="dxa"/>
            <w:gridSpan w:val="2"/>
          </w:tcPr>
          <w:p w14:paraId="3B587EB2" w14:textId="77777777" w:rsidR="00494B49" w:rsidRDefault="00494B49">
            <w:r>
              <w:t>$4,285.71</w:t>
            </w:r>
          </w:p>
          <w:p w14:paraId="4D015665" w14:textId="77777777" w:rsidR="00494B49" w:rsidRDefault="00494B49"/>
        </w:tc>
      </w:tr>
      <w:tr w:rsidR="00B5099F" w14:paraId="28A4DCE3" w14:textId="36843707" w:rsidTr="00B5099F">
        <w:trPr>
          <w:gridAfter w:val="1"/>
          <w:wAfter w:w="6" w:type="dxa"/>
        </w:trPr>
        <w:tc>
          <w:tcPr>
            <w:tcW w:w="2863" w:type="dxa"/>
          </w:tcPr>
          <w:p w14:paraId="36E274BA" w14:textId="77777777" w:rsidR="00494B49" w:rsidRDefault="00494B49">
            <w:r>
              <w:t xml:space="preserve">In the case of an individual, use the amounts in column (c) on Line 1 of Part III to determine the amount of these deductions are allowable after the application of the </w:t>
            </w:r>
            <w:smartTag w:uri="http://www.bna.com/sgml2word/cite" w:element="cite.usc">
              <w:smartTagPr>
                <w:attr w:name="ref" w:val="USC\26\68"/>
              </w:smartTagPr>
              <w:r>
                <w:t>Section 68</w:t>
              </w:r>
            </w:smartTag>
            <w:r>
              <w:t xml:space="preserve"> limitation. </w:t>
            </w:r>
          </w:p>
        </w:tc>
        <w:tc>
          <w:tcPr>
            <w:tcW w:w="1359" w:type="dxa"/>
            <w:shd w:val="clear" w:color="auto" w:fill="auto"/>
          </w:tcPr>
          <w:p w14:paraId="4BE0D8D8" w14:textId="77777777" w:rsidR="00B5099F" w:rsidRDefault="00B5099F"/>
        </w:tc>
        <w:tc>
          <w:tcPr>
            <w:tcW w:w="1429" w:type="dxa"/>
            <w:shd w:val="clear" w:color="auto" w:fill="auto"/>
          </w:tcPr>
          <w:p w14:paraId="6CC90D81" w14:textId="77777777" w:rsidR="00B5099F" w:rsidRDefault="00B5099F"/>
        </w:tc>
        <w:tc>
          <w:tcPr>
            <w:tcW w:w="1903" w:type="dxa"/>
            <w:shd w:val="clear" w:color="auto" w:fill="auto"/>
          </w:tcPr>
          <w:p w14:paraId="4DACB640" w14:textId="77777777" w:rsidR="00B5099F" w:rsidRDefault="00B5099F"/>
        </w:tc>
        <w:tc>
          <w:tcPr>
            <w:tcW w:w="574" w:type="dxa"/>
            <w:shd w:val="clear" w:color="auto" w:fill="auto"/>
          </w:tcPr>
          <w:p w14:paraId="1091700C" w14:textId="77777777" w:rsidR="00B5099F" w:rsidRDefault="00B5099F"/>
        </w:tc>
        <w:tc>
          <w:tcPr>
            <w:tcW w:w="1220" w:type="dxa"/>
            <w:shd w:val="clear" w:color="auto" w:fill="auto"/>
          </w:tcPr>
          <w:p w14:paraId="093FEA01" w14:textId="77777777" w:rsidR="00B5099F" w:rsidRDefault="00B5099F"/>
        </w:tc>
      </w:tr>
    </w:tbl>
    <w:p w14:paraId="57BAB7B8" w14:textId="77777777" w:rsidR="00494B49" w:rsidRDefault="00494B49" w:rsidP="007865AF"/>
    <w:p w14:paraId="31270415" w14:textId="77777777" w:rsidR="00494B49" w:rsidRDefault="00494B49" w:rsidP="007865AF"/>
    <w:tbl>
      <w:tblPr>
        <w:tblStyle w:val="TableGrid"/>
        <w:tblW w:w="0" w:type="auto"/>
        <w:tblLook w:val="04A0" w:firstRow="1" w:lastRow="0" w:firstColumn="1" w:lastColumn="0" w:noHBand="0" w:noVBand="1"/>
      </w:tblPr>
      <w:tblGrid>
        <w:gridCol w:w="4017"/>
        <w:gridCol w:w="1991"/>
        <w:gridCol w:w="1962"/>
        <w:gridCol w:w="1380"/>
      </w:tblGrid>
      <w:tr w:rsidR="00494B49" w14:paraId="1E8152F4" w14:textId="77777777" w:rsidTr="00B5099F">
        <w:trPr>
          <w:gridAfter w:val="3"/>
          <w:wAfter w:w="5333" w:type="dxa"/>
        </w:trPr>
        <w:tc>
          <w:tcPr>
            <w:tcW w:w="4017" w:type="dxa"/>
          </w:tcPr>
          <w:p w14:paraId="40D4653B" w14:textId="77777777" w:rsidR="00494B49" w:rsidRDefault="00494B49">
            <w:r>
              <w:t xml:space="preserve"> </w:t>
            </w:r>
            <w:r>
              <w:rPr>
                <w:b/>
                <w:i/>
              </w:rPr>
              <w:t>Form 8960, Lines 9-10 Worksheet</w:t>
            </w:r>
          </w:p>
          <w:p w14:paraId="2F3C6CD7" w14:textId="77777777" w:rsidR="00494B49" w:rsidRDefault="00494B49">
            <w:r>
              <w:t xml:space="preserve"> </w:t>
            </w:r>
            <w:r>
              <w:rPr>
                <w:b/>
                <w:i/>
              </w:rPr>
              <w:t>Part III</w:t>
            </w:r>
          </w:p>
          <w:p w14:paraId="3C2836DE" w14:textId="77777777" w:rsidR="00494B49" w:rsidRDefault="00494B49">
            <w:r>
              <w:t xml:space="preserve"> </w:t>
            </w:r>
            <w:r>
              <w:rPr>
                <w:b/>
                <w:i/>
              </w:rPr>
              <w:t>Application of Section 68 to deductions properly allocable to investment income</w:t>
            </w:r>
          </w:p>
          <w:p w14:paraId="6DCDB66A" w14:textId="77777777" w:rsidR="00494B49" w:rsidRDefault="00494B49">
            <w:r>
              <w:t xml:space="preserve"> </w:t>
            </w:r>
            <w:r>
              <w:rPr>
                <w:b/>
                <w:i/>
              </w:rPr>
              <w:t>(Individuals Only)</w:t>
            </w:r>
          </w:p>
          <w:p w14:paraId="07DC0390" w14:textId="77777777" w:rsidR="00494B49" w:rsidRDefault="00494B49"/>
        </w:tc>
      </w:tr>
      <w:tr w:rsidR="00494B49" w14:paraId="24EBC2CC" w14:textId="77777777" w:rsidTr="00B5099F">
        <w:tc>
          <w:tcPr>
            <w:tcW w:w="4017" w:type="dxa"/>
          </w:tcPr>
          <w:p w14:paraId="6258117D" w14:textId="77777777" w:rsidR="00494B49" w:rsidRDefault="00494B49">
            <w:r>
              <w:lastRenderedPageBreak/>
              <w:t>(1)</w:t>
            </w:r>
          </w:p>
        </w:tc>
        <w:tc>
          <w:tcPr>
            <w:tcW w:w="1991" w:type="dxa"/>
          </w:tcPr>
          <w:p w14:paraId="67A3C0C0" w14:textId="77777777" w:rsidR="00494B49" w:rsidRDefault="00494B49">
            <w:r>
              <w:t xml:space="preserve">Enter the amount of Miscellaneous Itemized Deductions properly allocable to investment income from column (C) of Part II. </w:t>
            </w:r>
          </w:p>
        </w:tc>
        <w:tc>
          <w:tcPr>
            <w:tcW w:w="1962" w:type="dxa"/>
          </w:tcPr>
          <w:p w14:paraId="10266583" w14:textId="77777777" w:rsidR="00494B49" w:rsidRDefault="00494B49"/>
        </w:tc>
        <w:tc>
          <w:tcPr>
            <w:tcW w:w="1380" w:type="dxa"/>
          </w:tcPr>
          <w:p w14:paraId="2C110B50" w14:textId="77777777" w:rsidR="00494B49" w:rsidRDefault="00494B49"/>
        </w:tc>
      </w:tr>
      <w:tr w:rsidR="00B5099F" w14:paraId="28EBFAB8" w14:textId="7400CF66" w:rsidTr="00B5099F">
        <w:tc>
          <w:tcPr>
            <w:tcW w:w="4017" w:type="dxa"/>
          </w:tcPr>
          <w:p w14:paraId="039CD192" w14:textId="77777777" w:rsidR="00494B49" w:rsidRDefault="00494B49"/>
        </w:tc>
        <w:tc>
          <w:tcPr>
            <w:tcW w:w="1991" w:type="dxa"/>
          </w:tcPr>
          <w:p w14:paraId="32209021" w14:textId="77777777" w:rsidR="00494B49" w:rsidRDefault="00494B49">
            <w:r>
              <w:t>(a) Inv Expense        9c</w:t>
            </w:r>
          </w:p>
          <w:p w14:paraId="2645FD69" w14:textId="77777777" w:rsidR="00494B49" w:rsidRDefault="00494B49">
            <w:r>
              <w:t> Description        Line</w:t>
            </w:r>
          </w:p>
        </w:tc>
        <w:tc>
          <w:tcPr>
            <w:tcW w:w="1962" w:type="dxa"/>
          </w:tcPr>
          <w:p w14:paraId="66175A31" w14:textId="77777777" w:rsidR="00494B49" w:rsidRDefault="00494B49">
            <w:r>
              <w:t>$ 55,714.29</w:t>
            </w:r>
          </w:p>
        </w:tc>
        <w:tc>
          <w:tcPr>
            <w:tcW w:w="1380" w:type="dxa"/>
            <w:shd w:val="clear" w:color="auto" w:fill="auto"/>
          </w:tcPr>
          <w:p w14:paraId="5E216E3E" w14:textId="77777777" w:rsidR="00B5099F" w:rsidRDefault="00B5099F"/>
        </w:tc>
      </w:tr>
      <w:tr w:rsidR="00B5099F" w14:paraId="61B10CE8" w14:textId="438F39D5" w:rsidTr="00B5099F">
        <w:tc>
          <w:tcPr>
            <w:tcW w:w="4017" w:type="dxa"/>
          </w:tcPr>
          <w:p w14:paraId="7FFE346A" w14:textId="77777777" w:rsidR="00494B49" w:rsidRDefault="00494B49"/>
        </w:tc>
        <w:tc>
          <w:tcPr>
            <w:tcW w:w="1991" w:type="dxa"/>
          </w:tcPr>
          <w:p w14:paraId="562DC2F6" w14:textId="77777777" w:rsidR="00494B49" w:rsidRDefault="00494B49">
            <w:r>
              <w:t>(b) Tax Prep Fee        10</w:t>
            </w:r>
          </w:p>
          <w:p w14:paraId="349D4C55" w14:textId="77777777" w:rsidR="00494B49" w:rsidRDefault="00494B49">
            <w:r>
              <w:t> Description        Line</w:t>
            </w:r>
          </w:p>
        </w:tc>
        <w:tc>
          <w:tcPr>
            <w:tcW w:w="1962" w:type="dxa"/>
          </w:tcPr>
          <w:p w14:paraId="1186211D" w14:textId="77777777" w:rsidR="00494B49" w:rsidRDefault="00494B49">
            <w:r>
              <w:t>$ 4,285.71</w:t>
            </w:r>
          </w:p>
        </w:tc>
        <w:tc>
          <w:tcPr>
            <w:tcW w:w="1380" w:type="dxa"/>
            <w:shd w:val="clear" w:color="auto" w:fill="auto"/>
          </w:tcPr>
          <w:p w14:paraId="68AA7D23" w14:textId="77777777" w:rsidR="00B5099F" w:rsidRDefault="00B5099F"/>
        </w:tc>
      </w:tr>
      <w:tr w:rsidR="00494B49" w14:paraId="68AF17EA" w14:textId="77777777" w:rsidTr="00B5099F">
        <w:tc>
          <w:tcPr>
            <w:tcW w:w="4017" w:type="dxa"/>
          </w:tcPr>
          <w:p w14:paraId="60490309" w14:textId="77777777" w:rsidR="00494B49" w:rsidRDefault="00494B49">
            <w:r>
              <w:t>(2)</w:t>
            </w:r>
          </w:p>
        </w:tc>
        <w:tc>
          <w:tcPr>
            <w:tcW w:w="1991" w:type="dxa"/>
          </w:tcPr>
          <w:p w14:paraId="6C06598B" w14:textId="77777777" w:rsidR="00494B49" w:rsidRDefault="00494B49">
            <w:r>
              <w:t>Enter the amount of state, local, and foreign income taxes that are properly allocable to investment income.</w:t>
            </w:r>
          </w:p>
        </w:tc>
        <w:tc>
          <w:tcPr>
            <w:tcW w:w="1962" w:type="dxa"/>
          </w:tcPr>
          <w:p w14:paraId="4AA60B34" w14:textId="77777777" w:rsidR="00494B49" w:rsidRDefault="00494B49">
            <w:r>
              <w:t>$ 20,000</w:t>
            </w:r>
          </w:p>
        </w:tc>
        <w:tc>
          <w:tcPr>
            <w:tcW w:w="1380" w:type="dxa"/>
          </w:tcPr>
          <w:p w14:paraId="5F089E55" w14:textId="77777777" w:rsidR="00494B49" w:rsidRDefault="00494B49"/>
        </w:tc>
      </w:tr>
      <w:tr w:rsidR="00494B49" w14:paraId="6F03EA62" w14:textId="77777777" w:rsidTr="00B5099F">
        <w:tc>
          <w:tcPr>
            <w:tcW w:w="4017" w:type="dxa"/>
          </w:tcPr>
          <w:p w14:paraId="20356193" w14:textId="77777777" w:rsidR="00494B49" w:rsidRDefault="00494B49">
            <w:r>
              <w:t>(3)</w:t>
            </w:r>
          </w:p>
        </w:tc>
        <w:tc>
          <w:tcPr>
            <w:tcW w:w="1991" w:type="dxa"/>
          </w:tcPr>
          <w:p w14:paraId="3AECF7A7"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962" w:type="dxa"/>
          </w:tcPr>
          <w:p w14:paraId="2FE5A4CD" w14:textId="77777777" w:rsidR="00494B49" w:rsidRDefault="00494B49"/>
        </w:tc>
        <w:tc>
          <w:tcPr>
            <w:tcW w:w="1380" w:type="dxa"/>
          </w:tcPr>
          <w:p w14:paraId="17F00BDD" w14:textId="77777777" w:rsidR="00494B49" w:rsidRDefault="00494B49"/>
        </w:tc>
      </w:tr>
      <w:tr w:rsidR="00B5099F" w14:paraId="115ACF8A" w14:textId="6F8FA2F8" w:rsidTr="00B5099F">
        <w:tc>
          <w:tcPr>
            <w:tcW w:w="4017" w:type="dxa"/>
          </w:tcPr>
          <w:p w14:paraId="0443AE49" w14:textId="77777777" w:rsidR="00494B49" w:rsidRDefault="00494B49"/>
        </w:tc>
        <w:tc>
          <w:tcPr>
            <w:tcW w:w="1991" w:type="dxa"/>
          </w:tcPr>
          <w:p w14:paraId="3381E396" w14:textId="77777777" w:rsidR="00494B49" w:rsidRDefault="00494B49">
            <w:r>
              <w:t>(a) RE Taxes – Investment Expense   9c</w:t>
            </w:r>
          </w:p>
          <w:p w14:paraId="1904CCC2" w14:textId="77777777" w:rsidR="00494B49" w:rsidRDefault="00494B49">
            <w:r>
              <w:t> Description           Line</w:t>
            </w:r>
          </w:p>
        </w:tc>
        <w:tc>
          <w:tcPr>
            <w:tcW w:w="1962" w:type="dxa"/>
          </w:tcPr>
          <w:p w14:paraId="682FEB17" w14:textId="77777777" w:rsidR="00494B49" w:rsidRDefault="00494B49">
            <w:r>
              <w:t>$ 60,000</w:t>
            </w:r>
          </w:p>
        </w:tc>
        <w:tc>
          <w:tcPr>
            <w:tcW w:w="1380" w:type="dxa"/>
            <w:shd w:val="clear" w:color="auto" w:fill="auto"/>
          </w:tcPr>
          <w:p w14:paraId="746BFC93" w14:textId="77777777" w:rsidR="00B5099F" w:rsidRDefault="00B5099F"/>
        </w:tc>
      </w:tr>
      <w:tr w:rsidR="00B5099F" w14:paraId="0433367C" w14:textId="6DC59699" w:rsidTr="00B5099F">
        <w:tc>
          <w:tcPr>
            <w:tcW w:w="4017" w:type="dxa"/>
          </w:tcPr>
          <w:p w14:paraId="63D8901C" w14:textId="77777777" w:rsidR="00494B49" w:rsidRDefault="00494B49">
            <w:r>
              <w:t>(4)</w:t>
            </w:r>
          </w:p>
        </w:tc>
        <w:tc>
          <w:tcPr>
            <w:tcW w:w="1991" w:type="dxa"/>
          </w:tcPr>
          <w:p w14:paraId="061D7E1B"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962" w:type="dxa"/>
          </w:tcPr>
          <w:p w14:paraId="347B95EB" w14:textId="77777777" w:rsidR="00494B49" w:rsidRDefault="00494B49">
            <w:r>
              <w:t>$ 140,000</w:t>
            </w:r>
          </w:p>
        </w:tc>
        <w:tc>
          <w:tcPr>
            <w:tcW w:w="1380" w:type="dxa"/>
            <w:shd w:val="clear" w:color="auto" w:fill="auto"/>
          </w:tcPr>
          <w:p w14:paraId="502F6DE2" w14:textId="77777777" w:rsidR="00B5099F" w:rsidRDefault="00B5099F"/>
        </w:tc>
      </w:tr>
      <w:tr w:rsidR="00494B49" w14:paraId="4F1A0C52" w14:textId="77777777" w:rsidTr="00B5099F">
        <w:tc>
          <w:tcPr>
            <w:tcW w:w="4017" w:type="dxa"/>
          </w:tcPr>
          <w:p w14:paraId="3BBDEBEB" w14:textId="77777777" w:rsidR="00494B49" w:rsidRDefault="00494B49">
            <w:r>
              <w:t>(5)</w:t>
            </w:r>
          </w:p>
        </w:tc>
        <w:tc>
          <w:tcPr>
            <w:tcW w:w="1991" w:type="dxa"/>
          </w:tcPr>
          <w:p w14:paraId="00106B0B" w14:textId="77777777" w:rsidR="00494B49" w:rsidRDefault="00494B49">
            <w:r>
              <w:t xml:space="preserve">Enter the amount of total itemized deductions reported on Form </w:t>
            </w:r>
            <w:smartTag w:uri="http://www.bna.com/sgml2word/cite" w:element="cite.fed.form">
              <w:smartTagPr>
                <w:attr w:name="ref" w:val="irs\form1040"/>
              </w:smartTagPr>
              <w:r>
                <w:t>1040</w:t>
              </w:r>
            </w:smartTag>
            <w:r>
              <w:t>, Line 40.</w:t>
            </w:r>
          </w:p>
        </w:tc>
        <w:tc>
          <w:tcPr>
            <w:tcW w:w="1962" w:type="dxa"/>
          </w:tcPr>
          <w:p w14:paraId="10E74237" w14:textId="77777777" w:rsidR="00494B49" w:rsidRDefault="00494B49">
            <w:r>
              <w:t>$201,000</w:t>
            </w:r>
          </w:p>
        </w:tc>
        <w:tc>
          <w:tcPr>
            <w:tcW w:w="1380" w:type="dxa"/>
          </w:tcPr>
          <w:p w14:paraId="12E3FAD2" w14:textId="77777777" w:rsidR="00494B49" w:rsidRDefault="00494B49"/>
        </w:tc>
      </w:tr>
      <w:tr w:rsidR="00494B49" w14:paraId="7CC503FB" w14:textId="77777777" w:rsidTr="00B5099F">
        <w:tc>
          <w:tcPr>
            <w:tcW w:w="4017" w:type="dxa"/>
          </w:tcPr>
          <w:p w14:paraId="355778C1" w14:textId="77777777" w:rsidR="00494B49" w:rsidRDefault="00494B49">
            <w:r>
              <w:t>(6)</w:t>
            </w:r>
          </w:p>
        </w:tc>
        <w:tc>
          <w:tcPr>
            <w:tcW w:w="1991" w:type="dxa"/>
          </w:tcPr>
          <w:p w14:paraId="77C05901"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962" w:type="dxa"/>
          </w:tcPr>
          <w:p w14:paraId="292373DA" w14:textId="77777777" w:rsidR="00494B49" w:rsidRDefault="00494B49"/>
        </w:tc>
        <w:tc>
          <w:tcPr>
            <w:tcW w:w="1380" w:type="dxa"/>
          </w:tcPr>
          <w:p w14:paraId="502028AB" w14:textId="77777777" w:rsidR="00494B49" w:rsidRDefault="00494B49"/>
        </w:tc>
      </w:tr>
      <w:tr w:rsidR="00494B49" w14:paraId="5CAEC93F" w14:textId="77777777" w:rsidTr="00B5099F">
        <w:tc>
          <w:tcPr>
            <w:tcW w:w="4017" w:type="dxa"/>
          </w:tcPr>
          <w:p w14:paraId="2D36A88C" w14:textId="77777777" w:rsidR="00494B49" w:rsidRDefault="00494B49"/>
        </w:tc>
        <w:tc>
          <w:tcPr>
            <w:tcW w:w="1991" w:type="dxa"/>
          </w:tcPr>
          <w:p w14:paraId="24ECE026" w14:textId="77777777" w:rsidR="00494B49" w:rsidRDefault="00494B49">
            <w:r>
              <w:t>(a) Investment Interest Expense</w:t>
            </w:r>
          </w:p>
          <w:p w14:paraId="2E5FCAC0" w14:textId="77777777" w:rsidR="00494B49" w:rsidRDefault="00494B49">
            <w:r>
              <w:t>(b) Casualty Losses</w:t>
            </w:r>
          </w:p>
          <w:p w14:paraId="2BF20364" w14:textId="77777777" w:rsidR="00494B49" w:rsidRDefault="00494B49">
            <w:r>
              <w:t>(c) Medical Expenses</w:t>
            </w:r>
          </w:p>
          <w:p w14:paraId="7E78CC6C" w14:textId="77777777" w:rsidR="00494B49" w:rsidRDefault="00494B49">
            <w:r>
              <w:t>(d) Gambling</w:t>
            </w:r>
          </w:p>
          <w:p w14:paraId="7B4734CE" w14:textId="77777777" w:rsidR="00494B49" w:rsidRDefault="00494B49">
            <w:r>
              <w:t>(e) Total</w:t>
            </w:r>
          </w:p>
        </w:tc>
        <w:tc>
          <w:tcPr>
            <w:tcW w:w="1962" w:type="dxa"/>
          </w:tcPr>
          <w:p w14:paraId="75C1C07D" w14:textId="77777777" w:rsidR="00494B49" w:rsidRDefault="00494B49">
            <w:r>
              <w:t>$ 75,000</w:t>
            </w:r>
          </w:p>
          <w:p w14:paraId="25026CC7" w14:textId="77777777" w:rsidR="00494B49" w:rsidRDefault="00494B49">
            <w:r>
              <w:t>$____________</w:t>
            </w:r>
          </w:p>
          <w:p w14:paraId="6913E163" w14:textId="77777777" w:rsidR="00494B49" w:rsidRDefault="00494B49">
            <w:r>
              <w:t>$____________</w:t>
            </w:r>
          </w:p>
          <w:p w14:paraId="3ABA7DAA" w14:textId="77777777" w:rsidR="00494B49" w:rsidRDefault="00494B49">
            <w:r>
              <w:t>$____________</w:t>
            </w:r>
          </w:p>
          <w:p w14:paraId="1F73AF69" w14:textId="77777777" w:rsidR="00494B49" w:rsidRDefault="00494B49">
            <w:r>
              <w:t>$ 75,000</w:t>
            </w:r>
          </w:p>
        </w:tc>
        <w:tc>
          <w:tcPr>
            <w:tcW w:w="1380" w:type="dxa"/>
          </w:tcPr>
          <w:p w14:paraId="341D2204" w14:textId="77777777" w:rsidR="00494B49" w:rsidRDefault="00494B49"/>
        </w:tc>
      </w:tr>
      <w:tr w:rsidR="00494B49" w14:paraId="585AFA7D" w14:textId="77777777" w:rsidTr="00B5099F">
        <w:tc>
          <w:tcPr>
            <w:tcW w:w="4017" w:type="dxa"/>
          </w:tcPr>
          <w:p w14:paraId="386B4EE7" w14:textId="77777777" w:rsidR="00494B49" w:rsidRDefault="00494B49">
            <w:r>
              <w:lastRenderedPageBreak/>
              <w:t>(7)</w:t>
            </w:r>
          </w:p>
        </w:tc>
        <w:tc>
          <w:tcPr>
            <w:tcW w:w="1991" w:type="dxa"/>
          </w:tcPr>
          <w:p w14:paraId="07BEC5AB" w14:textId="77777777" w:rsidR="00494B49" w:rsidRDefault="00494B49">
            <w:r>
              <w:t>Subtract all items in Line 6 from Line 5</w:t>
            </w:r>
          </w:p>
        </w:tc>
        <w:tc>
          <w:tcPr>
            <w:tcW w:w="1962" w:type="dxa"/>
          </w:tcPr>
          <w:p w14:paraId="3CB1EB1E" w14:textId="77777777" w:rsidR="00494B49" w:rsidRDefault="00494B49"/>
        </w:tc>
        <w:tc>
          <w:tcPr>
            <w:tcW w:w="1380" w:type="dxa"/>
          </w:tcPr>
          <w:p w14:paraId="1095A801" w14:textId="77777777" w:rsidR="00494B49" w:rsidRDefault="00494B49">
            <w:r>
              <w:t>$ 126,000</w:t>
            </w:r>
          </w:p>
        </w:tc>
      </w:tr>
      <w:tr w:rsidR="00B5099F" w14:paraId="09E6E945" w14:textId="46974C25" w:rsidTr="00B5099F">
        <w:tc>
          <w:tcPr>
            <w:tcW w:w="4017" w:type="dxa"/>
          </w:tcPr>
          <w:p w14:paraId="35487C3B" w14:textId="77777777" w:rsidR="00494B49" w:rsidRDefault="00494B49">
            <w:r>
              <w:t>(8)</w:t>
            </w:r>
          </w:p>
        </w:tc>
        <w:tc>
          <w:tcPr>
            <w:tcW w:w="1991" w:type="dxa"/>
          </w:tcPr>
          <w:p w14:paraId="38D2AFB6" w14:textId="77777777" w:rsidR="00494B49" w:rsidRDefault="00494B49">
            <w:r>
              <w:t>Enter the lesser of Line 7 or Line 4.</w:t>
            </w:r>
          </w:p>
          <w:p w14:paraId="05ABAF83" w14:textId="77777777" w:rsidR="00494B49" w:rsidRDefault="00494B49">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 xml:space="preserve">. </w:t>
            </w:r>
          </w:p>
        </w:tc>
        <w:tc>
          <w:tcPr>
            <w:tcW w:w="1962" w:type="dxa"/>
          </w:tcPr>
          <w:p w14:paraId="2678F8A0" w14:textId="77777777" w:rsidR="00494B49" w:rsidRDefault="00494B49">
            <w:r>
              <w:t>$ 126,000</w:t>
            </w:r>
          </w:p>
        </w:tc>
        <w:tc>
          <w:tcPr>
            <w:tcW w:w="1380" w:type="dxa"/>
            <w:shd w:val="clear" w:color="auto" w:fill="auto"/>
          </w:tcPr>
          <w:p w14:paraId="35510780" w14:textId="77777777" w:rsidR="00B5099F" w:rsidRDefault="00B5099F"/>
        </w:tc>
      </w:tr>
    </w:tbl>
    <w:p w14:paraId="7A8FB90E" w14:textId="77777777" w:rsidR="00494B49" w:rsidRDefault="00494B49" w:rsidP="007865AF"/>
    <w:p w14:paraId="76BB48BE" w14:textId="77777777" w:rsidR="00494B49" w:rsidRDefault="00494B49" w:rsidP="007865AF"/>
    <w:tbl>
      <w:tblPr>
        <w:tblStyle w:val="TableGrid"/>
        <w:tblW w:w="9354" w:type="dxa"/>
        <w:tblLook w:val="04A0" w:firstRow="1" w:lastRow="0" w:firstColumn="1" w:lastColumn="0" w:noHBand="0" w:noVBand="1"/>
      </w:tblPr>
      <w:tblGrid>
        <w:gridCol w:w="3242"/>
        <w:gridCol w:w="1570"/>
        <w:gridCol w:w="6"/>
        <w:gridCol w:w="1596"/>
        <w:gridCol w:w="1174"/>
        <w:gridCol w:w="6"/>
        <w:gridCol w:w="604"/>
        <w:gridCol w:w="6"/>
        <w:gridCol w:w="1150"/>
      </w:tblGrid>
      <w:tr w:rsidR="00B5099F" w14:paraId="72EB9814" w14:textId="0783C56E" w:rsidTr="00B5099F">
        <w:tc>
          <w:tcPr>
            <w:tcW w:w="3242" w:type="dxa"/>
          </w:tcPr>
          <w:p w14:paraId="09E28834" w14:textId="77777777" w:rsidR="00494B49" w:rsidRDefault="00494B49">
            <w:r>
              <w:t xml:space="preserve"> </w:t>
            </w:r>
            <w:r>
              <w:rPr>
                <w:b/>
                <w:i/>
              </w:rPr>
              <w:t xml:space="preserve">Part IV </w:t>
            </w:r>
          </w:p>
          <w:p w14:paraId="528FEB03" w14:textId="77777777" w:rsidR="00494B49" w:rsidRDefault="00494B49">
            <w:r>
              <w:t xml:space="preserve"> </w:t>
            </w:r>
            <w:r>
              <w:rPr>
                <w:b/>
                <w:i/>
              </w:rPr>
              <w:t>Reconciliation of Schedule A Deductions to Form 8960, Lines 9 and 10</w:t>
            </w:r>
          </w:p>
          <w:p w14:paraId="7637ADCD" w14:textId="77777777" w:rsidR="00494B49" w:rsidRDefault="00494B49">
            <w:r>
              <w:t xml:space="preserve"> </w:t>
            </w:r>
            <w:r>
              <w:rPr>
                <w:b/>
                <w:i/>
              </w:rPr>
              <w:t>(Individuals Only)</w:t>
            </w:r>
          </w:p>
          <w:p w14:paraId="511377E6" w14:textId="77777777" w:rsidR="00494B49" w:rsidRDefault="00494B49"/>
        </w:tc>
        <w:tc>
          <w:tcPr>
            <w:tcW w:w="1576" w:type="dxa"/>
            <w:gridSpan w:val="2"/>
            <w:shd w:val="clear" w:color="auto" w:fill="auto"/>
          </w:tcPr>
          <w:p w14:paraId="1DED0B55" w14:textId="77777777" w:rsidR="00B5099F" w:rsidRDefault="00B5099F"/>
        </w:tc>
        <w:tc>
          <w:tcPr>
            <w:tcW w:w="1596" w:type="dxa"/>
            <w:shd w:val="clear" w:color="auto" w:fill="auto"/>
          </w:tcPr>
          <w:p w14:paraId="7220319B" w14:textId="77777777" w:rsidR="00B5099F" w:rsidRDefault="00B5099F"/>
        </w:tc>
        <w:tc>
          <w:tcPr>
            <w:tcW w:w="1180" w:type="dxa"/>
            <w:gridSpan w:val="2"/>
            <w:shd w:val="clear" w:color="auto" w:fill="auto"/>
          </w:tcPr>
          <w:p w14:paraId="6059DFE4" w14:textId="77777777" w:rsidR="00B5099F" w:rsidRDefault="00B5099F"/>
        </w:tc>
        <w:tc>
          <w:tcPr>
            <w:tcW w:w="610" w:type="dxa"/>
            <w:gridSpan w:val="2"/>
            <w:shd w:val="clear" w:color="auto" w:fill="auto"/>
          </w:tcPr>
          <w:p w14:paraId="5A47974A" w14:textId="77777777" w:rsidR="00B5099F" w:rsidRDefault="00B5099F"/>
        </w:tc>
        <w:tc>
          <w:tcPr>
            <w:tcW w:w="1150" w:type="dxa"/>
            <w:shd w:val="clear" w:color="auto" w:fill="auto"/>
          </w:tcPr>
          <w:p w14:paraId="6539D4BE" w14:textId="77777777" w:rsidR="00B5099F" w:rsidRDefault="00B5099F"/>
        </w:tc>
      </w:tr>
      <w:tr w:rsidR="00B5099F" w14:paraId="55CEA180" w14:textId="7E9FBC1E" w:rsidTr="00B5099F">
        <w:tc>
          <w:tcPr>
            <w:tcW w:w="3242" w:type="dxa"/>
          </w:tcPr>
          <w:p w14:paraId="53363C30" w14:textId="77777777" w:rsidR="00494B49" w:rsidRDefault="00494B49">
            <w:r>
              <w:t>(A)</w:t>
            </w:r>
          </w:p>
        </w:tc>
        <w:tc>
          <w:tcPr>
            <w:tcW w:w="1570" w:type="dxa"/>
          </w:tcPr>
          <w:p w14:paraId="62AFE044" w14:textId="77777777" w:rsidR="00494B49" w:rsidRDefault="00494B49">
            <w:r>
              <w:t>(B)</w:t>
            </w:r>
          </w:p>
        </w:tc>
        <w:tc>
          <w:tcPr>
            <w:tcW w:w="1602" w:type="dxa"/>
            <w:gridSpan w:val="2"/>
          </w:tcPr>
          <w:p w14:paraId="103B80F3" w14:textId="77777777" w:rsidR="00494B49" w:rsidRDefault="00494B49">
            <w:r>
              <w:t>(C)</w:t>
            </w:r>
          </w:p>
        </w:tc>
        <w:tc>
          <w:tcPr>
            <w:tcW w:w="1174" w:type="dxa"/>
            <w:shd w:val="clear" w:color="auto" w:fill="auto"/>
          </w:tcPr>
          <w:p w14:paraId="60350C02" w14:textId="77777777" w:rsidR="00B5099F" w:rsidRDefault="00B5099F"/>
        </w:tc>
        <w:tc>
          <w:tcPr>
            <w:tcW w:w="610" w:type="dxa"/>
            <w:gridSpan w:val="2"/>
            <w:shd w:val="clear" w:color="auto" w:fill="auto"/>
          </w:tcPr>
          <w:p w14:paraId="0A3DC448" w14:textId="77777777" w:rsidR="00B5099F" w:rsidRDefault="00B5099F"/>
        </w:tc>
        <w:tc>
          <w:tcPr>
            <w:tcW w:w="1154" w:type="dxa"/>
            <w:gridSpan w:val="2"/>
            <w:shd w:val="clear" w:color="auto" w:fill="auto"/>
          </w:tcPr>
          <w:p w14:paraId="5100D36B" w14:textId="77777777" w:rsidR="00B5099F" w:rsidRDefault="00B5099F"/>
        </w:tc>
      </w:tr>
      <w:tr w:rsidR="00B5099F" w14:paraId="55EB37E4" w14:textId="2A0D96CF" w:rsidTr="00B5099F">
        <w:tc>
          <w:tcPr>
            <w:tcW w:w="3242" w:type="dxa"/>
          </w:tcPr>
          <w:p w14:paraId="73168051" w14:textId="77777777" w:rsidR="00494B49" w:rsidRDefault="00494B49">
            <w:r>
              <w:t>Reenter the amounts and descriptions from Part III, Lines 1 – 3.</w:t>
            </w:r>
          </w:p>
        </w:tc>
        <w:tc>
          <w:tcPr>
            <w:tcW w:w="1570" w:type="dxa"/>
          </w:tcPr>
          <w:p w14:paraId="414594F1" w14:textId="77777777" w:rsidR="00494B49" w:rsidRDefault="00494B49">
            <w:r>
              <w:t xml:space="preserve">If Part III, Line 8 is less than Part III, Line 4, then divide Line 8 by on Line 4 and enter the amount in column (B). </w:t>
            </w:r>
          </w:p>
          <w:p w14:paraId="256FC296" w14:textId="77777777" w:rsidR="00494B49" w:rsidRDefault="00494B49">
            <w:r>
              <w:t>If the amounts reported on Part III, Lines 4 and 8 are equal, then enter 1.00 in column (B).</w:t>
            </w:r>
          </w:p>
        </w:tc>
        <w:tc>
          <w:tcPr>
            <w:tcW w:w="1602" w:type="dxa"/>
            <w:gridSpan w:val="2"/>
          </w:tcPr>
          <w:p w14:paraId="4B88B096" w14:textId="77777777" w:rsidR="00494B49" w:rsidRDefault="00494B49">
            <w:r>
              <w:t>Multiply the individual amounts in column (A) by the amount in column (B). Enter these amounts in the appropriate location on Lines 9 and 10.</w:t>
            </w:r>
          </w:p>
        </w:tc>
        <w:tc>
          <w:tcPr>
            <w:tcW w:w="1174" w:type="dxa"/>
            <w:shd w:val="clear" w:color="auto" w:fill="auto"/>
          </w:tcPr>
          <w:p w14:paraId="4321736D" w14:textId="77777777" w:rsidR="00B5099F" w:rsidRDefault="00B5099F"/>
        </w:tc>
        <w:tc>
          <w:tcPr>
            <w:tcW w:w="610" w:type="dxa"/>
            <w:gridSpan w:val="2"/>
            <w:shd w:val="clear" w:color="auto" w:fill="auto"/>
          </w:tcPr>
          <w:p w14:paraId="7E1295E6" w14:textId="77777777" w:rsidR="00B5099F" w:rsidRDefault="00B5099F"/>
        </w:tc>
        <w:tc>
          <w:tcPr>
            <w:tcW w:w="1154" w:type="dxa"/>
            <w:gridSpan w:val="2"/>
            <w:shd w:val="clear" w:color="auto" w:fill="auto"/>
          </w:tcPr>
          <w:p w14:paraId="665F5F95" w14:textId="77777777" w:rsidR="00B5099F" w:rsidRDefault="00B5099F"/>
        </w:tc>
      </w:tr>
      <w:tr w:rsidR="00494B49" w14:paraId="1F34F11A" w14:textId="77777777" w:rsidTr="00B5099F">
        <w:tc>
          <w:tcPr>
            <w:tcW w:w="3242" w:type="dxa"/>
          </w:tcPr>
          <w:p w14:paraId="3BCC1805" w14:textId="77777777" w:rsidR="00494B49" w:rsidRDefault="00494B49">
            <w:r>
              <w:t xml:space="preserve">(1) Miscellaneous Itemized Deductions properly allocable to investment income: </w:t>
            </w:r>
          </w:p>
        </w:tc>
        <w:tc>
          <w:tcPr>
            <w:tcW w:w="1570" w:type="dxa"/>
          </w:tcPr>
          <w:p w14:paraId="1FC24AC4" w14:textId="77777777" w:rsidR="00494B49" w:rsidRDefault="00494B49">
            <w:r>
              <w:t xml:space="preserve"> </w:t>
            </w:r>
          </w:p>
          <w:p w14:paraId="7BBAF799" w14:textId="77777777" w:rsidR="00494B49" w:rsidRDefault="00494B49"/>
        </w:tc>
        <w:tc>
          <w:tcPr>
            <w:tcW w:w="1602" w:type="dxa"/>
            <w:gridSpan w:val="2"/>
          </w:tcPr>
          <w:p w14:paraId="4EB9A3D7" w14:textId="77777777" w:rsidR="00494B49" w:rsidRDefault="00494B49">
            <w:r>
              <w:t xml:space="preserve"> </w:t>
            </w:r>
          </w:p>
          <w:p w14:paraId="42CF414D" w14:textId="77777777" w:rsidR="00494B49" w:rsidRDefault="00494B49"/>
        </w:tc>
        <w:tc>
          <w:tcPr>
            <w:tcW w:w="1174" w:type="dxa"/>
          </w:tcPr>
          <w:p w14:paraId="24090AC7" w14:textId="77777777" w:rsidR="00494B49" w:rsidRDefault="00494B49">
            <w:r>
              <w:t xml:space="preserve"> </w:t>
            </w:r>
          </w:p>
          <w:p w14:paraId="09EF4C0A" w14:textId="77777777" w:rsidR="00494B49" w:rsidRDefault="00494B49"/>
        </w:tc>
        <w:tc>
          <w:tcPr>
            <w:tcW w:w="610" w:type="dxa"/>
            <w:gridSpan w:val="2"/>
          </w:tcPr>
          <w:p w14:paraId="3C44C3A5" w14:textId="77777777" w:rsidR="00494B49" w:rsidRDefault="00494B49">
            <w:r>
              <w:t xml:space="preserve"> </w:t>
            </w:r>
          </w:p>
          <w:p w14:paraId="35126AA2" w14:textId="77777777" w:rsidR="00494B49" w:rsidRDefault="00494B49"/>
        </w:tc>
        <w:tc>
          <w:tcPr>
            <w:tcW w:w="1154" w:type="dxa"/>
            <w:gridSpan w:val="2"/>
          </w:tcPr>
          <w:p w14:paraId="1E918C97" w14:textId="77777777" w:rsidR="00494B49" w:rsidRDefault="00494B49">
            <w:r>
              <w:t xml:space="preserve"> </w:t>
            </w:r>
          </w:p>
          <w:p w14:paraId="50CB3820" w14:textId="77777777" w:rsidR="00494B49" w:rsidRDefault="00494B49"/>
        </w:tc>
      </w:tr>
      <w:tr w:rsidR="00494B49" w14:paraId="36AB7223" w14:textId="77777777" w:rsidTr="00B5099F">
        <w:tc>
          <w:tcPr>
            <w:tcW w:w="3242" w:type="dxa"/>
          </w:tcPr>
          <w:p w14:paraId="4D12453E" w14:textId="77777777" w:rsidR="00494B49" w:rsidRDefault="00494B49">
            <w:r>
              <w:t>(a) Inv Expense   9c</w:t>
            </w:r>
          </w:p>
          <w:p w14:paraId="50F72A59" w14:textId="77777777" w:rsidR="00494B49" w:rsidRDefault="00494B49">
            <w:r>
              <w:t> Description  Line</w:t>
            </w:r>
          </w:p>
        </w:tc>
        <w:tc>
          <w:tcPr>
            <w:tcW w:w="1570" w:type="dxa"/>
          </w:tcPr>
          <w:p w14:paraId="35207578" w14:textId="77777777" w:rsidR="00494B49" w:rsidRDefault="00494B49">
            <w:r>
              <w:t>$ 55,714.29</w:t>
            </w:r>
          </w:p>
          <w:p w14:paraId="39474DF7" w14:textId="77777777" w:rsidR="00494B49" w:rsidRDefault="00494B49"/>
        </w:tc>
        <w:tc>
          <w:tcPr>
            <w:tcW w:w="1602" w:type="dxa"/>
            <w:gridSpan w:val="2"/>
          </w:tcPr>
          <w:p w14:paraId="7F86E09B" w14:textId="77777777" w:rsidR="00494B49" w:rsidRDefault="00494B49">
            <w:r>
              <w:t>×</w:t>
            </w:r>
          </w:p>
          <w:p w14:paraId="74639F61" w14:textId="77777777" w:rsidR="00494B49" w:rsidRDefault="00494B49"/>
        </w:tc>
        <w:tc>
          <w:tcPr>
            <w:tcW w:w="1174" w:type="dxa"/>
          </w:tcPr>
          <w:p w14:paraId="2CE63CDB" w14:textId="77777777" w:rsidR="00494B49" w:rsidRDefault="00494B49">
            <w:r>
              <w:t>0.9000000</w:t>
            </w:r>
          </w:p>
          <w:p w14:paraId="17B977B3" w14:textId="77777777" w:rsidR="00494B49" w:rsidRDefault="00494B49"/>
        </w:tc>
        <w:tc>
          <w:tcPr>
            <w:tcW w:w="610" w:type="dxa"/>
            <w:gridSpan w:val="2"/>
          </w:tcPr>
          <w:p w14:paraId="4131D536" w14:textId="77777777" w:rsidR="00494B49" w:rsidRDefault="00494B49">
            <w:r>
              <w:t>=</w:t>
            </w:r>
          </w:p>
          <w:p w14:paraId="2FCD4186" w14:textId="77777777" w:rsidR="00494B49" w:rsidRDefault="00494B49"/>
        </w:tc>
        <w:tc>
          <w:tcPr>
            <w:tcW w:w="1154" w:type="dxa"/>
            <w:gridSpan w:val="2"/>
          </w:tcPr>
          <w:p w14:paraId="70578167" w14:textId="77777777" w:rsidR="00494B49" w:rsidRDefault="00494B49">
            <w:r>
              <w:t>$ 50,142.86</w:t>
            </w:r>
          </w:p>
          <w:p w14:paraId="680C3072" w14:textId="77777777" w:rsidR="00494B49" w:rsidRDefault="00494B49"/>
        </w:tc>
      </w:tr>
      <w:tr w:rsidR="00494B49" w14:paraId="7EFD3A8F" w14:textId="77777777" w:rsidTr="00B5099F">
        <w:tc>
          <w:tcPr>
            <w:tcW w:w="3242" w:type="dxa"/>
          </w:tcPr>
          <w:p w14:paraId="6A4671B1" w14:textId="77777777" w:rsidR="00494B49" w:rsidRDefault="00494B49">
            <w:r>
              <w:t>(b) RE Taxes    9c</w:t>
            </w:r>
          </w:p>
          <w:p w14:paraId="2B84905C" w14:textId="77777777" w:rsidR="00494B49" w:rsidRDefault="00494B49">
            <w:r>
              <w:t> Description  Line</w:t>
            </w:r>
          </w:p>
        </w:tc>
        <w:tc>
          <w:tcPr>
            <w:tcW w:w="1570" w:type="dxa"/>
          </w:tcPr>
          <w:p w14:paraId="17A2D2F8" w14:textId="77777777" w:rsidR="00494B49" w:rsidRDefault="00494B49">
            <w:r>
              <w:t>$60,000.00</w:t>
            </w:r>
          </w:p>
          <w:p w14:paraId="5C843AC0" w14:textId="77777777" w:rsidR="00494B49" w:rsidRDefault="00494B49"/>
        </w:tc>
        <w:tc>
          <w:tcPr>
            <w:tcW w:w="1602" w:type="dxa"/>
            <w:gridSpan w:val="2"/>
          </w:tcPr>
          <w:p w14:paraId="57CEBC9A" w14:textId="77777777" w:rsidR="00494B49" w:rsidRDefault="00494B49">
            <w:r>
              <w:t>×</w:t>
            </w:r>
          </w:p>
          <w:p w14:paraId="31264C85" w14:textId="77777777" w:rsidR="00494B49" w:rsidRDefault="00494B49"/>
        </w:tc>
        <w:tc>
          <w:tcPr>
            <w:tcW w:w="1174" w:type="dxa"/>
          </w:tcPr>
          <w:p w14:paraId="2552455D" w14:textId="77777777" w:rsidR="00494B49" w:rsidRDefault="00494B49">
            <w:r>
              <w:t>0.9000000</w:t>
            </w:r>
          </w:p>
          <w:p w14:paraId="603BB95B" w14:textId="77777777" w:rsidR="00494B49" w:rsidRDefault="00494B49"/>
        </w:tc>
        <w:tc>
          <w:tcPr>
            <w:tcW w:w="610" w:type="dxa"/>
            <w:gridSpan w:val="2"/>
          </w:tcPr>
          <w:p w14:paraId="6E42B737" w14:textId="77777777" w:rsidR="00494B49" w:rsidRDefault="00494B49">
            <w:r>
              <w:t>=</w:t>
            </w:r>
          </w:p>
          <w:p w14:paraId="107BAD0C" w14:textId="77777777" w:rsidR="00494B49" w:rsidRDefault="00494B49"/>
        </w:tc>
        <w:tc>
          <w:tcPr>
            <w:tcW w:w="1154" w:type="dxa"/>
            <w:gridSpan w:val="2"/>
          </w:tcPr>
          <w:p w14:paraId="73AA66C5" w14:textId="77777777" w:rsidR="00494B49" w:rsidRDefault="00494B49">
            <w:r>
              <w:t>$ 54,000</w:t>
            </w:r>
          </w:p>
          <w:p w14:paraId="6B35835B" w14:textId="77777777" w:rsidR="00494B49" w:rsidRDefault="00494B49"/>
        </w:tc>
      </w:tr>
      <w:tr w:rsidR="00494B49" w14:paraId="12E09ADE" w14:textId="77777777" w:rsidTr="00B5099F">
        <w:tc>
          <w:tcPr>
            <w:tcW w:w="3242" w:type="dxa"/>
          </w:tcPr>
          <w:p w14:paraId="53BC6D92" w14:textId="77777777" w:rsidR="00494B49" w:rsidRDefault="00494B49">
            <w:r>
              <w:t>(c) Tax Prep Fee  10</w:t>
            </w:r>
          </w:p>
          <w:p w14:paraId="7EC449FC" w14:textId="77777777" w:rsidR="00494B49" w:rsidRDefault="00494B49">
            <w:r>
              <w:t> Description  Line</w:t>
            </w:r>
          </w:p>
        </w:tc>
        <w:tc>
          <w:tcPr>
            <w:tcW w:w="1570" w:type="dxa"/>
          </w:tcPr>
          <w:p w14:paraId="4B57417B" w14:textId="77777777" w:rsidR="00494B49" w:rsidRDefault="00494B49">
            <w:r>
              <w:t>$ 4,285.71</w:t>
            </w:r>
          </w:p>
          <w:p w14:paraId="6D77EC1D" w14:textId="77777777" w:rsidR="00494B49" w:rsidRDefault="00494B49"/>
        </w:tc>
        <w:tc>
          <w:tcPr>
            <w:tcW w:w="1602" w:type="dxa"/>
            <w:gridSpan w:val="2"/>
          </w:tcPr>
          <w:p w14:paraId="2CAA0BF9" w14:textId="77777777" w:rsidR="00494B49" w:rsidRDefault="00494B49">
            <w:r>
              <w:t>×</w:t>
            </w:r>
          </w:p>
          <w:p w14:paraId="129A179E" w14:textId="77777777" w:rsidR="00494B49" w:rsidRDefault="00494B49"/>
        </w:tc>
        <w:tc>
          <w:tcPr>
            <w:tcW w:w="1174" w:type="dxa"/>
          </w:tcPr>
          <w:p w14:paraId="3C88B8CD" w14:textId="77777777" w:rsidR="00494B49" w:rsidRDefault="00494B49">
            <w:r>
              <w:t>0.9000000</w:t>
            </w:r>
          </w:p>
          <w:p w14:paraId="64267759" w14:textId="77777777" w:rsidR="00494B49" w:rsidRDefault="00494B49"/>
        </w:tc>
        <w:tc>
          <w:tcPr>
            <w:tcW w:w="610" w:type="dxa"/>
            <w:gridSpan w:val="2"/>
          </w:tcPr>
          <w:p w14:paraId="32BD7A3C" w14:textId="77777777" w:rsidR="00494B49" w:rsidRDefault="00494B49">
            <w:r>
              <w:t>=</w:t>
            </w:r>
          </w:p>
          <w:p w14:paraId="2A070EAA" w14:textId="77777777" w:rsidR="00494B49" w:rsidRDefault="00494B49"/>
        </w:tc>
        <w:tc>
          <w:tcPr>
            <w:tcW w:w="1154" w:type="dxa"/>
            <w:gridSpan w:val="2"/>
          </w:tcPr>
          <w:p w14:paraId="6BCA5271" w14:textId="77777777" w:rsidR="00494B49" w:rsidRDefault="00494B49">
            <w:r>
              <w:t>$ 3,857.14</w:t>
            </w:r>
          </w:p>
          <w:p w14:paraId="4BC9AC37" w14:textId="77777777" w:rsidR="00494B49" w:rsidRDefault="00494B49"/>
        </w:tc>
      </w:tr>
      <w:tr w:rsidR="00494B49" w14:paraId="4EBB9A67" w14:textId="77777777" w:rsidTr="00B5099F">
        <w:tc>
          <w:tcPr>
            <w:tcW w:w="3242" w:type="dxa"/>
          </w:tcPr>
          <w:p w14:paraId="4DA1E4CE" w14:textId="77777777" w:rsidR="00494B49" w:rsidRDefault="00494B49">
            <w:r>
              <w:t>(2) State, local, and foreign income taxes</w:t>
            </w:r>
          </w:p>
        </w:tc>
        <w:tc>
          <w:tcPr>
            <w:tcW w:w="1570" w:type="dxa"/>
          </w:tcPr>
          <w:p w14:paraId="56D3887A" w14:textId="77777777" w:rsidR="00494B49" w:rsidRDefault="00494B49">
            <w:r>
              <w:t>$20,000</w:t>
            </w:r>
          </w:p>
        </w:tc>
        <w:tc>
          <w:tcPr>
            <w:tcW w:w="1602" w:type="dxa"/>
            <w:gridSpan w:val="2"/>
          </w:tcPr>
          <w:p w14:paraId="0C27A1C4" w14:textId="77777777" w:rsidR="00494B49" w:rsidRDefault="00494B49">
            <w:r>
              <w:t>×</w:t>
            </w:r>
          </w:p>
        </w:tc>
        <w:tc>
          <w:tcPr>
            <w:tcW w:w="1174" w:type="dxa"/>
          </w:tcPr>
          <w:p w14:paraId="67758FD4" w14:textId="77777777" w:rsidR="00494B49" w:rsidRDefault="00494B49">
            <w:r>
              <w:t>0.9000000</w:t>
            </w:r>
          </w:p>
        </w:tc>
        <w:tc>
          <w:tcPr>
            <w:tcW w:w="610" w:type="dxa"/>
            <w:gridSpan w:val="2"/>
          </w:tcPr>
          <w:p w14:paraId="241B97A0" w14:textId="77777777" w:rsidR="00494B49" w:rsidRDefault="00494B49">
            <w:r>
              <w:t>=</w:t>
            </w:r>
          </w:p>
        </w:tc>
        <w:tc>
          <w:tcPr>
            <w:tcW w:w="1154" w:type="dxa"/>
            <w:gridSpan w:val="2"/>
          </w:tcPr>
          <w:p w14:paraId="5194A646" w14:textId="77777777" w:rsidR="00494B49" w:rsidRDefault="00494B49">
            <w:r>
              <w:t>$ 18,000</w:t>
            </w:r>
          </w:p>
        </w:tc>
      </w:tr>
      <w:tr w:rsidR="00494B49" w14:paraId="62F41537" w14:textId="77777777" w:rsidTr="00B5099F">
        <w:tc>
          <w:tcPr>
            <w:tcW w:w="3242" w:type="dxa"/>
          </w:tcPr>
          <w:p w14:paraId="0E1F4C7E" w14:textId="77777777" w:rsidR="00494B49" w:rsidRDefault="00494B49">
            <w:r>
              <w:t>Total</w:t>
            </w:r>
          </w:p>
        </w:tc>
        <w:tc>
          <w:tcPr>
            <w:tcW w:w="1570" w:type="dxa"/>
          </w:tcPr>
          <w:p w14:paraId="61C646E7" w14:textId="77777777" w:rsidR="00494B49" w:rsidRDefault="00494B49">
            <w:r>
              <w:t>$ 140,000</w:t>
            </w:r>
          </w:p>
        </w:tc>
        <w:tc>
          <w:tcPr>
            <w:tcW w:w="1602" w:type="dxa"/>
            <w:gridSpan w:val="2"/>
          </w:tcPr>
          <w:p w14:paraId="0E9AF08D" w14:textId="77777777" w:rsidR="00494B49" w:rsidRDefault="00494B49"/>
        </w:tc>
        <w:tc>
          <w:tcPr>
            <w:tcW w:w="1174" w:type="dxa"/>
          </w:tcPr>
          <w:p w14:paraId="690B0286" w14:textId="77777777" w:rsidR="00494B49" w:rsidRDefault="00494B49"/>
        </w:tc>
        <w:tc>
          <w:tcPr>
            <w:tcW w:w="610" w:type="dxa"/>
            <w:gridSpan w:val="2"/>
          </w:tcPr>
          <w:p w14:paraId="666CBC73" w14:textId="77777777" w:rsidR="00494B49" w:rsidRDefault="00494B49"/>
        </w:tc>
        <w:tc>
          <w:tcPr>
            <w:tcW w:w="1154" w:type="dxa"/>
            <w:gridSpan w:val="2"/>
          </w:tcPr>
          <w:p w14:paraId="74866596" w14:textId="77777777" w:rsidR="00494B49" w:rsidRDefault="00494B49">
            <w:r>
              <w:t>$ 126,000</w:t>
            </w:r>
          </w:p>
        </w:tc>
      </w:tr>
    </w:tbl>
    <w:p w14:paraId="48DEC435" w14:textId="77777777" w:rsidR="00494B49" w:rsidRDefault="00494B49">
      <w:pPr>
        <w:pStyle w:val="BNormal"/>
      </w:pPr>
    </w:p>
    <w:p w14:paraId="251A0E4E" w14:textId="77777777" w:rsidR="00494B49" w:rsidRDefault="00494B49">
      <w:pPr>
        <w:pStyle w:val="BHead3"/>
      </w:pPr>
      <w:r>
        <w:lastRenderedPageBreak/>
        <w:t>c. Example — Benefits of Stacking</w:t>
      </w:r>
    </w:p>
    <w:p w14:paraId="73A39322" w14:textId="77777777" w:rsidR="00494B49" w:rsidRDefault="00494B49" w:rsidP="007865AF">
      <w:pPr>
        <w:pStyle w:val="BNormal"/>
      </w:pPr>
      <w:r>
        <w:t xml:space="preserve">Assume the same facts as in the Example above (involving a tax year beginning before 2018), except assume the individual made a $15,000 charitable contribution that was properly deductible in the current year. Because the charitable contribution is not a miscellaneous itemized deduction subject to the 2% limitation, Parts I and II of the Lines 9-10 Worksheets do not change. </w:t>
      </w:r>
    </w:p>
    <w:p w14:paraId="65508685" w14:textId="77777777" w:rsidR="00494B49" w:rsidRDefault="00494B49" w:rsidP="007865AF">
      <w:pPr>
        <w:pStyle w:val="BNormal"/>
      </w:pPr>
    </w:p>
    <w:tbl>
      <w:tblPr>
        <w:tblStyle w:val="TableGrid"/>
        <w:tblW w:w="9355" w:type="dxa"/>
        <w:tblLook w:val="04A0" w:firstRow="1" w:lastRow="0" w:firstColumn="1" w:lastColumn="0" w:noHBand="0" w:noVBand="1"/>
      </w:tblPr>
      <w:tblGrid>
        <w:gridCol w:w="3723"/>
        <w:gridCol w:w="2409"/>
        <w:gridCol w:w="1893"/>
        <w:gridCol w:w="1330"/>
      </w:tblGrid>
      <w:tr w:rsidR="00B5099F" w14:paraId="1BA2AB7B" w14:textId="2C77831C" w:rsidTr="00B5099F">
        <w:tc>
          <w:tcPr>
            <w:tcW w:w="3723" w:type="dxa"/>
          </w:tcPr>
          <w:p w14:paraId="5D45903B" w14:textId="77777777" w:rsidR="00494B49" w:rsidRDefault="00494B49">
            <w:r>
              <w:t xml:space="preserve"> </w:t>
            </w:r>
            <w:r>
              <w:rPr>
                <w:b/>
                <w:i/>
              </w:rPr>
              <w:t>Form 8960, Lines 9-10 Worksheet</w:t>
            </w:r>
          </w:p>
          <w:p w14:paraId="50BB0132" w14:textId="77777777" w:rsidR="00494B49" w:rsidRDefault="00494B49">
            <w:r>
              <w:t xml:space="preserve"> </w:t>
            </w:r>
            <w:r>
              <w:rPr>
                <w:b/>
                <w:i/>
              </w:rPr>
              <w:t>Part III</w:t>
            </w:r>
          </w:p>
          <w:p w14:paraId="3129CC3B" w14:textId="77777777" w:rsidR="00494B49" w:rsidRDefault="00494B49">
            <w:r>
              <w:t xml:space="preserve"> </w:t>
            </w:r>
            <w:r>
              <w:rPr>
                <w:b/>
                <w:i/>
              </w:rPr>
              <w:t>Application of Section 68 to deductions properly allocable to investment income</w:t>
            </w:r>
          </w:p>
          <w:p w14:paraId="2B8CD0F2" w14:textId="77777777" w:rsidR="00494B49" w:rsidRDefault="00494B49">
            <w:r>
              <w:t xml:space="preserve"> </w:t>
            </w:r>
            <w:r>
              <w:rPr>
                <w:b/>
                <w:i/>
              </w:rPr>
              <w:t>(Individuals Only)</w:t>
            </w:r>
          </w:p>
          <w:p w14:paraId="5438A1C3" w14:textId="77777777" w:rsidR="00494B49" w:rsidRDefault="00494B49"/>
        </w:tc>
        <w:tc>
          <w:tcPr>
            <w:tcW w:w="2409" w:type="dxa"/>
            <w:shd w:val="clear" w:color="auto" w:fill="auto"/>
          </w:tcPr>
          <w:p w14:paraId="73596D2E" w14:textId="77777777" w:rsidR="00B5099F" w:rsidRDefault="00B5099F"/>
        </w:tc>
        <w:tc>
          <w:tcPr>
            <w:tcW w:w="1893" w:type="dxa"/>
            <w:shd w:val="clear" w:color="auto" w:fill="auto"/>
          </w:tcPr>
          <w:p w14:paraId="19A36572" w14:textId="77777777" w:rsidR="00B5099F" w:rsidRDefault="00B5099F"/>
        </w:tc>
        <w:tc>
          <w:tcPr>
            <w:tcW w:w="1330" w:type="dxa"/>
            <w:shd w:val="clear" w:color="auto" w:fill="auto"/>
          </w:tcPr>
          <w:p w14:paraId="7FED8197" w14:textId="77777777" w:rsidR="00B5099F" w:rsidRDefault="00B5099F"/>
        </w:tc>
      </w:tr>
      <w:tr w:rsidR="00B5099F" w14:paraId="3C9C353A" w14:textId="5D891035" w:rsidTr="00B5099F">
        <w:tc>
          <w:tcPr>
            <w:tcW w:w="3723" w:type="dxa"/>
          </w:tcPr>
          <w:p w14:paraId="4A9947E7" w14:textId="77777777" w:rsidR="00494B49" w:rsidRDefault="00494B49">
            <w:r>
              <w:t>(1)</w:t>
            </w:r>
          </w:p>
        </w:tc>
        <w:tc>
          <w:tcPr>
            <w:tcW w:w="2409" w:type="dxa"/>
          </w:tcPr>
          <w:p w14:paraId="756847ED" w14:textId="77777777" w:rsidR="00494B49" w:rsidRDefault="00494B49">
            <w:r>
              <w:t xml:space="preserve">Enter the amount of Miscellaneous Itemized Deductions properly allocable to investment income from column (C) of Part II. </w:t>
            </w:r>
          </w:p>
        </w:tc>
        <w:tc>
          <w:tcPr>
            <w:tcW w:w="1893" w:type="dxa"/>
            <w:shd w:val="clear" w:color="auto" w:fill="auto"/>
          </w:tcPr>
          <w:p w14:paraId="4B2B7735" w14:textId="77777777" w:rsidR="00B5099F" w:rsidRDefault="00B5099F"/>
        </w:tc>
        <w:tc>
          <w:tcPr>
            <w:tcW w:w="1330" w:type="dxa"/>
            <w:shd w:val="clear" w:color="auto" w:fill="auto"/>
          </w:tcPr>
          <w:p w14:paraId="6E3FA6EE" w14:textId="77777777" w:rsidR="00B5099F" w:rsidRDefault="00B5099F"/>
        </w:tc>
      </w:tr>
      <w:tr w:rsidR="00494B49" w14:paraId="1EB763EC" w14:textId="77777777" w:rsidTr="00B5099F">
        <w:tc>
          <w:tcPr>
            <w:tcW w:w="3723" w:type="dxa"/>
          </w:tcPr>
          <w:p w14:paraId="4FB2BBB9" w14:textId="77777777" w:rsidR="00494B49" w:rsidRDefault="00494B49"/>
        </w:tc>
        <w:tc>
          <w:tcPr>
            <w:tcW w:w="2409" w:type="dxa"/>
          </w:tcPr>
          <w:p w14:paraId="16D89741" w14:textId="77777777" w:rsidR="00494B49" w:rsidRDefault="00494B49">
            <w:r>
              <w:t>(a) Inv Expense        9c</w:t>
            </w:r>
          </w:p>
          <w:p w14:paraId="0E2F536F" w14:textId="77777777" w:rsidR="00494B49" w:rsidRDefault="00494B49">
            <w:r>
              <w:t> Description        Line</w:t>
            </w:r>
          </w:p>
        </w:tc>
        <w:tc>
          <w:tcPr>
            <w:tcW w:w="1893" w:type="dxa"/>
          </w:tcPr>
          <w:p w14:paraId="48A0935A" w14:textId="77777777" w:rsidR="00494B49" w:rsidRDefault="00494B49">
            <w:r>
              <w:t>$ 55,714.29</w:t>
            </w:r>
          </w:p>
        </w:tc>
        <w:tc>
          <w:tcPr>
            <w:tcW w:w="1330" w:type="dxa"/>
          </w:tcPr>
          <w:p w14:paraId="5341CF37" w14:textId="77777777" w:rsidR="00494B49" w:rsidRDefault="00494B49"/>
        </w:tc>
      </w:tr>
      <w:tr w:rsidR="00494B49" w14:paraId="61801694" w14:textId="77777777" w:rsidTr="00B5099F">
        <w:tc>
          <w:tcPr>
            <w:tcW w:w="3723" w:type="dxa"/>
          </w:tcPr>
          <w:p w14:paraId="7C8120A2" w14:textId="77777777" w:rsidR="00494B49" w:rsidRDefault="00494B49"/>
        </w:tc>
        <w:tc>
          <w:tcPr>
            <w:tcW w:w="2409" w:type="dxa"/>
          </w:tcPr>
          <w:p w14:paraId="00CDE722" w14:textId="77777777" w:rsidR="00494B49" w:rsidRDefault="00494B49">
            <w:r>
              <w:t>(b) Tax Prep Fee        10</w:t>
            </w:r>
          </w:p>
          <w:p w14:paraId="7628B5A0" w14:textId="77777777" w:rsidR="00494B49" w:rsidRDefault="00494B49">
            <w:r>
              <w:t> Description        Line</w:t>
            </w:r>
          </w:p>
        </w:tc>
        <w:tc>
          <w:tcPr>
            <w:tcW w:w="1893" w:type="dxa"/>
          </w:tcPr>
          <w:p w14:paraId="12CCB6C3" w14:textId="77777777" w:rsidR="00494B49" w:rsidRDefault="00494B49">
            <w:r>
              <w:t>$ 4,285.71</w:t>
            </w:r>
          </w:p>
        </w:tc>
        <w:tc>
          <w:tcPr>
            <w:tcW w:w="1330" w:type="dxa"/>
          </w:tcPr>
          <w:p w14:paraId="528C0A9D" w14:textId="77777777" w:rsidR="00494B49" w:rsidRDefault="00494B49"/>
        </w:tc>
      </w:tr>
      <w:tr w:rsidR="00494B49" w14:paraId="5849DAC6" w14:textId="77777777" w:rsidTr="00B5099F">
        <w:tc>
          <w:tcPr>
            <w:tcW w:w="3723" w:type="dxa"/>
          </w:tcPr>
          <w:p w14:paraId="09EF1B0A" w14:textId="77777777" w:rsidR="00494B49" w:rsidRDefault="00494B49">
            <w:r>
              <w:t>(2)</w:t>
            </w:r>
          </w:p>
        </w:tc>
        <w:tc>
          <w:tcPr>
            <w:tcW w:w="2409" w:type="dxa"/>
          </w:tcPr>
          <w:p w14:paraId="34ECF7FF" w14:textId="77777777" w:rsidR="00494B49" w:rsidRDefault="00494B49">
            <w:r>
              <w:t>Enter the amount of state, local, and foreign income taxes that are properly allocable to investment income.</w:t>
            </w:r>
          </w:p>
        </w:tc>
        <w:tc>
          <w:tcPr>
            <w:tcW w:w="1893" w:type="dxa"/>
          </w:tcPr>
          <w:p w14:paraId="01F2AF4F" w14:textId="77777777" w:rsidR="00494B49" w:rsidRDefault="00494B49">
            <w:r>
              <w:t>$ 20,000</w:t>
            </w:r>
          </w:p>
        </w:tc>
        <w:tc>
          <w:tcPr>
            <w:tcW w:w="1330" w:type="dxa"/>
          </w:tcPr>
          <w:p w14:paraId="563C099E" w14:textId="77777777" w:rsidR="00494B49" w:rsidRDefault="00494B49"/>
        </w:tc>
      </w:tr>
      <w:tr w:rsidR="00494B49" w14:paraId="6A81CF9B" w14:textId="77777777" w:rsidTr="00B5099F">
        <w:tc>
          <w:tcPr>
            <w:tcW w:w="3723" w:type="dxa"/>
          </w:tcPr>
          <w:p w14:paraId="245ACFBF" w14:textId="77777777" w:rsidR="00494B49" w:rsidRDefault="00494B49">
            <w:r>
              <w:t>(3)</w:t>
            </w:r>
          </w:p>
        </w:tc>
        <w:tc>
          <w:tcPr>
            <w:tcW w:w="2409" w:type="dxa"/>
          </w:tcPr>
          <w:p w14:paraId="4AE0A8DB"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893" w:type="dxa"/>
          </w:tcPr>
          <w:p w14:paraId="27BAA490" w14:textId="77777777" w:rsidR="00494B49" w:rsidRDefault="00494B49"/>
        </w:tc>
        <w:tc>
          <w:tcPr>
            <w:tcW w:w="1330" w:type="dxa"/>
          </w:tcPr>
          <w:p w14:paraId="3E47FB55" w14:textId="77777777" w:rsidR="00494B49" w:rsidRDefault="00494B49"/>
        </w:tc>
      </w:tr>
      <w:tr w:rsidR="002637DE" w14:paraId="526FEB9A" w14:textId="0374BC2C" w:rsidTr="002637DE">
        <w:tc>
          <w:tcPr>
            <w:tcW w:w="3723" w:type="dxa"/>
          </w:tcPr>
          <w:p w14:paraId="11066473" w14:textId="77777777" w:rsidR="00494B49" w:rsidRDefault="00494B49"/>
        </w:tc>
        <w:tc>
          <w:tcPr>
            <w:tcW w:w="2409" w:type="dxa"/>
          </w:tcPr>
          <w:p w14:paraId="3D483BE9" w14:textId="77777777" w:rsidR="00494B49" w:rsidRDefault="00494B49">
            <w:r>
              <w:t>(a) RE Taxes – Investment Expense  9c</w:t>
            </w:r>
          </w:p>
          <w:p w14:paraId="172F32F6" w14:textId="77777777" w:rsidR="00494B49" w:rsidRDefault="00494B49">
            <w:r>
              <w:t> Description         Line</w:t>
            </w:r>
          </w:p>
        </w:tc>
        <w:tc>
          <w:tcPr>
            <w:tcW w:w="1893" w:type="dxa"/>
          </w:tcPr>
          <w:p w14:paraId="08C2CEA1" w14:textId="77777777" w:rsidR="00494B49" w:rsidRDefault="00494B49">
            <w:r>
              <w:t>$ 60,000</w:t>
            </w:r>
          </w:p>
          <w:p w14:paraId="347DA000" w14:textId="77777777" w:rsidR="00494B49" w:rsidRDefault="00494B49"/>
        </w:tc>
        <w:tc>
          <w:tcPr>
            <w:tcW w:w="1330" w:type="dxa"/>
            <w:shd w:val="clear" w:color="auto" w:fill="auto"/>
          </w:tcPr>
          <w:p w14:paraId="30638900" w14:textId="77777777" w:rsidR="002637DE" w:rsidRDefault="002637DE"/>
        </w:tc>
      </w:tr>
      <w:tr w:rsidR="002637DE" w14:paraId="5E44F044" w14:textId="758B947F" w:rsidTr="002637DE">
        <w:tc>
          <w:tcPr>
            <w:tcW w:w="3723" w:type="dxa"/>
          </w:tcPr>
          <w:p w14:paraId="2AAE575A" w14:textId="77777777" w:rsidR="00494B49" w:rsidRDefault="00494B49">
            <w:r>
              <w:t>(4)</w:t>
            </w:r>
          </w:p>
        </w:tc>
        <w:tc>
          <w:tcPr>
            <w:tcW w:w="2409" w:type="dxa"/>
          </w:tcPr>
          <w:p w14:paraId="7D59DA74"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893" w:type="dxa"/>
          </w:tcPr>
          <w:p w14:paraId="7B1E8E45" w14:textId="77777777" w:rsidR="00494B49" w:rsidRDefault="00494B49">
            <w:r>
              <w:t>$ 140,000</w:t>
            </w:r>
          </w:p>
        </w:tc>
        <w:tc>
          <w:tcPr>
            <w:tcW w:w="1330" w:type="dxa"/>
            <w:shd w:val="clear" w:color="auto" w:fill="auto"/>
          </w:tcPr>
          <w:p w14:paraId="06CCC1A1" w14:textId="77777777" w:rsidR="002637DE" w:rsidRDefault="002637DE"/>
        </w:tc>
      </w:tr>
      <w:tr w:rsidR="00494B49" w14:paraId="61EB9582" w14:textId="77777777" w:rsidTr="00B5099F">
        <w:tc>
          <w:tcPr>
            <w:tcW w:w="3723" w:type="dxa"/>
          </w:tcPr>
          <w:p w14:paraId="15C23CA5" w14:textId="77777777" w:rsidR="00494B49" w:rsidRDefault="00494B49">
            <w:r>
              <w:t>(5)</w:t>
            </w:r>
          </w:p>
        </w:tc>
        <w:tc>
          <w:tcPr>
            <w:tcW w:w="2409" w:type="dxa"/>
          </w:tcPr>
          <w:p w14:paraId="579D348C" w14:textId="77777777" w:rsidR="00494B49" w:rsidRDefault="00494B49">
            <w:r>
              <w:t xml:space="preserve">Enter the amount of total itemized deductions </w:t>
            </w:r>
            <w:r>
              <w:lastRenderedPageBreak/>
              <w:t xml:space="preserve">reported on Form </w:t>
            </w:r>
            <w:smartTag w:uri="http://www.bna.com/sgml2word/cite" w:element="cite.fed.form">
              <w:smartTagPr>
                <w:attr w:name="ref" w:val="irs\form1040"/>
              </w:smartTagPr>
              <w:r>
                <w:t>1040</w:t>
              </w:r>
            </w:smartTag>
            <w:r>
              <w:t xml:space="preserve">, Line 40. </w:t>
            </w:r>
          </w:p>
        </w:tc>
        <w:tc>
          <w:tcPr>
            <w:tcW w:w="1893" w:type="dxa"/>
          </w:tcPr>
          <w:p w14:paraId="44F5B7F3" w14:textId="77777777" w:rsidR="00494B49" w:rsidRDefault="00494B49">
            <w:r>
              <w:lastRenderedPageBreak/>
              <w:t>$216,000</w:t>
            </w:r>
            <w:r>
              <w:rPr>
                <w:rStyle w:val="FootnoteReference"/>
              </w:rPr>
              <w:footnoteReference w:id="680"/>
            </w:r>
          </w:p>
        </w:tc>
        <w:tc>
          <w:tcPr>
            <w:tcW w:w="1330" w:type="dxa"/>
          </w:tcPr>
          <w:p w14:paraId="219EBDFF" w14:textId="77777777" w:rsidR="00494B49" w:rsidRDefault="00494B49"/>
        </w:tc>
      </w:tr>
      <w:tr w:rsidR="002637DE" w14:paraId="5813002E" w14:textId="782CE9C5" w:rsidTr="002637DE">
        <w:tc>
          <w:tcPr>
            <w:tcW w:w="3723" w:type="dxa"/>
          </w:tcPr>
          <w:p w14:paraId="25D38D12" w14:textId="77777777" w:rsidR="00494B49" w:rsidRDefault="00494B49">
            <w:r>
              <w:t>(6)</w:t>
            </w:r>
          </w:p>
        </w:tc>
        <w:tc>
          <w:tcPr>
            <w:tcW w:w="2409" w:type="dxa"/>
          </w:tcPr>
          <w:p w14:paraId="3FD7B425"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893" w:type="dxa"/>
          </w:tcPr>
          <w:p w14:paraId="5126C9A8" w14:textId="77777777" w:rsidR="00494B49" w:rsidRDefault="00494B49"/>
        </w:tc>
        <w:tc>
          <w:tcPr>
            <w:tcW w:w="1330" w:type="dxa"/>
            <w:shd w:val="clear" w:color="auto" w:fill="auto"/>
          </w:tcPr>
          <w:p w14:paraId="6E1111D1" w14:textId="77777777" w:rsidR="002637DE" w:rsidRDefault="002637DE"/>
        </w:tc>
      </w:tr>
      <w:tr w:rsidR="00494B49" w14:paraId="2A9DC6F6" w14:textId="77777777" w:rsidTr="00B5099F">
        <w:tc>
          <w:tcPr>
            <w:tcW w:w="3723" w:type="dxa"/>
          </w:tcPr>
          <w:p w14:paraId="6BFACFDB" w14:textId="77777777" w:rsidR="00494B49" w:rsidRDefault="00494B49"/>
        </w:tc>
        <w:tc>
          <w:tcPr>
            <w:tcW w:w="2409" w:type="dxa"/>
          </w:tcPr>
          <w:p w14:paraId="1004FB06" w14:textId="77777777" w:rsidR="00494B49" w:rsidRDefault="00494B49">
            <w:r>
              <w:t>(a) Investment Interest Expense</w:t>
            </w:r>
          </w:p>
          <w:p w14:paraId="2A1ECF67" w14:textId="77777777" w:rsidR="00494B49" w:rsidRDefault="00494B49">
            <w:r>
              <w:t>(b) Casualty Losses</w:t>
            </w:r>
          </w:p>
          <w:p w14:paraId="7B075B0F" w14:textId="77777777" w:rsidR="00494B49" w:rsidRDefault="00494B49">
            <w:r>
              <w:t>(c) Medical Expenses</w:t>
            </w:r>
          </w:p>
          <w:p w14:paraId="643D5AF0" w14:textId="77777777" w:rsidR="00494B49" w:rsidRDefault="00494B49">
            <w:r>
              <w:t>(d) Gambling</w:t>
            </w:r>
          </w:p>
          <w:p w14:paraId="20D69935" w14:textId="77777777" w:rsidR="00494B49" w:rsidRDefault="00494B49">
            <w:r>
              <w:t>(e) Total</w:t>
            </w:r>
          </w:p>
        </w:tc>
        <w:tc>
          <w:tcPr>
            <w:tcW w:w="1893" w:type="dxa"/>
          </w:tcPr>
          <w:p w14:paraId="63C04EEF" w14:textId="77777777" w:rsidR="00494B49" w:rsidRDefault="00494B49">
            <w:r>
              <w:t>$ 75,000</w:t>
            </w:r>
          </w:p>
          <w:p w14:paraId="63A10801" w14:textId="77777777" w:rsidR="00494B49" w:rsidRDefault="00494B49">
            <w:r>
              <w:t>$____________</w:t>
            </w:r>
          </w:p>
          <w:p w14:paraId="33BCFEC2" w14:textId="77777777" w:rsidR="00494B49" w:rsidRDefault="00494B49">
            <w:r>
              <w:t>$____________</w:t>
            </w:r>
          </w:p>
          <w:p w14:paraId="74861DA2" w14:textId="77777777" w:rsidR="00494B49" w:rsidRDefault="00494B49">
            <w:r>
              <w:t>$____________</w:t>
            </w:r>
          </w:p>
          <w:p w14:paraId="582BC2CA" w14:textId="77777777" w:rsidR="00494B49" w:rsidRDefault="00494B49">
            <w:r>
              <w:t>$ 75,000</w:t>
            </w:r>
          </w:p>
        </w:tc>
        <w:tc>
          <w:tcPr>
            <w:tcW w:w="1330" w:type="dxa"/>
          </w:tcPr>
          <w:p w14:paraId="21DCB1CD" w14:textId="77777777" w:rsidR="00494B49" w:rsidRDefault="00494B49"/>
        </w:tc>
      </w:tr>
      <w:tr w:rsidR="00494B49" w14:paraId="73819DCB" w14:textId="77777777" w:rsidTr="00B5099F">
        <w:tc>
          <w:tcPr>
            <w:tcW w:w="3723" w:type="dxa"/>
          </w:tcPr>
          <w:p w14:paraId="01E69BC5" w14:textId="77777777" w:rsidR="00494B49" w:rsidRDefault="00494B49">
            <w:r>
              <w:t>(7)</w:t>
            </w:r>
          </w:p>
        </w:tc>
        <w:tc>
          <w:tcPr>
            <w:tcW w:w="2409" w:type="dxa"/>
          </w:tcPr>
          <w:p w14:paraId="06F2843A" w14:textId="77777777" w:rsidR="00494B49" w:rsidRDefault="00494B49">
            <w:r>
              <w:t>Subtract all items in Line 6 from Line 5</w:t>
            </w:r>
          </w:p>
        </w:tc>
        <w:tc>
          <w:tcPr>
            <w:tcW w:w="1893" w:type="dxa"/>
          </w:tcPr>
          <w:p w14:paraId="20C74645" w14:textId="77777777" w:rsidR="00494B49" w:rsidRDefault="00494B49"/>
        </w:tc>
        <w:tc>
          <w:tcPr>
            <w:tcW w:w="1330" w:type="dxa"/>
          </w:tcPr>
          <w:p w14:paraId="17DF7B15" w14:textId="77777777" w:rsidR="00494B49" w:rsidRDefault="00494B49">
            <w:r>
              <w:t>$ 141,000</w:t>
            </w:r>
          </w:p>
        </w:tc>
      </w:tr>
      <w:tr w:rsidR="002637DE" w14:paraId="6AE55B41" w14:textId="1FE56475" w:rsidTr="002637DE">
        <w:tc>
          <w:tcPr>
            <w:tcW w:w="3723" w:type="dxa"/>
          </w:tcPr>
          <w:p w14:paraId="4E8F700A" w14:textId="77777777" w:rsidR="00494B49" w:rsidRDefault="00494B49">
            <w:r>
              <w:t>(8)</w:t>
            </w:r>
          </w:p>
        </w:tc>
        <w:tc>
          <w:tcPr>
            <w:tcW w:w="2409" w:type="dxa"/>
          </w:tcPr>
          <w:p w14:paraId="6FCA1874" w14:textId="77777777" w:rsidR="00494B49" w:rsidRDefault="00494B49">
            <w:r>
              <w:t>Enter the lesser of Line 7 or Line 4.</w:t>
            </w:r>
          </w:p>
          <w:p w14:paraId="37191EC4" w14:textId="77777777" w:rsidR="00494B49" w:rsidRDefault="00494B49">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 xml:space="preserve">. </w:t>
            </w:r>
          </w:p>
        </w:tc>
        <w:tc>
          <w:tcPr>
            <w:tcW w:w="1893" w:type="dxa"/>
          </w:tcPr>
          <w:p w14:paraId="59BE0C29" w14:textId="77777777" w:rsidR="00494B49" w:rsidRDefault="00494B49">
            <w:r>
              <w:t>$ 140,000</w:t>
            </w:r>
          </w:p>
        </w:tc>
        <w:tc>
          <w:tcPr>
            <w:tcW w:w="1330" w:type="dxa"/>
            <w:shd w:val="clear" w:color="auto" w:fill="auto"/>
          </w:tcPr>
          <w:p w14:paraId="3E4B94C7" w14:textId="77777777" w:rsidR="002637DE" w:rsidRDefault="002637DE"/>
        </w:tc>
      </w:tr>
    </w:tbl>
    <w:p w14:paraId="7BEACF0F" w14:textId="77777777" w:rsidR="00494B49" w:rsidRDefault="00494B49" w:rsidP="007865AF">
      <w:pPr>
        <w:pStyle w:val="BNormal"/>
      </w:pPr>
      <w:r>
        <w:t xml:space="preserve"> </w:t>
      </w:r>
    </w:p>
    <w:p w14:paraId="7A167BCA" w14:textId="77777777" w:rsidR="00494B49" w:rsidRDefault="00494B49" w:rsidP="007865AF">
      <w:pPr>
        <w:pStyle w:val="BNormal"/>
      </w:pPr>
    </w:p>
    <w:tbl>
      <w:tblPr>
        <w:tblStyle w:val="TableGrid"/>
        <w:tblW w:w="9352" w:type="dxa"/>
        <w:tblLook w:val="04A0" w:firstRow="1" w:lastRow="0" w:firstColumn="1" w:lastColumn="0" w:noHBand="0" w:noVBand="1"/>
      </w:tblPr>
      <w:tblGrid>
        <w:gridCol w:w="3204"/>
        <w:gridCol w:w="1563"/>
        <w:gridCol w:w="1592"/>
        <w:gridCol w:w="1171"/>
        <w:gridCol w:w="600"/>
        <w:gridCol w:w="1222"/>
      </w:tblGrid>
      <w:tr w:rsidR="002637DE" w14:paraId="70D997AC" w14:textId="30A3D524" w:rsidTr="002637DE">
        <w:tc>
          <w:tcPr>
            <w:tcW w:w="3204" w:type="dxa"/>
          </w:tcPr>
          <w:p w14:paraId="4B97F2A3" w14:textId="77777777" w:rsidR="00494B49" w:rsidRDefault="00494B49">
            <w:r>
              <w:t xml:space="preserve"> </w:t>
            </w:r>
            <w:r>
              <w:rPr>
                <w:b/>
                <w:i/>
              </w:rPr>
              <w:t xml:space="preserve">Form 8960, Lines 9-10 Worksheet </w:t>
            </w:r>
          </w:p>
          <w:p w14:paraId="1F44339B" w14:textId="77777777" w:rsidR="00494B49" w:rsidRDefault="00494B49">
            <w:r>
              <w:t xml:space="preserve"> </w:t>
            </w:r>
            <w:r>
              <w:rPr>
                <w:b/>
                <w:i/>
              </w:rPr>
              <w:t xml:space="preserve">Part IV </w:t>
            </w:r>
          </w:p>
          <w:p w14:paraId="167C735D" w14:textId="77777777" w:rsidR="00494B49" w:rsidRDefault="00494B49">
            <w:r>
              <w:t xml:space="preserve"> </w:t>
            </w:r>
            <w:r>
              <w:rPr>
                <w:b/>
                <w:i/>
              </w:rPr>
              <w:t>Reconciliation of Schedule A Deductions to Form 8960, Lines 9 and 10</w:t>
            </w:r>
          </w:p>
          <w:p w14:paraId="3F627726" w14:textId="77777777" w:rsidR="00494B49" w:rsidRDefault="00494B49">
            <w:r>
              <w:t xml:space="preserve"> </w:t>
            </w:r>
            <w:r>
              <w:rPr>
                <w:b/>
                <w:i/>
              </w:rPr>
              <w:t>(Individuals Only)</w:t>
            </w:r>
          </w:p>
          <w:p w14:paraId="3F81C7C5" w14:textId="77777777" w:rsidR="00494B49" w:rsidRDefault="00494B49"/>
        </w:tc>
        <w:tc>
          <w:tcPr>
            <w:tcW w:w="1563" w:type="dxa"/>
            <w:shd w:val="clear" w:color="auto" w:fill="auto"/>
          </w:tcPr>
          <w:p w14:paraId="6D5460F3" w14:textId="77777777" w:rsidR="002637DE" w:rsidRDefault="002637DE"/>
        </w:tc>
        <w:tc>
          <w:tcPr>
            <w:tcW w:w="1592" w:type="dxa"/>
            <w:shd w:val="clear" w:color="auto" w:fill="auto"/>
          </w:tcPr>
          <w:p w14:paraId="100B8F2E" w14:textId="77777777" w:rsidR="002637DE" w:rsidRDefault="002637DE"/>
        </w:tc>
        <w:tc>
          <w:tcPr>
            <w:tcW w:w="1171" w:type="dxa"/>
            <w:shd w:val="clear" w:color="auto" w:fill="auto"/>
          </w:tcPr>
          <w:p w14:paraId="73123B15" w14:textId="77777777" w:rsidR="002637DE" w:rsidRDefault="002637DE"/>
        </w:tc>
        <w:tc>
          <w:tcPr>
            <w:tcW w:w="600" w:type="dxa"/>
            <w:shd w:val="clear" w:color="auto" w:fill="auto"/>
          </w:tcPr>
          <w:p w14:paraId="264B4507" w14:textId="77777777" w:rsidR="002637DE" w:rsidRDefault="002637DE"/>
        </w:tc>
        <w:tc>
          <w:tcPr>
            <w:tcW w:w="1220" w:type="dxa"/>
            <w:shd w:val="clear" w:color="auto" w:fill="auto"/>
          </w:tcPr>
          <w:p w14:paraId="18349761" w14:textId="77777777" w:rsidR="002637DE" w:rsidRDefault="002637DE"/>
        </w:tc>
      </w:tr>
      <w:tr w:rsidR="002637DE" w14:paraId="1D85F35C" w14:textId="1DAE1797" w:rsidTr="002637DE">
        <w:tc>
          <w:tcPr>
            <w:tcW w:w="3204" w:type="dxa"/>
          </w:tcPr>
          <w:p w14:paraId="669C89C8" w14:textId="77777777" w:rsidR="00494B49" w:rsidRDefault="00494B49">
            <w:r>
              <w:t>(A)</w:t>
            </w:r>
          </w:p>
        </w:tc>
        <w:tc>
          <w:tcPr>
            <w:tcW w:w="1563" w:type="dxa"/>
          </w:tcPr>
          <w:p w14:paraId="1E5EB7DE" w14:textId="77777777" w:rsidR="00494B49" w:rsidRDefault="00494B49">
            <w:r>
              <w:t>(B)</w:t>
            </w:r>
          </w:p>
        </w:tc>
        <w:tc>
          <w:tcPr>
            <w:tcW w:w="1592" w:type="dxa"/>
          </w:tcPr>
          <w:p w14:paraId="32C07CF1" w14:textId="77777777" w:rsidR="00494B49" w:rsidRDefault="00494B49">
            <w:r>
              <w:t>(C)</w:t>
            </w:r>
          </w:p>
        </w:tc>
        <w:tc>
          <w:tcPr>
            <w:tcW w:w="1171" w:type="dxa"/>
            <w:shd w:val="clear" w:color="auto" w:fill="auto"/>
          </w:tcPr>
          <w:p w14:paraId="2F07440B" w14:textId="77777777" w:rsidR="002637DE" w:rsidRDefault="002637DE"/>
        </w:tc>
        <w:tc>
          <w:tcPr>
            <w:tcW w:w="600" w:type="dxa"/>
            <w:shd w:val="clear" w:color="auto" w:fill="auto"/>
          </w:tcPr>
          <w:p w14:paraId="181FF95D" w14:textId="77777777" w:rsidR="002637DE" w:rsidRDefault="002637DE"/>
        </w:tc>
        <w:tc>
          <w:tcPr>
            <w:tcW w:w="1222" w:type="dxa"/>
            <w:shd w:val="clear" w:color="auto" w:fill="auto"/>
          </w:tcPr>
          <w:p w14:paraId="3ACBB52D" w14:textId="77777777" w:rsidR="002637DE" w:rsidRDefault="002637DE"/>
        </w:tc>
      </w:tr>
      <w:tr w:rsidR="002637DE" w14:paraId="49669A9B" w14:textId="3FF7CBB9" w:rsidTr="002637DE">
        <w:tc>
          <w:tcPr>
            <w:tcW w:w="3204" w:type="dxa"/>
          </w:tcPr>
          <w:p w14:paraId="36D5C0AD" w14:textId="77777777" w:rsidR="00494B49" w:rsidRDefault="00494B49">
            <w:r>
              <w:t>Reenter the amounts and descriptions from Part III, Lines 1 – 3.</w:t>
            </w:r>
          </w:p>
        </w:tc>
        <w:tc>
          <w:tcPr>
            <w:tcW w:w="1563" w:type="dxa"/>
          </w:tcPr>
          <w:p w14:paraId="414D85CA" w14:textId="77777777" w:rsidR="00494B49" w:rsidRDefault="00494B49">
            <w:r>
              <w:t xml:space="preserve">If Part III, Line 8 is less than Part III, Line 4, then divide Line 8 by on Line 4 and enter the amount in column (B). </w:t>
            </w:r>
          </w:p>
          <w:p w14:paraId="56126129" w14:textId="77777777" w:rsidR="00494B49" w:rsidRDefault="00494B49">
            <w:r>
              <w:t>If total amount reported on Part III, Lines 4 and 8 are equal, then enter 1.00 in column (B).</w:t>
            </w:r>
          </w:p>
        </w:tc>
        <w:tc>
          <w:tcPr>
            <w:tcW w:w="1592" w:type="dxa"/>
          </w:tcPr>
          <w:p w14:paraId="1A264660" w14:textId="77777777" w:rsidR="00494B49" w:rsidRDefault="00494B49">
            <w:r>
              <w:t>Multiply the individual amounts in column (A) by the amount in column (B). Enter these amounts in the appropriate location on Lines 9 and 10.</w:t>
            </w:r>
          </w:p>
        </w:tc>
        <w:tc>
          <w:tcPr>
            <w:tcW w:w="1171" w:type="dxa"/>
            <w:shd w:val="clear" w:color="auto" w:fill="auto"/>
          </w:tcPr>
          <w:p w14:paraId="2E59CBBD" w14:textId="77777777" w:rsidR="002637DE" w:rsidRDefault="002637DE"/>
        </w:tc>
        <w:tc>
          <w:tcPr>
            <w:tcW w:w="600" w:type="dxa"/>
            <w:shd w:val="clear" w:color="auto" w:fill="auto"/>
          </w:tcPr>
          <w:p w14:paraId="368FA69E" w14:textId="77777777" w:rsidR="002637DE" w:rsidRDefault="002637DE"/>
        </w:tc>
        <w:tc>
          <w:tcPr>
            <w:tcW w:w="1222" w:type="dxa"/>
            <w:shd w:val="clear" w:color="auto" w:fill="auto"/>
          </w:tcPr>
          <w:p w14:paraId="204F4742" w14:textId="77777777" w:rsidR="002637DE" w:rsidRDefault="002637DE"/>
        </w:tc>
      </w:tr>
      <w:tr w:rsidR="00494B49" w14:paraId="680C54C5" w14:textId="77777777" w:rsidTr="002637DE">
        <w:tc>
          <w:tcPr>
            <w:tcW w:w="3204" w:type="dxa"/>
          </w:tcPr>
          <w:p w14:paraId="0045FBF6" w14:textId="77777777" w:rsidR="00494B49" w:rsidRDefault="00494B49">
            <w:r>
              <w:t xml:space="preserve">(1) Miscellaneous Itemized Deductions properly allocable to investment income: </w:t>
            </w:r>
          </w:p>
        </w:tc>
        <w:tc>
          <w:tcPr>
            <w:tcW w:w="1563" w:type="dxa"/>
          </w:tcPr>
          <w:p w14:paraId="17DFC311" w14:textId="77777777" w:rsidR="00494B49" w:rsidRDefault="00494B49">
            <w:r>
              <w:t xml:space="preserve"> </w:t>
            </w:r>
          </w:p>
          <w:p w14:paraId="7E4B2D94" w14:textId="77777777" w:rsidR="00494B49" w:rsidRDefault="00494B49"/>
        </w:tc>
        <w:tc>
          <w:tcPr>
            <w:tcW w:w="1592" w:type="dxa"/>
          </w:tcPr>
          <w:p w14:paraId="25207D23" w14:textId="77777777" w:rsidR="00494B49" w:rsidRDefault="00494B49">
            <w:r>
              <w:t xml:space="preserve"> </w:t>
            </w:r>
          </w:p>
          <w:p w14:paraId="6A6D62D5" w14:textId="77777777" w:rsidR="00494B49" w:rsidRDefault="00494B49"/>
        </w:tc>
        <w:tc>
          <w:tcPr>
            <w:tcW w:w="1171" w:type="dxa"/>
          </w:tcPr>
          <w:p w14:paraId="01756B49" w14:textId="77777777" w:rsidR="00494B49" w:rsidRDefault="00494B49">
            <w:r>
              <w:t xml:space="preserve"> </w:t>
            </w:r>
          </w:p>
          <w:p w14:paraId="10A18433" w14:textId="77777777" w:rsidR="00494B49" w:rsidRDefault="00494B49"/>
        </w:tc>
        <w:tc>
          <w:tcPr>
            <w:tcW w:w="600" w:type="dxa"/>
          </w:tcPr>
          <w:p w14:paraId="1F59403E" w14:textId="77777777" w:rsidR="00494B49" w:rsidRDefault="00494B49">
            <w:r>
              <w:t xml:space="preserve"> </w:t>
            </w:r>
          </w:p>
          <w:p w14:paraId="3E0253D7" w14:textId="77777777" w:rsidR="00494B49" w:rsidRDefault="00494B49"/>
        </w:tc>
        <w:tc>
          <w:tcPr>
            <w:tcW w:w="1222" w:type="dxa"/>
          </w:tcPr>
          <w:p w14:paraId="7A5741F8" w14:textId="77777777" w:rsidR="00494B49" w:rsidRDefault="00494B49">
            <w:r>
              <w:t xml:space="preserve"> </w:t>
            </w:r>
          </w:p>
          <w:p w14:paraId="008ACDF8" w14:textId="77777777" w:rsidR="00494B49" w:rsidRDefault="00494B49"/>
        </w:tc>
      </w:tr>
      <w:tr w:rsidR="00494B49" w14:paraId="6D0A5E91" w14:textId="77777777" w:rsidTr="002637DE">
        <w:tc>
          <w:tcPr>
            <w:tcW w:w="3204" w:type="dxa"/>
          </w:tcPr>
          <w:p w14:paraId="3C1CF3D1" w14:textId="77777777" w:rsidR="00494B49" w:rsidRDefault="00494B49">
            <w:r>
              <w:t>(a) Inv Expense   9c</w:t>
            </w:r>
          </w:p>
          <w:p w14:paraId="3DC26D98" w14:textId="77777777" w:rsidR="00494B49" w:rsidRDefault="00494B49">
            <w:r>
              <w:t> Description  Line</w:t>
            </w:r>
          </w:p>
        </w:tc>
        <w:tc>
          <w:tcPr>
            <w:tcW w:w="1563" w:type="dxa"/>
          </w:tcPr>
          <w:p w14:paraId="66F343CC" w14:textId="77777777" w:rsidR="00494B49" w:rsidRDefault="00494B49">
            <w:r>
              <w:t>$ 55,714.29</w:t>
            </w:r>
          </w:p>
          <w:p w14:paraId="1D7CD250" w14:textId="77777777" w:rsidR="00494B49" w:rsidRDefault="00494B49"/>
        </w:tc>
        <w:tc>
          <w:tcPr>
            <w:tcW w:w="1592" w:type="dxa"/>
          </w:tcPr>
          <w:p w14:paraId="589CFB70" w14:textId="77777777" w:rsidR="00494B49" w:rsidRDefault="00494B49">
            <w:r>
              <w:t>×</w:t>
            </w:r>
          </w:p>
          <w:p w14:paraId="1966D041" w14:textId="77777777" w:rsidR="00494B49" w:rsidRDefault="00494B49"/>
        </w:tc>
        <w:tc>
          <w:tcPr>
            <w:tcW w:w="1171" w:type="dxa"/>
          </w:tcPr>
          <w:p w14:paraId="18501BEB" w14:textId="77777777" w:rsidR="00494B49" w:rsidRDefault="00494B49">
            <w:r>
              <w:t>1.0000000</w:t>
            </w:r>
          </w:p>
          <w:p w14:paraId="544BB2BA" w14:textId="77777777" w:rsidR="00494B49" w:rsidRDefault="00494B49"/>
        </w:tc>
        <w:tc>
          <w:tcPr>
            <w:tcW w:w="600" w:type="dxa"/>
          </w:tcPr>
          <w:p w14:paraId="771477C9" w14:textId="77777777" w:rsidR="00494B49" w:rsidRDefault="00494B49">
            <w:r>
              <w:t>=</w:t>
            </w:r>
          </w:p>
          <w:p w14:paraId="674461A3" w14:textId="77777777" w:rsidR="00494B49" w:rsidRDefault="00494B49"/>
        </w:tc>
        <w:tc>
          <w:tcPr>
            <w:tcW w:w="1222" w:type="dxa"/>
          </w:tcPr>
          <w:p w14:paraId="4562A1BA" w14:textId="77777777" w:rsidR="00494B49" w:rsidRDefault="00494B49">
            <w:r>
              <w:t>$ 55,714.29</w:t>
            </w:r>
          </w:p>
          <w:p w14:paraId="73E32B8B" w14:textId="77777777" w:rsidR="00494B49" w:rsidRDefault="00494B49"/>
        </w:tc>
      </w:tr>
      <w:tr w:rsidR="00494B49" w14:paraId="395FA93C" w14:textId="77777777" w:rsidTr="002637DE">
        <w:tc>
          <w:tcPr>
            <w:tcW w:w="3204" w:type="dxa"/>
          </w:tcPr>
          <w:p w14:paraId="41DAD03F" w14:textId="77777777" w:rsidR="00494B49" w:rsidRDefault="00494B49">
            <w:r>
              <w:lastRenderedPageBreak/>
              <w:t>(b) RE Taxes    9c</w:t>
            </w:r>
          </w:p>
          <w:p w14:paraId="0273C633" w14:textId="77777777" w:rsidR="00494B49" w:rsidRDefault="00494B49">
            <w:r>
              <w:t> Description  Line</w:t>
            </w:r>
          </w:p>
        </w:tc>
        <w:tc>
          <w:tcPr>
            <w:tcW w:w="1563" w:type="dxa"/>
          </w:tcPr>
          <w:p w14:paraId="2E8746AE" w14:textId="77777777" w:rsidR="00494B49" w:rsidRDefault="00494B49">
            <w:r>
              <w:t>$60,000.00</w:t>
            </w:r>
          </w:p>
          <w:p w14:paraId="16AF44E0" w14:textId="77777777" w:rsidR="00494B49" w:rsidRDefault="00494B49"/>
        </w:tc>
        <w:tc>
          <w:tcPr>
            <w:tcW w:w="1592" w:type="dxa"/>
          </w:tcPr>
          <w:p w14:paraId="5CF210AD" w14:textId="77777777" w:rsidR="00494B49" w:rsidRDefault="00494B49">
            <w:r>
              <w:t>×</w:t>
            </w:r>
          </w:p>
          <w:p w14:paraId="4D76ABBE" w14:textId="77777777" w:rsidR="00494B49" w:rsidRDefault="00494B49"/>
        </w:tc>
        <w:tc>
          <w:tcPr>
            <w:tcW w:w="1171" w:type="dxa"/>
          </w:tcPr>
          <w:p w14:paraId="5CA76B44" w14:textId="77777777" w:rsidR="00494B49" w:rsidRDefault="00494B49">
            <w:r>
              <w:t>1.0000000</w:t>
            </w:r>
          </w:p>
          <w:p w14:paraId="1DCB0857" w14:textId="77777777" w:rsidR="00494B49" w:rsidRDefault="00494B49"/>
        </w:tc>
        <w:tc>
          <w:tcPr>
            <w:tcW w:w="600" w:type="dxa"/>
          </w:tcPr>
          <w:p w14:paraId="110BB605" w14:textId="77777777" w:rsidR="00494B49" w:rsidRDefault="00494B49">
            <w:r>
              <w:t>=</w:t>
            </w:r>
          </w:p>
          <w:p w14:paraId="09528B14" w14:textId="77777777" w:rsidR="00494B49" w:rsidRDefault="00494B49"/>
        </w:tc>
        <w:tc>
          <w:tcPr>
            <w:tcW w:w="1222" w:type="dxa"/>
          </w:tcPr>
          <w:p w14:paraId="3EAE26A7" w14:textId="77777777" w:rsidR="00494B49" w:rsidRDefault="00494B49">
            <w:r>
              <w:t>$60,000.00</w:t>
            </w:r>
          </w:p>
          <w:p w14:paraId="3A0DAAD6" w14:textId="77777777" w:rsidR="00494B49" w:rsidRDefault="00494B49"/>
        </w:tc>
      </w:tr>
      <w:tr w:rsidR="00494B49" w14:paraId="3EE6CF37" w14:textId="77777777" w:rsidTr="002637DE">
        <w:tc>
          <w:tcPr>
            <w:tcW w:w="3204" w:type="dxa"/>
          </w:tcPr>
          <w:p w14:paraId="25EC464E" w14:textId="77777777" w:rsidR="00494B49" w:rsidRDefault="00494B49">
            <w:r>
              <w:t>(c) Tax Prep Fee  10</w:t>
            </w:r>
          </w:p>
          <w:p w14:paraId="7451DA33" w14:textId="77777777" w:rsidR="00494B49" w:rsidRDefault="00494B49">
            <w:r>
              <w:t> Description  Line</w:t>
            </w:r>
          </w:p>
        </w:tc>
        <w:tc>
          <w:tcPr>
            <w:tcW w:w="1563" w:type="dxa"/>
          </w:tcPr>
          <w:p w14:paraId="032CDBC1" w14:textId="77777777" w:rsidR="00494B49" w:rsidRDefault="00494B49">
            <w:r>
              <w:t>$ 4,285.71</w:t>
            </w:r>
          </w:p>
          <w:p w14:paraId="6AF72D17" w14:textId="77777777" w:rsidR="00494B49" w:rsidRDefault="00494B49"/>
        </w:tc>
        <w:tc>
          <w:tcPr>
            <w:tcW w:w="1592" w:type="dxa"/>
          </w:tcPr>
          <w:p w14:paraId="2789AB1E" w14:textId="77777777" w:rsidR="00494B49" w:rsidRDefault="00494B49">
            <w:r>
              <w:t>×</w:t>
            </w:r>
          </w:p>
          <w:p w14:paraId="67766DB2" w14:textId="77777777" w:rsidR="00494B49" w:rsidRDefault="00494B49"/>
        </w:tc>
        <w:tc>
          <w:tcPr>
            <w:tcW w:w="1171" w:type="dxa"/>
          </w:tcPr>
          <w:p w14:paraId="455B30A9" w14:textId="77777777" w:rsidR="00494B49" w:rsidRDefault="00494B49">
            <w:r>
              <w:t>1.0000000</w:t>
            </w:r>
          </w:p>
          <w:p w14:paraId="5666ABEB" w14:textId="77777777" w:rsidR="00494B49" w:rsidRDefault="00494B49"/>
        </w:tc>
        <w:tc>
          <w:tcPr>
            <w:tcW w:w="600" w:type="dxa"/>
          </w:tcPr>
          <w:p w14:paraId="3BDE3F1F" w14:textId="77777777" w:rsidR="00494B49" w:rsidRDefault="00494B49">
            <w:r>
              <w:t>=</w:t>
            </w:r>
          </w:p>
          <w:p w14:paraId="58285F8D" w14:textId="77777777" w:rsidR="00494B49" w:rsidRDefault="00494B49"/>
        </w:tc>
        <w:tc>
          <w:tcPr>
            <w:tcW w:w="1222" w:type="dxa"/>
          </w:tcPr>
          <w:p w14:paraId="1FE69584" w14:textId="77777777" w:rsidR="00494B49" w:rsidRDefault="00494B49">
            <w:r>
              <w:t>$ 4,285.71</w:t>
            </w:r>
          </w:p>
          <w:p w14:paraId="6C02B501" w14:textId="77777777" w:rsidR="00494B49" w:rsidRDefault="00494B49"/>
        </w:tc>
      </w:tr>
      <w:tr w:rsidR="00494B49" w14:paraId="7119E399" w14:textId="77777777" w:rsidTr="002637DE">
        <w:tc>
          <w:tcPr>
            <w:tcW w:w="3204" w:type="dxa"/>
          </w:tcPr>
          <w:p w14:paraId="37A84187" w14:textId="77777777" w:rsidR="00494B49" w:rsidRDefault="00494B49">
            <w:r>
              <w:t>(2) State, local, and foreign income taxes</w:t>
            </w:r>
          </w:p>
        </w:tc>
        <w:tc>
          <w:tcPr>
            <w:tcW w:w="1563" w:type="dxa"/>
          </w:tcPr>
          <w:p w14:paraId="4CE6BBFF" w14:textId="77777777" w:rsidR="00494B49" w:rsidRDefault="00494B49">
            <w:r>
              <w:t>$20,000</w:t>
            </w:r>
          </w:p>
        </w:tc>
        <w:tc>
          <w:tcPr>
            <w:tcW w:w="1592" w:type="dxa"/>
          </w:tcPr>
          <w:p w14:paraId="4AC70B50" w14:textId="77777777" w:rsidR="00494B49" w:rsidRDefault="00494B49">
            <w:r>
              <w:t>×</w:t>
            </w:r>
          </w:p>
        </w:tc>
        <w:tc>
          <w:tcPr>
            <w:tcW w:w="1171" w:type="dxa"/>
          </w:tcPr>
          <w:p w14:paraId="5109E88F" w14:textId="77777777" w:rsidR="00494B49" w:rsidRDefault="00494B49">
            <w:r>
              <w:t>1.0000000</w:t>
            </w:r>
          </w:p>
        </w:tc>
        <w:tc>
          <w:tcPr>
            <w:tcW w:w="600" w:type="dxa"/>
          </w:tcPr>
          <w:p w14:paraId="042B9064" w14:textId="77777777" w:rsidR="00494B49" w:rsidRDefault="00494B49">
            <w:r>
              <w:t>=</w:t>
            </w:r>
          </w:p>
        </w:tc>
        <w:tc>
          <w:tcPr>
            <w:tcW w:w="1222" w:type="dxa"/>
          </w:tcPr>
          <w:p w14:paraId="164F0906" w14:textId="77777777" w:rsidR="00494B49" w:rsidRDefault="00494B49">
            <w:r>
              <w:t>$20,000</w:t>
            </w:r>
          </w:p>
        </w:tc>
      </w:tr>
      <w:tr w:rsidR="00494B49" w14:paraId="211927E0" w14:textId="77777777" w:rsidTr="002637DE">
        <w:tc>
          <w:tcPr>
            <w:tcW w:w="3204" w:type="dxa"/>
          </w:tcPr>
          <w:p w14:paraId="093D5C2C" w14:textId="77777777" w:rsidR="00494B49" w:rsidRDefault="00494B49">
            <w:r>
              <w:t>Total</w:t>
            </w:r>
          </w:p>
        </w:tc>
        <w:tc>
          <w:tcPr>
            <w:tcW w:w="1563" w:type="dxa"/>
          </w:tcPr>
          <w:p w14:paraId="1205B391" w14:textId="77777777" w:rsidR="00494B49" w:rsidRDefault="00494B49">
            <w:r>
              <w:t>$ 140,000</w:t>
            </w:r>
          </w:p>
        </w:tc>
        <w:tc>
          <w:tcPr>
            <w:tcW w:w="1592" w:type="dxa"/>
          </w:tcPr>
          <w:p w14:paraId="7FC68243" w14:textId="77777777" w:rsidR="00494B49" w:rsidRDefault="00494B49"/>
        </w:tc>
        <w:tc>
          <w:tcPr>
            <w:tcW w:w="1171" w:type="dxa"/>
          </w:tcPr>
          <w:p w14:paraId="7D803434" w14:textId="77777777" w:rsidR="00494B49" w:rsidRDefault="00494B49"/>
        </w:tc>
        <w:tc>
          <w:tcPr>
            <w:tcW w:w="600" w:type="dxa"/>
          </w:tcPr>
          <w:p w14:paraId="3A5FB670" w14:textId="77777777" w:rsidR="00494B49" w:rsidRDefault="00494B49"/>
        </w:tc>
        <w:tc>
          <w:tcPr>
            <w:tcW w:w="1222" w:type="dxa"/>
          </w:tcPr>
          <w:p w14:paraId="04E6B0CC" w14:textId="77777777" w:rsidR="00494B49" w:rsidRDefault="00494B49">
            <w:r>
              <w:t>$ 140,000</w:t>
            </w:r>
          </w:p>
        </w:tc>
      </w:tr>
    </w:tbl>
    <w:p w14:paraId="5D1B84D4" w14:textId="77777777" w:rsidR="00494B49" w:rsidRDefault="00494B49">
      <w:pPr>
        <w:pStyle w:val="BNormal"/>
      </w:pPr>
    </w:p>
    <w:p w14:paraId="03C3ABA9" w14:textId="77777777" w:rsidR="00494B49" w:rsidRDefault="00494B49">
      <w:pPr>
        <w:pStyle w:val="BNormal"/>
      </w:pPr>
      <w:r>
        <w:t xml:space="preserve">As shown in this example, the addition of the charitable deduction of $15,000 increases the amount of deductions allowable against net investment income by $14,000. Although a charitable deduction is not a properly allocable deduction against net investment income under Reg. </w:t>
      </w:r>
      <w:smartTag w:uri="http://www.bna.com/sgml2word/cite" w:element="cite.cfr">
        <w:smartTagPr>
          <w:attr w:name="ref" w:val="cfr\26\1.1411-4(f)(3)"/>
        </w:smartTagPr>
        <w:r>
          <w:t>§1.1411-4(f)(3)</w:t>
        </w:r>
      </w:smartTag>
      <w:r>
        <w:t xml:space="preserve">, the mechanics of the Reg. </w:t>
      </w:r>
      <w:smartTag w:uri="http://www.bna.com/sgml2word/cite" w:element="cite.cfr">
        <w:smartTagPr>
          <w:attr w:name="ref" w:val="cfr\26\1.1411-4(f)(7)"/>
        </w:smartTagPr>
        <w:r>
          <w:t>§1.1411-4(f)(7)</w:t>
        </w:r>
      </w:smartTag>
      <w:r>
        <w:t xml:space="preserve"> limitations causes the $15,000 charitable deduction to “absorb” $14,000 of the 3% phase-out that was being allocated against the allocable deductions in Example 1. Therefore, the charitable contribution reduced the taxpayer’s net investment income by $14,000. </w:t>
      </w:r>
    </w:p>
    <w:p w14:paraId="049D226D" w14:textId="77777777" w:rsidR="00494B49" w:rsidRDefault="00494B49">
      <w:pPr>
        <w:pStyle w:val="BNormal"/>
      </w:pPr>
      <w:r>
        <w:rPr>
          <w:i/>
        </w:rPr>
        <w:t>Planning Point:</w:t>
      </w:r>
      <w:r>
        <w:t xml:space="preserve"> This stacking rule planning opportunity is not limited solely to charitable contributions. If any deduction is partially limited by the pre-2018 2% or 3% limitation, an opportunity exists to increase non-net-investment-income deductions in order to absorb the limitation first. In the case of miscellaneous deductions limited, in part, by the </w:t>
      </w:r>
      <w:smartTag w:uri="http://www.bna.com/sgml2word/cite" w:element="cite.usc">
        <w:smartTagPr>
          <w:attr w:name="ref" w:val="2017\USC\26\67"/>
        </w:smartTagPr>
        <w:r>
          <w:t>pre-2018 §67</w:t>
        </w:r>
      </w:smartTag>
      <w:r>
        <w:t xml:space="preserve"> 2% limitation, adding additional non-net-investment-income deductions such as employee business expenses or nonallocable tax preparation fees may result in additional deductions. In the case of deductions limited by the </w:t>
      </w:r>
      <w:smartTag w:uri="http://www.bna.com/sgml2word/cite" w:element="cite.usc">
        <w:smartTagPr>
          <w:attr w:name="ref" w:val="2017\USC\26\68"/>
        </w:smartTagPr>
        <w:r>
          <w:t>pre-2018 §68</w:t>
        </w:r>
      </w:smartTag>
      <w:r>
        <w:t xml:space="preserve"> 3% limitation, pre-paying a January home mortgage payment in December to accelerate the interest deduction in the current year would accomplish the same thing as the charitable deduction in the example above. The analysis is slightly more complicated if the deductions are fully limited by the </w:t>
      </w:r>
      <w:smartTag w:uri="http://www.bna.com/sgml2word/cite" w:element="cite.usc">
        <w:smartTagPr>
          <w:attr w:name="ref" w:val="USC\26\67"/>
        </w:smartTagPr>
        <w:r>
          <w:t>§67</w:t>
        </w:r>
      </w:smartTag>
      <w:r>
        <w:t xml:space="preserve"> 2% limitation, or deductions allowed by </w:t>
      </w:r>
      <w:smartTag w:uri="http://www.bna.com/sgml2word/cite" w:element="cite.usc">
        <w:smartTagPr>
          <w:attr w:name="ref" w:val="USC\26\68"/>
        </w:smartTagPr>
        <w:r>
          <w:t>§68</w:t>
        </w:r>
      </w:smartTag>
      <w:r>
        <w:t xml:space="preserve"> are limited by the 80% rule. In these cases, adding deductions other than net investment income deductions might not be practical because they might not yield a sufficient increase in proper net investment income tax (NIIT) deductions.</w:t>
      </w:r>
    </w:p>
    <w:p w14:paraId="1B3E73A3" w14:textId="77777777" w:rsidR="00494B49" w:rsidRDefault="00494B49">
      <w:pPr>
        <w:pStyle w:val="BHead1"/>
      </w:pPr>
      <w:r>
        <w:t>E. Unique Deductions for Decedents, Estates, and Trusts</w:t>
      </w:r>
    </w:p>
    <w:p w14:paraId="45E6E4FE" w14:textId="77777777" w:rsidR="00494B49" w:rsidRDefault="00494B49">
      <w:pPr>
        <w:pStyle w:val="BHead2"/>
      </w:pPr>
      <w:r>
        <w:t>1. Section 691(b) — Deductions in Respect of a Decedent</w:t>
      </w:r>
    </w:p>
    <w:p w14:paraId="45EBC7A1" w14:textId="77777777" w:rsidR="00494B49" w:rsidRDefault="00494B49">
      <w:pPr>
        <w:pStyle w:val="BNormal"/>
      </w:pPr>
      <w:r>
        <w:t xml:space="preserve">Properly allocable deductions include items of deduction described in </w:t>
      </w:r>
      <w:smartTag w:uri="http://www.bna.com/sgml2word/cite" w:element="cite.usc">
        <w:smartTagPr>
          <w:attr w:name="ref" w:val="USC\26\691(b)"/>
        </w:smartTagPr>
        <w:r>
          <w:t>§691(b)</w:t>
        </w:r>
      </w:smartTag>
      <w:r>
        <w:t xml:space="preserve">, provided the item otherwise would have been deductible to the decedent under Reg. </w:t>
      </w:r>
      <w:smartTag w:uri="http://www.bna.com/sgml2word/cite" w:element="cite.cfr">
        <w:smartTagPr>
          <w:attr w:name="ref" w:val="cfr\26\1.1411-4(f)"/>
        </w:smartTagPr>
        <w:r>
          <w:t>§1.1411-4(f)</w:t>
        </w:r>
      </w:smartTag>
      <w:r>
        <w:t>.</w:t>
      </w:r>
      <w:r>
        <w:rPr>
          <w:rStyle w:val="FootnoteReference"/>
        </w:rPr>
        <w:footnoteReference w:id="681"/>
      </w:r>
      <w:r>
        <w:t xml:space="preserve"> This properly allocable deduction, which is allowed by Reg. </w:t>
      </w:r>
      <w:smartTag w:uri="http://www.bna.com/sgml2word/cite" w:element="cite.cfr">
        <w:smartTagPr>
          <w:attr w:name="ref" w:val="cfr\26\1.1411-4(g)(3)"/>
        </w:smartTagPr>
        <w:r>
          <w:t>§1.1411-4(g)(3)</w:t>
        </w:r>
      </w:smartTag>
      <w:r>
        <w:t xml:space="preserve">, is limited to items that are deductible by the decedent, regardless of whether the decedent was subject to proper net investment income tax (NIIT). The regulation provides, for example, that an estate may deduct the decedent’s unpaid investment interest expense in computing its net investment income because </w:t>
      </w:r>
      <w:smartTag w:uri="http://www.bna.com/sgml2word/cite" w:element="cite.usc">
        <w:smartTagPr>
          <w:attr w:name="ref" w:val="USC\26\691(b)"/>
        </w:smartTagPr>
        <w:r>
          <w:t>§691(b)</w:t>
        </w:r>
      </w:smartTag>
      <w:r>
        <w:t xml:space="preserve"> specifically allows the deduction under </w:t>
      </w:r>
      <w:smartTag w:uri="http://www.bna.com/sgml2word/cite" w:element="cite.usc">
        <w:smartTagPr>
          <w:attr w:name="ref" w:val="USC\26\163"/>
        </w:smartTagPr>
        <w:r>
          <w:t>§163</w:t>
        </w:r>
      </w:smartTag>
      <w:r>
        <w:t xml:space="preserve">, and Reg. </w:t>
      </w:r>
      <w:smartTag w:uri="http://www.bna.com/sgml2word/cite" w:element="cite.cfr">
        <w:smartTagPr>
          <w:attr w:name="ref" w:val="cfr\26\1.1411-4(f)(3)(i)"/>
        </w:smartTagPr>
        <w:r>
          <w:t>§1.1411-4(f)(3)(i)</w:t>
        </w:r>
      </w:smartTag>
      <w:r>
        <w:t xml:space="preserve"> allows those deductions as well.</w:t>
      </w:r>
      <w:r>
        <w:rPr>
          <w:rStyle w:val="FootnoteReference"/>
        </w:rPr>
        <w:footnoteReference w:id="682"/>
      </w:r>
    </w:p>
    <w:p w14:paraId="01563FC9" w14:textId="77777777" w:rsidR="00494B49" w:rsidRDefault="00494B49">
      <w:pPr>
        <w:pStyle w:val="BNormal"/>
      </w:pPr>
      <w:r>
        <w:t xml:space="preserve">In general, </w:t>
      </w:r>
      <w:smartTag w:uri="http://www.bna.com/sgml2word/cite" w:element="cite.usc">
        <w:smartTagPr>
          <w:attr w:name="ref" w:val="USC\26\691(b)"/>
        </w:smartTagPr>
        <w:r>
          <w:t>§691(b)</w:t>
        </w:r>
      </w:smartTag>
      <w:r>
        <w:t xml:space="preserve"> provides that an estate (or successor to property) may take deductions described in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212"/>
        </w:smartTagPr>
        <w:r>
          <w:t>§212</w:t>
        </w:r>
      </w:smartTag>
      <w:r>
        <w:t xml:space="preserve"> (pre-2018 tax years), and </w:t>
      </w:r>
      <w:smartTag w:uri="http://www.bna.com/sgml2word/cite" w:element="cite.usc">
        <w:smartTagPr>
          <w:attr w:name="ref" w:val="USC\26\611"/>
        </w:smartTagPr>
        <w:r>
          <w:t>§611</w:t>
        </w:r>
      </w:smartTag>
      <w:r>
        <w:t xml:space="preserve"> in respect of a decedent that are not properly allowable to the decedent in the taxable period before or including the date of </w:t>
      </w:r>
      <w:r>
        <w:lastRenderedPageBreak/>
        <w:t>death (these items are often referred to as Deductions in Respect of a Decedent, or DRD).</w:t>
      </w:r>
      <w:r>
        <w:rPr>
          <w:rStyle w:val="FootnoteReference"/>
        </w:rPr>
        <w:footnoteReference w:id="683"/>
      </w:r>
      <w:r>
        <w:t xml:space="preserve"> The </w:t>
      </w:r>
      <w:smartTag w:uri="http://www.bna.com/sgml2word/cite" w:element="cite.usc">
        <w:smartTagPr>
          <w:attr w:name="ref" w:val="USC\26\691(b)"/>
        </w:smartTagPr>
        <w:r>
          <w:t>§691(b)</w:t>
        </w:r>
      </w:smartTag>
      <w:r>
        <w:t xml:space="preserve"> listing of deductions is an exclusive list. If a deduction is not listed (such as suspended capital losses), then it is not deductible under this provision. </w:t>
      </w:r>
      <w:smartTag w:uri="http://www.bna.com/sgml2word/cite" w:element="cite.usc">
        <w:smartTagPr>
          <w:attr w:name="ref" w:val="USC\26\691(b)"/>
        </w:smartTagPr>
        <w:r>
          <w:t>Section 691(b)</w:t>
        </w:r>
      </w:smartTag>
      <w:r>
        <w:t xml:space="preserve"> is the statutory mechanism that allows a deduction to the estate (or other successor to property) because, under the normal accounting rules, the decedent would have been entitled to the deduction but did not live long enough to take it. </w:t>
      </w:r>
    </w:p>
    <w:p w14:paraId="64D9C2C1" w14:textId="77777777" w:rsidR="00494B49" w:rsidRDefault="00494B49">
      <w:pPr>
        <w:pStyle w:val="BNormal"/>
      </w:pPr>
      <w:r>
        <w:t xml:space="preserve">The estate (or successor to property) may not take a deduction that was not otherwise deductible by the decedent. The mechanism of Reg. </w:t>
      </w:r>
      <w:smartTag w:uri="http://www.bna.com/sgml2word/cite" w:element="cite.cfr">
        <w:smartTagPr>
          <w:attr w:name="ref" w:val="cfr\26\1.1411-4(g)(3)"/>
        </w:smartTagPr>
        <w:r>
          <w:t>§1.1411-4(g)(3)</w:t>
        </w:r>
      </w:smartTag>
      <w:r>
        <w:t xml:space="preserve"> replicates the tax policy behind </w:t>
      </w:r>
      <w:smartTag w:uri="http://www.bna.com/sgml2word/cite" w:element="cite.usc">
        <w:smartTagPr>
          <w:attr w:name="ref" w:val="USC\26\691(b)"/>
        </w:smartTagPr>
        <w:r>
          <w:t>§691(b)</w:t>
        </w:r>
      </w:smartTag>
      <w:r>
        <w:t xml:space="preserve">. The regulation provides an example explaining that an estate or trust may not deduct in computing the estate’s net investment income a real estate tax payment assessed on the decedent’s principal residence that the decedent had not yet paid, because although real estate taxes are deductible under </w:t>
      </w:r>
      <w:smartTag w:uri="http://www.bna.com/sgml2word/cite" w:element="cite.usc">
        <w:smartTagPr>
          <w:attr w:name="ref" w:val="USC\26\164"/>
        </w:smartTagPr>
        <w:r>
          <w:t>§164</w:t>
        </w:r>
      </w:smartTag>
      <w:r>
        <w:t xml:space="preserve"> (and specifically enumerated in </w:t>
      </w:r>
      <w:smartTag w:uri="http://www.bna.com/sgml2word/cite" w:element="cite.usc">
        <w:smartTagPr>
          <w:attr w:name="ref" w:val="USC\26\691(b)"/>
        </w:smartTagPr>
        <w:r>
          <w:t>§691(b)</w:t>
        </w:r>
      </w:smartTag>
      <w:r>
        <w:t xml:space="preserve">), the real estate taxes would not have been a properly allocable deduction of the decedent under Reg. </w:t>
      </w:r>
      <w:smartTag w:uri="http://www.bna.com/sgml2word/cite" w:element="cite.cfr">
        <w:smartTagPr>
          <w:attr w:name="ref" w:val="cfr\26\1.1411-4(f)"/>
        </w:smartTagPr>
        <w:r>
          <w:t>§1.1411-4(f)</w:t>
        </w:r>
      </w:smartTag>
      <w:r>
        <w:t>.</w:t>
      </w:r>
    </w:p>
    <w:p w14:paraId="111163EC" w14:textId="77777777" w:rsidR="00494B49" w:rsidRDefault="00494B49">
      <w:pPr>
        <w:pStyle w:val="BHead2"/>
      </w:pPr>
      <w:r>
        <w:t>2. Section 691(c) — Deductions for Estate Taxes</w:t>
      </w:r>
    </w:p>
    <w:p w14:paraId="633312B3" w14:textId="77777777" w:rsidR="00494B49" w:rsidRDefault="00494B49">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for regular tax purposes.</w:t>
      </w:r>
      <w:r>
        <w:rPr>
          <w:rStyle w:val="FootnoteReference"/>
        </w:rPr>
        <w:footnoteReference w:id="684"/>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85"/>
      </w:r>
    </w:p>
    <w:p w14:paraId="39613F2F" w14:textId="77777777" w:rsidR="00494B49" w:rsidRDefault="00494B49">
      <w:pPr>
        <w:pStyle w:val="BNormal"/>
      </w:pPr>
      <w:r>
        <w:rPr>
          <w:i/>
        </w:rPr>
        <w:t>Comment:</w:t>
      </w:r>
      <w:r>
        <w:t xml:space="preserve"> Although the regulation text refers to both estate and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62C1C5F7" w14:textId="77777777" w:rsidR="00494B49" w:rsidRDefault="00494B49">
      <w:pPr>
        <w:pStyle w:val="BNormal"/>
      </w:pPr>
      <w:r>
        <w:t xml:space="preserve">In general, </w:t>
      </w:r>
      <w:smartTag w:uri="http://www.bna.com/sgml2word/cite" w:element="cite.usc">
        <w:smartTagPr>
          <w:attr w:name="ref" w:val="USC\26\691(c)"/>
        </w:smartTagPr>
        <w:r>
          <w:t>§691(c)</w:t>
        </w:r>
      </w:smartTag>
      <w:r>
        <w:t xml:space="preserve"> allows a deduction for estate taxes imposed on items of income that are Income in Respect of a Decedent (IRD) under </w:t>
      </w:r>
      <w:smartTag w:uri="http://www.bna.com/sgml2word/cite" w:element="cite.usc">
        <w:smartTagPr>
          <w:attr w:name="ref" w:val="USC\26\691(a)"/>
        </w:smartTagPr>
        <w:r>
          <w:t>§691(a)</w:t>
        </w:r>
      </w:smartTag>
      <w:r>
        <w:t xml:space="preserve">. The </w:t>
      </w:r>
      <w:smartTag w:uri="http://www.bna.com/sgml2word/cite" w:element="cite.usc">
        <w:smartTagPr>
          <w:attr w:name="ref" w:val="USC\26\691(c)"/>
        </w:smartTagPr>
        <w:r>
          <w:t>§691(c)</w:t>
        </w:r>
      </w:smartTag>
      <w:r>
        <w:t xml:space="preserve"> deduction allowed for estate tax attributable to IRD that is ordinary income must be claimed as an itemized deduction, and not as a deduction from gross income in arriving at adjusted gross income (AGI), because it is not among the deductions listed in </w:t>
      </w:r>
      <w:smartTag w:uri="http://www.bna.com/sgml2word/cite" w:element="cite.usc">
        <w:smartTagPr>
          <w:attr w:name="ref" w:val="USC\26\62"/>
        </w:smartTagPr>
        <w:r>
          <w:t>§62</w:t>
        </w:r>
      </w:smartTag>
      <w:r>
        <w:t xml:space="preserve">. The </w:t>
      </w:r>
      <w:smartTag w:uri="http://www.bna.com/sgml2word/cite" w:element="cite.usc">
        <w:smartTagPr>
          <w:attr w:name="ref" w:val="USC\26\691(c)"/>
        </w:smartTagPr>
        <w:r>
          <w:t>§691(c)</w:t>
        </w:r>
      </w:smartTag>
      <w:r>
        <w:t xml:space="preserve"> deduction is not subject to the pre-2018 2% floor on miscellaneous itemized deductions,</w:t>
      </w:r>
      <w:r>
        <w:rPr>
          <w:rStyle w:val="FootnoteReference"/>
        </w:rPr>
        <w:footnoteReference w:id="686"/>
      </w:r>
      <w:r>
        <w:t xml:space="preserve"> but is subject to the pre-2018 overall limitation on itemized deductions under </w:t>
      </w:r>
      <w:smartTag w:uri="http://www.bna.com/sgml2word/cite" w:element="cite.usc">
        <w:smartTagPr>
          <w:attr w:name="ref" w:val="USC\26\68"/>
        </w:smartTagPr>
        <w:r>
          <w:t>§68</w:t>
        </w:r>
      </w:smartTag>
      <w:r>
        <w:t>.</w:t>
      </w:r>
      <w:r>
        <w:rPr>
          <w:rStyle w:val="FootnoteReference"/>
        </w:rPr>
        <w:footnoteReference w:id="687"/>
      </w:r>
    </w:p>
    <w:p w14:paraId="3ED4710B" w14:textId="77777777" w:rsidR="00494B49" w:rsidRDefault="00494B49">
      <w:pPr>
        <w:pStyle w:val="BNormal"/>
      </w:pPr>
      <w:r>
        <w:t xml:space="preserve">In the case of IRD that is capital gain, </w:t>
      </w:r>
      <w:smartTag w:uri="http://www.bna.com/sgml2word/cite" w:element="cite.usc">
        <w:smartTagPr>
          <w:attr w:name="ref" w:val="USC\26\691(c)(4)"/>
        </w:smartTagPr>
        <w:r>
          <w:t>§691(c)(4)</w:t>
        </w:r>
      </w:smartTag>
      <w:r>
        <w:t xml:space="preserve"> provides that for purposes of </w:t>
      </w:r>
      <w:smartTag w:uri="http://www.bna.com/sgml2word/cite" w:element="cite.usc">
        <w:smartTagPr>
          <w:attr w:name="ref" w:val="USC\26\1(h)"/>
        </w:smartTagPr>
        <w:r>
          <w:t>§1(h)</w:t>
        </w:r>
      </w:smartTag>
      <w:r>
        <w:t xml:space="preserve"> (as modified by former §1(j)(4) for tax years beginning in 2018 and 2019), </w:t>
      </w:r>
      <w:smartTag w:uri="http://www.bna.com/sgml2word/cite" w:element="cite.usc">
        <w:smartTagPr>
          <w:attr w:name="ref" w:val="USC\26\1202"/>
        </w:smartTagPr>
        <w:r>
          <w:t>§1202</w:t>
        </w:r>
      </w:smartTag>
      <w:r>
        <w:t xml:space="preserve">, and </w:t>
      </w:r>
      <w:smartTag w:uri="http://www.bna.com/sgml2word/cite" w:element="cite.usc">
        <w:smartTagPr>
          <w:attr w:name="ref" w:val="USC\26\1211"/>
        </w:smartTagPr>
        <w:r>
          <w:t>§1211</w:t>
        </w:r>
      </w:smartTag>
      <w:r>
        <w:t xml:space="preserve">, “the amount taken into account with respect to any item described in </w:t>
      </w:r>
      <w:smartTag w:uri="http://www.bna.com/sgml2word/cite" w:element="cite.usc">
        <w:smartTagPr>
          <w:attr w:name="ref" w:val="USC\26\691(a)(1)"/>
        </w:smartTagPr>
        <w:r>
          <w:t>§691(a)(1)</w:t>
        </w:r>
      </w:smartTag>
      <w:r>
        <w:t xml:space="preserve"> must be reduced (but not below zero) by the amount of the deduction allowable under </w:t>
      </w:r>
      <w:smartTag w:uri="http://www.bna.com/sgml2word/cite" w:element="cite.usc">
        <w:smartTagPr>
          <w:attr w:name="ref" w:val="USC\26\691(c)(1)"/>
        </w:smartTagPr>
        <w:r>
          <w:t>§691(c)(1)</w:t>
        </w:r>
      </w:smartTag>
      <w:r>
        <w:t xml:space="preserve"> with respect to such </w:t>
      </w:r>
      <w:r>
        <w:lastRenderedPageBreak/>
        <w:t>item.”</w:t>
      </w:r>
      <w:r>
        <w:rPr>
          <w:rStyle w:val="FootnoteReference"/>
        </w:rPr>
        <w:footnoteReference w:id="688"/>
      </w:r>
      <w:r>
        <w:t xml:space="preserve"> As a result of </w:t>
      </w:r>
      <w:smartTag w:uri="http://www.bna.com/sgml2word/cite" w:element="cite.usc">
        <w:smartTagPr>
          <w:attr w:name="ref" w:val="USC\26\691(c)(4)"/>
        </w:smartTagPr>
        <w:r>
          <w:t>§691(c)(4)</w:t>
        </w:r>
      </w:smartTag>
      <w:r>
        <w:t xml:space="preserve">, any portion of the </w:t>
      </w:r>
      <w:smartTag w:uri="http://www.bna.com/sgml2word/cite" w:element="cite.usc">
        <w:smartTagPr>
          <w:attr w:name="ref" w:val="USC\26\691(c)"/>
        </w:smartTagPr>
        <w:r>
          <w:t>§691(c)</w:t>
        </w:r>
      </w:smartTag>
      <w:r>
        <w:t xml:space="preserve"> deduction taken into account in computing gain or loss on the disposition of an asset is taken into account for NIIT purposes in the calculation of net gain</w:t>
      </w:r>
      <w:r>
        <w:rPr>
          <w:rStyle w:val="FootnoteReference"/>
        </w:rPr>
        <w:footnoteReference w:id="689"/>
      </w:r>
      <w:r>
        <w:t xml:space="preserve"> and not under Reg. </w:t>
      </w:r>
      <w:smartTag w:uri="http://www.bna.com/sgml2word/cite" w:element="cite.cfr">
        <w:smartTagPr>
          <w:attr w:name="ref" w:val="cfr\26\1.1411-4(f)(3)(v)"/>
        </w:smartTagPr>
        <w:r>
          <w:t>§1.1411-4(f)(3)(v)</w:t>
        </w:r>
      </w:smartTag>
      <w:r>
        <w:t>.</w:t>
      </w:r>
      <w:r>
        <w:rPr>
          <w:rStyle w:val="FootnoteReference"/>
        </w:rPr>
        <w:footnoteReference w:id="690"/>
      </w:r>
    </w:p>
    <w:p w14:paraId="77018471" w14:textId="77777777" w:rsidR="00494B49" w:rsidRDefault="00494B49">
      <w:pPr>
        <w:pStyle w:val="BHead2"/>
      </w:pPr>
      <w:r>
        <w:t>3. Section 642(h) — Excess Deductions upon Termination</w:t>
      </w:r>
    </w:p>
    <w:p w14:paraId="1042CDE7" w14:textId="77777777" w:rsidR="00494B49" w:rsidRDefault="00494B49">
      <w:pPr>
        <w:pStyle w:val="BNormal"/>
      </w:pPr>
      <w:r>
        <w:t xml:space="preserve">In general, </w:t>
      </w:r>
      <w:smartTag w:uri="http://www.bna.com/sgml2word/cite" w:element="cite.usc">
        <w:smartTagPr>
          <w:attr w:name="ref" w:val="USC\26\642(h)"/>
        </w:smartTagPr>
        <w:r>
          <w:t>§642(h)</w:t>
        </w:r>
      </w:smartTag>
      <w:r>
        <w:t xml:space="preserve"> provides “[i]f on the termination of an estate or trust, the estate or trust has (1) a net operating loss carryover under </w:t>
      </w:r>
      <w:smartTag w:uri="http://www.bna.com/sgml2word/cite" w:element="cite.usc">
        <w:smartTagPr>
          <w:attr w:name="ref" w:val="USC\26\172"/>
        </w:smartTagPr>
        <w:r>
          <w:t>section 172</w:t>
        </w:r>
        <w:smartTag w:uri="http://www.bna.com/sgml2word/cite" w:element="sticky1">
          <w:smartTag w:uri="http://www.bna.com/sgml2word/cite" w:element="sticky.note">
            <w:r>
              <w:t>this is part of a quote</w:t>
            </w:r>
          </w:smartTag>
        </w:smartTag>
      </w:smartTag>
      <w:r>
        <w:t xml:space="preserve"> or a capital loss carryover under </w:t>
      </w:r>
      <w:smartTag w:uri="http://www.bna.com/sgml2word/cite" w:element="cite.usc">
        <w:smartTagPr>
          <w:attr w:name="ref" w:val="USC\26\1212"/>
        </w:smartTagPr>
        <w:r>
          <w:t>section 1212</w:t>
        </w:r>
        <w:smartTag w:uri="http://www.bna.com/sgml2word/cite" w:element="sticky1">
          <w:smartTag w:uri="http://www.bna.com/sgml2word/cite" w:element="sticky.note">
            <w:r>
              <w:t>this is part of a quote</w:t>
            </w:r>
          </w:smartTag>
        </w:smartTag>
      </w:smartTag>
      <w:r>
        <w:t xml:space="preserve">, or (2) deductions for the last tax year of the estate or trust (other than the deductions allowed under subsections </w:t>
      </w:r>
      <w:smartTag w:uri="http://www.bna.com/sgml2word/cite" w:element="cite.usc">
        <w:smartTagPr>
          <w:attr w:name="ref" w:val="USC\26\1212(b)"/>
        </w:smartTagPr>
        <w:r>
          <w:t>(b)</w:t>
        </w:r>
      </w:smartTag>
      <w:r>
        <w:t xml:space="preserve"> or </w:t>
      </w:r>
      <w:smartTag w:uri="http://www.bna.com/sgml2word/cite" w:element="cite.usc">
        <w:smartTagPr>
          <w:attr w:name="ref" w:val="USC\26\1212(c)"/>
        </w:smartTagPr>
        <w:r>
          <w:t>(c)</w:t>
        </w:r>
      </w:smartTag>
      <w:r>
        <w:t>) in excess of gross income for such year, then such carryover or such excess shall be allowed as a deduction … to the beneficiaries succeeding to the property of the estate or trust.”</w:t>
      </w:r>
      <w:r>
        <w:rPr>
          <w:rStyle w:val="FootnoteReference"/>
        </w:rPr>
        <w:footnoteReference w:id="691"/>
      </w:r>
    </w:p>
    <w:p w14:paraId="6DE1CB4A" w14:textId="77777777" w:rsidR="00494B49" w:rsidRDefault="00494B49">
      <w:pPr>
        <w:pStyle w:val="BNormal"/>
      </w:pPr>
      <w:r>
        <w:t xml:space="preserve">The 2013 Final Regulations provide a special rule that allows a beneficiary to succeed to the deductions of a terminating estate or trust in the same fashion as provided by </w:t>
      </w:r>
      <w:smartTag w:uri="http://www.bna.com/sgml2word/cite" w:element="cite.usc">
        <w:smartTagPr>
          <w:attr w:name="ref" w:val="USC\26\642(h)"/>
        </w:smartTagPr>
        <w:r>
          <w:t>§642(h)</w:t>
        </w:r>
      </w:smartTag>
      <w:r>
        <w:t xml:space="preserve"> for Chapter 1 purposes. However, in order to limit the deductions to amounts that would have been deductible had the predecessor been able to deduct the expenses, the scope of allowable deductions under Reg. </w:t>
      </w:r>
      <w:smartTag w:uri="http://www.bna.com/sgml2word/cite" w:element="cite.cfr">
        <w:smartTagPr>
          <w:attr w:name="ref" w:val="cfr\26\1.1411-4(g)(4)"/>
        </w:smartTagPr>
        <w:r>
          <w:t>§1.1411-4(g)(4)</w:t>
        </w:r>
      </w:smartTag>
      <w:r>
        <w:t xml:space="preserve"> is limited to deductions allowed under Reg. </w:t>
      </w:r>
      <w:smartTag w:uri="http://www.bna.com/sgml2word/cite" w:element="cite.cfr">
        <w:smartTagPr>
          <w:attr w:name="ref" w:val="cfr\26\1.1411-4(f)"/>
        </w:smartTagPr>
        <w:r>
          <w:t>§1.1411-4(f)</w:t>
        </w:r>
      </w:smartTag>
      <w:r>
        <w:t>, and only to the extent that the terminating estate or trust has negative net investment income upon termination.</w:t>
      </w:r>
    </w:p>
    <w:p w14:paraId="0A40D4D1" w14:textId="77777777" w:rsidR="00494B49" w:rsidRDefault="00494B49">
      <w:pPr>
        <w:pStyle w:val="BNormal"/>
      </w:pPr>
      <w:r>
        <w:rPr>
          <w:i/>
        </w:rPr>
        <w:t>Comment:</w:t>
      </w:r>
      <w:r>
        <w:t xml:space="preserve"> Reg. </w:t>
      </w:r>
      <w:smartTag w:uri="http://www.bna.com/sgml2word/cite" w:element="cite.cfr">
        <w:smartTagPr>
          <w:attr w:name="ref" w:val="cfr\26\1.1411-4(g)(4)"/>
        </w:smartTagPr>
        <w:r>
          <w:t>§1.1411-4(g)(4)</w:t>
        </w:r>
      </w:smartTag>
      <w:r>
        <w:t xml:space="preserve"> uses the phrase “in a manner consistent with.”</w:t>
      </w:r>
      <w:r>
        <w:rPr>
          <w:rStyle w:val="FootnoteReference"/>
        </w:rPr>
        <w:footnoteReference w:id="692"/>
      </w:r>
      <w:r>
        <w:t xml:space="preserve"> The use of that phrase adopts the mechanical principles of </w:t>
      </w:r>
      <w:smartTag w:uri="http://www.bna.com/sgml2word/cite" w:element="cite.usc">
        <w:smartTagPr>
          <w:attr w:name="ref" w:val="USC\26\642(h)"/>
        </w:smartTagPr>
        <w:r>
          <w:t>§642(h)</w:t>
        </w:r>
      </w:smartTag>
      <w:r>
        <w:t xml:space="preserve"> and the regulations thereunder such that any item allocated to a beneficiary for regular tax purposes is also an allocated item (similar in character and amount) for purposes of the NIIT. Similar to the concepts inherent in </w:t>
      </w:r>
      <w:smartTag w:uri="http://www.bna.com/sgml2word/cite" w:element="cite.usc">
        <w:smartTagPr>
          <w:attr w:name="ref" w:val="USC\26\642(h)"/>
        </w:smartTagPr>
        <w:r>
          <w:t>§642(h)</w:t>
        </w:r>
      </w:smartTag>
      <w:r>
        <w:t xml:space="preserve">, items allocated to beneficiaries under Reg. </w:t>
      </w:r>
      <w:smartTag w:uri="http://www.bna.com/sgml2word/cite" w:element="cite.cfr">
        <w:smartTagPr>
          <w:attr w:name="ref" w:val="cfr\26\1.1411-4(g)(4)"/>
        </w:smartTagPr>
        <w:r>
          <w:t>§1.1411-4(g)(4)</w:t>
        </w:r>
      </w:smartTag>
      <w:r>
        <w:t xml:space="preserve"> should not result in a windfall to the beneficiary, creating a situation in which items are somehow deductible to the beneficiary but not deductible by the estate or trust if it has not terminated. </w:t>
      </w:r>
    </w:p>
    <w:p w14:paraId="7430FE02" w14:textId="77777777" w:rsidR="00494B49" w:rsidRDefault="00494B49">
      <w:pPr>
        <w:pStyle w:val="BHead3"/>
      </w:pPr>
      <w:r>
        <w:t>a. Treatment of Capital Losses</w:t>
      </w:r>
    </w:p>
    <w:p w14:paraId="168D99C0" w14:textId="77777777" w:rsidR="00494B49" w:rsidRDefault="00494B49">
      <w:pPr>
        <w:pStyle w:val="BNormal"/>
      </w:pPr>
      <w:r>
        <w:t xml:space="preserve">For purposes of calculating net investment income, any beneficiary succeeding to the property of the estate or trust treats excess capital losses of the estate or trust described in </w:t>
      </w:r>
      <w:smartTag w:uri="http://www.bna.com/sgml2word/cite" w:element="cite.usc">
        <w:smartTagPr>
          <w:attr w:name="ref" w:val="USC\26\642(h)(1)"/>
        </w:smartTagPr>
        <w:r>
          <w:t>§642(h)(1)</w:t>
        </w:r>
      </w:smartTag>
      <w:r>
        <w:t xml:space="preserve"> as capital losses of the beneficiary in the calculation of net gain under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as applicable.</w:t>
      </w:r>
      <w:r>
        <w:rPr>
          <w:rStyle w:val="FootnoteReference"/>
        </w:rPr>
        <w:footnoteReference w:id="693"/>
      </w:r>
    </w:p>
    <w:p w14:paraId="51501A83" w14:textId="77777777" w:rsidR="00494B49" w:rsidRDefault="00494B49">
      <w:pPr>
        <w:pStyle w:val="BNormal"/>
      </w:pPr>
      <w:r>
        <w:rPr>
          <w:i/>
        </w:rPr>
        <w:t>Comment:</w:t>
      </w:r>
      <w:r>
        <w:t xml:space="preserve"> Pursuant to the regulation, the allocation of capital losses to a beneficiary are taken into account in computing net investment income of the beneficiary by reason of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xml:space="preserve">. In computing net gain in the year of the allocation (and future years, if </w:t>
      </w:r>
      <w:r>
        <w:lastRenderedPageBreak/>
        <w:t>applicable)</w:t>
      </w:r>
      <w:r>
        <w:rPr>
          <w:rStyle w:val="FootnoteReference"/>
        </w:rPr>
        <w:footnoteReference w:id="694"/>
      </w:r>
      <w:r>
        <w:t xml:space="preserve"> the beneficiary must take into account any adjustment that the terminating estate or trust would be required to make to its capital losses by amounts previously excluded under Prop. Reg. </w:t>
      </w:r>
      <w:smartTag w:uri="http://www.bna.com/sgml2word/cite" w:element="cite.cfr">
        <w:smartTagPr>
          <w:attr w:name="ref" w:val="prule\cfr\26\1.1411-4(d)(4)(iii)"/>
        </w:smartTagPr>
        <w:r>
          <w:t>§1.1411-4(d)(4)(iii)</w:t>
        </w:r>
      </w:smartTag>
      <w:r>
        <w:t>.</w:t>
      </w:r>
      <w:r>
        <w:rPr>
          <w:rStyle w:val="FootnoteReference"/>
        </w:rPr>
        <w:footnoteReference w:id="695"/>
      </w:r>
    </w:p>
    <w:p w14:paraId="09160389" w14:textId="77777777" w:rsidR="00494B49" w:rsidRDefault="00494B49">
      <w:pPr>
        <w:pStyle w:val="BHead3"/>
      </w:pPr>
      <w:r>
        <w:t>b. Treatment of Net Operating Losses</w:t>
      </w:r>
    </w:p>
    <w:p w14:paraId="2C92607C" w14:textId="77777777" w:rsidR="00494B49" w:rsidRDefault="00494B49">
      <w:pPr>
        <w:pStyle w:val="BNormal"/>
      </w:pPr>
      <w:r>
        <w:t xml:space="preserve">Any beneficiary succeeding to the property of the estate or trust treats excess net operating losses of the estate or trust described in </w:t>
      </w:r>
      <w:smartTag w:uri="http://www.bna.com/sgml2word/cite" w:element="cite.usc">
        <w:smartTagPr>
          <w:attr w:name="ref" w:val="USC\26\642(h)(1)"/>
        </w:smartTagPr>
        <w:r>
          <w:t>§642(h)(1)</w:t>
        </w:r>
      </w:smartTag>
      <w:r>
        <w:t xml:space="preserve"> as net operating losses of the beneficiary in the calculation of net investment income in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w:t>
      </w:r>
      <w:r>
        <w:rPr>
          <w:rStyle w:val="FootnoteReference"/>
        </w:rPr>
        <w:footnoteReference w:id="696"/>
      </w:r>
    </w:p>
    <w:p w14:paraId="068C33FE" w14:textId="77777777" w:rsidR="00494B49" w:rsidRDefault="00494B49">
      <w:pPr>
        <w:pStyle w:val="BNormal"/>
      </w:pPr>
      <w:r>
        <w:rPr>
          <w:i/>
        </w:rPr>
        <w:t>Comment:</w:t>
      </w:r>
      <w:r>
        <w:t xml:space="preserve"> Similar to the treatment of capital losses, the allocation of NOLs to a beneficiary is taken into account in computing net investment income of the beneficiary by reason of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To the extent that a beneficiary succeeds to an NOL of the trust, the </w:t>
      </w:r>
      <w:smartTag w:uri="http://www.bna.com/sgml2word/cite" w:element="cite.usc">
        <w:smartTagPr>
          <w:attr w:name="ref" w:val="USC\26\1411"/>
        </w:smartTagPr>
        <w:r>
          <w:t>§1411</w:t>
        </w:r>
      </w:smartTag>
      <w:r>
        <w:t xml:space="preserve"> NOL that is included within the estate or trust’s NOL becomes the </w:t>
      </w:r>
      <w:smartTag w:uri="http://www.bna.com/sgml2word/cite" w:element="cite.usc">
        <w:smartTagPr>
          <w:attr w:name="ref" w:val="USC\26\1411"/>
        </w:smartTagPr>
        <w:r>
          <w:t>§1411</w:t>
        </w:r>
      </w:smartTag>
      <w:r>
        <w:t xml:space="preserve"> NOL of the beneficiary.</w:t>
      </w:r>
      <w:r>
        <w:rPr>
          <w:rStyle w:val="FootnoteReference"/>
        </w:rPr>
        <w:footnoteReference w:id="697"/>
      </w:r>
    </w:p>
    <w:p w14:paraId="4BB33A90" w14:textId="77777777" w:rsidR="00494B49" w:rsidRDefault="00494B49">
      <w:pPr>
        <w:pStyle w:val="BHead3"/>
      </w:pPr>
      <w:r>
        <w:t>c. Treatment of Excess Properly Allocable Deductions</w:t>
      </w:r>
    </w:p>
    <w:p w14:paraId="35DA955B" w14:textId="77777777" w:rsidR="00494B49" w:rsidRDefault="00494B49">
      <w:pPr>
        <w:pStyle w:val="BHead4"/>
      </w:pPr>
      <w:r>
        <w:t>(1) Tax Years Beginning in 2013 Through 2017</w:t>
      </w:r>
    </w:p>
    <w:p w14:paraId="1DA0A53E" w14:textId="77777777" w:rsidR="00494B49" w:rsidRDefault="00494B49">
      <w:pPr>
        <w:pStyle w:val="BNormal"/>
      </w:pPr>
      <w:r>
        <w:t xml:space="preserve">For purposes of calculating net investment income, any beneficiary succeeding to the property of the estate or trust treats as a deduction described in </w:t>
      </w:r>
      <w:smartTag w:uri="http://www.bna.com/sgml2word/cite" w:element="cite.usc">
        <w:smartTagPr>
          <w:attr w:name="ref" w:val="USC\26\1411(c)(1)(B)"/>
        </w:smartTagPr>
        <w:r>
          <w:t>§1411(c)(1)(B)</w:t>
        </w:r>
      </w:smartTag>
      <w:r>
        <w:t xml:space="preserve"> the deductions described in Reg. </w:t>
      </w:r>
      <w:smartTag w:uri="http://www.bna.com/sgml2word/cite" w:element="cite.cfr">
        <w:smartTagPr>
          <w:attr w:name="ref" w:val="cfr\26\1.1411-4(f)"/>
        </w:smartTagPr>
        <w:r>
          <w:t>§1.1411-4(f)</w:t>
        </w:r>
      </w:smartTag>
      <w:r>
        <w:t xml:space="preserve"> that exceed gross investment income</w:t>
      </w:r>
      <w:r>
        <w:rPr>
          <w:rStyle w:val="FootnoteReference"/>
        </w:rPr>
        <w:footnoteReference w:id="698"/>
      </w:r>
      <w:r>
        <w:t xml:space="preserve"> (after taking into account any modifications, adjustments, and special rules for calculating net investment income) of a terminating estate or trust.</w:t>
      </w:r>
      <w:r>
        <w:rPr>
          <w:rStyle w:val="FootnoteReference"/>
        </w:rPr>
        <w:footnoteReference w:id="699"/>
      </w:r>
    </w:p>
    <w:p w14:paraId="36F0058E" w14:textId="77777777" w:rsidR="00494B49" w:rsidRDefault="00494B49">
      <w:pPr>
        <w:pStyle w:val="BCommentpara"/>
      </w:pPr>
      <w:r>
        <w:rPr>
          <w:rStyle w:val="BCommenthead"/>
        </w:rPr>
        <w:t>Comment:</w:t>
      </w:r>
      <w:r>
        <w:t xml:space="preserve"> This provision also involves a beneficiary succeeding to a terminating estate or trust’s NOL. However, Reg. </w:t>
      </w:r>
      <w:smartTag w:uri="http://www.bna.com/sgml2word/cite" w:element="cite.cfr">
        <w:smartTagPr>
          <w:attr w:name="ref" w:val="cfr\26\1.1411-4(g)(4)(iii)"/>
        </w:smartTagPr>
        <w:r>
          <w:t>§1.1411-4(g)(4)(iii)</w:t>
        </w:r>
      </w:smartTag>
      <w:r>
        <w:t xml:space="preserve"> does not require the terminating estate or trust to have an NOL in the terminating year. A literal reading of Reg. </w:t>
      </w:r>
      <w:smartTag w:uri="http://www.bna.com/sgml2word/cite" w:element="cite.cfr">
        <w:smartTagPr>
          <w:attr w:name="ref" w:val="cfr\26\1.1411-4(g)(4)(iii)"/>
        </w:smartTagPr>
        <w:r>
          <w:t>§1.1411-4(g)(4)(iii)</w:t>
        </w:r>
      </w:smartTag>
      <w:r>
        <w:t xml:space="preserve"> does not require the terminating trust to have excess deductions for regular income tax. Therefore, although it may be exceptionally rare, it may be possible for a terminating estate or trust to have </w:t>
      </w:r>
      <w:smartTag w:uri="http://www.bna.com/sgml2word/cite" w:element="cite.usc">
        <w:smartTagPr>
          <w:attr w:name="ref" w:val="USC\26\1411(c)(1)(B)"/>
        </w:smartTagPr>
        <w:r>
          <w:t>§1411(c)(1)(B)</w:t>
        </w:r>
      </w:smartTag>
      <w:r>
        <w:t xml:space="preserve"> properly allocable deductions in excess of gross investment income that would allow the beneficiary to succeed to such excess, while the terminating estate or trust does not have deductions in excess of income regular tax purposes. For example, if an estate had Excluded Income in its final year (e.g., an IRA distribution), that caused it to not have deductions in excess of income under </w:t>
      </w:r>
      <w:smartTag w:uri="http://www.bna.com/sgml2word/cite" w:element="cite.usc">
        <w:smartTagPr>
          <w:attr w:name="ref" w:val="USC\26\642(h)(2)"/>
        </w:smartTagPr>
        <w:r>
          <w:lastRenderedPageBreak/>
          <w:t>§642(h)(2)</w:t>
        </w:r>
      </w:smartTag>
      <w:r>
        <w:t xml:space="preserve">, it could still have negative net investment income (deductions in excess of income). In this case, if there is more than one beneficiary succeeding to the property, the mechanics in the </w:t>
      </w:r>
      <w:smartTag w:uri="http://www.bna.com/sgml2word/cite" w:element="cite.usc">
        <w:smartTagPr>
          <w:attr w:name="ref" w:val="USC\26\642(h)"/>
        </w:smartTagPr>
        <w:r>
          <w:t>§642(h)</w:t>
        </w:r>
      </w:smartTag>
      <w:r>
        <w:t xml:space="preserve"> regulations would govern which beneficiaries are allocated the excess deductions.</w:t>
      </w:r>
      <w:r>
        <w:rPr>
          <w:rStyle w:val="FootnoteReference"/>
        </w:rPr>
        <w:footnoteReference w:id="700"/>
      </w:r>
    </w:p>
    <w:p w14:paraId="3111DDBF" w14:textId="77777777" w:rsidR="00494B49" w:rsidRDefault="00494B49">
      <w:pPr>
        <w:pStyle w:val="BHead4"/>
      </w:pPr>
      <w:r>
        <w:t>(2) Tax Years Beginning After 2017</w:t>
      </w:r>
    </w:p>
    <w:p w14:paraId="1574B4F7" w14:textId="77777777" w:rsidR="00494B49" w:rsidRDefault="00494B49">
      <w:pPr>
        <w:pStyle w:val="BNormal"/>
      </w:pPr>
      <w:r>
        <w:t xml:space="preserve">In October 2020, the IRS finalized new regulations under </w:t>
      </w:r>
      <w:smartTag w:uri="http://www.bna.com/sgml2word/cite" w:element="cite.usc">
        <w:smartTagPr>
          <w:attr w:name="ref" w:val="USC\26\642(h)"/>
        </w:smartTagPr>
        <w:r>
          <w:t>§642(h)</w:t>
        </w:r>
      </w:smartTag>
      <w:r>
        <w:t xml:space="preserve"> as a downstream consequence of the temporary suspension of miscellaneous itemized deductions for tax years beginning in 2018 through 2025.</w:t>
      </w:r>
      <w:r>
        <w:rPr>
          <w:rStyle w:val="FootnoteReference"/>
        </w:rPr>
        <w:footnoteReference w:id="701"/>
      </w:r>
      <w:r>
        <w:t xml:space="preserve"> Reg. </w:t>
      </w:r>
      <w:smartTag w:uri="http://www.bna.com/sgml2word/cite" w:element="cite.cfr">
        <w:smartTagPr>
          <w:attr w:name="ref" w:val="cfr\26\1.642(h)-2(b)(1)"/>
        </w:smartTagPr>
        <w:r>
          <w:t>§1.642(h)-2(b)(1)</w:t>
        </w:r>
      </w:smartTag>
      <w:r>
        <w:t xml:space="preserve"> provides that each deduction comprising the excess deductions under </w:t>
      </w:r>
      <w:smartTag w:uri="http://www.bna.com/sgml2word/cite" w:element="cite.usc">
        <w:smartTagPr>
          <w:attr w:name="ref" w:val="USC\26\642(h)(2)"/>
        </w:smartTagPr>
        <w:r>
          <w:t>§642(h)(2)</w:t>
        </w:r>
      </w:smartTag>
      <w:r>
        <w:t xml:space="preserve"> retains, in the hands of the beneficiary, its character (specifically, as allowable in arriving at adjusted gross income, as a nonmiscellaneous itemized deduction, or as a miscellaneous itemized deduction) while in the estate or trust. The character of these deductions does not change when succeeded to by a beneficiary on termination of the estate or trust. Furthermore, an item of deduction succeeded to by a beneficiary remains subject to any limitation applicable under the Code in the computation of the beneficiary's tax liability. Reg. </w:t>
      </w:r>
      <w:smartTag w:uri="http://www.bna.com/sgml2word/cite" w:element="cite.cfr">
        <w:smartTagPr>
          <w:attr w:name="ref" w:val="cfr\26\1.642(h)-2(b)(2)"/>
        </w:smartTagPr>
        <w:r>
          <w:t>§1.642(h)-2(b)(2)</w:t>
        </w:r>
      </w:smartTag>
      <w:r>
        <w:t xml:space="preserve"> provides that the provisions of Reg. </w:t>
      </w:r>
      <w:smartTag w:uri="http://www.bna.com/sgml2word/cite" w:element="cite.cfr">
        <w:smartTagPr>
          <w:attr w:name="ref" w:val="cfr\26\1.652(b)-3"/>
        </w:smartTagPr>
        <w:r>
          <w:t>§1.652(b)-3</w:t>
        </w:r>
      </w:smartTag>
      <w:r>
        <w:t xml:space="preserve"> are used to allocate each item of deduction among the classes of income in the year of termination for purposes of determining the character and amount of the excess deductions under </w:t>
      </w:r>
      <w:smartTag w:uri="http://www.bna.com/sgml2word/cite" w:element="cite.usc">
        <w:smartTagPr>
          <w:attr w:name="ref" w:val="USC\26\642(h)(2)"/>
        </w:smartTagPr>
        <w:r>
          <w:t>§642(h)(2)</w:t>
        </w:r>
      </w:smartTag>
      <w:r>
        <w:t xml:space="preserve">. Accordingly, the amount of each separate deduction remaining after application of Reg. </w:t>
      </w:r>
      <w:smartTag w:uri="http://www.bna.com/sgml2word/cite" w:element="cite.cfr">
        <w:smartTagPr>
          <w:attr w:name="ref" w:val="cfr\26\1.652(b)-3"/>
        </w:smartTagPr>
        <w:r>
          <w:t>§1.652(b)-3</w:t>
        </w:r>
      </w:smartTag>
      <w:r>
        <w:t xml:space="preserve"> is the excess deductions available to the beneficiaries succeeding to the property of the estate or trust as provided under </w:t>
      </w:r>
      <w:smartTag w:uri="http://www.bna.com/sgml2word/cite" w:element="cite.usc">
        <w:smartTagPr>
          <w:attr w:name="ref" w:val="USC\26\642(h)(2)"/>
        </w:smartTagPr>
        <w:r>
          <w:t>§642(h)(2)</w:t>
        </w:r>
      </w:smartTag>
      <w:r>
        <w:t xml:space="preserve">. In addition, as previously explained, an item of deduction succeeded to by a beneficiary remains subject to any additional applicable limitation under the Code. Reg. </w:t>
      </w:r>
      <w:smartTag w:uri="http://www.bna.com/sgml2word/cite" w:element="cite.cfr">
        <w:smartTagPr>
          <w:attr w:name="ref" w:val="cfr\26\1.642(h)-2(c)"/>
        </w:smartTagPr>
        <w:r>
          <w:t>§1.642(h)-2(c)</w:t>
        </w:r>
      </w:smartTag>
      <w:r>
        <w:t xml:space="preserve"> provides that excess deductions are allowable only in the tax year of the beneficiary in which or within which the estate or trust terminates. That is, excess deductions of a terminated estate or trust may not carry over to a subsequent year of the beneficiary.</w:t>
      </w:r>
    </w:p>
    <w:p w14:paraId="394F33A2" w14:textId="77777777" w:rsidR="00494B49" w:rsidRDefault="00494B49">
      <w:pPr>
        <w:pStyle w:val="BNormal"/>
      </w:pPr>
      <w:r>
        <w:t xml:space="preserve">The result of the 2020 regulations is that, for years beginning after December 31, 2017, what were formerly </w:t>
      </w:r>
      <w:smartTag w:uri="http://www.bna.com/sgml2word/cite" w:element="cite.usc">
        <w:smartTagPr>
          <w:attr w:name="ref" w:val="USC\26\642(h)"/>
        </w:smartTagPr>
        <w:r>
          <w:t>§642(h)</w:t>
        </w:r>
      </w:smartTag>
      <w:r>
        <w:t xml:space="preserve"> excess deductions that were 2% deductions, are now broken into two types of deductions. First, </w:t>
      </w:r>
      <w:smartTag w:uri="http://www.bna.com/sgml2word/cite" w:element="cite.usc">
        <w:smartTagPr>
          <w:attr w:name="ref" w:val="USC\26\642(h)"/>
        </w:smartTagPr>
        <w:r>
          <w:t>§642(h)</w:t>
        </w:r>
      </w:smartTag>
      <w:r>
        <w:t xml:space="preserve"> excess deductions that were not 2% itemized deductions to the estate or trust. These items are deductible in computing NII under Reg. </w:t>
      </w:r>
      <w:smartTag w:uri="http://www.bna.com/sgml2word/cite" w:element="cite.cfr">
        <w:smartTagPr>
          <w:attr w:name="ref" w:val="cfr\26\1.1411-4(g)(4)"/>
        </w:smartTagPr>
        <w:r>
          <w:t>§1.1411-4(g)(4)</w:t>
        </w:r>
      </w:smartTag>
      <w:r>
        <w:t xml:space="preserve"> without limitation. Second, </w:t>
      </w:r>
      <w:smartTag w:uri="http://www.bna.com/sgml2word/cite" w:element="cite.usc">
        <w:smartTagPr>
          <w:attr w:name="ref" w:val="USC\26\642(h)"/>
        </w:smartTagPr>
        <w:r>
          <w:t>§642(h)</w:t>
        </w:r>
      </w:smartTag>
      <w:r>
        <w:t xml:space="preserve"> excess deductions that were 2% itemized deductions to the estate or trust. For a termination of an estate or trust occurring while the temporary suspension of miscellaneous itemized deductions under </w:t>
      </w:r>
      <w:smartTag w:uri="http://www.bna.com/sgml2word/cite" w:element="cite.usc">
        <w:smartTagPr>
          <w:attr w:name="ref" w:val="USC\26\67(g)"/>
        </w:smartTagPr>
        <w:r>
          <w:t>§67(g)</w:t>
        </w:r>
      </w:smartTag>
      <w:r>
        <w:t xml:space="preserve"> are in place, these amounts are not allowed as deductions to the trust or estate, and thus are not NII deductions to the trust or estate, and therefore cannot be </w:t>
      </w:r>
      <w:smartTag w:uri="http://www.bna.com/sgml2word/cite" w:element="cite.usc">
        <w:smartTagPr>
          <w:attr w:name="ref" w:val="USC\26\642(h)"/>
        </w:smartTagPr>
        <w:r>
          <w:t>§642(h)</w:t>
        </w:r>
      </w:smartTag>
      <w:r>
        <w:t xml:space="preserve"> excess deductions covered by Reg. </w:t>
      </w:r>
      <w:smartTag w:uri="http://www.bna.com/sgml2word/cite" w:element="cite.cfr">
        <w:smartTagPr>
          <w:attr w:name="ref" w:val="cfr\26\1.1411-4(g)(4)"/>
        </w:smartTagPr>
        <w:r>
          <w:t>§1.1411-4(g)(4)</w:t>
        </w:r>
      </w:smartTag>
      <w:r>
        <w:t xml:space="preserve"> to a beneficiary.</w:t>
      </w:r>
    </w:p>
    <w:p w14:paraId="2E7CA7C4" w14:textId="77777777" w:rsidR="00494B49" w:rsidRDefault="00494B49">
      <w:pPr>
        <w:pStyle w:val="BHead1"/>
      </w:pPr>
      <w:r>
        <w:t>F. Suspended Deductions</w:t>
      </w:r>
    </w:p>
    <w:p w14:paraId="7F3CE2D7" w14:textId="77777777" w:rsidR="00494B49" w:rsidRDefault="00494B49">
      <w:pPr>
        <w:pStyle w:val="BNormal"/>
      </w:pPr>
      <w:r>
        <w:t xml:space="preserve">There are several deduction (or loss) suspension rules within the Code that determine a taxpayer’s regular income tax liability for any given year. The major loss deduction limitations </w:t>
      </w:r>
      <w:r>
        <w:lastRenderedPageBreak/>
        <w:t xml:space="preserve">include the basis limitation, the at-risk rules, and the passive loss rules. Generally, losses may be deducted in the current year (assuming that they are not otherwise limited or entirely disallowed by some other Code provision such as </w:t>
      </w:r>
      <w:smartTag w:uri="http://www.bna.com/sgml2word/cite" w:element="cite.usc">
        <w:smartTagPr>
          <w:attr w:name="ref" w:val="USC\26\163(j)"/>
        </w:smartTagPr>
        <w:r>
          <w:t>§163(j)</w:t>
        </w:r>
      </w:smartTag>
      <w:r>
        <w:t xml:space="preserve">, </w:t>
      </w:r>
      <w:smartTag w:uri="http://www.bna.com/sgml2word/cite" w:element="cite.usc">
        <w:smartTagPr>
          <w:attr w:name="ref" w:val="USC\26\265"/>
        </w:smartTagPr>
        <w:r>
          <w:t>§265</w:t>
        </w:r>
      </w:smartTag>
      <w:r>
        <w:t xml:space="preserve">, </w:t>
      </w:r>
      <w:smartTag w:uri="http://www.bna.com/sgml2word/cite" w:element="cite.usc">
        <w:smartTagPr>
          <w:attr w:name="ref" w:val="USC\26\274(n)"/>
        </w:smartTagPr>
        <w:r>
          <w:t>§274(n)</w:t>
        </w:r>
      </w:smartTag>
      <w:r>
        <w:t xml:space="preserve">, etc.) only if they are not disallowed due to a tax basis limitation, the </w:t>
      </w:r>
      <w:smartTag w:uri="http://www.bna.com/sgml2word/cite" w:element="cite.usc">
        <w:smartTagPr>
          <w:attr w:name="ref" w:val="USC\26\465"/>
        </w:smartTagPr>
        <w:r>
          <w:t>§465</w:t>
        </w:r>
      </w:smartTag>
      <w:r>
        <w:t xml:space="preserve"> at-risk limitation, or the </w:t>
      </w:r>
      <w:smartTag w:uri="http://www.bna.com/sgml2word/cite" w:element="cite.usc">
        <w:smartTagPr>
          <w:attr w:name="ref" w:val="USC\26\469"/>
        </w:smartTagPr>
        <w:r>
          <w:t>§469</w:t>
        </w:r>
      </w:smartTag>
      <w:r>
        <w:t xml:space="preserve"> passive activity loss limitation.</w:t>
      </w:r>
      <w:r>
        <w:rPr>
          <w:rStyle w:val="FootnoteReference"/>
        </w:rPr>
        <w:footnoteReference w:id="702"/>
      </w:r>
      <w:r>
        <w:t xml:space="preserve"> An analysis of these provisions is beyond the scope of this Portfolio. This section of the Portfolio addresses these loss suspension rules within the context of the annual calculation of net investment income.</w:t>
      </w:r>
    </w:p>
    <w:p w14:paraId="5DD74DBC" w14:textId="77777777" w:rsidR="00494B49" w:rsidRDefault="00494B49">
      <w:pPr>
        <w:pStyle w:val="BHead2"/>
      </w:pPr>
      <w:r>
        <w:t>1. Treatment of Suspended Losses Other Than Passive Losses</w:t>
      </w:r>
    </w:p>
    <w:p w14:paraId="27CE1A69" w14:textId="77777777" w:rsidR="00494B49" w:rsidRDefault="00494B49">
      <w:pPr>
        <w:pStyle w:val="BHead3"/>
      </w:pPr>
      <w:r>
        <w:t>a. Treatment of Losses Suspended Due to Tax Basis Limitation</w:t>
      </w:r>
    </w:p>
    <w:p w14:paraId="28D80450" w14:textId="77777777" w:rsidR="00494B49" w:rsidRDefault="00494B49">
      <w:pPr>
        <w:pStyle w:val="BNormal"/>
      </w:pPr>
      <w:r>
        <w:t xml:space="preserve">In general, </w:t>
      </w:r>
      <w:smartTag w:uri="http://www.bna.com/sgml2word/cite" w:element="cite.usc">
        <w:smartTagPr>
          <w:attr w:name="ref" w:val="USC\26\704(d)(1)"/>
        </w:smartTagPr>
        <w:r>
          <w:t>§704(d)(1)</w:t>
        </w:r>
      </w:smartTag>
      <w:r>
        <w:t xml:space="preserve"> provides that a partner may deduct its distributive share of partnership losses only to the extent of the partner’s adjusted basis in its partnership interest (before adjustment for losses) at the end of the partnership year in which the losses occurred. </w:t>
      </w:r>
      <w:smartTag w:uri="http://www.bna.com/sgml2word/cite" w:element="cite.usc">
        <w:smartTagPr>
          <w:attr w:name="ref" w:val="USC\26\704(d)(2)"/>
        </w:smartTagPr>
        <w:r>
          <w:t>Section 704(d)(2)</w:t>
        </w:r>
      </w:smartTag>
      <w:r>
        <w:t xml:space="preserve"> provides that disallowed losses are carried forward indefinitely until the partner has sufficient basis in its partnership interest to absorb the deduction.</w:t>
      </w:r>
      <w:r>
        <w:rPr>
          <w:rStyle w:val="FootnoteReference"/>
        </w:rPr>
        <w:footnoteReference w:id="703"/>
      </w:r>
      <w:r>
        <w:t xml:space="preserve"> A subsequent increase in a partner’s basis in the partnership enables the partner to deduct losses previously disallowed. Once the partner has sufficient basis to deduct the losses previously suspended, the losses allowed in the subsequent year retain the same character as the loss had in the year of suspension.</w:t>
      </w:r>
      <w:r>
        <w:rPr>
          <w:rStyle w:val="FootnoteReference"/>
        </w:rPr>
        <w:footnoteReference w:id="704"/>
      </w:r>
    </w:p>
    <w:p w14:paraId="022A468F" w14:textId="77777777" w:rsidR="00494B49" w:rsidRDefault="00494B49">
      <w:pPr>
        <w:pStyle w:val="BNormal"/>
      </w:pPr>
      <w:r>
        <w:t xml:space="preserve">In the S corporation context, </w:t>
      </w:r>
      <w:smartTag w:uri="http://www.bna.com/sgml2word/cite" w:element="cite.usc">
        <w:smartTagPr>
          <w:attr w:name="ref" w:val="USC\26\1366(d)"/>
        </w:smartTagPr>
        <w:r>
          <w:t>§1366(d)</w:t>
        </w:r>
      </w:smartTag>
      <w:r>
        <w:t xml:space="preserve"> provides a similar loss suspension rule.</w:t>
      </w:r>
      <w:r>
        <w:rPr>
          <w:rStyle w:val="FootnoteReference"/>
        </w:rPr>
        <w:footnoteReference w:id="705"/>
      </w:r>
      <w:r>
        <w:t xml:space="preserve"> Similarly, Reg. </w:t>
      </w:r>
      <w:smartTag w:uri="http://www.bna.com/sgml2word/cite" w:element="cite.cfr">
        <w:smartTagPr>
          <w:attr w:name="ref" w:val="cfr\26\1.1366-2(a)(2)"/>
        </w:smartTagPr>
        <w:r>
          <w:t>§1.1366-2(a)(2)</w:t>
        </w:r>
      </w:smartTag>
      <w:r>
        <w:t xml:space="preserve"> provides, in relevant part, that “any disallowed loss or deduction retains its character and is treated as incurred by the corporation in the corporation’s first succeeding tax year, and subsequent tax years, with respect to the shareholder.”</w:t>
      </w:r>
    </w:p>
    <w:p w14:paraId="2AE19918" w14:textId="77777777" w:rsidR="00494B49" w:rsidRDefault="00494B49">
      <w:pPr>
        <w:pStyle w:val="BNormal"/>
      </w:pPr>
      <w:r>
        <w:rPr>
          <w:i/>
        </w:rPr>
        <w:t>Comment:</w:t>
      </w:r>
      <w:r>
        <w:t xml:space="preserve"> The character retention rules in </w:t>
      </w:r>
      <w:smartTag w:uri="http://www.bna.com/sgml2word/cite" w:element="cite.usc">
        <w:smartTagPr>
          <w:attr w:name="ref" w:val="USC\26\704(d)"/>
        </w:smartTagPr>
        <w:r>
          <w:t>§704(d)</w:t>
        </w:r>
      </w:smartTag>
      <w:r>
        <w:t xml:space="preserve"> and </w:t>
      </w:r>
      <w:smartTag w:uri="http://www.bna.com/sgml2word/cite" w:element="cite.usc">
        <w:smartTagPr>
          <w:attr w:name="ref" w:val="USC\26\1366(d)"/>
        </w:smartTagPr>
        <w:r>
          <w:t>§1366(d)</w:t>
        </w:r>
      </w:smartTag>
      <w:r>
        <w:t xml:space="preserve"> are taken into account in determining the partner’s or shareholder’s regular income tax liability when the suspended losses are eventually allowed. In these cases, the suspended losses are taken into account in computing net investment income in the year the losses are allowed. </w:t>
      </w:r>
    </w:p>
    <w:p w14:paraId="2BBAE997" w14:textId="77777777" w:rsidR="00494B49" w:rsidRDefault="00494B49">
      <w:pPr>
        <w:pStyle w:val="BHead3"/>
      </w:pPr>
      <w:r>
        <w:t>b. Treatment of Losses Suspended Under the At-Risk Rules</w:t>
      </w:r>
    </w:p>
    <w:p w14:paraId="3CA0155B" w14:textId="77777777" w:rsidR="00494B49" w:rsidRDefault="00494B49">
      <w:pPr>
        <w:pStyle w:val="BNormal"/>
      </w:pPr>
      <w:r>
        <w:t xml:space="preserve">If the </w:t>
      </w:r>
      <w:smartTag w:uri="http://www.bna.com/sgml2word/cite" w:element="cite.usc">
        <w:smartTagPr>
          <w:attr w:name="ref" w:val="USC\26\465"/>
        </w:smartTagPr>
        <w:r>
          <w:t>§465</w:t>
        </w:r>
      </w:smartTag>
      <w:r>
        <w:t xml:space="preserve"> at-risk rules apply, a taxpayer may deduct a loss from an activity only to the extent of the aggregate amount with respect to which the taxpayer is considered at risk for the activity as of the close of the tax year.</w:t>
      </w:r>
      <w:r>
        <w:rPr>
          <w:rStyle w:val="FootnoteReference"/>
        </w:rPr>
        <w:footnoteReference w:id="706"/>
      </w:r>
      <w:r>
        <w:t xml:space="preserve"> For a detailed discussion of the at-risk rules, see </w:t>
      </w:r>
      <w:smartTag w:uri="http://www.bna.com/sgml2word/cite" w:element="cite.bna.reference">
        <w:smartTagPr>
          <w:attr w:name="bna.id.ref" w:val="TM\550"/>
        </w:smartTagPr>
        <w:r>
          <w:t>550 T.M.</w:t>
        </w:r>
      </w:smartTag>
      <w:r>
        <w:t xml:space="preserve">, </w:t>
      </w:r>
      <w:r>
        <w:rPr>
          <w:i/>
        </w:rPr>
        <w:t>At-Risk Rules</w:t>
      </w:r>
      <w:r>
        <w:t>.</w:t>
      </w:r>
    </w:p>
    <w:p w14:paraId="6460132E" w14:textId="77777777" w:rsidR="00494B49" w:rsidRDefault="00494B49">
      <w:pPr>
        <w:pStyle w:val="BNormal"/>
      </w:pPr>
      <w:r>
        <w:t xml:space="preserve">Although more complicated than the basis limitation rules under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the </w:t>
      </w:r>
      <w:smartTag w:uri="http://www.bna.com/sgml2word/cite" w:element="cite.usc">
        <w:smartTagPr>
          <w:attr w:name="ref" w:val="USC\26\465"/>
        </w:smartTagPr>
        <w:r>
          <w:t>§465</w:t>
        </w:r>
      </w:smartTag>
      <w:r>
        <w:t xml:space="preserve"> operational rules are very similar for purposes of their application to the net investment income tax (NIIT) system. For purposes of the at-risk rules, a loss is defined as the excess of allowable deductions (before application of </w:t>
      </w:r>
      <w:smartTag w:uri="http://www.bna.com/sgml2word/cite" w:element="cite.usc">
        <w:smartTagPr>
          <w:attr w:name="ref" w:val="USC\26\465"/>
        </w:smartTagPr>
        <w:r>
          <w:t>§465</w:t>
        </w:r>
      </w:smartTag>
      <w:r>
        <w:t xml:space="preserve">) allocable to an activity to which the at-risk rules apply </w:t>
      </w:r>
      <w:r>
        <w:lastRenderedPageBreak/>
        <w:t>over the income the taxpayer received or accrued from that activity during the tax year.</w:t>
      </w:r>
      <w:r>
        <w:rPr>
          <w:rStyle w:val="FootnoteReference"/>
        </w:rPr>
        <w:footnoteReference w:id="707"/>
      </w:r>
      <w:r>
        <w:t xml:space="preserve"> The at-risk rules do not disallow any deductions during a tax year, to the extent that those losses are covered by income from the activity during that year.</w:t>
      </w:r>
      <w:r>
        <w:rPr>
          <w:rStyle w:val="FootnoteReference"/>
        </w:rPr>
        <w:footnoteReference w:id="708"/>
      </w:r>
    </w:p>
    <w:p w14:paraId="54CCC4B8" w14:textId="77777777" w:rsidR="00494B49" w:rsidRDefault="00494B49">
      <w:pPr>
        <w:pStyle w:val="BNormal"/>
      </w:pPr>
      <w:r>
        <w:t>Taxpayers may carry over losses disallowed under the at-risk rules to succeeding tax years and may deduct those losses once the taxpayer has a sufficient amount at-risk.</w:t>
      </w:r>
      <w:r>
        <w:rPr>
          <w:rStyle w:val="FootnoteReference"/>
        </w:rPr>
        <w:footnoteReference w:id="709"/>
      </w:r>
      <w:r>
        <w:t xml:space="preserve"> Mechanically, a loss that is suspended under the at-risk rules in Year 1 generates a deduction in the immediately following tax year (Year 2) that is then retested for deductibility based on the amount at risk at the end of Year 2.</w:t>
      </w:r>
      <w:r>
        <w:rPr>
          <w:rStyle w:val="FootnoteReference"/>
        </w:rPr>
        <w:footnoteReference w:id="710"/>
      </w:r>
    </w:p>
    <w:p w14:paraId="4EA3AE18" w14:textId="77777777" w:rsidR="00494B49" w:rsidRDefault="00494B49">
      <w:pPr>
        <w:pStyle w:val="BNormal"/>
      </w:pPr>
      <w:r>
        <w:t xml:space="preserve">Prop. Reg. </w:t>
      </w:r>
      <w:smartTag w:uri="http://www.bna.com/sgml2word/cite" w:element="cite.cfr">
        <w:smartTagPr>
          <w:attr w:name="ref" w:val="prule\cfr\26\1.465-38(a)"/>
        </w:smartTagPr>
        <w:r>
          <w:t>§1.465-38(a)</w:t>
        </w:r>
      </w:smartTag>
      <w:r>
        <w:t xml:space="preserve"> provides that, to the extent that a portion of the year’s losses are suspended by </w:t>
      </w:r>
      <w:smartTag w:uri="http://www.bna.com/sgml2word/cite" w:element="cite.usc">
        <w:smartTagPr>
          <w:attr w:name="ref" w:val="USC\26\465"/>
        </w:smartTagPr>
        <w:r>
          <w:t>§465</w:t>
        </w:r>
      </w:smartTag>
      <w:r>
        <w:t xml:space="preserve">, the losses are allowed in the following order: (1) capital losses; (2) </w:t>
      </w:r>
      <w:smartTag w:uri="http://www.bna.com/sgml2word/cite" w:element="cite.usc">
        <w:smartTagPr>
          <w:attr w:name="ref" w:val="USC\26\1231"/>
        </w:smartTagPr>
        <w:r>
          <w:t>section 1231</w:t>
        </w:r>
      </w:smartTag>
      <w:r>
        <w:t xml:space="preserve"> losses; (3) all items of deduction to the extent they do not constitute items of tax preference under </w:t>
      </w:r>
      <w:smartTag w:uri="http://www.bna.com/sgml2word/cite" w:element="cite.usc">
        <w:smartTagPr>
          <w:attr w:name="ref" w:val="USC\26\57"/>
        </w:smartTagPr>
        <w:r>
          <w:t>§57</w:t>
        </w:r>
      </w:smartTag>
      <w:r>
        <w:t xml:space="preserve"> and are not described in (1) or (2); and finally (4) all items of tax preference under </w:t>
      </w:r>
      <w:smartTag w:uri="http://www.bna.com/sgml2word/cite" w:element="cite.usc">
        <w:smartTagPr>
          <w:attr w:name="ref" w:val="USC\26\57"/>
        </w:smartTagPr>
        <w:r>
          <w:t>§57</w:t>
        </w:r>
      </w:smartTag>
      <w:r>
        <w:t xml:space="preserve"> not described Prop. Reg. </w:t>
      </w:r>
      <w:smartTag w:uri="http://www.bna.com/sgml2word/cite" w:element="cite.cfr">
        <w:smartTagPr>
          <w:attr w:name="ref" w:val="prule\cfr\26\1.465-38(a)(1)"/>
        </w:smartTagPr>
        <w:r>
          <w:t>§1.465-38(a)(1)</w:t>
        </w:r>
      </w:smartTag>
      <w:r>
        <w:t xml:space="preserve"> or (2) shall be allowed. </w:t>
      </w:r>
      <w:r>
        <w:rPr>
          <w:rStyle w:val="FootnoteReference"/>
        </w:rPr>
        <w:footnoteReference w:id="711"/>
      </w:r>
      <w:r>
        <w:t xml:space="preserve"> For example, if a taxpayer has $10,000 of capital losses and $5,000 of </w:t>
      </w:r>
      <w:smartTag w:uri="http://www.bna.com/sgml2word/cite" w:element="cite.usc">
        <w:smartTagPr>
          <w:attr w:name="ref" w:val="USC\26\1231"/>
        </w:smartTagPr>
        <w:r>
          <w:t>§1231</w:t>
        </w:r>
      </w:smartTag>
      <w:r>
        <w:t xml:space="preserve"> losses and only $9,000 at risk, Prop. Reg. 1.465-38(a) will allow $9,000 of capital losses and suspend $1,000 of capital losses and the entire $5,000 </w:t>
      </w:r>
      <w:smartTag w:uri="http://www.bna.com/sgml2word/cite" w:element="cite.usc">
        <w:smartTagPr>
          <w:attr w:name="ref" w:val="USC\26\1231"/>
        </w:smartTagPr>
        <w:r>
          <w:t>§1231</w:t>
        </w:r>
      </w:smartTag>
      <w:r>
        <w:t xml:space="preserve"> loss.</w:t>
      </w:r>
    </w:p>
    <w:p w14:paraId="785AB418" w14:textId="77777777" w:rsidR="00494B49" w:rsidRDefault="00494B49">
      <w:pPr>
        <w:pStyle w:val="BNormal"/>
      </w:pPr>
      <w:r>
        <w:t xml:space="preserve">Prop. Reg. </w:t>
      </w:r>
      <w:smartTag w:uri="http://www.bna.com/sgml2word/cite" w:element="cite.cfr">
        <w:smartTagPr>
          <w:attr w:name="ref" w:val="prule\cfr\26\1.465-38(b)"/>
        </w:smartTagPr>
        <w:r>
          <w:t>§1.465-38(b)</w:t>
        </w:r>
      </w:smartTag>
      <w:r>
        <w:t xml:space="preserve"> provides that when the suspended losses are allowed in a subsequent year, they are released in the same order. Following the example from the previous paragraph, if the taxpayer has net income in a subsequent year of $2,500, Prop. Reg. </w:t>
      </w:r>
      <w:smartTag w:uri="http://www.bna.com/sgml2word/cite" w:element="cite.cfr">
        <w:smartTagPr>
          <w:attr w:name="ref" w:val="prule\cfr\26\1.465-38(b)"/>
        </w:smartTagPr>
        <w:r>
          <w:t>§1.465-38(b)</w:t>
        </w:r>
      </w:smartTag>
      <w:r>
        <w:t xml:space="preserve"> will allow $1,000 of suspended capital losses and $1,500 of suspended </w:t>
      </w:r>
      <w:smartTag w:uri="http://www.bna.com/sgml2word/cite" w:element="cite.usc">
        <w:smartTagPr>
          <w:attr w:name="ref" w:val="USC\26\1231"/>
        </w:smartTagPr>
        <w:r>
          <w:t>§1231</w:t>
        </w:r>
      </w:smartTag>
      <w:r>
        <w:t xml:space="preserve"> losses. The remaining $3500 of </w:t>
      </w:r>
      <w:smartTag w:uri="http://www.bna.com/sgml2word/cite" w:element="cite.usc">
        <w:smartTagPr>
          <w:attr w:name="ref" w:val="USC\26\1231"/>
        </w:smartTagPr>
        <w:r>
          <w:t>§1231</w:t>
        </w:r>
      </w:smartTag>
      <w:r>
        <w:t xml:space="preserve"> losses will remain suspended.</w:t>
      </w:r>
    </w:p>
    <w:p w14:paraId="4ABBF3B4" w14:textId="77777777" w:rsidR="00494B49" w:rsidRDefault="00494B49">
      <w:pPr>
        <w:pStyle w:val="BNormal"/>
      </w:pPr>
      <w:r>
        <w:t xml:space="preserve">Oddly, Prop. Reg. </w:t>
      </w:r>
      <w:smartTag w:uri="http://www.bna.com/sgml2word/cite" w:element="cite.cfr">
        <w:smartTagPr>
          <w:attr w:name="ref" w:val="prule\cfr\26\1.465-38"/>
        </w:smartTagPr>
        <w:r>
          <w:t>§1.465-38</w:t>
        </w:r>
      </w:smartTag>
      <w:r>
        <w:t xml:space="preserve"> may no longer be viable.</w:t>
      </w:r>
      <w:r>
        <w:rPr>
          <w:rStyle w:val="FootnoteReference"/>
        </w:rPr>
        <w:footnoteReference w:id="712"/>
      </w:r>
      <w:r>
        <w:t xml:space="preserve"> The 1988 preamble to the temporary </w:t>
      </w:r>
      <w:smartTag w:uri="http://www.bna.com/sgml2word/cite" w:element="cite.usc">
        <w:smartTagPr>
          <w:attr w:name="ref" w:val="USC\26\469"/>
        </w:smartTagPr>
        <w:r>
          <w:t>§469</w:t>
        </w:r>
      </w:smartTag>
      <w:r>
        <w:t xml:space="preserve"> regulations (that are still in effect) make the following statement “Under </w:t>
      </w:r>
      <w:smartTag w:uri="http://www.bna.com/sgml2word/cite" w:element="cite.cfr">
        <w:smartTagPr>
          <w:attr w:name="ref" w:val="cfr\26\1.469-2T(d)(6)"/>
        </w:smartTagPr>
        <w:r>
          <w:t>§1.469-2T(d)(6)</w:t>
        </w:r>
      </w:smartTag>
      <w:r>
        <w:t xml:space="preserve">, if </w:t>
      </w:r>
      <w:smartTag w:uri="http://www.bna.com/sgml2word/cite" w:element="cite.usc">
        <w:smartTagPr>
          <w:attr w:name="ref" w:val="USC\26\465"/>
        </w:smartTagPr>
        <w:r>
          <w:t>section 465</w:t>
        </w:r>
      </w:smartTag>
      <w:r>
        <w:t xml:space="preserve">,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disallows all or any part of the taxpayer’s loss attributable to an activity (within the meaning of </w:t>
      </w:r>
      <w:smartTag w:uri="http://www.bna.com/sgml2word/cite" w:element="cite.usc">
        <w:smartTagPr>
          <w:attr w:name="ref" w:val="USC\26\465"/>
        </w:smartTagPr>
        <w:r>
          <w:t>section 465</w:t>
        </w:r>
      </w:smartTag>
      <w:r>
        <w:t xml:space="preserve">), or to an interest in a partnership or S corporation, as the case may be, a portion of each deduction taken into account in computing such loss is disallowed. To the extent the regulations under those provisions are not consistent with the rules in </w:t>
      </w:r>
      <w:smartTag w:uri="http://www.bna.com/sgml2word/cite" w:element="cite.cfr">
        <w:smartTagPr>
          <w:attr w:name="ref" w:val="cfr\26\1.469-2T(d)(6)"/>
        </w:smartTagPr>
        <w:r>
          <w:t>§1.469-2T(d)(6)</w:t>
        </w:r>
      </w:smartTag>
      <w:r>
        <w:t xml:space="preserve">, the [IRS] expects that such regulations will be </w:t>
      </w:r>
      <w:r>
        <w:rPr>
          <w:i/>
        </w:rPr>
        <w:t>amended</w:t>
      </w:r>
      <w:r>
        <w:t>.”</w:t>
      </w:r>
      <w:r>
        <w:rPr>
          <w:rStyle w:val="FootnoteReference"/>
        </w:rPr>
        <w:footnoteReference w:id="713"/>
      </w:r>
      <w:r>
        <w:t xml:space="preserve"> Whether the Prop. Reg. </w:t>
      </w:r>
      <w:smartTag w:uri="http://www.bna.com/sgml2word/cite" w:element="cite.cfr">
        <w:smartTagPr>
          <w:attr w:name="ref" w:val="prule\cfr\26\1.465-38"/>
        </w:smartTagPr>
        <w:r>
          <w:t>§1.465-38</w:t>
        </w:r>
      </w:smartTag>
      <w:r>
        <w:t xml:space="preserve"> rule or the Reg. </w:t>
      </w:r>
      <w:smartTag w:uri="http://www.bna.com/sgml2word/cite" w:element="cite.cfr">
        <w:smartTagPr>
          <w:attr w:name="ref" w:val="cfr\26\1.469-2T(d)(6)"/>
        </w:smartTagPr>
        <w:r>
          <w:t>§1.469-2T(d)(6)</w:t>
        </w:r>
      </w:smartTag>
      <w:r>
        <w:t xml:space="preserve"> rule applies to </w:t>
      </w:r>
      <w:smartTag w:uri="http://www.bna.com/sgml2word/cite" w:element="cite.usc">
        <w:smartTagPr>
          <w:attr w:name="ref" w:val="USC\26\465"/>
        </w:smartTagPr>
        <w:r>
          <w:t>§465</w:t>
        </w:r>
      </w:smartTag>
      <w:r>
        <w:t xml:space="preserve"> suspended losses is of little concern for </w:t>
      </w:r>
      <w:smartTag w:uri="http://www.bna.com/sgml2word/cite" w:element="cite.usc">
        <w:smartTagPr>
          <w:attr w:name="ref" w:val="USC\26\1411"/>
        </w:smartTagPr>
        <w:r>
          <w:t>§1411</w:t>
        </w:r>
      </w:smartTag>
      <w:r>
        <w:t xml:space="preserve"> purposes because whatever deduction(s) is/are ultimately allowed for regular tax purposes, these are the deductions that will be taken into account in computing net </w:t>
      </w:r>
      <w:r>
        <w:lastRenderedPageBreak/>
        <w:t xml:space="preserve">investment income under Reg. </w:t>
      </w:r>
      <w:smartTag w:uri="http://www.bna.com/sgml2word/cite" w:element="cite.cfr">
        <w:smartTagPr>
          <w:attr w:name="ref" w:val="cfr\26\1.1411-4(d)"/>
        </w:smartTagPr>
        <w:r>
          <w:t>§1.1411-4(d)</w:t>
        </w:r>
      </w:smartTag>
      <w:r>
        <w:t xml:space="preserve">, </w:t>
      </w:r>
      <w:smartTag w:uri="http://www.bna.com/sgml2word/cite" w:element="cite.cfr">
        <w:smartTagPr>
          <w:attr w:name="ref" w:val="cfr\26\1.1411-4(f)"/>
        </w:smartTagPr>
        <w:r>
          <w:t>§1.1411-4(f)</w:t>
        </w:r>
      </w:smartTag>
      <w:r>
        <w:t xml:space="preserve">, or </w:t>
      </w:r>
      <w:smartTag w:uri="http://www.bna.com/sgml2word/cite" w:element="cite.cfr">
        <w:smartTagPr>
          <w:attr w:name="ref" w:val="cfr\26\1.1411-4(g)"/>
        </w:smartTagPr>
        <w:r>
          <w:t>§1.1411-4(g)</w:t>
        </w:r>
      </w:smartTag>
      <w:r>
        <w:t xml:space="preserve"> as long as the deductions meet the criteria to be properly allocable deductions in that year. </w:t>
      </w:r>
    </w:p>
    <w:p w14:paraId="27812B51" w14:textId="77777777" w:rsidR="00494B49" w:rsidRDefault="00494B49">
      <w:pPr>
        <w:pStyle w:val="BHead3"/>
      </w:pPr>
      <w:r>
        <w:t xml:space="preserve">c. Other Types of Suspended Losses </w:t>
      </w:r>
    </w:p>
    <w:p w14:paraId="21677D9F" w14:textId="77777777" w:rsidR="00494B49" w:rsidRDefault="00494B49">
      <w:pPr>
        <w:pStyle w:val="BNormal"/>
      </w:pPr>
      <w:r>
        <w:t xml:space="preserve">Outside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there are various loss or deduction suspension provisions scattered throughout the Code. Although this Portfolio will not address each one, the cornerstone operating principle contained in Reg. </w:t>
      </w:r>
      <w:smartTag w:uri="http://www.bna.com/sgml2word/cite" w:element="cite.cfr">
        <w:smartTagPr>
          <w:attr w:name="ref" w:val="cfr\26\1.1411-1(a)"/>
        </w:smartTagPr>
        <w:r>
          <w:t>§1.1411-1(a)</w:t>
        </w:r>
      </w:smartTag>
      <w:r>
        <w:t xml:space="preserve"> imports those loss suspension provisions into the NIIT system. In most cases, these loss deferral regimes will precede the loss limitation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and therefore are already taken into account in determining which deductions are allowed by Subtitle A during a particular year.</w:t>
      </w:r>
    </w:p>
    <w:p w14:paraId="1A4B0346" w14:textId="77777777" w:rsidR="00494B49" w:rsidRDefault="00494B49">
      <w:pPr>
        <w:pStyle w:val="BNormal"/>
      </w:pPr>
      <w:r>
        <w:t xml:space="preserve">For illustration purposes, consider deductions allowed by </w:t>
      </w:r>
      <w:smartTag w:uri="http://www.bna.com/sgml2word/cite" w:element="cite.usc">
        <w:smartTagPr>
          <w:attr w:name="ref" w:val="USC\26\175"/>
        </w:smartTagPr>
        <w:r>
          <w:t>§175</w:t>
        </w:r>
      </w:smartTag>
      <w:r>
        <w:t xml:space="preserve">. </w:t>
      </w:r>
      <w:smartTag w:uri="http://www.bna.com/sgml2word/cite" w:element="cite.usc">
        <w:smartTagPr>
          <w:attr w:name="ref" w:val="USC\26\175(a)"/>
        </w:smartTagPr>
        <w:r>
          <w:t>Section 175(a)</w:t>
        </w:r>
      </w:smartTag>
      <w:r>
        <w:t xml:space="preserve"> provides that a taxpayer engaged in the business of farming may treat expenditures that he pays or incurs during the tax year for the purpose of soil or water conservation in respect of land used in farming, or for the prevention of erosion of land used in farming, or for endangered species recovery, as expenses that are not chargeable to capital account. The expenditures may be deducted. However, </w:t>
      </w:r>
      <w:smartTag w:uri="http://www.bna.com/sgml2word/cite" w:element="cite.usc">
        <w:smartTagPr>
          <w:attr w:name="ref" w:val="USC\26\175(b)"/>
        </w:smartTagPr>
        <w:r>
          <w:t>§175(b)</w:t>
        </w:r>
      </w:smartTag>
      <w:r>
        <w:t xml:space="preserve"> provides that the amount deductible under </w:t>
      </w:r>
      <w:smartTag w:uri="http://www.bna.com/sgml2word/cite" w:element="cite.usc">
        <w:smartTagPr>
          <w:attr w:name="ref" w:val="USC\26\175(a)"/>
        </w:smartTagPr>
        <w:r>
          <w:t>§175(a)</w:t>
        </w:r>
      </w:smartTag>
      <w:r>
        <w:t xml:space="preserve"> for any tax year cannot exceed 25% of the gross income derived from farming during the tax year. </w:t>
      </w:r>
      <w:smartTag w:uri="http://www.bna.com/sgml2word/cite" w:element="cite.usc">
        <w:smartTagPr>
          <w:attr w:name="ref" w:val="USC\26\175(b)"/>
        </w:smartTagPr>
        <w:r>
          <w:t>Section 175(b)</w:t>
        </w:r>
      </w:smartTag>
      <w:r>
        <w:t xml:space="preserve"> goes on to provide that any disallowed excess is deductible for succeeding tax years taking into account the same 25% gross income limitation. </w:t>
      </w:r>
    </w:p>
    <w:p w14:paraId="4AC944FC" w14:textId="77777777" w:rsidR="00494B49" w:rsidRDefault="00494B49">
      <w:pPr>
        <w:pStyle w:val="BNormal"/>
      </w:pPr>
      <w:r>
        <w:t xml:space="preserve">In this case, any deduction that is allowed by reason of </w:t>
      </w:r>
      <w:smartTag w:uri="http://www.bna.com/sgml2word/cite" w:element="cite.usc">
        <w:smartTagPr>
          <w:attr w:name="ref" w:val="USC\26\175(a)"/>
        </w:smartTagPr>
        <w:r>
          <w:t>§175(a)</w:t>
        </w:r>
      </w:smartTag>
      <w:r>
        <w:t xml:space="preserve">, that is less than the 25% gross income limit imposed by </w:t>
      </w:r>
      <w:smartTag w:uri="http://www.bna.com/sgml2word/cite" w:element="cite.usc">
        <w:smartTagPr>
          <w:attr w:name="ref" w:val="USC\26\175(b)"/>
        </w:smartTagPr>
        <w:r>
          <w:t>§175(b)</w:t>
        </w:r>
      </w:smartTag>
      <w:r>
        <w:t xml:space="preserve"> will be taken into account in considering the deduction and loss disallowance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extent that soil or water conservation expenditures are allowed as a deduction in the current year, after considering the loss limitation provisions, the amounts will be allowed as deductions under Reg. </w:t>
      </w:r>
      <w:smartTag w:uri="http://www.bna.com/sgml2word/cite" w:element="cite.cfr">
        <w:smartTagPr>
          <w:attr w:name="ref" w:val="cfr\26\1.1411-4(f)(2)(ii)"/>
        </w:smartTagPr>
        <w:r>
          <w:t>§1.1411-4(f)(2)(ii)</w:t>
        </w:r>
      </w:smartTag>
      <w:r>
        <w:t xml:space="preserve"> if they related to a passive activity of the taxpayer. But to the extent these conservation expenditures exceed 25% of farming income, </w:t>
      </w:r>
      <w:smartTag w:uri="http://www.bna.com/sgml2word/cite" w:element="cite.usc">
        <w:smartTagPr>
          <w:attr w:name="ref" w:val="USC\26\175(b)"/>
        </w:smartTagPr>
        <w:r>
          <w:t>§175(b)</w:t>
        </w:r>
      </w:smartTag>
      <w:r>
        <w:t xml:space="preserve"> causes the excess to carryover. The amount carried over to the succeeding year would not be taken into account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or under </w:t>
      </w:r>
      <w:smartTag w:uri="http://www.bna.com/sgml2word/cite" w:element="cite.usc">
        <w:smartTagPr>
          <w:attr w:name="ref" w:val="USC\26\1411(c)(1)(B)"/>
        </w:smartTagPr>
        <w:r>
          <w:t>§1411(c)(1)(B)</w:t>
        </w:r>
      </w:smartTag>
      <w:r>
        <w:t xml:space="preserve"> because the amount disallowed is not a deduction allowed by Subtitle A in the current year. However, due to the mechanics of </w:t>
      </w:r>
      <w:smartTag w:uri="http://www.bna.com/sgml2word/cite" w:element="cite.usc">
        <w:smartTagPr>
          <w:attr w:name="ref" w:val="USC\26\175(b)"/>
        </w:smartTagPr>
        <w:r>
          <w:t>§175(b)</w:t>
        </w:r>
      </w:smartTag>
      <w:r>
        <w:t xml:space="preserve">, the disallowed conservation expenditures are treated as reoccurring in the following year. In that subsequent year, assuming the deduction is allowed by Subtitle A after the application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deduction will be taken into account for NIIT purposes.</w:t>
      </w:r>
    </w:p>
    <w:p w14:paraId="26684600" w14:textId="77777777" w:rsidR="00494B49" w:rsidRDefault="00494B49">
      <w:pPr>
        <w:pStyle w:val="BHead2"/>
      </w:pPr>
      <w:r>
        <w:t>2. Treatment of Suspended Passive Losses</w:t>
      </w:r>
    </w:p>
    <w:p w14:paraId="0952284C" w14:textId="77777777" w:rsidR="00494B49" w:rsidRDefault="00494B49">
      <w:pPr>
        <w:pStyle w:val="BHead3"/>
      </w:pPr>
      <w:r>
        <w:t>a. In General</w:t>
      </w:r>
    </w:p>
    <w:p w14:paraId="2FE0AB3A" w14:textId="77777777" w:rsidR="00494B49" w:rsidRDefault="00494B49">
      <w:pPr>
        <w:pStyle w:val="BNormal"/>
      </w:pPr>
      <w:r>
        <w:t xml:space="preserve">Losses disallowed under </w:t>
      </w:r>
      <w:smartTag w:uri="http://www.bna.com/sgml2word/cite" w:element="cite.usc">
        <w:smartTagPr>
          <w:attr w:name="ref" w:val="USC\26\469"/>
        </w:smartTagPr>
        <w:r>
          <w:t>§469</w:t>
        </w:r>
      </w:smartTag>
      <w:r>
        <w:t xml:space="preserve"> stem from: (1) expenses incurred in the passive activity or (2) a sale of a portion of the passive activity or property used in the activity, in excess of passive income from any source. Reg. </w:t>
      </w:r>
      <w:smartTag w:uri="http://www.bna.com/sgml2word/cite" w:element="cite.cfr">
        <w:smartTagPr>
          <w:attr w:name="ref" w:val="cfr\26\1.469-1T(d)(3)"/>
        </w:smartTagPr>
        <w:r>
          <w:t>§1.469-1T(d)(3)</w:t>
        </w:r>
      </w:smartTag>
      <w:r>
        <w:t xml:space="preserve"> provides that a deduction that is disallowed for a tax year under </w:t>
      </w:r>
      <w:smartTag w:uri="http://www.bna.com/sgml2word/cite" w:element="cite.usc">
        <w:smartTagPr>
          <w:attr w:name="ref" w:val="USC\26\469"/>
        </w:smartTagPr>
        <w:r>
          <w:t>§469</w:t>
        </w:r>
      </w:smartTag>
      <w:r>
        <w:t xml:space="preserve"> and the regulations thereunder is not taken into account as a deduction that is allowed for the tax year in computing the amount subject to any tax imposed by Subtitle A of the Code (which includes Chapter 2A and </w:t>
      </w:r>
      <w:smartTag w:uri="http://www.bna.com/sgml2word/cite" w:element="cite.usc">
        <w:smartTagPr>
          <w:attr w:name="ref" w:val="USC\26\1411"/>
        </w:smartTagPr>
        <w:r>
          <w:t>§1411</w:t>
        </w:r>
      </w:smartTag>
      <w:r>
        <w:t>).</w:t>
      </w:r>
    </w:p>
    <w:p w14:paraId="59158BB6" w14:textId="77777777" w:rsidR="00494B49" w:rsidRDefault="00494B49">
      <w:pPr>
        <w:pStyle w:val="BNormal"/>
      </w:pPr>
      <w:r>
        <w:t xml:space="preserve">Additionally, Reg. </w:t>
      </w:r>
      <w:smartTag w:uri="http://www.bna.com/sgml2word/cite" w:element="cite.cfr">
        <w:smartTagPr>
          <w:attr w:name="ref" w:val="cfr\26\1.469-1T(f)(2)(i)"/>
        </w:smartTagPr>
        <w:r>
          <w:t>§1.469-1T(f)(2)(i)</w:t>
        </w:r>
      </w:smartTag>
      <w:r>
        <w:t xml:space="preserve"> and </w:t>
      </w:r>
      <w:smartTag w:uri="http://www.bna.com/sgml2word/cite" w:element="cite.cfr">
        <w:smartTagPr>
          <w:attr w:name="ref" w:val="cfr\26\1.469-1T(f)(2)(ii)"/>
        </w:smartTagPr>
        <w:r>
          <w:t>§1.469-1T(f)(2)(ii)</w:t>
        </w:r>
      </w:smartTag>
      <w:r>
        <w:t xml:space="preserve"> require taxpayers to trace disallowed losses back to the activities giving rise to the losses and to further trace the losses </w:t>
      </w:r>
      <w:r>
        <w:lastRenderedPageBreak/>
        <w:t xml:space="preserve">allocated to a particular activity back to the deductions from the activity giving rise to the net loss. When a taxpayer disposes of a partial interest in a passive activity or disposes of assets used within a passive activity, any losses realized from the disposition are treated as arising from the passive activity and are allocated to that activity. Generally, </w:t>
      </w:r>
      <w:smartTag w:uri="http://www.bna.com/sgml2word/cite" w:element="cite.usc">
        <w:smartTagPr>
          <w:attr w:name="ref" w:val="USC\26\469(b)"/>
        </w:smartTagPr>
        <w:r>
          <w:t>§469(b)</w:t>
        </w:r>
      </w:smartTag>
      <w:r>
        <w:t xml:space="preserve">, </w:t>
      </w:r>
      <w:smartTag w:uri="http://www.bna.com/sgml2word/cite" w:element="cite.usc">
        <w:smartTagPr>
          <w:attr w:name="ref" w:val="USC\26\469(g)"/>
        </w:smartTagPr>
        <w:r>
          <w:t>§469(g)</w:t>
        </w:r>
      </w:smartTag>
      <w:r>
        <w:t xml:space="preserve">, and Reg. </w:t>
      </w:r>
      <w:smartTag w:uri="http://www.bna.com/sgml2word/cite" w:element="cite.cfr">
        <w:smartTagPr>
          <w:attr w:name="ref" w:val="cfr\26\1.469-1(f)(4)"/>
        </w:smartTagPr>
        <w:r>
          <w:t>§1.469-1(f)(4)</w:t>
        </w:r>
      </w:smartTag>
      <w:r>
        <w:t xml:space="preserve"> provide that passive losses that are disallowed in the current year carry forward to the succeeding tax year and remain suspended until the taxpayer has sufficient passive income to offset those losses or otherwise disposes of the entire activity in a fully taxable transaction with an unrelated party. For a detailed discussion of the passive loss rules, see </w:t>
      </w:r>
      <w:smartTag w:uri="http://www.bna.com/sgml2word/cite" w:element="cite.bna.reference">
        <w:smartTagPr>
          <w:attr w:name="bna.id.ref" w:val="TM\549"/>
        </w:smartTagPr>
        <w:r>
          <w:t>549</w:t>
        </w:r>
      </w:smartTag>
      <w:r>
        <w:t xml:space="preserve"> T.M., </w:t>
      </w:r>
      <w:r>
        <w:rPr>
          <w:i/>
        </w:rPr>
        <w:t xml:space="preserve">Passive Loss Rules. </w:t>
      </w:r>
    </w:p>
    <w:p w14:paraId="2A9DB570" w14:textId="77777777" w:rsidR="00494B49" w:rsidRDefault="00494B49">
      <w:pPr>
        <w:pStyle w:val="BNormal"/>
      </w:pPr>
      <w:r>
        <w:t xml:space="preserve">In cases in which a taxpayer materially participates in an activity that was formerly a passive activity, the deductions produced by the activity in the current year are not subject to </w:t>
      </w:r>
      <w:smartTag w:uri="http://www.bna.com/sgml2word/cite" w:element="cite.usc">
        <w:smartTagPr>
          <w:attr w:name="ref" w:val="USC\26\469"/>
        </w:smartTagPr>
        <w:r>
          <w:t>§469</w:t>
        </w:r>
      </w:smartTag>
      <w:r>
        <w:t xml:space="preserve">. However, the carryover (or “suspended”) passive losses incurred in prior years, when the activity was a passive activity, remain disallowed passive losses subject to carryover. </w:t>
      </w:r>
    </w:p>
    <w:p w14:paraId="7F4647E0" w14:textId="77777777" w:rsidR="00494B49" w:rsidRDefault="00494B49">
      <w:pPr>
        <w:pStyle w:val="BNormal"/>
      </w:pPr>
      <w:smartTag w:uri="http://www.bna.com/sgml2word/cite" w:element="cite.usc">
        <w:smartTagPr>
          <w:attr w:name="ref" w:val="USC\26\469"/>
        </w:smartTagPr>
        <w:r>
          <w:t>Section 469</w:t>
        </w:r>
      </w:smartTag>
      <w:r>
        <w:t xml:space="preserve"> does not alter the character or nature of the items that make up the suspended passive loss. If the suspended losses are attributable to operating deductions in excess of operating income, the suspended losses retain that character as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when ultimately allowed by </w:t>
      </w:r>
      <w:smartTag w:uri="http://www.bna.com/sgml2word/cite" w:element="cite.usc">
        <w:smartTagPr>
          <w:attr w:name="ref" w:val="USC\26\469"/>
        </w:smartTagPr>
        <w:r>
          <w:t>§469</w:t>
        </w:r>
      </w:smartTag>
      <w:r>
        <w:t>.</w:t>
      </w:r>
      <w:r>
        <w:rPr>
          <w:rStyle w:val="FootnoteReference"/>
        </w:rPr>
        <w:footnoteReference w:id="714"/>
      </w:r>
      <w:r>
        <w:t xml:space="preserve">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as </w:t>
      </w:r>
      <w:smartTag w:uri="http://www.bna.com/sgml2word/cite" w:element="cite.usc">
        <w:smartTagPr>
          <w:attr w:name="ref" w:val="USC\26\165"/>
        </w:smartTagPr>
        <w:r>
          <w:t>§165</w:t>
        </w:r>
      </w:smartTag>
      <w:r>
        <w:t xml:space="preserve"> losses when they are ultimately allowed by </w:t>
      </w:r>
      <w:smartTag w:uri="http://www.bna.com/sgml2word/cite" w:element="cite.usc">
        <w:smartTagPr>
          <w:attr w:name="ref" w:val="USC\26\469"/>
        </w:smartTagPr>
        <w:r>
          <w:t>§469</w:t>
        </w:r>
      </w:smartTag>
      <w:r>
        <w:t>.</w:t>
      </w:r>
    </w:p>
    <w:p w14:paraId="46405370" w14:textId="77777777" w:rsidR="00494B49" w:rsidRDefault="00494B49">
      <w:pPr>
        <w:pStyle w:val="BHead3"/>
      </w:pPr>
      <w:r>
        <w:t xml:space="preserve">b. General Treatment of Suspended Passive Losses for NIIT Purposes </w:t>
      </w:r>
    </w:p>
    <w:p w14:paraId="2CCDBB4B" w14:textId="77777777" w:rsidR="00494B49" w:rsidRDefault="00494B49">
      <w:pPr>
        <w:pStyle w:val="BHead4"/>
      </w:pPr>
      <w:r>
        <w:t>(1) Year of Suspension</w:t>
      </w:r>
    </w:p>
    <w:p w14:paraId="6B96EA49" w14:textId="77777777" w:rsidR="00494B49" w:rsidRDefault="00494B49">
      <w:pPr>
        <w:pStyle w:val="BNormal"/>
      </w:pPr>
      <w:r>
        <w:t xml:space="preserve">Because Reg. </w:t>
      </w:r>
      <w:smartTag w:uri="http://www.bna.com/sgml2word/cite" w:element="cite.cfr">
        <w:smartTagPr>
          <w:attr w:name="ref" w:val="cfr\26\1.469-1T(d)(3)"/>
        </w:smartTagPr>
        <w:r>
          <w:t>§1.469-1T(d)(3)</w:t>
        </w:r>
      </w:smartTag>
      <w:r>
        <w:t xml:space="preserve"> provides that a deduction (whether it be, for example, an operating deduction, a capital loss, or a </w:t>
      </w:r>
      <w:smartTag w:uri="http://www.bna.com/sgml2word/cite" w:element="cite.usc">
        <w:smartTagPr>
          <w:attr w:name="ref" w:val="USC\26\1231"/>
        </w:smartTagPr>
        <w:r>
          <w:t>§1231</w:t>
        </w:r>
      </w:smartTag>
      <w:r>
        <w:t xml:space="preserve"> ordinary loss) that is disallowed for a tax year under </w:t>
      </w:r>
      <w:smartTag w:uri="http://www.bna.com/sgml2word/cite" w:element="cite.usc">
        <w:smartTagPr>
          <w:attr w:name="ref" w:val="USC\26\469"/>
        </w:smartTagPr>
        <w:r>
          <w:t>§469</w:t>
        </w:r>
      </w:smartTag>
      <w:r>
        <w:t xml:space="preserve"> is not taken into account as an allowable deduction in computing the amount subject to any tax imposed by Subtitle A of the Code, which includes Chapter 2A and </w:t>
      </w:r>
      <w:smartTag w:uri="http://www.bna.com/sgml2word/cite" w:element="cite.usc">
        <w:smartTagPr>
          <w:attr w:name="ref" w:val="USC\26\1411"/>
        </w:smartTagPr>
        <w:r>
          <w:t>§1411</w:t>
        </w:r>
      </w:smartTag>
      <w:r>
        <w:t>, the deduction is not taken into account for any aspect of the NIIT.</w:t>
      </w:r>
      <w:r>
        <w:rPr>
          <w:rStyle w:val="FootnoteReference"/>
        </w:rPr>
        <w:footnoteReference w:id="715"/>
      </w:r>
    </w:p>
    <w:p w14:paraId="17A6DBA6" w14:textId="77777777" w:rsidR="00494B49" w:rsidRDefault="00494B49">
      <w:pPr>
        <w:pStyle w:val="BHead4"/>
      </w:pPr>
      <w:r>
        <w:t>(2) Year of Allowance</w:t>
      </w:r>
    </w:p>
    <w:p w14:paraId="77451CC8" w14:textId="77777777" w:rsidR="00494B49" w:rsidRDefault="00494B49">
      <w:pPr>
        <w:pStyle w:val="BNormal"/>
      </w:pPr>
      <w:r>
        <w:t xml:space="preserve">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by </w:t>
      </w:r>
      <w:smartTag w:uri="http://www.bna.com/sgml2word/cite" w:element="cite.usc">
        <w:smartTagPr>
          <w:attr w:name="ref" w:val="USC\26\469"/>
        </w:smartTagPr>
        <w:r>
          <w:t>§469</w:t>
        </w:r>
      </w:smartTag>
      <w:r>
        <w:t xml:space="preserve"> from prior years as deductions in the current year. In essence, the mechanics of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refresh the disallowed deductions from a prior year as new deductions in the year they are ultimately allowed. If the disallowed deduction is capital loss, the now-allowed loss will be deductible against current year gains as if the disposition that created the capital loss occurred in the current year. </w:t>
      </w:r>
    </w:p>
    <w:p w14:paraId="316E2EAD" w14:textId="77777777" w:rsidR="00494B49" w:rsidRDefault="00494B49" w:rsidP="007865AF">
      <w:pPr>
        <w:pStyle w:val="BHead4"/>
        <w:keepNext/>
        <w:keepLines/>
      </w:pPr>
      <w:r>
        <w:lastRenderedPageBreak/>
        <w:t>(3) Examples</w:t>
      </w:r>
    </w:p>
    <w:p w14:paraId="6B016CCD" w14:textId="77777777" w:rsidR="00494B49" w:rsidRDefault="00494B49" w:rsidP="007865AF">
      <w:pPr>
        <w:pStyle w:val="BNormal"/>
        <w:keepNext/>
        <w:keepLines/>
      </w:pPr>
      <w:r>
        <w:t xml:space="preserve">The 2012 Proposed Regulations did not specifically address the treatment of losses disallowed in the current year, and the treatment of losses disallowed in prior years that would ultimately be deductible in a post-2012 tax year. The IRS received many questions about the treatment of suspended losses, both attributable to pre- 2012 years and those suspended in post-2012 years. In an effort to provide guidance on the interaction between the deduction suspension mechanisms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2013 Final Regulations contain two additional, simple examples.</w:t>
      </w:r>
      <w:r>
        <w:rPr>
          <w:rStyle w:val="FootnoteReference"/>
        </w:rPr>
        <w:footnoteReference w:id="716"/>
      </w:r>
    </w:p>
    <w:p w14:paraId="30B7D907" w14:textId="77777777" w:rsidR="00494B49" w:rsidRDefault="00494B49">
      <w:pPr>
        <w:pStyle w:val="BNormal"/>
      </w:pPr>
      <w:r>
        <w:rPr>
          <w:i/>
        </w:rPr>
        <w:t>Comment:</w:t>
      </w:r>
      <w:r>
        <w:t xml:space="preserve"> Due to the mechanics of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which treat amounts suspended from prior years as deductions in the current year, the specific regulatory language that allows taxpayers to deduct suspended losses from any prior tax year already existed in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
        </w:smartTagPr>
        <w:r>
          <w:t>§1.1411-4(f)</w:t>
        </w:r>
      </w:smartTag>
      <w:r>
        <w:t xml:space="preserve"> for disposition losses and operating losses, respectively.</w:t>
      </w:r>
    </w:p>
    <w:p w14:paraId="180DB265" w14:textId="77777777" w:rsidR="00494B49" w:rsidRDefault="00494B49">
      <w:pPr>
        <w:pStyle w:val="BNormal"/>
      </w:pPr>
      <w:r>
        <w:t xml:space="preserve">The two examples in Reg. </w:t>
      </w:r>
      <w:smartTag w:uri="http://www.bna.com/sgml2word/cite" w:element="cite.cfr">
        <w:smartTagPr>
          <w:attr w:name="ref" w:val="cfr\26\1.1411-4(f)(2)(v)"/>
        </w:smartTagPr>
        <w:r>
          <w:t>§1.1411-4(f)(2)(v)</w:t>
        </w:r>
      </w:smartTag>
      <w:r>
        <w:t xml:space="preserve"> illustrate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in calculating properly allocable deductions under </w:t>
      </w:r>
      <w:smartTag w:uri="http://www.bna.com/sgml2word/cite" w:element="cite.usc">
        <w:smartTagPr>
          <w:attr w:name="ref" w:val="USC\26\1411(c)(1)(B)"/>
        </w:smartTagPr>
        <w:r>
          <w:t>§1411(c)(1)(B)</w:t>
        </w:r>
      </w:smartTag>
      <w:r>
        <w:t>. In the first example,</w:t>
      </w:r>
      <w:r>
        <w:rPr>
          <w:rStyle w:val="FootnoteReference"/>
        </w:rPr>
        <w:footnoteReference w:id="717"/>
      </w:r>
      <w:r>
        <w:t xml:space="preserve"> provided below, the taxpayer brings no carryover losses into the current year and is limited by only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p w14:paraId="60817FCA" w14:textId="77777777" w:rsidR="00494B49" w:rsidRDefault="00494B49" w:rsidP="007865AF">
      <w:pPr>
        <w:pStyle w:val="BQuotelong"/>
      </w:pPr>
      <w:r>
        <w:t xml:space="preserve">A, an individual, is a 40% shareholder in SCo, an S corporation. SCo is engaged in a trade or business described in </w:t>
      </w:r>
      <w:smartTag w:uri="http://www.bna.com/sgml2word/cite" w:element="cite.usc">
        <w:smartTagPr>
          <w:attr w:name="ref" w:val="USC\26\1411(c)(2)(A)"/>
        </w:smartTagPr>
        <w:r>
          <w:t>section 1411(c)(2)(A)</w:t>
        </w:r>
      </w:smartTag>
      <w:r>
        <w:t xml:space="preserve">. SCo is the only passive activity owned by A. In Year 1, SCo reported a loss of $11,000 to A which was comprised of gross operating income of $29,000 and operating deductions of $40,000. A’s at-risk amount at the beginning of Year 1 is $7,000. There were no other events that affected A’s at-risk amount in Year 1. </w:t>
      </w:r>
    </w:p>
    <w:p w14:paraId="631063F0" w14:textId="77777777" w:rsidR="00494B49" w:rsidRDefault="00494B49" w:rsidP="007865AF">
      <w:pPr>
        <w:pStyle w:val="BQuotelong"/>
      </w:pPr>
      <w:r>
        <w:t xml:space="preserve">For purposes of calculating A’s net investment income, A’s $29,000 distributive share of SCo’s gross operating income is income within the meaning of </w:t>
      </w:r>
      <w:smartTag w:uri="http://www.bna.com/sgml2word/cite" w:element="cite.usc">
        <w:smartTagPr>
          <w:attr w:name="ref" w:val="USC\26\1411(c)(1)(A)(ii)"/>
        </w:smartTagPr>
        <w:r>
          <w:t>§1411(c)(1)(A)(ii)</w:t>
        </w:r>
      </w:smartTag>
      <w:r>
        <w:t xml:space="preserve">. </w:t>
      </w:r>
    </w:p>
    <w:p w14:paraId="06D6DC30" w14:textId="77777777" w:rsidR="00494B49" w:rsidRDefault="00494B49" w:rsidP="007865AF">
      <w:pPr>
        <w:pStyle w:val="BQuotelong"/>
      </w:pPr>
      <w:r>
        <w:t xml:space="preserve">As a result of A’s at-risk limitation, for Chapter 1 purposes, A may only deduct $7,000 of the operating deductions in excess of the gross operating income. The remaining $4,000 deductions are suspended because A’s amount at risk at the end of Year 1 is zero. </w:t>
      </w:r>
    </w:p>
    <w:p w14:paraId="7BC9C36C"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$29,000 and passive activity deductions of $36,000 ($40,000 of operating deductions allocable to A less $4,000 suspended under </w:t>
      </w:r>
      <w:smartTag w:uri="http://www.bna.com/sgml2word/cite" w:element="cite.usc">
        <w:smartTagPr>
          <w:attr w:name="ref" w:val="USC\26\465"/>
        </w:smartTagPr>
        <w:r>
          <w:t>section 465</w:t>
        </w:r>
      </w:smartTag>
      <w:r>
        <w:t xml:space="preserve">). Because A has no other passive activity income from any other source, </w:t>
      </w:r>
      <w:smartTag w:uri="http://www.bna.com/sgml2word/cite" w:element="cite.usc">
        <w:smartTagPr>
          <w:attr w:name="ref" w:val="USC\26\469"/>
        </w:smartTagPr>
        <w:r>
          <w:t>section 469</w:t>
        </w:r>
      </w:smartTag>
      <w:r>
        <w:t xml:space="preserve"> limits A’s passive activity deductions to A’s passive activity gross income. As a result, </w:t>
      </w:r>
      <w:smartTag w:uri="http://www.bna.com/sgml2word/cite" w:element="cite.usc">
        <w:smartTagPr>
          <w:attr w:name="ref" w:val="USC\26\469"/>
        </w:smartTagPr>
        <w:r>
          <w:t>§469</w:t>
        </w:r>
      </w:smartTag>
      <w:r>
        <w:t xml:space="preserve"> allows A to deduct $29,000 of SCo’s operating deductions and suspends the remaining $7,000. </w:t>
      </w:r>
    </w:p>
    <w:p w14:paraId="065B09F6" w14:textId="77777777" w:rsidR="00494B49" w:rsidRDefault="00494B49">
      <w:pPr>
        <w:pStyle w:val="BQuotelong"/>
      </w:pPr>
      <w:r>
        <w:lastRenderedPageBreak/>
        <w:t xml:space="preserve">For purposes of calculating A’s net investment income, A has $29,000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w:t>
      </w:r>
    </w:p>
    <w:p w14:paraId="6D99E26E" w14:textId="77777777" w:rsidR="00494B49" w:rsidRDefault="00494B49">
      <w:pPr>
        <w:pStyle w:val="BNormal"/>
      </w:pPr>
      <w:r>
        <w:rPr>
          <w:i/>
        </w:rPr>
        <w:t>Comment:</w:t>
      </w:r>
      <w:r>
        <w:t xml:space="preserve"> The purpose of this example is to show that the even though the taxpayer has gross net investment income from a passive activity of $29,000, the amount of deductions ultimately allowed by Subtitle A (which is the limitation language from </w:t>
      </w:r>
      <w:smartTag w:uri="http://www.bna.com/sgml2word/cite" w:element="cite.usc">
        <w:smartTagPr>
          <w:attr w:name="ref" w:val="USC\26\1411(c)(1)(B)"/>
        </w:smartTagPr>
        <w:r>
          <w:t>§1411(c)(1)(B)</w:t>
        </w:r>
      </w:smartTag>
      <w:r>
        <w:t>), is $29,000. For regular tax purposes, the taxpayer would have deductions completely offsetting income, and as a result, the taxpayer would have a zero net change to AGI due to the income and deductions from SCo. This example shows that the same result occurs for NIIT purposes; the taxpayer will have a zero net change to net investment income due to the income and deductions from SCo.</w:t>
      </w:r>
    </w:p>
    <w:p w14:paraId="43907B6A" w14:textId="77777777" w:rsidR="00494B49" w:rsidRDefault="00494B49">
      <w:pPr>
        <w:pStyle w:val="BNormal"/>
      </w:pPr>
      <w:r>
        <w:t xml:space="preserve">The purpose of the second example in Reg. </w:t>
      </w:r>
      <w:smartTag w:uri="http://www.bna.com/sgml2word/cite" w:element="cite.cfr">
        <w:smartTagPr>
          <w:attr w:name="ref" w:val="cfr\26\1.1411-4(f)(2)(v)"/>
        </w:smartTagPr>
        <w:r>
          <w:t>§1.1411-4(f)(2)(v)</w:t>
        </w:r>
      </w:smartTag>
      <w:r>
        <w:t xml:space="preserve"> is to illustrate that, for NIIT purposes as well as regular tax purposes, deductions suspended in a prior year that are allowed in a post-2012 year may be deductible in calculating net investment income. The example, as a continuation of the first example, creates a situation where the taxpayer has net positive income in Year 2 such that losses suspended by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are allowed in Year 2. The example provides: </w:t>
      </w:r>
    </w:p>
    <w:p w14:paraId="18DB6940" w14:textId="77777777" w:rsidR="00494B49" w:rsidRDefault="00494B49" w:rsidP="007865AF">
      <w:pPr>
        <w:pStyle w:val="BQuotelong"/>
      </w:pPr>
      <w:r>
        <w:t xml:space="preserve">In Year 2, SCo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 xml:space="preserve">. </w:t>
      </w:r>
    </w:p>
    <w:p w14:paraId="34618AA0" w14:textId="77777777" w:rsidR="00494B49" w:rsidRDefault="00494B49" w:rsidP="007865A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SCo include the $30,000 deduction allocable to A in Year 2 plus the $4,000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losses from Year 1 are treated as deductions from the activity in Year 2. As a result, A’s net operating income from SCo in Year 2 is $9,000 ($43,000 – $30,000 – $4,000) in Year 2. A’s amount at risk at the end of Year 2 is $9,000. </w:t>
      </w:r>
    </w:p>
    <w:p w14:paraId="1D0FF5D1"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SCo are the sum of the Year 2 operating deductions allocable to A from S ($30,000), deductions formerly suspended by </w:t>
      </w:r>
      <w:smartTag w:uri="http://www.bna.com/sgml2word/cite" w:element="cite.usc">
        <w:smartTagPr>
          <w:attr w:name="ref" w:val="USC\26\465"/>
        </w:smartTagPr>
        <w:r>
          <w:t>section 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085616AA" w14:textId="77777777" w:rsidR="00494B49" w:rsidRDefault="00494B49">
      <w:pPr>
        <w:pStyle w:val="BQuotelong"/>
      </w:pPr>
      <w:r>
        <w:t xml:space="preserve">Although A’s distributive share of Year 2 deductions allocable to SCo’s operating income was $30,000; the operative provisions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w:t>
      </w:r>
      <w:r>
        <w:lastRenderedPageBreak/>
        <w:t xml:space="preserve">income, A has $41,000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w:t>
      </w:r>
    </w:p>
    <w:p w14:paraId="69B03306" w14:textId="77777777" w:rsidR="00494B49" w:rsidRDefault="00494B49">
      <w:pPr>
        <w:pStyle w:val="BNormal"/>
      </w:pPr>
      <w:r>
        <w:rPr>
          <w:i/>
        </w:rPr>
        <w:t>Comment:</w:t>
      </w:r>
      <w:r>
        <w:t xml:space="preserve"> The fact pattern in these two examples is extremely simplistic. In many cases deductions suspended by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will have varying character — some will be operating deductions, some may be capital losses or </w:t>
      </w:r>
      <w:smartTag w:uri="http://www.bna.com/sgml2word/cite" w:element="cite.usc">
        <w:smartTagPr>
          <w:attr w:name="ref" w:val="USC\26\1231"/>
        </w:smartTagPr>
        <w:r>
          <w:t>§1231</w:t>
        </w:r>
      </w:smartTag>
      <w:r>
        <w:t xml:space="preserve"> losses, some might be suspended credits, etc. The examples contained within Reg. </w:t>
      </w:r>
      <w:smartTag w:uri="http://www.bna.com/sgml2word/cite" w:element="cite.cfr">
        <w:smartTagPr>
          <w:attr w:name="ref" w:val="cfr\26\1.1411-4(f)(2)(v)"/>
        </w:smartTagPr>
        <w:r>
          <w:t>§1.1411-4(f)(2)(v)</w:t>
        </w:r>
      </w:smartTag>
      <w:r>
        <w:t xml:space="preserve"> do not address those complicated situations. </w:t>
      </w:r>
    </w:p>
    <w:p w14:paraId="27A26105" w14:textId="77777777" w:rsidR="00494B49" w:rsidRDefault="00494B49">
      <w:pPr>
        <w:pStyle w:val="BNormal"/>
      </w:pPr>
      <w:r>
        <w:t xml:space="preserve">As noted above, Reg. </w:t>
      </w:r>
      <w:smartTag w:uri="http://www.bna.com/sgml2word/cite" w:element="cite.cfr">
        <w:smartTagPr>
          <w:attr w:name="ref" w:val="cfr\26\1.469-1T(f)(2)"/>
        </w:smartTagPr>
        <w:r>
          <w:t>§1.469-1T(f)(2)</w:t>
        </w:r>
      </w:smartTag>
      <w:r>
        <w:t xml:space="preserve"> requires that when losses are suspended they retain their underlying character as a deduction or loss, and each deduction or loss is suspended on a pro-rata basis. When the losses are allowed, they retain the same character as when they were suspended. Although the example in Reg. </w:t>
      </w:r>
      <w:smartTag w:uri="http://www.bna.com/sgml2word/cite" w:element="cite.cfr">
        <w:smartTagPr>
          <w:attr w:name="ref" w:val="cfr\26\1.1411-4(f)(2)(v)"/>
        </w:smartTagPr>
        <w:r>
          <w:t>§1.1411-4(f)(2)(v)</w:t>
        </w:r>
      </w:smartTag>
      <w:r>
        <w:t xml:space="preserve"> does not illustrate the character retention issue, the example can be altered to illustrate the character retention mechanics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as well as how the character retention issue is handled within the NIIT system. Consider the following revision to Example 2, edited from the regulations: Assume for these purposes that the entire amount of the </w:t>
      </w:r>
      <w:smartTag w:uri="http://www.bna.com/sgml2word/cite" w:element="cite.usc">
        <w:smartTagPr>
          <w:attr w:name="ref" w:val="USC\26\465"/>
        </w:smartTagPr>
        <w:r>
          <w:t>§465</w:t>
        </w:r>
      </w:smartTag>
      <w:r>
        <w:t xml:space="preserve"> disallowed deduction in Year 1 was a capital loss (edited text is reflected in []):</w:t>
      </w:r>
      <w:r>
        <w:rPr>
          <w:rStyle w:val="FootnoteReference"/>
        </w:rPr>
        <w:footnoteReference w:id="718"/>
      </w:r>
      <w:r>
        <w:t xml:space="preserve"> </w:t>
      </w:r>
    </w:p>
    <w:p w14:paraId="1B70CF9D" w14:textId="77777777" w:rsidR="00494B49" w:rsidRDefault="00494B49" w:rsidP="007865AF">
      <w:pPr>
        <w:pStyle w:val="BQuotelong"/>
      </w:pPr>
      <w:r>
        <w:t xml:space="preserve">In Year 2, SCo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 xml:space="preserve">. </w:t>
      </w:r>
    </w:p>
    <w:p w14:paraId="51D988DC" w14:textId="77777777" w:rsidR="00494B49" w:rsidRDefault="00494B49" w:rsidP="007865A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SCo include the $30,000 deduction allocable to A in Year 2 plus the $4,000 [long-term capital]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[long-term capital] losses from Year 1 are treated as deductions from the activity in Year 2. As a result, A’s net operating income from SCo in Year 2 is $13,000 ($43,000 – $30,000) [and A has a long-term capital loss of $4,000 in Year 2]. A’s amount at risk at the end of Year 2 is $9,000. </w:t>
      </w:r>
    </w:p>
    <w:p w14:paraId="21643D0F"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SCo are the sum of the Year 2 operating deductions allocable to A from S ($30,000), [capital loss] deductions formerly suspended by </w:t>
      </w:r>
      <w:smartTag w:uri="http://www.bna.com/sgml2word/cite" w:element="cite.usc">
        <w:smartTagPr>
          <w:attr w:name="ref" w:val="USC\26\465"/>
        </w:smartTagPr>
        <w:r>
          <w:t>§465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 which are comprised of $37,000 of operating deductions and $4,000 of capital loss deductions.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1D8739D3" w14:textId="77777777" w:rsidR="00494B49" w:rsidRDefault="00494B49">
      <w:pPr>
        <w:pStyle w:val="BQuotelong"/>
      </w:pPr>
      <w:r>
        <w:lastRenderedPageBreak/>
        <w:t xml:space="preserve">Although A’s distributive share of Year 2 deductions allocable to SCo’s operating income was $30,000; the operative provisions of sections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income, A has [$37,000]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(trade or business deductions described in </w:t>
      </w:r>
      <w:smartTag w:uri="http://www.bna.com/sgml2word/cite" w:element="cite.usc">
        <w:smartTagPr>
          <w:attr w:name="ref" w:val="USC\26\62(a)(1)"/>
        </w:smartTagPr>
        <w:r>
          <w:t>§62(a)(1)</w:t>
        </w:r>
      </w:smartTag>
      <w:r>
        <w:t xml:space="preserve">). [In addition, for purposes of calculating A’s net investment income, A has $4,000 of capital loss that is taken into account in calculating net gain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w:t>
      </w:r>
    </w:p>
    <w:p w14:paraId="67C2112B" w14:textId="77777777" w:rsidR="00494B49" w:rsidRDefault="00494B49">
      <w:pPr>
        <w:pStyle w:val="BHead3"/>
      </w:pPr>
      <w:r>
        <w:t>c. Special Rules for Losses Attributable to Former Passive Activities (FPAs)</w:t>
      </w:r>
    </w:p>
    <w:p w14:paraId="1B197D55" w14:textId="77777777" w:rsidR="00494B49" w:rsidRDefault="00494B49">
      <w:pPr>
        <w:pStyle w:val="BNormal"/>
      </w:pPr>
      <w:r>
        <w:t xml:space="preserve">If a taxpayer materially participates in a former passive trade or business activity, the gross income produced by that activity (and associated </w:t>
      </w:r>
      <w:smartTag w:uri="http://www.bna.com/sgml2word/cite" w:element="cite.usc">
        <w:smartTagPr>
          <w:attr w:name="ref" w:val="USC\26\1411(c)(1)(B)"/>
        </w:smartTagPr>
        <w:r>
          <w:t>§1411(c)(1)(B)</w:t>
        </w:r>
      </w:smartTag>
      <w:r>
        <w:t xml:space="preserve"> properly allocable deductions) in the current year generally would not be net investment income because the activity is no longer a trade or business that is a passive activity. It is possible that an FPA may still generate net investment income on its disposition to the extent the gain is included in </w:t>
      </w:r>
      <w:smartTag w:uri="http://www.bna.com/sgml2word/cite" w:element="cite.usc">
        <w:smartTagPr>
          <w:attr w:name="ref" w:val="USC\26\1411(c)(1)(A)(iii)"/>
        </w:smartTagPr>
        <w:r>
          <w:t>§1411(c)(1)(A)(iii)</w:t>
        </w:r>
      </w:smartTag>
      <w:r>
        <w:t xml:space="preserve"> and not entirely excluded by, for example, </w:t>
      </w:r>
      <w:smartTag w:uri="http://www.bna.com/sgml2word/cite" w:element="cite.usc">
        <w:smartTagPr>
          <w:attr w:name="ref" w:val="USC\26\1411(c)(4)"/>
        </w:smartTagPr>
        <w:r>
          <w:t>§1411(c)(4)</w:t>
        </w:r>
      </w:smartTag>
      <w:r>
        <w:t>.</w:t>
      </w:r>
      <w:r>
        <w:rPr>
          <w:rStyle w:val="FootnoteReference"/>
        </w:rPr>
        <w:footnoteReference w:id="719"/>
      </w:r>
    </w:p>
    <w:p w14:paraId="3BE9F022" w14:textId="77777777" w:rsidR="00494B49" w:rsidRDefault="00494B49">
      <w:pPr>
        <w:pStyle w:val="BNormal"/>
      </w:pPr>
      <w:r>
        <w:t xml:space="preserve">Reg. </w:t>
      </w:r>
      <w:smartTag w:uri="http://www.bna.com/sgml2word/cite" w:element="cite.cfr">
        <w:smartTagPr>
          <w:attr w:name="ref" w:val="cfr\26\1.1411-4(g)(8)(i)"/>
        </w:smartTagPr>
        <w:r>
          <w:t>§1.1411-4(g)(8)(i)</w:t>
        </w:r>
      </w:smartTag>
      <w:r>
        <w:t xml:space="preserve"> provides that suspended passive losses that are freed-up by reason of </w:t>
      </w:r>
      <w:smartTag w:uri="http://www.bna.com/sgml2word/cite" w:element="cite.usc">
        <w:smartTagPr>
          <w:attr w:name="ref" w:val="USC\26\469(f)(1)(A)"/>
        </w:smartTagPr>
        <w:r>
          <w:t>§469(f)(1)(A)</w:t>
        </w:r>
      </w:smartTag>
      <w:r>
        <w:t xml:space="preserve"> are only allowed as “properly allocable deductions” to the extent that income or gain from the former passive activity is included in net investment income. Reg. </w:t>
      </w:r>
      <w:smartTag w:uri="http://www.bna.com/sgml2word/cite" w:element="cite.cfr">
        <w:smartTagPr>
          <w:attr w:name="ref" w:val="cfr\26\1.1411-4(g)(8)(ii)"/>
        </w:smartTagPr>
        <w:r>
          <w:t>§1.1411-4(g)(8)(ii)</w:t>
        </w:r>
      </w:smartTag>
      <w:r>
        <w:t xml:space="preserve"> provides that suspended passive losses that are allowed by reason of </w:t>
      </w:r>
      <w:smartTag w:uri="http://www.bna.com/sgml2word/cite" w:element="cite.usc">
        <w:smartTagPr>
          <w:attr w:name="ref" w:val="USC\26\469(f)(1)(C)"/>
        </w:smartTagPr>
        <w:r>
          <w:t>§469(f)(1)(C)</w:t>
        </w:r>
      </w:smartTag>
      <w:r>
        <w:t xml:space="preserve"> will continue to be deductible in computing net investment income in all cases. However, notwithstanding Reg. </w:t>
      </w:r>
      <w:smartTag w:uri="http://www.bna.com/sgml2word/cite" w:element="cite.cfr">
        <w:smartTagPr>
          <w:attr w:name="ref" w:val="cfr\26\1.1411-4(g)(8)"/>
        </w:smartTagPr>
        <w:r>
          <w:t>§1.1411-4(g)(8)</w:t>
        </w:r>
      </w:smartTag>
      <w:r>
        <w:t xml:space="preserve">, it is possible that the allowance of suspended passive losses is already disallowed by reason of Reg. </w:t>
      </w:r>
      <w:smartTag w:uri="http://www.bna.com/sgml2word/cite" w:element="cite.cfr">
        <w:smartTagPr>
          <w:attr w:name="ref" w:val="cfr\26\1.1411-4(f)(2)"/>
        </w:smartTagPr>
        <w:r>
          <w:t>§1.1411-4(f)(2)</w:t>
        </w:r>
      </w:smartTag>
      <w:r>
        <w:t>.</w:t>
      </w:r>
      <w:r>
        <w:rPr>
          <w:rStyle w:val="FootnoteReference"/>
        </w:rPr>
        <w:footnoteReference w:id="720"/>
      </w:r>
      <w:r>
        <w:t xml:space="preserve"> Ultimately, this was the most precise way to allow suspended losses from former passive activities for net investment income purposes, but the mechanics of the rule are complicated. Consider the following examples: </w:t>
      </w:r>
    </w:p>
    <w:p w14:paraId="18AE226B" w14:textId="77777777" w:rsidR="00494B49" w:rsidRDefault="00494B49">
      <w:pPr>
        <w:pStyle w:val="BExamplepara"/>
      </w:pPr>
      <w:r>
        <w:rPr>
          <w:rStyle w:val="BExamplehead"/>
          <w:rFonts w:eastAsiaTheme="minorHAnsi"/>
          <w:i/>
        </w:rPr>
        <w:t>Example 1</w:t>
      </w:r>
      <w:r>
        <w:t xml:space="preserve"> — Assume a taxpayer has the following items of income and deduction: </w:t>
      </w:r>
    </w:p>
    <w:p w14:paraId="6B6B2315" w14:textId="77777777" w:rsidR="00494B49" w:rsidRDefault="00494B49">
      <w:pPr>
        <w:pStyle w:val="BListitembul"/>
      </w:pPr>
      <w:r>
        <w:t xml:space="preserve">Interest income $15,000, </w:t>
      </w:r>
    </w:p>
    <w:p w14:paraId="082DD006" w14:textId="77777777" w:rsidR="00494B49" w:rsidRDefault="00494B49">
      <w:pPr>
        <w:pStyle w:val="BListitembul"/>
      </w:pPr>
      <w:r>
        <w:t xml:space="preserve">Former passive activity </w:t>
      </w:r>
      <w:r>
        <w:rPr>
          <w:i/>
        </w:rPr>
        <w:t>net income</w:t>
      </w:r>
      <w:r>
        <w:t xml:space="preserve"> of $7,000 [nonpassive income], </w:t>
      </w:r>
    </w:p>
    <w:p w14:paraId="60921F2A" w14:textId="77777777" w:rsidR="00494B49" w:rsidRDefault="00494B49">
      <w:pPr>
        <w:pStyle w:val="BListitembul"/>
      </w:pPr>
      <w:r>
        <w:t xml:space="preserve">Passive rental real estate net income of $1,000, and </w:t>
      </w:r>
    </w:p>
    <w:p w14:paraId="60C275CF" w14:textId="77777777" w:rsidR="00494B49" w:rsidRDefault="00494B49">
      <w:pPr>
        <w:pStyle w:val="BListitembul"/>
      </w:pPr>
      <w:r>
        <w:t xml:space="preserve">Suspended passive losses from the former passive activity of $10,000. </w:t>
      </w:r>
    </w:p>
    <w:p w14:paraId="1F2E6117" w14:textId="77777777" w:rsidR="00494B49" w:rsidRDefault="00494B49" w:rsidP="007865AF"/>
    <w:tbl>
      <w:tblPr>
        <w:tblStyle w:val="TableGrid"/>
        <w:tblW w:w="0" w:type="auto"/>
        <w:tblLook w:val="04A0" w:firstRow="1" w:lastRow="0" w:firstColumn="1" w:lastColumn="0" w:noHBand="0" w:noVBand="1"/>
      </w:tblPr>
      <w:tblGrid>
        <w:gridCol w:w="3136"/>
        <w:gridCol w:w="3107"/>
        <w:gridCol w:w="3107"/>
      </w:tblGrid>
      <w:tr w:rsidR="00494B49" w14:paraId="10E0842E" w14:textId="77777777">
        <w:tc>
          <w:tcPr>
            <w:tcW w:w="3360" w:type="dxa"/>
          </w:tcPr>
          <w:p w14:paraId="514F6F7E" w14:textId="77777777" w:rsidR="00494B49" w:rsidRDefault="00494B49">
            <w:r>
              <w:t xml:space="preserve"> </w:t>
            </w:r>
            <w:r>
              <w:rPr>
                <w:b/>
              </w:rPr>
              <w:t>Income / Deduction</w:t>
            </w:r>
          </w:p>
        </w:tc>
        <w:tc>
          <w:tcPr>
            <w:tcW w:w="3360" w:type="dxa"/>
          </w:tcPr>
          <w:p w14:paraId="6F752131" w14:textId="77777777" w:rsidR="00494B49" w:rsidRDefault="00494B49">
            <w:r>
              <w:t xml:space="preserve"> </w:t>
            </w:r>
            <w:r>
              <w:rPr>
                <w:b/>
              </w:rPr>
              <w:t>Regular Tax</w:t>
            </w:r>
          </w:p>
        </w:tc>
        <w:tc>
          <w:tcPr>
            <w:tcW w:w="3360" w:type="dxa"/>
          </w:tcPr>
          <w:p w14:paraId="7B874EA2" w14:textId="77777777" w:rsidR="00494B49" w:rsidRDefault="00494B49">
            <w:r>
              <w:t xml:space="preserve"> </w:t>
            </w:r>
            <w:r>
              <w:rPr>
                <w:b/>
              </w:rPr>
              <w:t>NII</w:t>
            </w:r>
          </w:p>
        </w:tc>
      </w:tr>
      <w:tr w:rsidR="00494B49" w14:paraId="2A5A2AD3" w14:textId="77777777">
        <w:tc>
          <w:tcPr>
            <w:tcW w:w="3360" w:type="dxa"/>
          </w:tcPr>
          <w:p w14:paraId="103B9EC6" w14:textId="77777777" w:rsidR="00494B49" w:rsidRDefault="00494B49">
            <w:r>
              <w:t>Interest Income</w:t>
            </w:r>
          </w:p>
        </w:tc>
        <w:tc>
          <w:tcPr>
            <w:tcW w:w="3360" w:type="dxa"/>
          </w:tcPr>
          <w:p w14:paraId="5A46BF09" w14:textId="77777777" w:rsidR="00494B49" w:rsidRDefault="00494B49">
            <w:r>
              <w:t>$15,000</w:t>
            </w:r>
          </w:p>
        </w:tc>
        <w:tc>
          <w:tcPr>
            <w:tcW w:w="3360" w:type="dxa"/>
          </w:tcPr>
          <w:p w14:paraId="671BA372" w14:textId="77777777" w:rsidR="00494B49" w:rsidRDefault="00494B49">
            <w:r>
              <w:t>$15,000</w:t>
            </w:r>
          </w:p>
        </w:tc>
      </w:tr>
      <w:tr w:rsidR="00494B49" w14:paraId="0E450247" w14:textId="77777777">
        <w:tc>
          <w:tcPr>
            <w:tcW w:w="3360" w:type="dxa"/>
          </w:tcPr>
          <w:p w14:paraId="6029B565" w14:textId="77777777" w:rsidR="00494B49" w:rsidRDefault="00494B49">
            <w:r>
              <w:t>Nonpassive Net Income</w:t>
            </w:r>
          </w:p>
        </w:tc>
        <w:tc>
          <w:tcPr>
            <w:tcW w:w="3360" w:type="dxa"/>
          </w:tcPr>
          <w:p w14:paraId="3B20CE3D" w14:textId="77777777" w:rsidR="00494B49" w:rsidRDefault="00494B49">
            <w:r>
              <w:t>$7,000</w:t>
            </w:r>
          </w:p>
        </w:tc>
        <w:tc>
          <w:tcPr>
            <w:tcW w:w="3360" w:type="dxa"/>
          </w:tcPr>
          <w:p w14:paraId="7494DF3C" w14:textId="77777777" w:rsidR="00494B49" w:rsidRDefault="00494B49">
            <w:r>
              <w:t>$0</w:t>
            </w:r>
          </w:p>
        </w:tc>
      </w:tr>
      <w:tr w:rsidR="00494B49" w14:paraId="1ABF6CF9" w14:textId="77777777">
        <w:tc>
          <w:tcPr>
            <w:tcW w:w="3360" w:type="dxa"/>
          </w:tcPr>
          <w:p w14:paraId="08750C7A" w14:textId="77777777" w:rsidR="00494B49" w:rsidRDefault="00494B49">
            <w:smartTag w:uri="http://www.bna.com/sgml2word/cite" w:element="cite.usc">
              <w:smartTagPr>
                <w:attr w:name="ref" w:val="USC\26\469(f)(1)(A)"/>
              </w:smartTagPr>
              <w:r>
                <w:lastRenderedPageBreak/>
                <w:t>Section 469(f)(1)(A)</w:t>
              </w:r>
            </w:smartTag>
            <w:r>
              <w:t xml:space="preserve"> loss allowed</w:t>
            </w:r>
          </w:p>
        </w:tc>
        <w:tc>
          <w:tcPr>
            <w:tcW w:w="3360" w:type="dxa"/>
          </w:tcPr>
          <w:p w14:paraId="0D6C5E05" w14:textId="77777777" w:rsidR="00494B49" w:rsidRDefault="00494B49">
            <w:r>
              <w:t>–$7,000</w:t>
            </w:r>
          </w:p>
        </w:tc>
        <w:tc>
          <w:tcPr>
            <w:tcW w:w="3360" w:type="dxa"/>
          </w:tcPr>
          <w:p w14:paraId="115F940D" w14:textId="77777777" w:rsidR="00494B49" w:rsidRDefault="00494B49">
            <w:r>
              <w:t>$0</w:t>
            </w:r>
          </w:p>
        </w:tc>
      </w:tr>
      <w:tr w:rsidR="00494B49" w14:paraId="1773A7FD" w14:textId="77777777">
        <w:tc>
          <w:tcPr>
            <w:tcW w:w="3360" w:type="dxa"/>
          </w:tcPr>
          <w:p w14:paraId="3CC4536A" w14:textId="77777777" w:rsidR="00494B49" w:rsidRDefault="00494B49">
            <w:r>
              <w:t>Passive Rental Net Income</w:t>
            </w:r>
          </w:p>
        </w:tc>
        <w:tc>
          <w:tcPr>
            <w:tcW w:w="3360" w:type="dxa"/>
          </w:tcPr>
          <w:p w14:paraId="52C0E3DF" w14:textId="77777777" w:rsidR="00494B49" w:rsidRDefault="00494B49">
            <w:r>
              <w:t>$1,000</w:t>
            </w:r>
          </w:p>
        </w:tc>
        <w:tc>
          <w:tcPr>
            <w:tcW w:w="3360" w:type="dxa"/>
          </w:tcPr>
          <w:p w14:paraId="4CF2BE19" w14:textId="77777777" w:rsidR="00494B49" w:rsidRDefault="00494B49">
            <w:r>
              <w:t>$1,000</w:t>
            </w:r>
          </w:p>
        </w:tc>
      </w:tr>
      <w:tr w:rsidR="00494B49" w14:paraId="602FCD04" w14:textId="77777777">
        <w:tc>
          <w:tcPr>
            <w:tcW w:w="3360" w:type="dxa"/>
          </w:tcPr>
          <w:p w14:paraId="4B0065C2" w14:textId="77777777" w:rsidR="00494B49" w:rsidRDefault="00494B49">
            <w:smartTag w:uri="http://www.bna.com/sgml2word/cite" w:element="cite.usc">
              <w:smartTagPr>
                <w:attr w:name="ref" w:val="USC\26\469(f)(1)(C)"/>
              </w:smartTagPr>
              <w:r>
                <w:t>Section 469(f)(1)(C)</w:t>
              </w:r>
            </w:smartTag>
            <w:r>
              <w:t xml:space="preserve"> loss allowed</w:t>
            </w:r>
          </w:p>
        </w:tc>
        <w:tc>
          <w:tcPr>
            <w:tcW w:w="3360" w:type="dxa"/>
          </w:tcPr>
          <w:p w14:paraId="694C9CF0" w14:textId="77777777" w:rsidR="00494B49" w:rsidRDefault="00494B49">
            <w:r>
              <w:t>−$1,000</w:t>
            </w:r>
          </w:p>
        </w:tc>
        <w:tc>
          <w:tcPr>
            <w:tcW w:w="3360" w:type="dxa"/>
          </w:tcPr>
          <w:p w14:paraId="3B2D9EBF" w14:textId="77777777" w:rsidR="00494B49" w:rsidRDefault="00494B49">
            <w:r>
              <w:t>−$1,000</w:t>
            </w:r>
          </w:p>
        </w:tc>
      </w:tr>
      <w:tr w:rsidR="00494B49" w14:paraId="13CD7463" w14:textId="77777777">
        <w:tc>
          <w:tcPr>
            <w:tcW w:w="3360" w:type="dxa"/>
          </w:tcPr>
          <w:p w14:paraId="24D9052C" w14:textId="77777777" w:rsidR="00494B49" w:rsidRDefault="00494B49"/>
        </w:tc>
        <w:tc>
          <w:tcPr>
            <w:tcW w:w="3360" w:type="dxa"/>
          </w:tcPr>
          <w:p w14:paraId="34A81FFC" w14:textId="77777777" w:rsidR="00494B49" w:rsidRDefault="00494B49"/>
        </w:tc>
        <w:tc>
          <w:tcPr>
            <w:tcW w:w="3360" w:type="dxa"/>
          </w:tcPr>
          <w:p w14:paraId="30DFC676" w14:textId="77777777" w:rsidR="00494B49" w:rsidRDefault="00494B49"/>
        </w:tc>
      </w:tr>
      <w:tr w:rsidR="00494B49" w14:paraId="517AF707" w14:textId="77777777">
        <w:tc>
          <w:tcPr>
            <w:tcW w:w="3360" w:type="dxa"/>
          </w:tcPr>
          <w:p w14:paraId="4BF6B36F" w14:textId="77777777" w:rsidR="00494B49" w:rsidRDefault="00494B49">
            <w:r>
              <w:t>Total AGI / NII</w:t>
            </w:r>
          </w:p>
        </w:tc>
        <w:tc>
          <w:tcPr>
            <w:tcW w:w="3360" w:type="dxa"/>
          </w:tcPr>
          <w:p w14:paraId="524E8F60" w14:textId="77777777" w:rsidR="00494B49" w:rsidRDefault="00494B49">
            <w:r>
              <w:t>$15,000</w:t>
            </w:r>
          </w:p>
        </w:tc>
        <w:tc>
          <w:tcPr>
            <w:tcW w:w="3360" w:type="dxa"/>
          </w:tcPr>
          <w:p w14:paraId="2ADF3EDA" w14:textId="77777777" w:rsidR="00494B49" w:rsidRDefault="00494B49">
            <w:r>
              <w:t>$15,000</w:t>
            </w:r>
          </w:p>
        </w:tc>
      </w:tr>
      <w:tr w:rsidR="00494B49" w14:paraId="7B1E1043" w14:textId="77777777">
        <w:tc>
          <w:tcPr>
            <w:tcW w:w="3360" w:type="dxa"/>
          </w:tcPr>
          <w:p w14:paraId="7563AC78" w14:textId="77777777" w:rsidR="00494B49" w:rsidRDefault="00494B49"/>
        </w:tc>
        <w:tc>
          <w:tcPr>
            <w:tcW w:w="3360" w:type="dxa"/>
          </w:tcPr>
          <w:p w14:paraId="0BDC6B23" w14:textId="77777777" w:rsidR="00494B49" w:rsidRDefault="00494B49"/>
        </w:tc>
        <w:tc>
          <w:tcPr>
            <w:tcW w:w="3360" w:type="dxa"/>
          </w:tcPr>
          <w:p w14:paraId="2206D4CA" w14:textId="77777777" w:rsidR="00494B49" w:rsidRDefault="00494B49"/>
        </w:tc>
      </w:tr>
      <w:tr w:rsidR="00494B49" w14:paraId="010C90C6" w14:textId="77777777">
        <w:tc>
          <w:tcPr>
            <w:tcW w:w="3360" w:type="dxa"/>
          </w:tcPr>
          <w:p w14:paraId="4B62D419" w14:textId="77777777" w:rsidR="00494B49" w:rsidRDefault="00494B49">
            <w:r>
              <w:t>Ending Susp PAL</w:t>
            </w:r>
          </w:p>
        </w:tc>
        <w:tc>
          <w:tcPr>
            <w:tcW w:w="3360" w:type="dxa"/>
          </w:tcPr>
          <w:p w14:paraId="296FA35E" w14:textId="77777777" w:rsidR="00494B49" w:rsidRDefault="00494B49">
            <w:r>
              <w:t>$2,000</w:t>
            </w:r>
          </w:p>
        </w:tc>
        <w:tc>
          <w:tcPr>
            <w:tcW w:w="3360" w:type="dxa"/>
          </w:tcPr>
          <w:p w14:paraId="3ADB1049" w14:textId="77777777" w:rsidR="00494B49" w:rsidRDefault="00494B49">
            <w:r>
              <w:t>$2,000</w:t>
            </w:r>
          </w:p>
        </w:tc>
      </w:tr>
      <w:tr w:rsidR="00494B49" w14:paraId="588574CA" w14:textId="77777777">
        <w:tc>
          <w:tcPr>
            <w:tcW w:w="3360" w:type="dxa"/>
          </w:tcPr>
          <w:p w14:paraId="5A1A9DA5" w14:textId="77777777" w:rsidR="00494B49" w:rsidRDefault="00494B49">
            <w:r>
              <w:t>FPAL Used</w:t>
            </w:r>
          </w:p>
        </w:tc>
        <w:tc>
          <w:tcPr>
            <w:tcW w:w="3360" w:type="dxa"/>
          </w:tcPr>
          <w:p w14:paraId="4A1EB91B" w14:textId="77777777" w:rsidR="00494B49" w:rsidRDefault="00494B49">
            <w:r>
              <w:t>$8,000</w:t>
            </w:r>
          </w:p>
        </w:tc>
        <w:tc>
          <w:tcPr>
            <w:tcW w:w="3360" w:type="dxa"/>
          </w:tcPr>
          <w:p w14:paraId="17B010E9" w14:textId="77777777" w:rsidR="00494B49" w:rsidRDefault="00494B49">
            <w:r>
              <w:t>$1,000</w:t>
            </w:r>
          </w:p>
        </w:tc>
      </w:tr>
    </w:tbl>
    <w:p w14:paraId="12DE416D" w14:textId="77777777" w:rsidR="00494B49" w:rsidRDefault="00494B49">
      <w:pPr>
        <w:pStyle w:val="BNormal"/>
      </w:pPr>
    </w:p>
    <w:p w14:paraId="7380B67B" w14:textId="77777777" w:rsidR="00494B49" w:rsidRDefault="00494B49">
      <w:pPr>
        <w:pStyle w:val="BExamplepara"/>
      </w:pPr>
      <w:r>
        <w:t xml:space="preserve">In this fact pattern, the taxpayer uses $8,000 of suspended losses from the former passive activity for regular tax purposes. Reg. </w:t>
      </w:r>
      <w:smartTag w:uri="http://www.bna.com/sgml2word/cite" w:element="cite.cfr">
        <w:smartTagPr>
          <w:attr w:name="ref" w:val="cfr\26\1.1411-4(g)(8)(i)"/>
        </w:smartTagPr>
        <w:r>
          <w:t>§1.1411-4(g)(8)(i)</w:t>
        </w:r>
      </w:smartTag>
      <w:r>
        <w:t xml:space="preserve"> disallows the use of the $7,000 of suspended losses because the net investment income tax base does not include the net nonpassive income,</w:t>
      </w:r>
      <w:r>
        <w:rPr>
          <w:rStyle w:val="FootnoteReference"/>
        </w:rPr>
        <w:footnoteReference w:id="721"/>
      </w:r>
      <w:r>
        <w:t xml:space="preserve"> but still allows any remaining passive losses ($3,000 remaining from the $10,000) attributable to the former passive activity to offset other passive income (in this case, the $1,000 of passive rental real estate net income).</w:t>
      </w:r>
      <w:r>
        <w:rPr>
          <w:rStyle w:val="FootnoteReference"/>
        </w:rPr>
        <w:footnoteReference w:id="722"/>
      </w:r>
    </w:p>
    <w:p w14:paraId="2BE57C41" w14:textId="77777777" w:rsidR="00494B49" w:rsidRDefault="00494B49">
      <w:pPr>
        <w:pStyle w:val="BExamplepara"/>
      </w:pPr>
      <w:r>
        <w:rPr>
          <w:rStyle w:val="BExamplehead"/>
          <w:rFonts w:eastAsiaTheme="minorHAnsi"/>
          <w:i/>
        </w:rPr>
        <w:t>Example 2</w:t>
      </w:r>
      <w:r>
        <w:t xml:space="preserve"> — Assume a taxpayer has the following items of income and deduction: </w:t>
      </w:r>
    </w:p>
    <w:p w14:paraId="1DDC8EED" w14:textId="77777777" w:rsidR="00494B49" w:rsidRDefault="00494B49">
      <w:pPr>
        <w:pStyle w:val="BListitembul"/>
      </w:pPr>
      <w:r>
        <w:t xml:space="preserve">Interest income $15,000, </w:t>
      </w:r>
    </w:p>
    <w:p w14:paraId="3163CE40" w14:textId="77777777" w:rsidR="00494B49" w:rsidRDefault="00494B49">
      <w:pPr>
        <w:pStyle w:val="BListitembul"/>
      </w:pPr>
      <w:r>
        <w:t xml:space="preserve">Former passive activity </w:t>
      </w:r>
      <w:r>
        <w:rPr>
          <w:i/>
        </w:rPr>
        <w:t>net income</w:t>
      </w:r>
      <w:r>
        <w:t xml:space="preserve"> of $7,000 [nonpassive income], </w:t>
      </w:r>
    </w:p>
    <w:p w14:paraId="5CEC30E9" w14:textId="77777777" w:rsidR="00494B49" w:rsidRDefault="00494B49">
      <w:pPr>
        <w:pStyle w:val="BListitembul"/>
      </w:pPr>
      <w:r>
        <w:t xml:space="preserve">Disposition of a former passive activity at a $2,000 gain [treated as nonpassive income] </w:t>
      </w:r>
    </w:p>
    <w:p w14:paraId="6C1D354E" w14:textId="77777777" w:rsidR="00494B49" w:rsidRDefault="00494B49">
      <w:pPr>
        <w:pStyle w:val="BListitemorig"/>
      </w:pPr>
      <w:r>
        <w:t xml:space="preserve">o The taxpayer is able to exclude $1,500 gain from net investment income by reason of §1411(c)(4) </w:t>
      </w:r>
    </w:p>
    <w:p w14:paraId="3792E94C" w14:textId="77777777" w:rsidR="00494B49" w:rsidRDefault="00494B49">
      <w:pPr>
        <w:pStyle w:val="BListitembul"/>
      </w:pPr>
      <w:r>
        <w:t xml:space="preserve">Passive rental real estate </w:t>
      </w:r>
      <w:r>
        <w:rPr>
          <w:i/>
        </w:rPr>
        <w:t>net income</w:t>
      </w:r>
      <w:r>
        <w:t xml:space="preserve"> of $1,000, and </w:t>
      </w:r>
    </w:p>
    <w:p w14:paraId="1A0CDB1C" w14:textId="77777777" w:rsidR="00494B49" w:rsidRDefault="00494B49">
      <w:pPr>
        <w:pStyle w:val="BListitembul"/>
      </w:pPr>
      <w:r>
        <w:t xml:space="preserve">Suspended passive losses from the former passive activity of $10,000 </w:t>
      </w:r>
    </w:p>
    <w:p w14:paraId="7A3E741F" w14:textId="77777777" w:rsidR="00494B49" w:rsidRDefault="00494B49" w:rsidP="007865AF"/>
    <w:tbl>
      <w:tblPr>
        <w:tblStyle w:val="TableGrid"/>
        <w:tblW w:w="0" w:type="auto"/>
        <w:tblLook w:val="04A0" w:firstRow="1" w:lastRow="0" w:firstColumn="1" w:lastColumn="0" w:noHBand="0" w:noVBand="1"/>
      </w:tblPr>
      <w:tblGrid>
        <w:gridCol w:w="3127"/>
        <w:gridCol w:w="3096"/>
        <w:gridCol w:w="3127"/>
      </w:tblGrid>
      <w:tr w:rsidR="00494B49" w14:paraId="45E0DA87" w14:textId="77777777">
        <w:tc>
          <w:tcPr>
            <w:tcW w:w="3360" w:type="dxa"/>
          </w:tcPr>
          <w:p w14:paraId="48F9B6E2" w14:textId="77777777" w:rsidR="00494B49" w:rsidRDefault="00494B49">
            <w:r>
              <w:t xml:space="preserve"> </w:t>
            </w:r>
            <w:r>
              <w:rPr>
                <w:b/>
              </w:rPr>
              <w:t>Income / Deduction</w:t>
            </w:r>
          </w:p>
        </w:tc>
        <w:tc>
          <w:tcPr>
            <w:tcW w:w="3360" w:type="dxa"/>
          </w:tcPr>
          <w:p w14:paraId="2EE9CC0D" w14:textId="77777777" w:rsidR="00494B49" w:rsidRDefault="00494B49">
            <w:r>
              <w:t xml:space="preserve"> </w:t>
            </w:r>
            <w:r>
              <w:rPr>
                <w:b/>
              </w:rPr>
              <w:t>Regular Tax</w:t>
            </w:r>
          </w:p>
        </w:tc>
        <w:tc>
          <w:tcPr>
            <w:tcW w:w="3360" w:type="dxa"/>
          </w:tcPr>
          <w:p w14:paraId="5A45E14B" w14:textId="77777777" w:rsidR="00494B49" w:rsidRDefault="00494B49">
            <w:r>
              <w:t xml:space="preserve"> </w:t>
            </w:r>
            <w:r>
              <w:rPr>
                <w:b/>
              </w:rPr>
              <w:t xml:space="preserve">net </w:t>
            </w:r>
            <w:r>
              <w:br/>
            </w:r>
            <w:r>
              <w:rPr>
                <w:b/>
              </w:rPr>
              <w:t>investment income — Option 3</w:t>
            </w:r>
          </w:p>
        </w:tc>
      </w:tr>
      <w:tr w:rsidR="00494B49" w14:paraId="79FEA864" w14:textId="77777777">
        <w:tc>
          <w:tcPr>
            <w:tcW w:w="3360" w:type="dxa"/>
          </w:tcPr>
          <w:p w14:paraId="5E2C568A" w14:textId="77777777" w:rsidR="00494B49" w:rsidRDefault="00494B49">
            <w:r>
              <w:t>Interest Income</w:t>
            </w:r>
          </w:p>
        </w:tc>
        <w:tc>
          <w:tcPr>
            <w:tcW w:w="3360" w:type="dxa"/>
          </w:tcPr>
          <w:p w14:paraId="6600E2BE" w14:textId="77777777" w:rsidR="00494B49" w:rsidRDefault="00494B49">
            <w:r>
              <w:t>$15,000</w:t>
            </w:r>
          </w:p>
        </w:tc>
        <w:tc>
          <w:tcPr>
            <w:tcW w:w="3360" w:type="dxa"/>
          </w:tcPr>
          <w:p w14:paraId="4B078178" w14:textId="77777777" w:rsidR="00494B49" w:rsidRDefault="00494B49">
            <w:r>
              <w:t>$15,000</w:t>
            </w:r>
          </w:p>
        </w:tc>
      </w:tr>
      <w:tr w:rsidR="00494B49" w14:paraId="283DE8E0" w14:textId="77777777">
        <w:tc>
          <w:tcPr>
            <w:tcW w:w="3360" w:type="dxa"/>
          </w:tcPr>
          <w:p w14:paraId="398EEF54" w14:textId="77777777" w:rsidR="00494B49" w:rsidRDefault="00494B49">
            <w:r>
              <w:t>Nonpassive Net Income</w:t>
            </w:r>
          </w:p>
        </w:tc>
        <w:tc>
          <w:tcPr>
            <w:tcW w:w="3360" w:type="dxa"/>
          </w:tcPr>
          <w:p w14:paraId="3B802BAE" w14:textId="77777777" w:rsidR="00494B49" w:rsidRDefault="00494B49">
            <w:r>
              <w:t>$7,000</w:t>
            </w:r>
          </w:p>
        </w:tc>
        <w:tc>
          <w:tcPr>
            <w:tcW w:w="3360" w:type="dxa"/>
          </w:tcPr>
          <w:p w14:paraId="3F187499" w14:textId="77777777" w:rsidR="00494B49" w:rsidRDefault="00494B49">
            <w:r>
              <w:t>$0</w:t>
            </w:r>
          </w:p>
        </w:tc>
      </w:tr>
      <w:tr w:rsidR="00494B49" w14:paraId="46BD5B53" w14:textId="77777777">
        <w:tc>
          <w:tcPr>
            <w:tcW w:w="3360" w:type="dxa"/>
          </w:tcPr>
          <w:p w14:paraId="6A1BA44D" w14:textId="77777777" w:rsidR="00494B49" w:rsidRDefault="00494B49">
            <w:smartTag w:uri="http://www.bna.com/sgml2word/cite" w:element="cite.usc">
              <w:smartTagPr>
                <w:attr w:name="ref" w:val="USC\26\469(f)(1)(A)"/>
              </w:smartTagPr>
              <w:r>
                <w:t>Section 469(f)(1)(A)</w:t>
              </w:r>
            </w:smartTag>
            <w:r>
              <w:t xml:space="preserve"> loss allowed</w:t>
            </w:r>
          </w:p>
        </w:tc>
        <w:tc>
          <w:tcPr>
            <w:tcW w:w="3360" w:type="dxa"/>
          </w:tcPr>
          <w:p w14:paraId="417B1063" w14:textId="77777777" w:rsidR="00494B49" w:rsidRDefault="00494B49">
            <w:r>
              <w:t>−$7,000</w:t>
            </w:r>
          </w:p>
        </w:tc>
        <w:tc>
          <w:tcPr>
            <w:tcW w:w="3360" w:type="dxa"/>
          </w:tcPr>
          <w:p w14:paraId="29308DD1" w14:textId="77777777" w:rsidR="00494B49" w:rsidRDefault="00494B49">
            <w:r>
              <w:t>$0</w:t>
            </w:r>
          </w:p>
        </w:tc>
      </w:tr>
      <w:tr w:rsidR="00494B49" w14:paraId="2BD46E5F" w14:textId="77777777">
        <w:tc>
          <w:tcPr>
            <w:tcW w:w="3360" w:type="dxa"/>
          </w:tcPr>
          <w:p w14:paraId="6965552B" w14:textId="77777777" w:rsidR="00494B49" w:rsidRDefault="00494B49"/>
        </w:tc>
        <w:tc>
          <w:tcPr>
            <w:tcW w:w="3360" w:type="dxa"/>
          </w:tcPr>
          <w:p w14:paraId="6F81408A" w14:textId="77777777" w:rsidR="00494B49" w:rsidRDefault="00494B49"/>
        </w:tc>
        <w:tc>
          <w:tcPr>
            <w:tcW w:w="3360" w:type="dxa"/>
          </w:tcPr>
          <w:p w14:paraId="4C95D9E1" w14:textId="77777777" w:rsidR="00494B49" w:rsidRDefault="00494B49"/>
        </w:tc>
      </w:tr>
      <w:tr w:rsidR="00494B49" w14:paraId="0BD917E8" w14:textId="77777777">
        <w:tc>
          <w:tcPr>
            <w:tcW w:w="3360" w:type="dxa"/>
          </w:tcPr>
          <w:p w14:paraId="0F9AFFFE" w14:textId="77777777" w:rsidR="00494B49" w:rsidRDefault="00494B49">
            <w:r>
              <w:t>Nonpassive Gain</w:t>
            </w:r>
          </w:p>
        </w:tc>
        <w:tc>
          <w:tcPr>
            <w:tcW w:w="3360" w:type="dxa"/>
          </w:tcPr>
          <w:p w14:paraId="485B5FB5" w14:textId="77777777" w:rsidR="00494B49" w:rsidRDefault="00494B49">
            <w:r>
              <w:t>$2,000</w:t>
            </w:r>
          </w:p>
        </w:tc>
        <w:tc>
          <w:tcPr>
            <w:tcW w:w="3360" w:type="dxa"/>
          </w:tcPr>
          <w:p w14:paraId="74737193" w14:textId="77777777" w:rsidR="00494B49" w:rsidRDefault="00494B49">
            <w:r>
              <w:t>$2,000</w:t>
            </w:r>
          </w:p>
        </w:tc>
      </w:tr>
      <w:tr w:rsidR="00494B49" w14:paraId="33A9D2AE" w14:textId="77777777">
        <w:tc>
          <w:tcPr>
            <w:tcW w:w="3360" w:type="dxa"/>
          </w:tcPr>
          <w:p w14:paraId="2276CA5E" w14:textId="77777777" w:rsidR="00494B49" w:rsidRDefault="00494B49">
            <w:r>
              <w:t xml:space="preserve"> — Less </w:t>
            </w:r>
            <w:smartTag w:uri="http://www.bna.com/sgml2word/cite" w:element="cite.usc">
              <w:smartTagPr>
                <w:attr w:name="ref" w:val="USC\26\1411(c)(4)"/>
              </w:smartTagPr>
              <w:r>
                <w:t>Section 1411(c)(4)</w:t>
              </w:r>
            </w:smartTag>
            <w:r>
              <w:t xml:space="preserve"> Excl.</w:t>
            </w:r>
          </w:p>
        </w:tc>
        <w:tc>
          <w:tcPr>
            <w:tcW w:w="3360" w:type="dxa"/>
          </w:tcPr>
          <w:p w14:paraId="423E3CA2" w14:textId="77777777" w:rsidR="00494B49" w:rsidRDefault="00494B49">
            <w:r>
              <w:t>N/A</w:t>
            </w:r>
          </w:p>
        </w:tc>
        <w:tc>
          <w:tcPr>
            <w:tcW w:w="3360" w:type="dxa"/>
          </w:tcPr>
          <w:p w14:paraId="68A8ED70" w14:textId="77777777" w:rsidR="00494B49" w:rsidRDefault="00494B49">
            <w:r>
              <w:t>–$1,500</w:t>
            </w:r>
          </w:p>
        </w:tc>
      </w:tr>
      <w:tr w:rsidR="00494B49" w14:paraId="74DDADEE" w14:textId="77777777">
        <w:tc>
          <w:tcPr>
            <w:tcW w:w="3360" w:type="dxa"/>
          </w:tcPr>
          <w:p w14:paraId="150433C2" w14:textId="77777777" w:rsidR="00494B49" w:rsidRDefault="00494B49">
            <w:smartTag w:uri="http://www.bna.com/sgml2word/cite" w:element="cite.usc">
              <w:smartTagPr>
                <w:attr w:name="ref" w:val="USC\26\469(f)(1)(A)"/>
              </w:smartTagPr>
              <w:r>
                <w:t>Section 469(f)(1)(A)</w:t>
              </w:r>
            </w:smartTag>
            <w:r>
              <w:t xml:space="preserve"> loss allowed</w:t>
            </w:r>
          </w:p>
        </w:tc>
        <w:tc>
          <w:tcPr>
            <w:tcW w:w="3360" w:type="dxa"/>
          </w:tcPr>
          <w:p w14:paraId="5D424515" w14:textId="77777777" w:rsidR="00494B49" w:rsidRDefault="00494B49">
            <w:r>
              <w:t>–$2,000</w:t>
            </w:r>
          </w:p>
        </w:tc>
        <w:tc>
          <w:tcPr>
            <w:tcW w:w="3360" w:type="dxa"/>
          </w:tcPr>
          <w:p w14:paraId="52612BE4" w14:textId="77777777" w:rsidR="00494B49" w:rsidRDefault="00494B49">
            <w:r>
              <w:t>–$500</w:t>
            </w:r>
          </w:p>
        </w:tc>
      </w:tr>
      <w:tr w:rsidR="00494B49" w14:paraId="035D459F" w14:textId="77777777">
        <w:tc>
          <w:tcPr>
            <w:tcW w:w="3360" w:type="dxa"/>
          </w:tcPr>
          <w:p w14:paraId="77667712" w14:textId="77777777" w:rsidR="00494B49" w:rsidRDefault="00494B49"/>
        </w:tc>
        <w:tc>
          <w:tcPr>
            <w:tcW w:w="3360" w:type="dxa"/>
          </w:tcPr>
          <w:p w14:paraId="30F2F83C" w14:textId="77777777" w:rsidR="00494B49" w:rsidRDefault="00494B49"/>
        </w:tc>
        <w:tc>
          <w:tcPr>
            <w:tcW w:w="3360" w:type="dxa"/>
          </w:tcPr>
          <w:p w14:paraId="7429D1A9" w14:textId="77777777" w:rsidR="00494B49" w:rsidRDefault="00494B49"/>
        </w:tc>
      </w:tr>
      <w:tr w:rsidR="00494B49" w14:paraId="5EC498BC" w14:textId="77777777">
        <w:tc>
          <w:tcPr>
            <w:tcW w:w="3360" w:type="dxa"/>
          </w:tcPr>
          <w:p w14:paraId="2C4496BE" w14:textId="77777777" w:rsidR="00494B49" w:rsidRDefault="00494B49">
            <w:r>
              <w:t>Passive income</w:t>
            </w:r>
          </w:p>
        </w:tc>
        <w:tc>
          <w:tcPr>
            <w:tcW w:w="3360" w:type="dxa"/>
          </w:tcPr>
          <w:p w14:paraId="5E57B06B" w14:textId="77777777" w:rsidR="00494B49" w:rsidRDefault="00494B49">
            <w:r>
              <w:t>$1,000</w:t>
            </w:r>
          </w:p>
        </w:tc>
        <w:tc>
          <w:tcPr>
            <w:tcW w:w="3360" w:type="dxa"/>
          </w:tcPr>
          <w:p w14:paraId="6517D7F4" w14:textId="77777777" w:rsidR="00494B49" w:rsidRDefault="00494B49">
            <w:r>
              <w:t>$1,000</w:t>
            </w:r>
          </w:p>
        </w:tc>
      </w:tr>
      <w:tr w:rsidR="00494B49" w14:paraId="2CD1FAF3" w14:textId="77777777">
        <w:tc>
          <w:tcPr>
            <w:tcW w:w="3360" w:type="dxa"/>
          </w:tcPr>
          <w:p w14:paraId="3724501F" w14:textId="77777777" w:rsidR="00494B49" w:rsidRDefault="00494B49">
            <w:smartTag w:uri="http://www.bna.com/sgml2word/cite" w:element="cite.usc">
              <w:smartTagPr>
                <w:attr w:name="ref" w:val="USC\26\469(f)(1)(C)"/>
              </w:smartTagPr>
              <w:r>
                <w:t>Section 469(f)(1)(C)</w:t>
              </w:r>
            </w:smartTag>
            <w:r>
              <w:t xml:space="preserve"> loss allowed</w:t>
            </w:r>
          </w:p>
        </w:tc>
        <w:tc>
          <w:tcPr>
            <w:tcW w:w="3360" w:type="dxa"/>
          </w:tcPr>
          <w:p w14:paraId="0722775A" w14:textId="77777777" w:rsidR="00494B49" w:rsidRDefault="00494B49">
            <w:r>
              <w:t>–$1,000</w:t>
            </w:r>
          </w:p>
        </w:tc>
        <w:tc>
          <w:tcPr>
            <w:tcW w:w="3360" w:type="dxa"/>
          </w:tcPr>
          <w:p w14:paraId="5049731D" w14:textId="77777777" w:rsidR="00494B49" w:rsidRDefault="00494B49">
            <w:r>
              <w:t>–$1,000</w:t>
            </w:r>
          </w:p>
        </w:tc>
      </w:tr>
      <w:tr w:rsidR="00494B49" w14:paraId="1A4830D3" w14:textId="77777777">
        <w:tc>
          <w:tcPr>
            <w:tcW w:w="3360" w:type="dxa"/>
          </w:tcPr>
          <w:p w14:paraId="0E9506D6" w14:textId="77777777" w:rsidR="00494B49" w:rsidRDefault="00494B49"/>
        </w:tc>
        <w:tc>
          <w:tcPr>
            <w:tcW w:w="3360" w:type="dxa"/>
          </w:tcPr>
          <w:p w14:paraId="0633E8F5" w14:textId="77777777" w:rsidR="00494B49" w:rsidRDefault="00494B49"/>
        </w:tc>
        <w:tc>
          <w:tcPr>
            <w:tcW w:w="3360" w:type="dxa"/>
          </w:tcPr>
          <w:p w14:paraId="107CAEBD" w14:textId="77777777" w:rsidR="00494B49" w:rsidRDefault="00494B49"/>
        </w:tc>
      </w:tr>
      <w:tr w:rsidR="00494B49" w14:paraId="1A80738E" w14:textId="77777777">
        <w:tc>
          <w:tcPr>
            <w:tcW w:w="3360" w:type="dxa"/>
          </w:tcPr>
          <w:p w14:paraId="5E85CFEA" w14:textId="77777777" w:rsidR="00494B49" w:rsidRDefault="00494B49">
            <w:r>
              <w:t>Total AGI / NII</w:t>
            </w:r>
          </w:p>
        </w:tc>
        <w:tc>
          <w:tcPr>
            <w:tcW w:w="3360" w:type="dxa"/>
          </w:tcPr>
          <w:p w14:paraId="4E8625DD" w14:textId="77777777" w:rsidR="00494B49" w:rsidRDefault="00494B49">
            <w:r>
              <w:t>$15,000</w:t>
            </w:r>
          </w:p>
        </w:tc>
        <w:tc>
          <w:tcPr>
            <w:tcW w:w="3360" w:type="dxa"/>
          </w:tcPr>
          <w:p w14:paraId="0B6771AB" w14:textId="77777777" w:rsidR="00494B49" w:rsidRDefault="00494B49">
            <w:r>
              <w:t>$15,000</w:t>
            </w:r>
          </w:p>
        </w:tc>
      </w:tr>
      <w:tr w:rsidR="00494B49" w14:paraId="2E95930A" w14:textId="77777777">
        <w:tc>
          <w:tcPr>
            <w:tcW w:w="3360" w:type="dxa"/>
          </w:tcPr>
          <w:p w14:paraId="4CDDDE89" w14:textId="77777777" w:rsidR="00494B49" w:rsidRDefault="00494B49"/>
        </w:tc>
        <w:tc>
          <w:tcPr>
            <w:tcW w:w="3360" w:type="dxa"/>
          </w:tcPr>
          <w:p w14:paraId="76AF0056" w14:textId="77777777" w:rsidR="00494B49" w:rsidRDefault="00494B49"/>
        </w:tc>
        <w:tc>
          <w:tcPr>
            <w:tcW w:w="3360" w:type="dxa"/>
          </w:tcPr>
          <w:p w14:paraId="32ACE9E4" w14:textId="77777777" w:rsidR="00494B49" w:rsidRDefault="00494B49"/>
        </w:tc>
      </w:tr>
      <w:tr w:rsidR="00494B49" w14:paraId="20E98EDE" w14:textId="77777777">
        <w:tc>
          <w:tcPr>
            <w:tcW w:w="3360" w:type="dxa"/>
          </w:tcPr>
          <w:p w14:paraId="3B36BDDA" w14:textId="77777777" w:rsidR="00494B49" w:rsidRDefault="00494B49">
            <w:r>
              <w:t>Ending Susp PAL</w:t>
            </w:r>
          </w:p>
        </w:tc>
        <w:tc>
          <w:tcPr>
            <w:tcW w:w="3360" w:type="dxa"/>
          </w:tcPr>
          <w:p w14:paraId="3E1E1828" w14:textId="77777777" w:rsidR="00494B49" w:rsidRDefault="00494B49">
            <w:r>
              <w:t>None</w:t>
            </w:r>
          </w:p>
        </w:tc>
        <w:tc>
          <w:tcPr>
            <w:tcW w:w="3360" w:type="dxa"/>
          </w:tcPr>
          <w:p w14:paraId="239186B5" w14:textId="77777777" w:rsidR="00494B49" w:rsidRDefault="00494B49">
            <w:r>
              <w:t>None</w:t>
            </w:r>
          </w:p>
        </w:tc>
      </w:tr>
      <w:tr w:rsidR="00494B49" w14:paraId="752EAA05" w14:textId="77777777">
        <w:tc>
          <w:tcPr>
            <w:tcW w:w="3360" w:type="dxa"/>
          </w:tcPr>
          <w:p w14:paraId="3B1AAE92" w14:textId="77777777" w:rsidR="00494B49" w:rsidRDefault="00494B49">
            <w:r>
              <w:t>FPAL Used</w:t>
            </w:r>
          </w:p>
        </w:tc>
        <w:tc>
          <w:tcPr>
            <w:tcW w:w="3360" w:type="dxa"/>
          </w:tcPr>
          <w:p w14:paraId="09A7DB4D" w14:textId="77777777" w:rsidR="00494B49" w:rsidRDefault="00494B49">
            <w:r>
              <w:t>$10,000</w:t>
            </w:r>
          </w:p>
        </w:tc>
        <w:tc>
          <w:tcPr>
            <w:tcW w:w="3360" w:type="dxa"/>
          </w:tcPr>
          <w:p w14:paraId="0794DEA9" w14:textId="77777777" w:rsidR="00494B49" w:rsidRDefault="00494B49">
            <w:r>
              <w:t>$1,500</w:t>
            </w:r>
          </w:p>
        </w:tc>
      </w:tr>
    </w:tbl>
    <w:p w14:paraId="1A3D7D9A" w14:textId="77777777" w:rsidR="00494B49" w:rsidRDefault="00494B49">
      <w:pPr>
        <w:pStyle w:val="BNormal"/>
      </w:pPr>
    </w:p>
    <w:p w14:paraId="4408331E" w14:textId="77777777" w:rsidR="00494B49" w:rsidRDefault="00494B49">
      <w:pPr>
        <w:pStyle w:val="BExamplepara"/>
      </w:pPr>
      <w:r>
        <w:lastRenderedPageBreak/>
        <w:t xml:space="preserve">In this example, Reg. </w:t>
      </w:r>
      <w:smartTag w:uri="http://www.bna.com/sgml2word/cite" w:element="cite.cfr">
        <w:smartTagPr>
          <w:attr w:name="ref" w:val="cfr\26\1.1411-4(g)(8)(i)"/>
        </w:smartTagPr>
        <w:r>
          <w:t>§1.1411-4(g)(8)(i)</w:t>
        </w:r>
      </w:smartTag>
      <w:r>
        <w:t xml:space="preserve"> disallows the use of the $7,000 of suspended losses because the net investment income tax base does not include the net nonpassive income. The $2,000 of gain (which is treated as nonpassive income from a former passive activity) is fully includible in net investment income under </w:t>
      </w:r>
      <w:smartTag w:uri="http://www.bna.com/sgml2word/cite" w:element="cite.usc">
        <w:smartTagPr>
          <w:attr w:name="ref" w:val="USC\26\1411(c)(1)(A)(iii)"/>
        </w:smartTagPr>
        <w:r>
          <w:t>§1411(c)(1)(A)(iii)</w:t>
        </w:r>
      </w:smartTag>
      <w:r>
        <w:t xml:space="preserve"> as net gain. However, the taxpayer is able to exclude $1,500 of this gain by reason of </w:t>
      </w:r>
      <w:smartTag w:uri="http://www.bna.com/sgml2word/cite" w:element="cite.usc">
        <w:smartTagPr>
          <w:attr w:name="ref" w:val="USC\26\1411(c)(4)"/>
        </w:smartTagPr>
        <w:r>
          <w:t>§1411(c)(4)</w:t>
        </w:r>
      </w:smartTag>
      <w:r>
        <w:t xml:space="preserve"> and Prop. Reg. </w:t>
      </w:r>
      <w:smartTag w:uri="http://www.bna.com/sgml2word/cite" w:element="cite.cfr">
        <w:smartTagPr>
          <w:attr w:name="ref" w:val="prule\cfr\26\1.1411-7"/>
        </w:smartTagPr>
        <w:r>
          <w:t>§1.1411-7</w:t>
        </w:r>
      </w:smartTag>
      <w:r>
        <w:t xml:space="preserve">. As a result, only $500 of nonpassive income from the former passive activity is net investment income. As a result, Reg. </w:t>
      </w:r>
      <w:smartTag w:uri="http://www.bna.com/sgml2word/cite" w:element="cite.cfr">
        <w:smartTagPr>
          <w:attr w:name="ref" w:val="cfr\26\1.1411-4(g)(8)(i)"/>
        </w:smartTagPr>
        <w:r>
          <w:t>§1.1411-4(g)(8)(i)</w:t>
        </w:r>
      </w:smartTag>
      <w:r>
        <w:t xml:space="preserve"> allows $500 of the suspended passive loss to offset the $500. For regular tax purposes, the taxpayer has used $9,000 of suspended passive losses. The remaining $1,000 passive loss attributable to the former passive activity offsets the passive income from the rental activity. In this case, there will be no </w:t>
      </w:r>
      <w:smartTag w:uri="http://www.bna.com/sgml2word/cite" w:element="cite.usc">
        <w:smartTagPr>
          <w:attr w:name="ref" w:val="USC\26\469(g)(1)"/>
        </w:smartTagPr>
        <w:r>
          <w:t>§469(g)(1)</w:t>
        </w:r>
      </w:smartTag>
      <w:r>
        <w:t xml:space="preserve"> loss used.</w:t>
      </w:r>
      <w:r>
        <w:rPr>
          <w:rStyle w:val="FootnoteReference"/>
        </w:rPr>
        <w:footnoteReference w:id="723"/>
      </w:r>
    </w:p>
    <w:p w14:paraId="099DEC41" w14:textId="77777777" w:rsidR="00494B49" w:rsidRDefault="00494B49">
      <w:pPr>
        <w:pStyle w:val="BNormal"/>
      </w:pPr>
      <w:r>
        <w:t xml:space="preserve">Although these two examples illustrate the concept of Reg. </w:t>
      </w:r>
      <w:smartTag w:uri="http://www.bna.com/sgml2word/cite" w:element="cite.cfr">
        <w:smartTagPr>
          <w:attr w:name="ref" w:val="cfr\26\1.1411-4(g)(8)(i)"/>
        </w:smartTagPr>
        <w:r>
          <w:t>§1.1411-4(g)(8)(i)</w:t>
        </w:r>
      </w:smartTag>
      <w:r>
        <w:t xml:space="preserve">, it quickly becomes complicated when the former passive activity has suspended passive losses of varying character types (e.g., suspended long-term capital losses, suspended operating losses, suspended </w:t>
      </w:r>
      <w:smartTag w:uri="http://www.bna.com/sgml2word/cite" w:element="cite.usc">
        <w:smartTagPr>
          <w:attr w:name="ref" w:val="USC\26\1231"/>
        </w:smartTagPr>
        <w:r>
          <w:t>§1231</w:t>
        </w:r>
      </w:smartTag>
      <w:r>
        <w:t xml:space="preserve"> losses). In this situation, the mechanics of Reg. </w:t>
      </w:r>
      <w:smartTag w:uri="http://www.bna.com/sgml2word/cite" w:element="cite.cfr">
        <w:smartTagPr>
          <w:attr w:name="ref" w:val="cfr\26\1.1411-4(g)(8)(i)"/>
        </w:smartTagPr>
        <w:r>
          <w:t>§1.1411-4(g)(8)(i)</w:t>
        </w:r>
      </w:smartTag>
      <w:r>
        <w:t xml:space="preserve"> address the treatment of the aggregate </w:t>
      </w:r>
      <w:smartTag w:uri="http://www.bna.com/sgml2word/cite" w:element="cite.usc">
        <w:smartTagPr>
          <w:attr w:name="ref" w:val="USC\26\469(f)(1)(A)"/>
        </w:smartTagPr>
        <w:r>
          <w:t>§469(f)(1)(A)</w:t>
        </w:r>
      </w:smartTag>
      <w:r>
        <w:t xml:space="preserve"> and </w:t>
      </w:r>
      <w:smartTag w:uri="http://www.bna.com/sgml2word/cite" w:element="cite.usc">
        <w:smartTagPr>
          <w:attr w:name="ref" w:val="USC\26\469(f)(1)(C)"/>
        </w:smartTagPr>
        <w:r>
          <w:t>§469(f)(1)(C)</w:t>
        </w:r>
      </w:smartTag>
      <w:r>
        <w:t xml:space="preserve"> losses, but do not get into intimate detail regarding how they operate when the losses have varying character. For those mechanics, the </w:t>
      </w:r>
      <w:smartTag w:uri="http://www.bna.com/sgml2word/cite" w:element="cite.usc">
        <w:smartTagPr>
          <w:attr w:name="ref" w:val="USC\26\469"/>
        </w:smartTagPr>
        <w:r>
          <w:t>§469</w:t>
        </w:r>
      </w:smartTag>
      <w:r>
        <w:t xml:space="preserve"> rules will govern the “output” for regular tax purposes, and Reg. </w:t>
      </w:r>
      <w:smartTag w:uri="http://www.bna.com/sgml2word/cite" w:element="cite.cfr">
        <w:smartTagPr>
          <w:attr w:name="ref" w:val="cfr\26\1.1411-4(g)(8)(i)"/>
        </w:smartTagPr>
        <w:r>
          <w:t>§1.1411-4(g)(8)(i)</w:t>
        </w:r>
      </w:smartTag>
      <w:r>
        <w:t xml:space="preserve"> will pick up from there. </w:t>
      </w:r>
    </w:p>
    <w:p w14:paraId="0A7D31BD" w14:textId="77777777" w:rsidR="00494B49" w:rsidRDefault="00494B49">
      <w:pPr>
        <w:pStyle w:val="BHead3"/>
      </w:pPr>
      <w:r>
        <w:t xml:space="preserve">d. Section 469(g) — Deductions on Final Disposition </w:t>
      </w:r>
    </w:p>
    <w:p w14:paraId="7FE9D501" w14:textId="77777777" w:rsidR="00494B49" w:rsidRDefault="00494B49">
      <w:pPr>
        <w:pStyle w:val="BNormal"/>
      </w:pPr>
      <w:r>
        <w:t xml:space="preserve">In general, </w:t>
      </w:r>
      <w:smartTag w:uri="http://www.bna.com/sgml2word/cite" w:element="cite.usc">
        <w:smartTagPr>
          <w:attr w:name="ref" w:val="USC\26\469(g)(1)"/>
        </w:smartTagPr>
        <w:r>
          <w:t>§469(g)(1)</w:t>
        </w:r>
      </w:smartTag>
      <w:r>
        <w:t xml:space="preserve"> provides, in relevant part, that if all gain or loss realized on a disposition is recognized, the excess of any loss from that activity for the tax year (determined after the application of </w:t>
      </w:r>
      <w:smartTag w:uri="http://www.bna.com/sgml2word/cite" w:element="cite.usc">
        <w:smartTagPr>
          <w:attr w:name="ref" w:val="USC\26\469(b)"/>
        </w:smartTagPr>
        <w:r>
          <w:t>§469(b)</w:t>
        </w:r>
      </w:smartTag>
      <w:r>
        <w:t xml:space="preserve">), over any net income or gain for that tax year from all other passive activities (determined after the application of </w:t>
      </w:r>
      <w:smartTag w:uri="http://www.bna.com/sgml2word/cite" w:element="cite.usc">
        <w:smartTagPr>
          <w:attr w:name="ref" w:val="USC\26\469(b)"/>
        </w:smartTagPr>
        <w:r>
          <w:t>§469(b)</w:t>
        </w:r>
      </w:smartTag>
      <w:r>
        <w:t xml:space="preserve">), shall be treated as a loss that is not from a passive activity. For a detailed discussion of </w:t>
      </w:r>
      <w:smartTag w:uri="http://www.bna.com/sgml2word/cite" w:element="cite.usc">
        <w:smartTagPr>
          <w:attr w:name="ref" w:val="USC\26\469(g)"/>
        </w:smartTagPr>
        <w:r>
          <w:t>§469(g)</w:t>
        </w:r>
      </w:smartTag>
      <w:r>
        <w:t xml:space="preserve"> losses, </w:t>
      </w:r>
      <w:smartTag w:uri="http://www.bna.com/sgml2word/cite" w:element="cite.bna.reference">
        <w:smartTagPr>
          <w:attr w:name="bna.id.ref" w:val="TM\549"/>
        </w:smartTagPr>
        <w:r>
          <w:t>549 T.M.</w:t>
        </w:r>
      </w:smartTag>
      <w:r>
        <w:t xml:space="preserve">, </w:t>
      </w:r>
      <w:r>
        <w:rPr>
          <w:i/>
        </w:rPr>
        <w:t>Passive Loss Rules</w:t>
      </w:r>
      <w:r>
        <w:t>.</w:t>
      </w:r>
    </w:p>
    <w:p w14:paraId="489D9427" w14:textId="77777777" w:rsidR="00494B49" w:rsidRDefault="00494B49">
      <w:pPr>
        <w:pStyle w:val="BNormal"/>
      </w:pPr>
      <w:r>
        <w:t xml:space="preserve">In the preamble to the 2012 Proposed Regulations, the IRS requested comments on “whether the losses triggered under </w:t>
      </w:r>
      <w:smartTag w:uri="http://www.bna.com/sgml2word/cite" w:element="cite.usc">
        <w:smartTagPr>
          <w:attr w:name="ref" w:val="USC\26\469(g)(1)"/>
        </w:smartTagPr>
        <w:r>
          <w:t>§469(g)(1)</w:t>
        </w:r>
      </w:smartTag>
      <w:r>
        <w:t xml:space="preserve"> upon the disposition should be taken into account in determining the taxpayer’s net gain on the disposition of the activity under </w:t>
      </w:r>
      <w:smartTag w:uri="http://www.bna.com/sgml2word/cite" w:element="cite.usc">
        <w:smartTagPr>
          <w:attr w:name="ref" w:val="USC\26\1411(c)(1)(A)(iii)"/>
        </w:smartTagPr>
        <w:r>
          <w:t>§1411(c)(1)(A)(iii)</w:t>
        </w:r>
      </w:smartTag>
      <w:r>
        <w:t xml:space="preserve"> or whether the losses should be considered properly allocable deductions to gross income and net gain described in </w:t>
      </w:r>
      <w:smartTag w:uri="http://www.bna.com/sgml2word/cite" w:element="cite.usc">
        <w:smartTagPr>
          <w:attr w:name="ref" w:val="USC\26\1411(c)(1)(A)(i)"/>
        </w:smartTagPr>
        <w:r>
          <w:t>§1411(c)(1)(A)(i) through (iii)</w:t>
        </w:r>
      </w:smartTag>
      <w:r>
        <w:t xml:space="preserve">.” Because </w:t>
      </w:r>
      <w:smartTag w:uri="http://www.bna.com/sgml2word/cite" w:element="cite.usc">
        <w:smartTagPr>
          <w:attr w:name="ref" w:val="USC\26\469(g)(1)"/>
        </w:smartTagPr>
        <w:r>
          <w:t>§469(g)(1)</w:t>
        </w:r>
      </w:smartTag>
      <w:r>
        <w:t xml:space="preserve"> provides that the allowed loss is treated as a loss that “is not from a passive activity,” there was a question whether this language prevents the allowed losses from being treated as “properly allocable deductions” from passive activities for NIIT purposes.</w:t>
      </w:r>
      <w:r>
        <w:rPr>
          <w:rStyle w:val="FootnoteReference"/>
        </w:rPr>
        <w:footnoteReference w:id="724"/>
      </w:r>
      <w:r>
        <w:t xml:space="preserve"> The 2013 Final Regulations provide that </w:t>
      </w:r>
      <w:smartTag w:uri="http://www.bna.com/sgml2word/cite" w:element="cite.usc">
        <w:smartTagPr>
          <w:attr w:name="ref" w:val="USC\26\469(g)"/>
        </w:smartTagPr>
        <w:r>
          <w:t>§469(g)</w:t>
        </w:r>
      </w:smartTag>
      <w:r>
        <w:t xml:space="preserve"> losses, </w:t>
      </w:r>
      <w:r>
        <w:lastRenderedPageBreak/>
        <w:t>which are treated as losses from a nonpassive activity, are taken into account for net investment income purposes in the same manner in which they are taken into account for Chapter 1 purposes.</w:t>
      </w:r>
      <w:r>
        <w:rPr>
          <w:rStyle w:val="FootnoteReference"/>
        </w:rPr>
        <w:footnoteReference w:id="725"/>
      </w:r>
    </w:p>
    <w:p w14:paraId="604981B2" w14:textId="77777777" w:rsidR="00494B49" w:rsidRDefault="00494B49">
      <w:pPr>
        <w:pStyle w:val="BNormal"/>
      </w:pPr>
      <w:r>
        <w:rPr>
          <w:i/>
        </w:rPr>
        <w:t>Comment:</w:t>
      </w:r>
      <w:r>
        <w:t xml:space="preserve"> As discussed in the context of </w:t>
      </w:r>
      <w:smartTag w:uri="http://www.bna.com/sgml2word/cite" w:element="cite.usc">
        <w:smartTagPr>
          <w:attr w:name="ref" w:val="USC\26\469(f)"/>
        </w:smartTagPr>
        <w:r>
          <w:t>§469(f)</w:t>
        </w:r>
      </w:smartTag>
      <w:r>
        <w:t xml:space="preserve"> in </w:t>
      </w:r>
      <w:smartTag w:uri="http://www.bna.com/sgml2word/cite" w:element="cite.bna.reference">
        <w:smartTagPr>
          <w:attr w:name="bna.id.ref" w:val="TM\511.V.F.2.c"/>
        </w:smartTagPr>
        <w:r>
          <w:t>V.F.2.c.</w:t>
        </w:r>
      </w:smartTag>
      <w:smartTag w:uri="http://www.bna.com/sgml2word/cite" w:element="cite.bna.reference">
        <w:smartTagPr>
          <w:attr w:name="bna.id.ref" w:val="TM\873.V.F.2.c"/>
        </w:smartTagPr>
        <w:r>
          <w:t>V.F.2.c.</w:t>
        </w:r>
      </w:smartTag>
      <w:r>
        <w:t xml:space="preserve">, above, the passive loss rules do not alter the character or nature of the suspended passive loss. If the suspended losses allowed as a current year deduction by reason of </w:t>
      </w:r>
      <w:smartTag w:uri="http://www.bna.com/sgml2word/cite" w:element="cite.usc">
        <w:smartTagPr>
          <w:attr w:name="ref" w:val="USC\26\469(g)(1)"/>
        </w:smartTagPr>
        <w:r>
          <w:t>§469(g)(1)</w:t>
        </w:r>
      </w:smartTag>
      <w:r>
        <w:t xml:space="preserve"> are attributable to operating deductions in excess of operating income, such suspended losses retain that character as, in most cases,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However,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when they are ultimately allowed by </w:t>
      </w:r>
      <w:smartTag w:uri="http://www.bna.com/sgml2word/cite" w:element="cite.usc">
        <w:smartTagPr>
          <w:attr w:name="ref" w:val="USC\26\469"/>
        </w:smartTagPr>
        <w:r>
          <w:t>§469</w:t>
        </w:r>
      </w:smartTag>
      <w:r>
        <w:t xml:space="preserve">. Therefore, losses that are allowed by reason of </w:t>
      </w:r>
      <w:smartTag w:uri="http://www.bna.com/sgml2word/cite" w:element="cite.usc">
        <w:smartTagPr>
          <w:attr w:name="ref" w:val="USC\26\469(g)"/>
        </w:smartTagPr>
        <w:r>
          <w:t>§469(g)</w:t>
        </w:r>
      </w:smartTag>
      <w:r>
        <w:t xml:space="preserve"> may constitute properly allocable deductions under </w:t>
      </w:r>
      <w:smartTag w:uri="http://www.bna.com/sgml2word/cite" w:element="cite.usc">
        <w:smartTagPr>
          <w:attr w:name="ref" w:val="USC\26\1411(c)(1)(B)"/>
        </w:smartTagPr>
        <w:r>
          <w:t>§1411(c)(1)(B)</w:t>
        </w:r>
      </w:smartTag>
      <w:r>
        <w:t xml:space="preserve"> or may be included in the calculation of net gain in </w:t>
      </w:r>
      <w:smartTag w:uri="http://www.bna.com/sgml2word/cite" w:element="cite.usc">
        <w:smartTagPr>
          <w:attr w:name="ref" w:val="USC\26\1411(c)(1)(A)(iii)"/>
        </w:smartTagPr>
        <w:r>
          <w:t>§1411(c)(1)(A)(iii)</w:t>
        </w:r>
      </w:smartTag>
      <w:r>
        <w:t xml:space="preserve"> in the year they are allowed, depending on the underlying character and origin of those losses.</w:t>
      </w:r>
    </w:p>
    <w:p w14:paraId="7F016838" w14:textId="77777777" w:rsidR="00494B49" w:rsidRDefault="00494B49">
      <w:pPr>
        <w:pStyle w:val="BHead2"/>
      </w:pPr>
      <w:r>
        <w:t>3. Excess Business Losses Disallowed by §461(l)</w:t>
      </w:r>
    </w:p>
    <w:p w14:paraId="74083562" w14:textId="77777777" w:rsidR="00494B49" w:rsidRDefault="00494B49">
      <w:pPr>
        <w:pStyle w:val="BNormal"/>
      </w:pPr>
      <w:r>
        <w:t xml:space="preserve">For tax years beginning in 2021 through 2028, </w:t>
      </w:r>
      <w:smartTag w:uri="http://www.bna.com/sgml2word/cite" w:element="cite.usc">
        <w:smartTagPr>
          <w:attr w:name="ref" w:val="USC\26\461(l)"/>
        </w:smartTagPr>
        <w:r>
          <w:t>§461(l)</w:t>
        </w:r>
      </w:smartTag>
      <w:r>
        <w:t xml:space="preserve"> provides that an excess business loss of a taxpayer (other than a corporation) is not allowed for the tax year.</w:t>
      </w:r>
      <w:r>
        <w:rPr>
          <w:rStyle w:val="FootnoteReference"/>
        </w:rPr>
        <w:footnoteReference w:id="726"/>
      </w:r>
      <w:r>
        <w:t xml:space="preserve"> The disallowed excess business loss is treated as a net operating loss (NOL) for the tax year for purposes of determining any NOL carryover for later tax years. An excess business loss for the tax year is the excess (if any) of the taxpayer’s aggregate deductions that are attributable to trades or businesses of the taxpayer, over the sum of the taxpayer’s aggregate gross income or gain attributable to such trades or businesses, plus a threshold amount.</w:t>
      </w:r>
      <w:r>
        <w:rPr>
          <w:rStyle w:val="FootnoteReference"/>
        </w:rPr>
        <w:footnoteReference w:id="727"/>
      </w:r>
    </w:p>
    <w:p w14:paraId="79F4F958" w14:textId="77777777" w:rsidR="00494B49" w:rsidRDefault="00494B49">
      <w:pPr>
        <w:pStyle w:val="BNormal"/>
      </w:pPr>
      <w:r>
        <w:t xml:space="preserve">Generally, the aggregate deductions taken into account to determine the excess business loss of the taxpayer for the tax year that are attributable to trades or businesses of the taxpayer are determined without regard to the limitation of the provision, and without regard to any deduction under </w:t>
      </w:r>
      <w:smartTag w:uri="http://www.bna.com/sgml2word/cite" w:element="cite.usc">
        <w:smartTagPr>
          <w:attr w:name="ref" w:val="USC\26\172"/>
        </w:smartTagPr>
        <w:r>
          <w:t>§172</w:t>
        </w:r>
      </w:smartTag>
      <w:r>
        <w:t xml:space="preserve"> or </w:t>
      </w:r>
      <w:smartTag w:uri="http://www.bna.com/sgml2word/cite" w:element="cite.usc">
        <w:smartTagPr>
          <w:attr w:name="ref" w:val="USC\26\199A"/>
        </w:smartTagPr>
        <w:r>
          <w:t>§199A</w:t>
        </w:r>
      </w:smartTag>
      <w:r>
        <w:t>.</w:t>
      </w:r>
    </w:p>
    <w:p w14:paraId="460E91D7" w14:textId="77777777" w:rsidR="00494B49" w:rsidRDefault="00494B49">
      <w:pPr>
        <w:pStyle w:val="BNormal"/>
      </w:pPr>
      <w:r>
        <w:t xml:space="preserve">Other than the </w:t>
      </w:r>
      <w:hyperlink r:id="rId15" w:history="1">
        <w:r>
          <w:rPr>
            <w:rStyle w:val="Hyperlink"/>
          </w:rPr>
          <w:t>Instructions for Form 461</w:t>
        </w:r>
      </w:hyperlink>
      <w:r>
        <w:t xml:space="preserve">, the Treasury Department and the IRS have not issued guidance pertaining to </w:t>
      </w:r>
      <w:smartTag w:uri="http://www.bna.com/sgml2word/cite" w:element="cite.usc">
        <w:smartTagPr>
          <w:attr w:name="ref" w:val="USC\26\461(l)"/>
        </w:smartTagPr>
        <w:r>
          <w:t>§461(l)</w:t>
        </w:r>
      </w:smartTag>
      <w:r>
        <w:t xml:space="preserve"> generally, or to its interaction with </w:t>
      </w:r>
      <w:smartTag w:uri="http://www.bna.com/sgml2word/cite" w:element="cite.usc">
        <w:smartTagPr>
          <w:attr w:name="ref" w:val="USC\26\1411"/>
        </w:smartTagPr>
        <w:r>
          <w:t>§1411</w:t>
        </w:r>
      </w:smartTag>
      <w:r>
        <w:t xml:space="preserve"> (or self-employment tax, for that matter). As a result, until guidance is issued, taxpayers are left to themselves to discern how </w:t>
      </w:r>
      <w:smartTag w:uri="http://www.bna.com/sgml2word/cite" w:element="cite.usc">
        <w:smartTagPr>
          <w:attr w:name="ref" w:val="USC\26\461(l)"/>
        </w:smartTagPr>
        <w:r>
          <w:t>§461(l)</w:t>
        </w:r>
      </w:smartTag>
      <w:r>
        <w:t xml:space="preserve"> should interact with </w:t>
      </w:r>
      <w:smartTag w:uri="http://www.bna.com/sgml2word/cite" w:element="cite.usc">
        <w:smartTagPr>
          <w:attr w:name="ref" w:val="USC\26\1411"/>
        </w:smartTagPr>
        <w:r>
          <w:t>§1411</w:t>
        </w:r>
      </w:smartTag>
      <w:r>
        <w:t>. Fortunately, the 2013 Final Regulations contain some guideposts that taxpayers could mimick.</w:t>
      </w:r>
    </w:p>
    <w:p w14:paraId="37FDBC19" w14:textId="77777777" w:rsidR="00494B49" w:rsidRDefault="00494B49">
      <w:pPr>
        <w:pStyle w:val="BNormal"/>
      </w:pPr>
      <w:r>
        <w:t xml:space="preserve">As a fundamental principal, </w:t>
      </w:r>
      <w:smartTag w:uri="http://www.bna.com/sgml2word/cite" w:element="cite.usc">
        <w:smartTagPr>
          <w:attr w:name="ref" w:val="USC\26\461(l)"/>
        </w:smartTagPr>
        <w:r>
          <w:t>§461(l)</w:t>
        </w:r>
      </w:smartTag>
      <w:r>
        <w:t xml:space="preserve"> is a deduction disallowance provision. Therefore, deductions that are disallowed by </w:t>
      </w:r>
      <w:smartTag w:uri="http://www.bna.com/sgml2word/cite" w:element="cite.usc">
        <w:smartTagPr>
          <w:attr w:name="ref" w:val="USC\26\461(l)"/>
        </w:smartTagPr>
        <w:r>
          <w:t>§461(l)</w:t>
        </w:r>
      </w:smartTag>
      <w:r>
        <w:t xml:space="preserve"> are not allowed in arriving at taxable income, and </w:t>
      </w:r>
      <w:smartTag w:uri="http://www.bna.com/sgml2word/cite" w:element="cite.usc">
        <w:smartTagPr>
          <w:attr w:name="ref" w:val="USC\26\1411(c)(1)(B)"/>
        </w:smartTagPr>
        <w:r>
          <w:t>§1411(c)(1)(B)</w:t>
        </w:r>
      </w:smartTag>
      <w:r>
        <w:t xml:space="preserve"> similarly does not allow them as “properly allocable” to net investment income (NII).</w:t>
      </w:r>
      <w:r>
        <w:rPr>
          <w:rStyle w:val="FootnoteReference"/>
        </w:rPr>
        <w:footnoteReference w:id="728"/>
      </w:r>
      <w:r>
        <w:t xml:space="preserve"> There are many questions on how this should legally and mechanically work. </w:t>
      </w:r>
      <w:smartTag w:uri="http://www.bna.com/sgml2word/cite" w:element="cite.fed.form">
        <w:smartTagPr>
          <w:attr w:name="ref" w:val="irs\form8960"/>
        </w:smartTagPr>
        <w:r>
          <w:t>Form 8960</w:t>
        </w:r>
      </w:smartTag>
      <w:r>
        <w:t xml:space="preserve">, </w:t>
      </w:r>
      <w:r>
        <w:rPr>
          <w:i/>
        </w:rPr>
        <w:t xml:space="preserve">Net </w:t>
      </w:r>
      <w:r>
        <w:rPr>
          <w:i/>
        </w:rPr>
        <w:lastRenderedPageBreak/>
        <w:t>Investment Income Tax Individuals, Estates, and Trusts</w:t>
      </w:r>
      <w:r>
        <w:t xml:space="preserve">, was designed for simplicity by providing that net amounts from Schedules D, E, F and </w:t>
      </w:r>
      <w:smartTag w:uri="http://www.bna.com/sgml2word/cite" w:element="cite.fed.form">
        <w:smartTagPr>
          <w:attr w:name="ref" w:val="irs\form4797"/>
        </w:smartTagPr>
        <w:r>
          <w:t>Form 4797</w:t>
        </w:r>
      </w:smartTag>
      <w:r>
        <w:t xml:space="preserve">, </w:t>
      </w:r>
      <w:r>
        <w:rPr>
          <w:i/>
        </w:rPr>
        <w:t>Sales of Business Property</w:t>
      </w:r>
      <w:r>
        <w:t xml:space="preserve">, are pulled directly onto Lines 4a or 5a, and non-NII items are then backed out. However, </w:t>
      </w:r>
      <w:smartTag w:uri="http://www.bna.com/sgml2word/cite" w:element="cite.fed.form">
        <w:smartTagPr>
          <w:attr w:name="ref" w:val="irs\form461"/>
        </w:smartTagPr>
        <w:r>
          <w:t>Form 461</w:t>
        </w:r>
      </w:smartTag>
      <w:r>
        <w:t xml:space="preserve">, </w:t>
      </w:r>
      <w:r>
        <w:rPr>
          <w:i/>
        </w:rPr>
        <w:t>Limitation on Business Losses</w:t>
      </w:r>
      <w:r>
        <w:t xml:space="preserve">, provides that any amount disallowed under </w:t>
      </w:r>
      <w:smartTag w:uri="http://www.bna.com/sgml2word/cite" w:element="cite.usc">
        <w:smartTagPr>
          <w:attr w:name="ref" w:val="USC\26\461(l)"/>
        </w:smartTagPr>
        <w:r>
          <w:t>§461(l)</w:t>
        </w:r>
      </w:smartTag>
      <w:r>
        <w:t xml:space="preserve"> is added back to AGI as generic “other income” rather than being apportioned between the forms and schedules that originated the deductions. This is mechanically different from </w:t>
      </w:r>
      <w:smartTag w:uri="http://www.bna.com/sgml2word/cite" w:element="cite.fed.form">
        <w:smartTagPr>
          <w:attr w:name="ref" w:val="irs\form6198"/>
        </w:smartTagPr>
        <w:r>
          <w:t>Form 6198</w:t>
        </w:r>
      </w:smartTag>
      <w:r>
        <w:t xml:space="preserve">, </w:t>
      </w:r>
      <w:r>
        <w:rPr>
          <w:i/>
        </w:rPr>
        <w:t>At-Risk Limitations</w:t>
      </w:r>
      <w:r>
        <w:t xml:space="preserve">, and </w:t>
      </w:r>
      <w:smartTag w:uri="http://www.bna.com/sgml2word/cite" w:element="cite.fed.form">
        <w:smartTagPr>
          <w:attr w:name="ref" w:val="irs\form8582"/>
        </w:smartTagPr>
        <w:r>
          <w:t>Form 8582</w:t>
        </w:r>
      </w:smartTag>
      <w:r>
        <w:t xml:space="preserve">, </w:t>
      </w:r>
      <w:r>
        <w:rPr>
          <w:i/>
        </w:rPr>
        <w:t>Passive Activity Loss Limitations</w:t>
      </w:r>
      <w:r>
        <w:t xml:space="preserve">, where the deductions are suspended and disallowed on a per-form/per-schedule basis. Therefore, it’s logical to conclude that the compliance mechanics of </w:t>
      </w:r>
      <w:smartTag w:uri="http://www.bna.com/sgml2word/cite" w:element="cite.usc">
        <w:smartTagPr>
          <w:attr w:name="ref" w:val="USC\26\461(l)"/>
        </w:smartTagPr>
        <w:r>
          <w:t>§461(l)</w:t>
        </w:r>
      </w:smartTag>
      <w:r>
        <w:t xml:space="preserve"> will be different from the compliance mechanics for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w:t>
      </w:r>
    </w:p>
    <w:p w14:paraId="1C25E081" w14:textId="77777777" w:rsidR="00494B49" w:rsidRDefault="00494B49">
      <w:pPr>
        <w:pStyle w:val="BNormal"/>
      </w:pPr>
      <w:r>
        <w:t xml:space="preserve">For purposes of dealing with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we will start with the legal basis for the calculation, and then work through the interaction between </w:t>
      </w:r>
      <w:smartTag w:uri="http://www.bna.com/sgml2word/cite" w:element="cite.fed.form">
        <w:smartTagPr>
          <w:attr w:name="ref" w:val="irs\form461"/>
        </w:smartTagPr>
        <w:r>
          <w:t>Form 461</w:t>
        </w:r>
      </w:smartTag>
      <w:r>
        <w:t xml:space="preserve"> and </w:t>
      </w:r>
      <w:smartTag w:uri="http://www.bna.com/sgml2word/cite" w:element="cite.agency.doc">
        <w:smartTagPr>
          <w:attr w:name="ref" w:val="irs\form8960"/>
        </w:smartTagPr>
        <w:r>
          <w:t>Form 8960</w:t>
        </w:r>
      </w:smartTag>
      <w:r>
        <w:t>.</w:t>
      </w:r>
    </w:p>
    <w:p w14:paraId="74226B09" w14:textId="77777777" w:rsidR="00494B49" w:rsidRDefault="00494B49">
      <w:pPr>
        <w:pStyle w:val="BNormal"/>
      </w:pPr>
      <w:r>
        <w:t xml:space="preserve">It is intuitive that if the only amounts that are disallowed under </w:t>
      </w:r>
      <w:smartTag w:uri="http://www.bna.com/sgml2word/cite" w:element="cite.usc">
        <w:smartTagPr>
          <w:attr w:name="ref" w:val="USC\26\461(l)"/>
        </w:smartTagPr>
        <w:r>
          <w:t>§461(l)</w:t>
        </w:r>
      </w:smartTag>
      <w:r>
        <w:t xml:space="preserve"> are from nonpassive businesses that are already excluded from NII (i.e., losses from a business not described in </w:t>
      </w:r>
      <w:smartTag w:uri="http://www.bna.com/sgml2word/cite" w:element="cite.usc">
        <w:smartTagPr>
          <w:attr w:name="ref" w:val="USC\26\1411(c)(2)"/>
        </w:smartTagPr>
        <w:r>
          <w:t>§1411(c)(2)</w:t>
        </w:r>
      </w:smartTag>
      <w:r>
        <w:t xml:space="preserve">), no adjustments should be needed. For example, assume Individual A has interest and dividend income of $2,000,000 and a nonpassive business loss of $700,000 (from a business not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the individual’s AGI would be $1,300,000 and NII would be $2,000,000. After </w:t>
      </w:r>
      <w:smartTag w:uri="http://www.bna.com/sgml2word/cite" w:element="cite.usc">
        <w:smartTagPr>
          <w:attr w:name="ref" w:val="USC\26\461(l)"/>
        </w:smartTagPr>
        <w:r>
          <w:t>§461(l)</w:t>
        </w:r>
      </w:smartTag>
      <w:r>
        <w:t xml:space="preserve"> was enacted, setting aside the inflation-adjusting component of the disallowance threshold, the $700,000 nonpassive loss would be limited to $500,000, as </w:t>
      </w:r>
      <w:smartTag w:uri="http://www.bna.com/sgml2word/cite" w:element="cite.fed.form">
        <w:smartTagPr>
          <w:attr w:name="ref" w:val="irs\form461"/>
        </w:smartTagPr>
        <w:r>
          <w:t>Form 461</w:t>
        </w:r>
      </w:smartTag>
      <w:r>
        <w:t xml:space="preserve"> would produce a $200,000 addback causing the individual to have an AGI of $1,500,000. </w:t>
      </w:r>
      <w:smartTag w:uri="http://www.bna.com/sgml2word/cite" w:element="cite.agency.doc">
        <w:smartTagPr>
          <w:attr w:name="ref" w:val="irs\form8960"/>
        </w:smartTagPr>
        <w:r>
          <w:t>Form 8960</w:t>
        </w:r>
      </w:smartTag>
      <w:r>
        <w:t xml:space="preserve"> would still result in NII of $2,000,000. The $700,000 loss on Schedule E would be reported on </w:t>
      </w:r>
      <w:smartTag w:uri="http://www.bna.com/sgml2word/cite" w:element="cite.agency.doc">
        <w:smartTagPr>
          <w:attr w:name="ref" w:val="irs\form8960"/>
        </w:smartTagPr>
        <w:r>
          <w:t>Form 8960</w:t>
        </w:r>
      </w:smartTag>
      <w:r>
        <w:t xml:space="preserve">, Line 4a and $700,000 would be added back on Line 4b. The NII would solely consist of the interest and dividend income of $2,000,000. In Year 2, Individual A would have a $200,000 NOL. Assume that individual A has interest and dividend income of $2,000,000 and a nonpassive business loss of $100,000 (from a business not described in </w:t>
      </w:r>
      <w:smartTag w:uri="http://www.bna.com/sgml2word/cite" w:element="cite.usc">
        <w:smartTagPr>
          <w:attr w:name="ref" w:val="USC\26\1411(c)(2)"/>
        </w:smartTagPr>
        <w:r>
          <w:t>§1411(c)(2)</w:t>
        </w:r>
      </w:smartTag>
      <w:r>
        <w:t xml:space="preserve">) reported on Schedule E. Individual A will have an AGI of $1,700,000. </w:t>
      </w:r>
      <w:smartTag w:uri="http://www.bna.com/sgml2word/cite" w:element="cite.agency.doc">
        <w:smartTagPr>
          <w:attr w:name="ref" w:val="irs\form8960"/>
        </w:smartTagPr>
        <w:r>
          <w:t>Form 8960</w:t>
        </w:r>
      </w:smartTag>
      <w:r>
        <w:t xml:space="preserve"> would still result in NII of $2,000,000. The $100,000 loss on Schedule E would be reported on </w:t>
      </w:r>
      <w:smartTag w:uri="http://www.bna.com/sgml2word/cite" w:element="cite.agency.doc">
        <w:smartTagPr>
          <w:attr w:name="ref" w:val="irs\form8960"/>
        </w:smartTagPr>
        <w:r>
          <w:t>Form 8960</w:t>
        </w:r>
      </w:smartTag>
      <w:r>
        <w:t xml:space="preserve">, Line 4a and $100,000 would be added back on Line 4b. Therefore, there should be no adjustments needed to the </w:t>
      </w:r>
      <w:smartTag w:uri="http://www.bna.com/sgml2word/cite" w:element="cite.agency.doc">
        <w:smartTagPr>
          <w:attr w:name="ref" w:val="irs\form8960"/>
        </w:smartTagPr>
        <w:r>
          <w:t>Form 8960</w:t>
        </w:r>
      </w:smartTag>
      <w:r>
        <w:t xml:space="preserve"> for either Year 1 or Year 2.</w:t>
      </w:r>
    </w:p>
    <w:p w14:paraId="67711E9F" w14:textId="77777777" w:rsidR="00494B49" w:rsidRDefault="00494B49">
      <w:pPr>
        <w:pStyle w:val="BNormal"/>
      </w:pPr>
      <w:r>
        <w:t xml:space="preserve">On the other side of the coin, it should also be intuitive that if the only amounts that are disallowed under </w:t>
      </w:r>
      <w:smartTag w:uri="http://www.bna.com/sgml2word/cite" w:element="cite.usc">
        <w:smartTagPr>
          <w:attr w:name="ref" w:val="USC\26\461(l)"/>
        </w:smartTagPr>
        <w:r>
          <w:t>§461(l)</w:t>
        </w:r>
      </w:smartTag>
      <w:r>
        <w:t xml:space="preserve"> are from nonpassive businesses that are included in NII (i.e., losses from one or more businesses described in </w:t>
      </w:r>
      <w:smartTag w:uri="http://www.bna.com/sgml2word/cite" w:element="cite.usc">
        <w:smartTagPr>
          <w:attr w:name="ref" w:val="USC\26\1411(c)(2)"/>
        </w:smartTagPr>
        <w:r>
          <w:t>§1411(c)(2)</w:t>
        </w:r>
      </w:smartTag>
      <w:r>
        <w:t>), adjustments are needed. Although this answer may seem obvious, the mechanics are less obvious.</w:t>
      </w:r>
    </w:p>
    <w:p w14:paraId="79B09865" w14:textId="77777777" w:rsidR="00494B49" w:rsidRDefault="00494B49">
      <w:pPr>
        <w:pStyle w:val="BNormal"/>
      </w:pPr>
      <w:r>
        <w:t xml:space="preserve">For example, assume Individual B has interest and dividend income of $2,000,000 and a nonpassive trading loss of $700,000 (from a business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individual B’s AGI would be $1,300,000 and such individual’s NII would be $1,300,000.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the individual to have an AGI of $1,500,000 (same as for Individual A). However, Individual B has $200,000 of deductions that would have been allowed against NII by reason of </w:t>
      </w:r>
      <w:smartTag w:uri="http://www.bna.com/sgml2word/cite" w:element="cite.usc">
        <w:smartTagPr>
          <w:attr w:name="ref" w:val="USC\26\1411(c)(1)(B)"/>
        </w:smartTagPr>
        <w:r>
          <w:t>§1411(c)(1)(B)</w:t>
        </w:r>
      </w:smartTag>
      <w:r>
        <w:t xml:space="preserve">, but now are disallowed. As a result, Individual B cannot have $700,000 of NII deductions from a </w:t>
      </w:r>
      <w:smartTag w:uri="http://www.bna.com/sgml2word/cite" w:element="cite.usc">
        <w:smartTagPr>
          <w:attr w:name="ref" w:val="USC\26\1411(c)(2)"/>
        </w:smartTagPr>
        <w:r>
          <w:t>§1411(c)(2)</w:t>
        </w:r>
      </w:smartTag>
      <w:r>
        <w:t xml:space="preserve"> trading business when only $500,000 are allowed in computing taxable income. Thus, there must </w:t>
      </w:r>
      <w:r>
        <w:lastRenderedPageBreak/>
        <w:t xml:space="preserve">be a $200,000 adjustment on </w:t>
      </w:r>
      <w:smartTag w:uri="http://www.bna.com/sgml2word/cite" w:element="cite.agency.doc">
        <w:smartTagPr>
          <w:attr w:name="ref" w:val="irs\form8960"/>
        </w:smartTagPr>
        <w:r>
          <w:t>Form 8960</w:t>
        </w:r>
      </w:smartTag>
      <w:r>
        <w:t xml:space="preserve">. The most logical place for this to occur is on </w:t>
      </w:r>
      <w:smartTag w:uri="http://www.bna.com/sgml2word/cite" w:element="cite.agency.doc">
        <w:smartTagPr>
          <w:attr w:name="ref" w:val="irs\form8960"/>
        </w:smartTagPr>
        <w:r>
          <w:t>Form 8960</w:t>
        </w:r>
      </w:smartTag>
      <w:r>
        <w:t>, Line 7. As a result, Individual B’s NII in Year 1 will be $1,500,000.</w:t>
      </w:r>
    </w:p>
    <w:p w14:paraId="06D34458" w14:textId="77777777" w:rsidR="00494B49" w:rsidRDefault="00494B49">
      <w:pPr>
        <w:pStyle w:val="BNormal"/>
      </w:pPr>
      <w:r>
        <w:t xml:space="preserve">In Year 2, Individual B would have a $200,000 NOL, as would Individual A. Assume that Individual B has interest and dividend income of $2,000,000 and a trading loss of $100,000 reported on Schedule E. Individual B will have an AGI of $1,700,000. </w:t>
      </w:r>
      <w:smartTag w:uri="http://www.bna.com/sgml2word/cite" w:element="cite.agency.doc">
        <w:smartTagPr>
          <w:attr w:name="ref" w:val="irs\form8960"/>
        </w:smartTagPr>
        <w:r>
          <w:t>Form 8960</w:t>
        </w:r>
      </w:smartTag>
      <w:r>
        <w:t xml:space="preserve"> would report the $2,000,000 of interest and dividends, and $100,000 of the trading loss. The entire $200,000 NOL consists of items that would have been included in the NII calculation in Year 1, but for the application of </w:t>
      </w:r>
      <w:smartTag w:uri="http://www.bna.com/sgml2word/cite" w:element="cite.usc">
        <w:smartTagPr>
          <w:attr w:name="ref" w:val="USC\26\461(l)"/>
        </w:smartTagPr>
        <w:r>
          <w:t>§461(l)</w:t>
        </w:r>
      </w:smartTag>
      <w:r>
        <w:t xml:space="preserve">. Therefore, the resulting $200,000 NOL should be 100% attributable to items includible in NII. As a consequence, Individual B would report a deduction of $200,000 on </w:t>
      </w:r>
      <w:smartTag w:uri="http://www.bna.com/sgml2word/cite" w:element="cite.agency.doc">
        <w:smartTagPr>
          <w:attr w:name="ref" w:val="irs\form8960"/>
        </w:smartTagPr>
        <w:r>
          <w:t>Form 8960</w:t>
        </w:r>
      </w:smartTag>
      <w:r>
        <w:t>, Line 7. As a result, Individual B’s NII is $1,700,000.</w:t>
      </w:r>
    </w:p>
    <w:p w14:paraId="71F19BF0" w14:textId="77777777" w:rsidR="00494B49" w:rsidRDefault="00494B49">
      <w:pPr>
        <w:pStyle w:val="BNormal"/>
      </w:pPr>
      <w:r>
        <w:t xml:space="preserve">The real riddle for taxpayers (and the Treasury Department and the IRS) is this: when the disallowed amounts would constitute items that are included and excluded from NII, how should the disallowed deductions be apportioned between NII and non-NII items? To work through the theoretical options, assume that in Year 1, Individual C has $2,000,000 of interest and dividend income. Individual C also has $300,000 of net loss from a trading fund (a business described in </w:t>
      </w:r>
      <w:smartTag w:uri="http://www.bna.com/sgml2word/cite" w:element="cite.usc">
        <w:smartTagPr>
          <w:attr w:name="ref" w:val="USC\26\1411(c)(2)"/>
        </w:smartTagPr>
        <w:r>
          <w:t>§1411(c)(2)</w:t>
        </w:r>
      </w:smartTag>
      <w:r>
        <w:t xml:space="preserve">), and $400,000 of nonpassive loss from a car dealership (a business not described in </w:t>
      </w:r>
      <w:smartTag w:uri="http://www.bna.com/sgml2word/cite" w:element="cite.usc">
        <w:smartTagPr>
          <w:attr w:name="ref" w:val="USC\26\1411(c)(2)"/>
        </w:smartTagPr>
        <w:r>
          <w:t>§1411(c)(2)</w:t>
        </w:r>
      </w:smartTag>
      <w:r>
        <w:t xml:space="preserve">), both reported on Schedule E. Just like Individual A and B, Individual C’s AGI would have been $1,300,000 before </w:t>
      </w:r>
      <w:smartTag w:uri="http://www.bna.com/sgml2word/cite" w:element="cite.usc">
        <w:smartTagPr>
          <w:attr w:name="ref" w:val="USC\26\461(l)"/>
        </w:smartTagPr>
        <w:r>
          <w:t>§461(l)</w:t>
        </w:r>
      </w:smartTag>
      <w:r>
        <w:t xml:space="preserve"> was enacted, and Individual C’s NII would have been $1,700,000.</w:t>
      </w:r>
      <w:r>
        <w:rPr>
          <w:rStyle w:val="FootnoteReference"/>
        </w:rPr>
        <w:footnoteReference w:id="729"/>
      </w:r>
      <w:r>
        <w:t xml:space="preserve">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Individual C to have an AGI of $1,500,000 (same as for Individuals A and B). The question becomes, how much should Individual C adjust </w:t>
      </w:r>
      <w:smartTag w:uri="http://www.bna.com/sgml2word/cite" w:element="cite.agency.doc">
        <w:smartTagPr>
          <w:attr w:name="ref" w:val="irs\form8960"/>
        </w:smartTagPr>
        <w:r>
          <w:t>Form 8960</w:t>
        </w:r>
      </w:smartTag>
      <w:r>
        <w:t>, if at all?</w:t>
      </w:r>
    </w:p>
    <w:p w14:paraId="5CF83A53" w14:textId="77777777" w:rsidR="00494B49" w:rsidRDefault="00494B49">
      <w:pPr>
        <w:pStyle w:val="BNormal"/>
      </w:pPr>
      <w:r>
        <w:t xml:space="preserve">The first approach is modeled after the approach the 2013 Final Regulations take regarding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Under this approach, the amounts disallowed first come from the amounts that are not deductible in computing NII. In this case, the $200,000 </w:t>
      </w:r>
      <w:smartTag w:uri="http://www.bna.com/sgml2word/cite" w:element="cite.usc">
        <w:smartTagPr>
          <w:attr w:name="ref" w:val="USC\26\461(l)"/>
        </w:smartTagPr>
        <w:r>
          <w:t>§461(l)</w:t>
        </w:r>
      </w:smartTag>
      <w:r>
        <w:t xml:space="preserve"> disallowance would be solely attributable to the $400,000 car dealership loss. Thus, the $200,000 addback from </w:t>
      </w:r>
      <w:smartTag w:uri="http://www.bna.com/sgml2word/cite" w:element="cite.fed.form">
        <w:smartTagPr>
          <w:attr w:name="ref" w:val="irs\form461"/>
        </w:smartTagPr>
        <w:r>
          <w:t>Form 461</w:t>
        </w:r>
      </w:smartTag>
      <w:r>
        <w:t xml:space="preserve"> would only impact AGI, but no adjustment would need to be made on </w:t>
      </w:r>
      <w:smartTag w:uri="http://www.bna.com/sgml2word/cite" w:element="cite.agency.doc">
        <w:smartTagPr>
          <w:attr w:name="ref" w:val="irs\form8960"/>
        </w:smartTagPr>
        <w:r>
          <w:t>Form 8960</w:t>
        </w:r>
      </w:smartTag>
      <w:r>
        <w:t xml:space="preserve"> in Year 1 or in Year 2.</w:t>
      </w:r>
      <w:r>
        <w:rPr>
          <w:rStyle w:val="FootnoteReference"/>
        </w:rPr>
        <w:footnoteReference w:id="730"/>
      </w:r>
    </w:p>
    <w:p w14:paraId="39E270F9" w14:textId="77777777" w:rsidR="00494B49" w:rsidRDefault="00494B49">
      <w:pPr>
        <w:pStyle w:val="BNormal"/>
      </w:pPr>
      <w:r>
        <w:t xml:space="preserve">The second approach is closely related to the calculation of the §1411 NOL discussed below. In this case, the disallowance would be apportioned between the NII deductions and non-NII deductions. In the case of Individual C, the $200,000 disallowance would consist of $85,714 of NII disallowance ($300,000 / $700,000 x $200,000). In this case, Individual C would have an addback on </w:t>
      </w:r>
      <w:smartTag w:uri="http://www.bna.com/sgml2word/cite" w:element="cite.agency.doc">
        <w:smartTagPr>
          <w:attr w:name="ref" w:val="irs\form8960"/>
        </w:smartTagPr>
        <w:r>
          <w:t>Form 8960</w:t>
        </w:r>
      </w:smartTag>
      <w:r>
        <w:t xml:space="preserve"> Line 7 of $85,714 in Year 1, and a deduction on </w:t>
      </w:r>
      <w:smartTag w:uri="http://www.bna.com/sgml2word/cite" w:element="cite.agency.doc">
        <w:smartTagPr>
          <w:attr w:name="ref" w:val="irs\form8960"/>
        </w:smartTagPr>
        <w:r>
          <w:t>Form 8960</w:t>
        </w:r>
      </w:smartTag>
      <w:r>
        <w:t xml:space="preserve"> Line 7 in Year 2 of $85,714.</w:t>
      </w:r>
    </w:p>
    <w:p w14:paraId="3F14CCBC" w14:textId="77777777" w:rsidR="00494B49" w:rsidRDefault="00494B49">
      <w:pPr>
        <w:pStyle w:val="BNormal"/>
      </w:pPr>
      <w:r>
        <w:t xml:space="preserve">Until Treasury and the IRS issue authoritative guidance on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either of the approaches would seem reasonable. Ultimately, it is only a matter of timing. </w:t>
      </w:r>
      <w:r>
        <w:lastRenderedPageBreak/>
        <w:t xml:space="preserve">As in other cases with </w:t>
      </w:r>
      <w:smartTag w:uri="http://www.bna.com/sgml2word/cite" w:element="cite.usc">
        <w:smartTagPr>
          <w:attr w:name="ref" w:val="USC\26\1411"/>
        </w:smartTagPr>
        <w:r>
          <w:t>§1411</w:t>
        </w:r>
      </w:smartTag>
      <w:r>
        <w:t>, it is best to choose an approach and use that approach consistently year after year.</w:t>
      </w:r>
      <w:r>
        <w:rPr>
          <w:rStyle w:val="FootnoteReference"/>
        </w:rPr>
        <w:footnoteReference w:id="731"/>
      </w:r>
    </w:p>
    <w:p w14:paraId="1BFF1EB1" w14:textId="77777777" w:rsidR="00494B49" w:rsidRDefault="00494B49">
      <w:pPr>
        <w:pStyle w:val="BNormal"/>
      </w:pPr>
      <w:r>
        <w:rPr>
          <w:i/>
        </w:rPr>
        <w:t xml:space="preserve">Comment: </w:t>
      </w:r>
      <w:r>
        <w:t xml:space="preserve">Remember, the use in a carryover year of NOLs created after 2017 is limited to 80% of taxable income. Therefore, a taxpayer is not able to use the entire amount disallowed under </w:t>
      </w:r>
      <w:smartTag w:uri="http://www.bna.com/sgml2word/cite" w:element="cite.usc">
        <w:smartTagPr>
          <w:attr w:name="ref" w:val="USC\26\461(l)"/>
        </w:smartTagPr>
        <w:r>
          <w:t>§461(l)</w:t>
        </w:r>
      </w:smartTag>
      <w:r>
        <w:t xml:space="preserve"> in Year 2, and it follows that a proportional amount must also be limited for NII. In the case of Individual A, where there was no NII adjustment, the inability to use all of Individual A’s NOL in Year 2 is irrelevant for NII. In the case of Individual B, where the entire amount of the NOL is attributable to NII items, if only 70% of their NOL is allowed in Year 2 because of the 80% taxable income limitation, then it follows that only 70% be allowed as a deduction on Line 7 of </w:t>
      </w:r>
      <w:smartTag w:uri="http://www.bna.com/sgml2word/cite" w:element="cite.agency.doc">
        <w:smartTagPr>
          <w:attr w:name="ref" w:val="irs\form8960"/>
        </w:smartTagPr>
        <w:r>
          <w:t>Form 8960</w:t>
        </w:r>
      </w:smartTag>
      <w:r>
        <w:t xml:space="preserve">. In the case of Individual C, if only 60% of their NOL is allowed in Year 2 because of the 80% taxable income limitation, then it follows that only 60% would be allowed as a deduction on Line 7 of </w:t>
      </w:r>
      <w:smartTag w:uri="http://www.bna.com/sgml2word/cite" w:element="cite.agency.doc">
        <w:smartTagPr>
          <w:attr w:name="ref" w:val="irs\form8960"/>
        </w:smartTagPr>
        <w:r>
          <w:t>Form 8960</w:t>
        </w:r>
      </w:smartTag>
      <w:r>
        <w:t xml:space="preserve">. If Individual C used the first approach, no adjustment to </w:t>
      </w:r>
      <w:smartTag w:uri="http://www.bna.com/sgml2word/cite" w:element="cite.agency.doc">
        <w:smartTagPr>
          <w:attr w:name="ref" w:val="irs\form8960"/>
        </w:smartTagPr>
        <w:r>
          <w:t>Form 8960</w:t>
        </w:r>
      </w:smartTag>
      <w:r>
        <w:t xml:space="preserve"> would be needed. If Individual C used the second approach, then only 60% of $85,714 would be allowed as a deduction on Line 7 of </w:t>
      </w:r>
      <w:smartTag w:uri="http://www.bna.com/sgml2word/cite" w:element="cite.agency.doc">
        <w:smartTagPr>
          <w:attr w:name="ref" w:val="irs\form8960"/>
        </w:smartTagPr>
        <w:r>
          <w:t>Form 8960</w:t>
        </w:r>
      </w:smartTag>
      <w:r>
        <w:t xml:space="preserve"> in Year 2.</w:t>
      </w:r>
    </w:p>
    <w:p w14:paraId="25493056" w14:textId="77777777" w:rsidR="00494B49" w:rsidRDefault="00494B49">
      <w:pPr>
        <w:pStyle w:val="BHead1"/>
      </w:pPr>
      <w:r>
        <w:t>G. Recoveries of Prior Year Deductions</w:t>
      </w:r>
    </w:p>
    <w:p w14:paraId="03D02A63" w14:textId="77777777" w:rsidR="00494B49" w:rsidRDefault="00494B49">
      <w:pPr>
        <w:pStyle w:val="BHead2"/>
      </w:pPr>
      <w:r>
        <w:t>1. General Rule on Recoveries</w:t>
      </w:r>
    </w:p>
    <w:p w14:paraId="63F6D4F4" w14:textId="77777777" w:rsidR="00494B49" w:rsidRDefault="00494B49">
      <w:pPr>
        <w:pStyle w:val="BNormal"/>
      </w:pPr>
      <w:r>
        <w:t xml:space="preserve">In general, Reg. </w:t>
      </w:r>
      <w:smartTag w:uri="http://www.bna.com/sgml2word/cite" w:element="cite.cfr">
        <w:smartTagPr>
          <w:attr w:name="ref" w:val="cfr\26\1.1411-4(g)(2)"/>
        </w:smartTagPr>
        <w:r>
          <w:t>§1.1411-4(g)(2)</w:t>
        </w:r>
      </w:smartTag>
      <w:r>
        <w:t xml:space="preserve"> provides that the recovery or refund of a previously deducted item reduces the total amount of properly allocable deductions in the year of the recovery. The 2013 Final Regulations first determine the recovered amount without regard to the application of the tax benefit rule in </w:t>
      </w:r>
      <w:smartTag w:uri="http://www.bna.com/sgml2word/cite" w:element="cite.usc">
        <w:smartTagPr>
          <w:attr w:name="ref" w:val="USC\26\111"/>
        </w:smartTagPr>
        <w:r>
          <w:t>§111</w:t>
        </w:r>
      </w:smartTag>
      <w:r>
        <w:t xml:space="preserve"> for Chapter 1 purposes.</w:t>
      </w:r>
      <w:r>
        <w:rPr>
          <w:rStyle w:val="FootnoteReference"/>
        </w:rPr>
        <w:footnoteReference w:id="732"/>
      </w:r>
    </w:p>
    <w:p w14:paraId="0F548F4D" w14:textId="77777777" w:rsidR="00494B49" w:rsidRDefault="00494B49">
      <w:pPr>
        <w:pStyle w:val="BExamplepara"/>
      </w:pPr>
      <w:r>
        <w:rPr>
          <w:rStyle w:val="BExamplehead"/>
          <w:rFonts w:eastAsiaTheme="minorHAnsi"/>
          <w:i/>
        </w:rPr>
        <w:t>Example:</w:t>
      </w:r>
      <w:r>
        <w:t xml:space="preserve"> If a taxpayer receives a refund of state income taxes from a prior year, the refund is included in the taxpayer’s gross income. However, if the taxpayer was subject to the alternative minimum tax in the year of the payment, the taxpayer may not have received any tax benefit under Chapter 1, and therefore </w:t>
      </w:r>
      <w:smartTag w:uri="http://www.bna.com/sgml2word/cite" w:element="cite.usc">
        <w:smartTagPr>
          <w:attr w:name="ref" w:val="USC\26\111"/>
        </w:smartTagPr>
        <w:r>
          <w:t>§111</w:t>
        </w:r>
      </w:smartTag>
      <w:r>
        <w:t xml:space="preserve"> may exclude some, or all, of the refund from gross income. However, the deductibility of state income taxes for proper net investment income tax (NIIT) purposes is independent of the deductibility of the taxes for alternative minimum tax purposes. Therefore, the applicability of the recovery rule in Reg. </w:t>
      </w:r>
      <w:smartTag w:uri="http://www.bna.com/sgml2word/cite" w:element="cite.cfr">
        <w:smartTagPr>
          <w:attr w:name="ref" w:val="cfr\26\1.1411-4(g)(2)"/>
        </w:smartTagPr>
        <w:r>
          <w:t>§1.1411-4(g)(2)</w:t>
        </w:r>
      </w:smartTag>
      <w:r>
        <w:t xml:space="preserve"> is determined without regard to whether the recovered amount was excluded from gross income by reason of </w:t>
      </w:r>
      <w:smartTag w:uri="http://www.bna.com/sgml2word/cite" w:element="cite.usc">
        <w:smartTagPr>
          <w:attr w:name="ref" w:val="USC\26\111"/>
        </w:smartTagPr>
        <w:r>
          <w:t>§111</w:t>
        </w:r>
      </w:smartTag>
      <w:r>
        <w:t>.</w:t>
      </w:r>
    </w:p>
    <w:p w14:paraId="3A0A3DB6" w14:textId="77777777" w:rsidR="00494B49" w:rsidRDefault="00494B49">
      <w:pPr>
        <w:pStyle w:val="BNormal"/>
      </w:pPr>
      <w:r>
        <w:t xml:space="preserve">The regulations contain two exceptions to the general rule. The two exceptions apply the tax benefit rule of </w:t>
      </w:r>
      <w:smartTag w:uri="http://www.bna.com/sgml2word/cite" w:element="cite.usc">
        <w:smartTagPr>
          <w:attr w:name="ref" w:val="USC\26\111"/>
        </w:smartTagPr>
        <w:r>
          <w:t>§111</w:t>
        </w:r>
      </w:smartTag>
      <w:r>
        <w:t xml:space="preserve"> within the NIIT system, and therefore operate independently of the application of </w:t>
      </w:r>
      <w:smartTag w:uri="http://www.bna.com/sgml2word/cite" w:element="cite.usc">
        <w:smartTagPr>
          <w:attr w:name="ref" w:val="USC\26\111"/>
        </w:smartTagPr>
        <w:r>
          <w:t>§111</w:t>
        </w:r>
      </w:smartTag>
      <w:r>
        <w:t xml:space="preserve"> for Chapter 1 purposes.</w:t>
      </w:r>
      <w:r>
        <w:rPr>
          <w:rStyle w:val="FootnoteReference"/>
        </w:rPr>
        <w:footnoteReference w:id="733"/>
      </w:r>
    </w:p>
    <w:p w14:paraId="35EE468F" w14:textId="77777777" w:rsidR="00494B49" w:rsidRDefault="00494B49">
      <w:pPr>
        <w:pStyle w:val="BNormal"/>
      </w:pPr>
      <w:r>
        <w:rPr>
          <w:i/>
        </w:rPr>
        <w:t>Comment:</w:t>
      </w:r>
      <w:r>
        <w:t xml:space="preserve"> The rule on recoveries presents several unique issues. First, only </w:t>
      </w:r>
      <w:smartTag w:uri="http://www.bna.com/sgml2word/cite" w:element="cite.usc">
        <w:smartTagPr>
          <w:attr w:name="ref" w:val="USC\26\1411(c)(1)(A)(ii)"/>
        </w:smartTagPr>
        <w:r>
          <w:t>§1411(c)(1)(A)(ii)</w:t>
        </w:r>
      </w:smartTag>
      <w:r>
        <w:t xml:space="preserve"> has a corresponding expansive scope over income that is conceptually similar to </w:t>
      </w:r>
      <w:smartTag w:uri="http://www.bna.com/sgml2word/cite" w:element="cite.usc">
        <w:smartTagPr>
          <w:attr w:name="ref" w:val="USC\26\61(a)"/>
        </w:smartTagPr>
        <w:r>
          <w:t>§61(a)</w:t>
        </w:r>
      </w:smartTag>
      <w:r>
        <w:t>.</w:t>
      </w:r>
      <w:r>
        <w:rPr>
          <w:rStyle w:val="FootnoteReference"/>
        </w:rPr>
        <w:footnoteReference w:id="734"/>
      </w:r>
      <w:r>
        <w:t xml:space="preserve"> Therefore, properly allocable deductions that were deducted against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i)"/>
        </w:smartTagPr>
        <w:r>
          <w:t>§1411(c)(1)(A)(iii)</w:t>
        </w:r>
      </w:smartTag>
      <w:r>
        <w:t xml:space="preserve"> income in prior years, and then subsequently recovered, may not be considered the type of income covered by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i)"/>
        </w:smartTagPr>
        <w:r>
          <w:t>§1411(c)(1)(A)(iii)</w:t>
        </w:r>
      </w:smartTag>
      <w:r>
        <w:t xml:space="preserve"> in the year of </w:t>
      </w:r>
      <w:r>
        <w:lastRenderedPageBreak/>
        <w:t xml:space="preserve">recovery. As a result of this statutory constraint, the Treasury Department and IRS took recoveries into account as contra-deductions. To phrase it differently, the mechanics of Reg. </w:t>
      </w:r>
      <w:smartTag w:uri="http://www.bna.com/sgml2word/cite" w:element="cite.cfr">
        <w:smartTagPr>
          <w:attr w:name="ref" w:val="cfr\26\1.1411-4(g)(2)"/>
        </w:smartTagPr>
        <w:r>
          <w:t>§1.1411-4(g)(2)</w:t>
        </w:r>
      </w:smartTag>
      <w:r>
        <w:t xml:space="preserve"> reduce current year deductions for amounts recovered from prior years but do not include the amount in </w:t>
      </w:r>
      <w:smartTag w:uri="http://www.bna.com/sgml2word/cite" w:element="cite.usc">
        <w:smartTagPr>
          <w:attr w:name="ref" w:val="USC\26\1411(c)(1)(A)"/>
        </w:smartTagPr>
        <w:r>
          <w:t>§1411(c)(1)(A)</w:t>
        </w:r>
      </w:smartTag>
      <w:r>
        <w:t xml:space="preserve"> gross income (because it would be under </w:t>
      </w:r>
      <w:smartTag w:uri="http://www.bna.com/sgml2word/cite" w:element="cite.usc">
        <w:smartTagPr>
          <w:attr w:name="ref" w:val="USC\26\61"/>
        </w:smartTagPr>
        <w:r>
          <w:t>§61</w:t>
        </w:r>
      </w:smartTag>
      <w:r>
        <w:t xml:space="preserve">). Although this nuance is, in almost all cases, computationally irrelevant, this context helps put the special mechanical rules of Reg. </w:t>
      </w:r>
      <w:smartTag w:uri="http://www.bna.com/sgml2word/cite" w:element="cite.cfr">
        <w:smartTagPr>
          <w:attr w:name="ref" w:val="cfr\26\1.1411-4(g)(2)"/>
        </w:smartTagPr>
        <w:r>
          <w:t>§1.1411-4(g)(2)</w:t>
        </w:r>
      </w:smartTag>
      <w:r>
        <w:t xml:space="preserve"> into perspective.</w:t>
      </w:r>
    </w:p>
    <w:p w14:paraId="1115B4D1" w14:textId="77777777" w:rsidR="00494B49" w:rsidRDefault="00494B49">
      <w:pPr>
        <w:pStyle w:val="BNormal"/>
      </w:pPr>
      <w:r>
        <w:t xml:space="preserve">Although most taxpayers will encounter the recovery rules within the context of refunds of previously deducted state and local income taxes, the rules applicable to recoveries reach much further than </w:t>
      </w:r>
      <w:smartTag w:uri="http://www.bna.com/sgml2word/cite" w:element="cite.usc">
        <w:smartTagPr>
          <w:attr w:name="ref" w:val="USC\26\164(a)(3)"/>
        </w:smartTagPr>
        <w:r>
          <w:t>§164(a)(3)</w:t>
        </w:r>
      </w:smartTag>
      <w:r>
        <w:t xml:space="preserve"> taxes. The main area that the recovery rule will capture pertains to non-trade-or-business rental expenses reportable on Schedule E and, only for tax years beginning before 2018, other investment expenses. Consider the following situations in which the recovery rule will apply:</w:t>
      </w:r>
    </w:p>
    <w:p w14:paraId="08C679BD" w14:textId="77777777" w:rsidR="00494B49" w:rsidRDefault="00494B49">
      <w:pPr>
        <w:pStyle w:val="BExamplepara"/>
      </w:pPr>
      <w:r>
        <w:rPr>
          <w:rStyle w:val="BExamplehead"/>
          <w:rFonts w:eastAsiaTheme="minorHAnsi"/>
          <w:i/>
        </w:rPr>
        <w:t>Example 1:</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In September 2016, the taxpayer pays $1200 for property casualty insurance. In June 2017, the taxpayer sells the property and receives a refund of $300 from the insurance company. In this case, the $300 is income within the meaning of </w:t>
      </w:r>
      <w:smartTag w:uri="http://www.bna.com/sgml2word/cite" w:element="cite.usc">
        <w:smartTagPr>
          <w:attr w:name="ref" w:val="USC\26\61(a)"/>
        </w:smartTagPr>
        <w:r>
          <w:t>§61(a)</w:t>
        </w:r>
      </w:smartTag>
      <w:r>
        <w:t xml:space="preserve">, but does not constitute rental income for purposes of </w:t>
      </w:r>
      <w:smartTag w:uri="http://www.bna.com/sgml2word/cite" w:element="cite.usc">
        <w:smartTagPr>
          <w:attr w:name="ref" w:val="USC\26\1411(c)(1)(A)(i)"/>
        </w:smartTagPr>
        <w:r>
          <w:t>§1411(c)(1)(A)(i)</w:t>
        </w:r>
      </w:smartTag>
      <w:r>
        <w:t xml:space="preserve"> because it is not an amount “paid or to be paid principally for the use of (or the right to use) tangible property.”</w:t>
      </w:r>
      <w:r>
        <w:rPr>
          <w:rStyle w:val="FootnoteReference"/>
        </w:rPr>
        <w:footnoteReference w:id="735"/>
      </w:r>
      <w:r>
        <w:t xml:space="preserve"> Although the $300 refund is not </w:t>
      </w:r>
      <w:smartTag w:uri="http://www.bna.com/sgml2word/cite" w:element="cite.usc">
        <w:smartTagPr>
          <w:attr w:name="ref" w:val="USC\26\1411(c)(1)(A)"/>
        </w:smartTagPr>
        <w:r>
          <w:t>§1411(c)(1)(A)</w:t>
        </w:r>
      </w:smartTag>
      <w:r>
        <w:t xml:space="preserve"> income, the rule on recoveries causes the $300 to reduce the taxpayer’s overall </w:t>
      </w:r>
      <w:smartTag w:uri="http://www.bna.com/sgml2word/cite" w:element="cite.usc">
        <w:smartTagPr>
          <w:attr w:name="ref" w:val="USC\26\1411(c)(1)(B)"/>
        </w:smartTagPr>
        <w:r>
          <w:t>§1411(c)(1)(B)</w:t>
        </w:r>
      </w:smartTag>
      <w:r>
        <w:t xml:space="preserve"> deductions in 2017 by $300.</w:t>
      </w:r>
    </w:p>
    <w:p w14:paraId="413909E6" w14:textId="77777777" w:rsidR="00494B49" w:rsidRDefault="00494B49">
      <w:pPr>
        <w:pStyle w:val="BNormal"/>
      </w:pPr>
      <w:r>
        <w:rPr>
          <w:i/>
        </w:rPr>
        <w:t>Comment:</w:t>
      </w:r>
      <w:r>
        <w:t xml:space="preserve"> As a practical matter, the taxpayer is unlikely to know this rule is operating this way. In most cases, the $300 would be included in “other income” — or as a negative $300 of property insurance — on the taxpayer’s Schedule E and taken into account in computing overall net passive income or loss from the rental of the property from January 1 through the June sale date. In this case, the $300 refund would be taken into account on the taxpayer’s Schedule E, which would be captured on </w:t>
      </w:r>
      <w:smartTag w:uri="http://www.bna.com/sgml2word/cite" w:element="cite.fed.form">
        <w:smartTagPr>
          <w:attr w:name="ref" w:val="irs\form8960"/>
        </w:smartTagPr>
        <w:r>
          <w:t>Form 8960</w:t>
        </w:r>
      </w:smartTag>
      <w:r>
        <w:t>, Line 4a as net passive income or net passive loss. No adjustments would be required in this case.</w:t>
      </w:r>
    </w:p>
    <w:p w14:paraId="443D85E9" w14:textId="77777777" w:rsidR="00494B49" w:rsidRDefault="00494B49">
      <w:pPr>
        <w:pStyle w:val="BExamplepara"/>
      </w:pPr>
      <w:r>
        <w:rPr>
          <w:rStyle w:val="BExamplehead"/>
          <w:rFonts w:eastAsiaTheme="minorHAnsi"/>
          <w:i/>
        </w:rPr>
        <w:t>Example 2:</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During an examination, the IRS and the taxpayer discover that certain assets were depreciated over an improper period. As a consequence, the taxpayer files a </w:t>
      </w:r>
      <w:smartTag w:uri="http://www.bna.com/sgml2word/cite" w:element="cite.fed.form">
        <w:smartTagPr>
          <w:attr w:name="ref" w:val="irs\form3115"/>
        </w:smartTagPr>
        <w:r>
          <w:t>Form 3115</w:t>
        </w:r>
      </w:smartTag>
      <w:r>
        <w:t xml:space="preserve"> for an accounting method change that reports a $40,000 </w:t>
      </w:r>
      <w:smartTag w:uri="http://www.bna.com/sgml2word/cite" w:element="cite.usc">
        <w:smartTagPr>
          <w:attr w:name="ref" w:val="USC\26\481"/>
        </w:smartTagPr>
        <w:r>
          <w:t>§481</w:t>
        </w:r>
      </w:smartTag>
      <w:r>
        <w:t xml:space="preserve"> adjustment that is included in income ratably over four years ($10,000 per year). Similar to the previous example, the $10,000 of income is not an amount “paid or to be paid principally for the use of (or the right to use) tangible property” within the meaning of Reg. </w:t>
      </w:r>
      <w:smartTag w:uri="http://www.bna.com/sgml2word/cite" w:element="cite.cfr">
        <w:smartTagPr>
          <w:attr w:name="ref" w:val="cfr\26\1.1411-1(d)(10)"/>
        </w:smartTagPr>
        <w:r>
          <w:t>§1.1411-1(d)(10)</w:t>
        </w:r>
      </w:smartTag>
      <w:r>
        <w:t xml:space="preserve">, but it constitutes recapture of excess depreciation deductions taken in prior years. Although the adjustment is </w:t>
      </w:r>
      <w:smartTag w:uri="http://www.bna.com/sgml2word/cite" w:element="cite.usc">
        <w:smartTagPr>
          <w:attr w:name="ref" w:val="USC\26\61(a)"/>
        </w:smartTagPr>
        <w:r>
          <w:t>§61(a)</w:t>
        </w:r>
      </w:smartTag>
      <w:r>
        <w:t xml:space="preserve"> income for regular tax purposes, the $10,000 is considered a recovery of a previous deduction that implicates Reg. </w:t>
      </w:r>
      <w:smartTag w:uri="http://www.bna.com/sgml2word/cite" w:element="cite.cfr">
        <w:smartTagPr>
          <w:attr w:name="ref" w:val="cfr\26\1.1411-4(g)(2)"/>
        </w:smartTagPr>
        <w:r>
          <w:t>§1.1411-4(g)(2)</w:t>
        </w:r>
      </w:smartTag>
      <w:r>
        <w:t>.</w:t>
      </w:r>
    </w:p>
    <w:p w14:paraId="07470ED2" w14:textId="77777777" w:rsidR="00494B49" w:rsidRDefault="00494B49">
      <w:pPr>
        <w:pStyle w:val="BNormal"/>
      </w:pPr>
      <w:r>
        <w:t xml:space="preserve">Under Reg. </w:t>
      </w:r>
      <w:smartTag w:uri="http://www.bna.com/sgml2word/cite" w:element="cite.cfr">
        <w:smartTagPr>
          <w:attr w:name="ref" w:val="cfr\26\1.1411-4(g)(2)(iii)(A)"/>
        </w:smartTagPr>
        <w:r>
          <w:t>§1.1411-4(g)(2)(iii)(A)</w:t>
        </w:r>
      </w:smartTag>
      <w:r>
        <w:t xml:space="preserve">, recoveries of deductions taken into account before 2013 are exempt. If the accounting method change corrects deductions taken in 2010, 2011, and 2012, then the $10,000 adjustment is outside the scope of Reg. </w:t>
      </w:r>
      <w:smartTag w:uri="http://www.bna.com/sgml2word/cite" w:element="cite.cfr">
        <w:smartTagPr>
          <w:attr w:name="ref" w:val="cfr\26\1.1411-4(g)(2)"/>
        </w:smartTagPr>
        <w:r>
          <w:t>§1.1411-4(g)(2)</w:t>
        </w:r>
      </w:smartTag>
      <w:r>
        <w:t xml:space="preserve">. However, if the depreciation deductions, even though originally reported on the taxpayer’s 2010, 2011, and 2012 </w:t>
      </w:r>
      <w:r>
        <w:lastRenderedPageBreak/>
        <w:t xml:space="preserve">income tax returns, were suspended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and the deductions remain suspended in 2013 or thereafter, the recovery rule applies. It follows that if some of the deductions were allowed in a pre-2013 year, and some were suspended into a post-2013 year, the allocable portion of the recovery would take that into account.</w:t>
      </w:r>
      <w:r>
        <w:rPr>
          <w:rStyle w:val="FootnoteReference"/>
        </w:rPr>
        <w:footnoteReference w:id="736"/>
      </w:r>
      <w:r>
        <w:t xml:space="preserve"> Such nuances and mechanical rules were beyond the scope of Reg. </w:t>
      </w:r>
      <w:smartTag w:uri="http://www.bna.com/sgml2word/cite" w:element="cite.cfr">
        <w:smartTagPr>
          <w:attr w:name="ref" w:val="cfr\26\1.1411-4(g)(2)"/>
        </w:smartTagPr>
        <w:r>
          <w:t>§1.1411-4(g)(2)</w:t>
        </w:r>
      </w:smartTag>
      <w:r>
        <w:t>.</w:t>
      </w:r>
    </w:p>
    <w:p w14:paraId="4C10333A" w14:textId="77777777" w:rsidR="00494B49" w:rsidRDefault="00494B49">
      <w:pPr>
        <w:pStyle w:val="BExamplepara"/>
      </w:pPr>
      <w:r>
        <w:rPr>
          <w:rStyle w:val="BExamplehead"/>
          <w:rFonts w:eastAsiaTheme="minorHAnsi"/>
          <w:i/>
        </w:rPr>
        <w:t>Example 3:</w:t>
      </w:r>
      <w:r>
        <w:t xml:space="preserve"> Assume a taxpayer owns various investments in a traditional brokerage account. With regard to one of the investments, the taxpayer joins a class action lawsuit against the security issuer and ultimately receives $500 from the settlement fund. This case is the most difficult. Whether the recovery rule applies in this case may depend on the origin of the legal claim and nature of the settlement. </w:t>
      </w:r>
    </w:p>
    <w:p w14:paraId="248A26F7" w14:textId="77777777" w:rsidR="00494B49" w:rsidRDefault="00494B49">
      <w:pPr>
        <w:pStyle w:val="BHead2"/>
      </w:pPr>
      <w:r>
        <w:t>2. Overall Limitation on Amount of Recovery</w:t>
      </w:r>
    </w:p>
    <w:p w14:paraId="6305A4F9" w14:textId="77777777" w:rsidR="00494B49" w:rsidRDefault="00494B49">
      <w:pPr>
        <w:pStyle w:val="BNormal"/>
      </w:pPr>
      <w:r>
        <w:t xml:space="preserve">A taxpayer reduces properly allocable deductions due to recovery of previously deducted items only to the extent of the total </w:t>
      </w:r>
      <w:smartTag w:uri="http://www.bna.com/sgml2word/cite" w:element="cite.usc">
        <w:smartTagPr>
          <w:attr w:name="ref" w:val="USC\26\1411(c)(1)(B)"/>
        </w:smartTagPr>
        <w:r>
          <w:t>§1411(c)(1)(B)</w:t>
        </w:r>
      </w:smartTag>
      <w:r>
        <w:t xml:space="preserve"> properly allocable deductions in the year of recovery.</w:t>
      </w:r>
      <w:r>
        <w:rPr>
          <w:rStyle w:val="FootnoteReference"/>
        </w:rPr>
        <w:footnoteReference w:id="737"/>
      </w:r>
      <w:r>
        <w:t xml:space="preserve"> In other words, the reductions in properly allocable deductions cannot cause a taxpayer’s properly allocable deductions to go below zero.</w:t>
      </w:r>
    </w:p>
    <w:p w14:paraId="6A96DD17" w14:textId="77777777" w:rsidR="00494B49" w:rsidRDefault="00494B49">
      <w:pPr>
        <w:pStyle w:val="BNormal"/>
      </w:pPr>
      <w:r>
        <w:rPr>
          <w:i/>
        </w:rPr>
        <w:t>Comment:</w:t>
      </w:r>
      <w:r>
        <w:t xml:space="preserve"> As a result of this limitation, the recovery of deductions cannot, in and of itself, cause a taxpayer to have net investment income in the year of recovery. The most the recovery can do is to eliminate all </w:t>
      </w:r>
      <w:smartTag w:uri="http://www.bna.com/sgml2word/cite" w:element="cite.usc">
        <w:smartTagPr>
          <w:attr w:name="ref" w:val="USC\26\1411(c)(1)(B)"/>
        </w:smartTagPr>
        <w:r>
          <w:t>§1411(c)(1)(B)</w:t>
        </w:r>
      </w:smartTag>
      <w:r>
        <w:t xml:space="preserve"> properly allocable deductions. </w:t>
      </w:r>
    </w:p>
    <w:p w14:paraId="38ACA621" w14:textId="77777777" w:rsidR="00494B49" w:rsidRDefault="00494B49">
      <w:pPr>
        <w:pStyle w:val="BNormal"/>
      </w:pPr>
      <w:r>
        <w:t>Although this rule seems intuitive, the limitation is extremely difficult to administer. The administrative problem for both taxpayer compliance and IRS examination purposes is that many taxpayers (and IRS examiners) will have no knowledge of (or access to) the total (or gross) amount of properly allocable deductions claimed in a year when the taxpayer has net investment income from passthrough entities. In the simplest example, if a taxpayer owns a rental property through a partnership and the partnership reports $4,000 of net rental income for the year on a Schedule K-1, the partner might not know whether the $4,000 represents:</w:t>
      </w:r>
    </w:p>
    <w:p w14:paraId="526E139C" w14:textId="77777777" w:rsidR="00494B49" w:rsidRDefault="00494B49">
      <w:pPr>
        <w:pStyle w:val="BListitembul"/>
      </w:pPr>
      <w:r>
        <w:t xml:space="preserve">$10,000 of rental income with $6,000 of properly allocable deductions, or </w:t>
      </w:r>
    </w:p>
    <w:p w14:paraId="63F3166B" w14:textId="77777777" w:rsidR="00494B49" w:rsidRDefault="00494B49">
      <w:pPr>
        <w:pStyle w:val="BListitembul"/>
      </w:pPr>
      <w:r>
        <w:t>$100,000 of rental income with $96,000 of properly allocable deductions.</w:t>
      </w:r>
    </w:p>
    <w:p w14:paraId="7FB00366" w14:textId="77777777" w:rsidR="00494B49" w:rsidRDefault="00494B49">
      <w:pPr>
        <w:pStyle w:val="BNormal"/>
      </w:pPr>
      <w:r>
        <w:t xml:space="preserve">In the first situation, any recovery limitation would take into account $6,000 of deductions. In the second situation, any recovery limitation would take into account $96,000 of deductions. The problem is exacerbated if the rental income reported to the taxpayer from the partnership is held in a lower-tier partnership. In that case, the taxpayer may have virtually no reasonable way to determine the amount of deductions that are imbedded into the $4,000 reported on the Schedule K-1. </w:t>
      </w:r>
    </w:p>
    <w:p w14:paraId="1E7F5BEA" w14:textId="77777777" w:rsidR="00494B49" w:rsidRDefault="00494B49">
      <w:pPr>
        <w:pStyle w:val="BCommentpara"/>
      </w:pPr>
      <w:r>
        <w:rPr>
          <w:rStyle w:val="BCommenthead"/>
        </w:rPr>
        <w:t xml:space="preserve">Practice Point: </w:t>
      </w:r>
      <w:r>
        <w:t xml:space="preserve">Taxpayers must be sure not to apply this limitation only to deductions reported on </w:t>
      </w:r>
      <w:smartTag w:uri="http://www.bna.com/sgml2word/cite" w:element="cite.fed.form">
        <w:smartTagPr>
          <w:attr w:name="ref" w:val="irs\form8960"/>
        </w:smartTagPr>
        <w:r>
          <w:t>Form 8960</w:t>
        </w:r>
      </w:smartTag>
      <w:r>
        <w:t xml:space="preserve">, Part II (deductions reported on Lines 9-10). There are also properly allocable deductions embedded in Lines 4a (passthrough income), 5a (gains and </w:t>
      </w:r>
      <w:r>
        <w:lastRenderedPageBreak/>
        <w:t>losses), 6 (income from CFCs and PFICs), and 7 (other modifications to investment income).</w:t>
      </w:r>
    </w:p>
    <w:p w14:paraId="16F5DD3A" w14:textId="77777777" w:rsidR="00494B49" w:rsidRDefault="00494B49">
      <w:pPr>
        <w:pStyle w:val="BHead2"/>
      </w:pPr>
      <w:r>
        <w:t>3. Exceptions to Recovery Inclusions</w:t>
      </w:r>
    </w:p>
    <w:p w14:paraId="7134BCE7" w14:textId="77777777" w:rsidR="00494B49" w:rsidRDefault="00494B49">
      <w:pPr>
        <w:pStyle w:val="BHead3"/>
      </w:pPr>
      <w:r>
        <w:t xml:space="preserve">a. No §1411 Tax Benefit </w:t>
      </w:r>
    </w:p>
    <w:p w14:paraId="0F3FEB06" w14:textId="77777777" w:rsidR="00494B49" w:rsidRDefault="00494B49">
      <w:pPr>
        <w:pStyle w:val="BNormal"/>
      </w:pPr>
      <w:r>
        <w:t>A taxpayer does not reduce properly allocable deductions in the year of recovery if the amount that the taxpayer deducted in the prior year did not reduce the amount of NIIT liability.</w:t>
      </w:r>
      <w:r>
        <w:rPr>
          <w:rStyle w:val="FootnoteReference"/>
        </w:rPr>
        <w:footnoteReference w:id="738"/>
      </w:r>
      <w:r>
        <w:t xml:space="preserve"> There are several situations in which this rule becomes applicable, but the regulations identify only </w:t>
      </w:r>
      <w:r>
        <w:rPr>
          <w:i/>
        </w:rPr>
        <w:t>two</w:t>
      </w:r>
      <w:r>
        <w:t xml:space="preserve"> of them: </w:t>
      </w:r>
    </w:p>
    <w:p w14:paraId="2227F775" w14:textId="77777777" w:rsidR="00494B49" w:rsidRDefault="00494B49">
      <w:pPr>
        <w:pStyle w:val="BListitembul"/>
      </w:pPr>
      <w:r>
        <w:t> </w:t>
      </w:r>
      <w:r>
        <w:rPr>
          <w:i/>
        </w:rPr>
        <w:t>Recovery of an amount deducted before 2013</w:t>
      </w:r>
      <w:r>
        <w:t>.</w:t>
      </w:r>
      <w:r>
        <w:rPr>
          <w:rStyle w:val="FootnoteReference"/>
        </w:rPr>
        <w:footnoteReference w:id="739"/>
      </w:r>
      <w:r>
        <w:t xml:space="preserve"> For example, the receipt in 2014 of a refund of income taxes paid in 2012 did not reduce a taxpayer’s properly allocable deductions because §1411 was not in effect in 2012 and, therefore, the 2012 taxes were not properly allocable to net investment income. </w:t>
      </w:r>
    </w:p>
    <w:p w14:paraId="724D18C5" w14:textId="77777777" w:rsidR="00494B49" w:rsidRDefault="00494B49">
      <w:pPr>
        <w:pStyle w:val="BListitembul"/>
      </w:pPr>
      <w:r>
        <w:t> </w:t>
      </w:r>
      <w:r>
        <w:rPr>
          <w:i/>
        </w:rPr>
        <w:t>Recovery of an amount deducted in a year when MAGI was less than the threshold amount.</w:t>
      </w:r>
      <w:r>
        <w:rPr>
          <w:rStyle w:val="FootnoteReference"/>
        </w:rPr>
        <w:footnoteReference w:id="740"/>
      </w:r>
      <w:r>
        <w:t xml:space="preserve"> For example, the receipt in 20x2 of a refund of income taxes paid in 20x1 would not reduce an unmarried taxpayer’s properly allocable deductions in 20x2 if the taxpayer’s modified adjusted gross income in 20x1 was only $195,000.</w:t>
      </w:r>
    </w:p>
    <w:p w14:paraId="12BC3288" w14:textId="77777777" w:rsidR="00494B49" w:rsidRDefault="00494B49">
      <w:pPr>
        <w:pStyle w:val="BNormal"/>
      </w:pPr>
      <w:r>
        <w:t xml:space="preserve">The third situation in which the Reg. </w:t>
      </w:r>
      <w:smartTag w:uri="http://www.bna.com/sgml2word/cite" w:element="cite.cfr">
        <w:smartTagPr>
          <w:attr w:name="ref" w:val="cfr\26\1.1411-4(g)(2)(iii)"/>
        </w:smartTagPr>
        <w:r>
          <w:t>§1.1411-4(g)(2)(iii)</w:t>
        </w:r>
      </w:smartTag>
      <w:r>
        <w:t xml:space="preserve"> rule becomes applicable is when the taxpayer’s NIIT tax base is determined based on the amount in excess of MAGI rather than on net investment income. In this case, the recovery of an item that reduced net investment income may not have provided the taxpayer a benefit because the taxpayer’s net investment income was greater than the excess income over MAGI.</w:t>
      </w:r>
    </w:p>
    <w:p w14:paraId="58EB53B6" w14:textId="77777777" w:rsidR="00494B49" w:rsidRDefault="00494B49">
      <w:pPr>
        <w:pStyle w:val="BHead3"/>
      </w:pPr>
      <w:r>
        <w:t xml:space="preserve">b. Amounts Already Included in §1411(c)(1)(A) </w:t>
      </w:r>
    </w:p>
    <w:p w14:paraId="56F751D2" w14:textId="77777777" w:rsidR="00494B49" w:rsidRDefault="00494B49">
      <w:pPr>
        <w:pStyle w:val="BNormal"/>
      </w:pPr>
      <w:r>
        <w:t xml:space="preserve">A taxpayer does not reduce properly allocable deductions in the year of recovery if the amount the taxpayer deducted in the prior year is included in net investment income in the recovery year by reason of </w:t>
      </w:r>
      <w:smartTag w:uri="http://www.bna.com/sgml2word/cite" w:element="cite.usc">
        <w:smartTagPr>
          <w:attr w:name="ref" w:val="USC\26\1411(c)(1)(A)"/>
        </w:smartTagPr>
        <w:r>
          <w:t>§1411(c)(1)(A)</w:t>
        </w:r>
      </w:smartTag>
      <w:r>
        <w:t>.</w:t>
      </w:r>
      <w:r>
        <w:rPr>
          <w:rStyle w:val="FootnoteReference"/>
        </w:rPr>
        <w:footnoteReference w:id="741"/>
      </w:r>
      <w:r>
        <w:t xml:space="preserve"> For example, a reimbursement of a deduction from a passive activity trade or business that is gross income for Chapter 1 purposes is included as gross income from a passive activity under </w:t>
      </w:r>
      <w:smartTag w:uri="http://www.bna.com/sgml2word/cite" w:element="cite.usc">
        <w:smartTagPr>
          <w:attr w:name="ref" w:val="USC\26\1411(c)(1)(A)(ii)"/>
        </w:smartTagPr>
        <w:r>
          <w:t>§1411(c)(1)(A)(ii)</w:t>
        </w:r>
      </w:smartTag>
      <w:r>
        <w:t xml:space="preserve">. Therefore, the recovery is already reflected in the recovery year’s net investment income calculation. Absent this rule, the recovery would be double counted. </w:t>
      </w:r>
    </w:p>
    <w:p w14:paraId="690AC3EC" w14:textId="77777777" w:rsidR="00494B49" w:rsidRDefault="00494B49">
      <w:pPr>
        <w:pStyle w:val="BExamplepara"/>
      </w:pPr>
      <w:r>
        <w:rPr>
          <w:rStyle w:val="BExamplehead"/>
          <w:rFonts w:eastAsiaTheme="minorHAnsi"/>
          <w:i/>
        </w:rPr>
        <w:t>Example:</w:t>
      </w:r>
      <w:r>
        <w:t xml:space="preserve"> For example, A, an individual, is a 40% limited partner in LP. LP is a passive activity with respect to A. In Year 1, A’s distributive share of </w:t>
      </w:r>
      <w:smartTag w:uri="http://www.bna.com/sgml2word/cite" w:element="cite.usc">
        <w:smartTagPr>
          <w:attr w:name="ref" w:val="USC\26\1411(c)(1)(A)(ii)"/>
        </w:smartTagPr>
        <w:r>
          <w:t>§1411(c)(1)(A)(ii)</w:t>
        </w:r>
      </w:smartTag>
      <w:r>
        <w:t xml:space="preserve"> income and properly allocable deductions described in Reg. </w:t>
      </w:r>
      <w:smartTag w:uri="http://www.bna.com/sgml2word/cite" w:element="cite.cfr">
        <w:smartTagPr>
          <w:attr w:name="ref" w:val="cfr\26\1.1411-4(f)(2)(ii)"/>
        </w:smartTagPr>
        <w:r>
          <w:t>§1.1411-4(f)(2)(ii)</w:t>
        </w:r>
      </w:smartTag>
      <w:r>
        <w:t xml:space="preserve"> are $50,000 and $37,000, respectively. In Year 2, LP receives a refund of a properly allocable deduction described in Reg. </w:t>
      </w:r>
      <w:smartTag w:uri="http://www.bna.com/sgml2word/cite" w:element="cite.cfr">
        <w:smartTagPr>
          <w:attr w:name="ref" w:val="cfr\26\1.1411-4(f)(2)(ii)"/>
        </w:smartTagPr>
        <w:r>
          <w:t>§1.1411-4(f)(2)(ii)</w:t>
        </w:r>
      </w:smartTag>
      <w:r>
        <w:t xml:space="preserve">. A’s distributive share of the recovered deduction is $2,000. Because the $2,000 recovery constitutes gross income described in </w:t>
      </w:r>
      <w:smartTag w:uri="http://www.bna.com/sgml2word/cite" w:element="cite.usc">
        <w:smartTagPr>
          <w:attr w:name="ref" w:val="USC\26\1411(c)(1)(A)(ii)"/>
        </w:smartTagPr>
        <w:r>
          <w:lastRenderedPageBreak/>
          <w:t>§1411(c)(1)(A)(ii)</w:t>
        </w:r>
      </w:smartTag>
      <w:r>
        <w:t xml:space="preserve"> in Year 2, A does not reduce any properly allocable deductions attributable to Year 2.</w:t>
      </w:r>
      <w:r>
        <w:rPr>
          <w:rStyle w:val="FootnoteReference"/>
        </w:rPr>
        <w:footnoteReference w:id="742"/>
      </w:r>
    </w:p>
    <w:p w14:paraId="5D0B1E62" w14:textId="77777777" w:rsidR="00494B49" w:rsidRDefault="00494B49">
      <w:pPr>
        <w:pStyle w:val="BHead2"/>
      </w:pPr>
      <w:r>
        <w:t>4. Recovery of Reasonably Allocated Deductions</w:t>
      </w:r>
    </w:p>
    <w:p w14:paraId="0E9973CA" w14:textId="77777777" w:rsidR="00494B49" w:rsidRDefault="00494B49">
      <w:pPr>
        <w:pStyle w:val="BNormal"/>
      </w:pPr>
      <w:r>
        <w:t xml:space="preserve">The regulations provide a special rule in the case of a recovery of a deduction that was allocated between net investment income and non-net-investment income (such as </w:t>
      </w:r>
      <w:smartTag w:uri="http://www.bna.com/sgml2word/cite" w:element="cite.usc">
        <w:smartTagPr>
          <w:attr w:name="ref" w:val="USC\26\164(a)(3)"/>
        </w:smartTagPr>
        <w:r>
          <w:t>§164(a)(3)</w:t>
        </w:r>
      </w:smartTag>
      <w:r>
        <w:t xml:space="preserve"> taxes). The regulations provide that the amount taken into account under the recovery rule is based on the ratio used to allocate the item in the year of the deduction. For example, if a taxpayer allocated 45% of its total state income tax liability to net investment income in the year of the deduction, 45% of the recovery of such taxes will reduce the total amount of properly allocable deductions in the year of the recovery, even though the taxpayer’s allocation of state income taxes to net investment income in the year of recovery may be, for example, 30%.</w:t>
      </w:r>
      <w:r>
        <w:rPr>
          <w:rStyle w:val="FootnoteReference"/>
        </w:rPr>
        <w:footnoteReference w:id="743"/>
      </w:r>
    </w:p>
    <w:p w14:paraId="2FFBCC39" w14:textId="77777777" w:rsidR="00494B49" w:rsidRDefault="00494B49">
      <w:pPr>
        <w:pStyle w:val="BCommentpara"/>
      </w:pPr>
      <w:r>
        <w:rPr>
          <w:rStyle w:val="BCommenthead"/>
        </w:rPr>
        <w:t>Comment:</w:t>
      </w:r>
      <w:r>
        <w:t xml:space="preserve"> The most common recovery item is a refund of state income taxes. However, during the deduction limitation years of 2018–2025, amounts includible should be rare and relatively small. For example, if an individual has $100,000 of state and local tax (SALT) deductions reported on Schedule A in Year 1, and only $10,000 is allowed as a deduction, the maximum amount that is deductible for NII purposes is $10,000.</w:t>
      </w:r>
      <w:r>
        <w:rPr>
          <w:rStyle w:val="FootnoteReference"/>
        </w:rPr>
        <w:footnoteReference w:id="744"/>
      </w:r>
      <w:r>
        <w:t xml:space="preserve"> Assume that the taxpayer received a refund of $15,000. The recovery rule basically asks if the taxpayer received an NII benefit if the total Schedule A deduction in Year 1 was $85,000. The limitation would still be $10,000 for regular tax and NII purposes. So, depending on the allocation method, the amount of recovery could be zero or, say, 15% of the amount deducted on the </w:t>
      </w:r>
      <w:smartTag w:uri="http://www.bna.com/sgml2word/cite" w:element="cite.agency.doc">
        <w:smartTagPr>
          <w:attr w:name="ref" w:val="irs\form8960"/>
        </w:smartTagPr>
        <w:r>
          <w:t>Form 8960</w:t>
        </w:r>
      </w:smartTag>
      <w:r>
        <w:t xml:space="preserve"> in Year 1 (the maximum possible would be $10,000 × 15% = $1,500 recovery).</w:t>
      </w:r>
    </w:p>
    <w:p w14:paraId="69D67741" w14:textId="77777777" w:rsidR="00494B49" w:rsidRDefault="00494B49">
      <w:pPr>
        <w:pStyle w:val="BHead1"/>
      </w:pPr>
      <w:r>
        <w:t>H. Net Operating Losses</w:t>
      </w:r>
    </w:p>
    <w:p w14:paraId="63A9DC91" w14:textId="77777777" w:rsidR="00494B49" w:rsidRDefault="00494B49">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067F8C5B" w14:textId="77777777" w:rsidR="00494B49" w:rsidRDefault="00494B49">
      <w:pPr>
        <w:pStyle w:val="BCommentpara"/>
      </w:pPr>
      <w:r>
        <w:rPr>
          <w:rStyle w:val="BCommenthead"/>
        </w:rPr>
        <w:t xml:space="preserve">Comment: </w:t>
      </w:r>
      <w:r>
        <w:t xml:space="preserve">In years following the enactment of the TCJA, individual net operating loss (NOL) deductions have become more common due to the enactment of </w:t>
      </w:r>
      <w:smartTag w:uri="http://www.bna.com/sgml2word/cite" w:element="cite.usc">
        <w:smartTagPr>
          <w:attr w:name="ref" w:val="USC\26\461(l)"/>
        </w:smartTagPr>
        <w:r>
          <w:t>§461(l)</w:t>
        </w:r>
      </w:smartTag>
      <w:r>
        <w:t>.</w:t>
      </w:r>
      <w:r>
        <w:rPr>
          <w:rStyle w:val="FootnoteReference"/>
        </w:rPr>
        <w:footnoteReference w:id="745"/>
      </w:r>
      <w:r>
        <w:t xml:space="preserve"> For purposes of the NII calculation of an NOL, there should be two different types of NOLs. First, there is an NOL created by the </w:t>
      </w:r>
      <w:smartTag w:uri="http://www.bna.com/sgml2word/cite" w:element="cite.usc">
        <w:smartTagPr>
          <w:attr w:name="ref" w:val="USC\26\461(l)"/>
        </w:smartTagPr>
        <w:r>
          <w:t>§461(l)</w:t>
        </w:r>
      </w:smartTag>
      <w:r>
        <w:t xml:space="preserve"> disallowance. Amounts carried forward as a result of the </w:t>
      </w:r>
      <w:smartTag w:uri="http://www.bna.com/sgml2word/cite" w:element="cite.usc">
        <w:smartTagPr>
          <w:attr w:name="ref" w:val="USC\26\461(l)"/>
        </w:smartTagPr>
        <w:r>
          <w:t>§461(l)</w:t>
        </w:r>
      </w:smartTag>
      <w:r>
        <w:t xml:space="preserve"> disallowance are covered in </w:t>
      </w:r>
      <w:smartTag w:uri="http://www.bna.com/sgml2word/cite" w:element="cite.bna.reference">
        <w:smartTagPr>
          <w:attr w:name="bna.id.ref" w:val="TM\511.V.F.3"/>
        </w:smartTagPr>
        <w:r>
          <w:t>V.F.3.</w:t>
        </w:r>
      </w:smartTag>
      <w:smartTag w:uri="http://www.bna.com/sgml2word/cite" w:element="cite.bna.reference">
        <w:smartTagPr>
          <w:attr w:name="bna.id.ref" w:val="TM\873.V.F.3"/>
        </w:smartTagPr>
        <w:r>
          <w:t>V.F.3.</w:t>
        </w:r>
      </w:smartTag>
      <w:r>
        <w:t xml:space="preserve">, above. An NOL that is created under the general rules of </w:t>
      </w:r>
      <w:smartTag w:uri="http://www.bna.com/sgml2word/cite" w:element="cite.usc">
        <w:smartTagPr>
          <w:attr w:name="ref" w:val="USC\26\172"/>
        </w:smartTagPr>
        <w:r>
          <w:t>§172</w:t>
        </w:r>
      </w:smartTag>
      <w:r>
        <w:t xml:space="preserve">, and not </w:t>
      </w:r>
      <w:smartTag w:uri="http://www.bna.com/sgml2word/cite" w:element="cite.usc">
        <w:smartTagPr>
          <w:attr w:name="ref" w:val="USC\26\461(l)"/>
        </w:smartTagPr>
        <w:r>
          <w:t>§461(l)</w:t>
        </w:r>
      </w:smartTag>
      <w:r>
        <w:t xml:space="preserve">, can colloquially be referred to as a “natural NOL.” The calculation of a “Section 1411 NOL” under Reg. </w:t>
      </w:r>
      <w:smartTag w:uri="http://www.bna.com/sgml2word/cite" w:element="cite.cfr">
        <w:smartTagPr>
          <w:attr w:name="ref" w:val="cfr\26\1.1411-4(h)"/>
        </w:smartTagPr>
        <w:r>
          <w:t>§1.1411-4(h)</w:t>
        </w:r>
      </w:smartTag>
      <w:r>
        <w:t>, and this portion of the Portfolio should apply only to natural NOLs</w:t>
      </w:r>
    </w:p>
    <w:p w14:paraId="66384531" w14:textId="77777777" w:rsidR="00494B49" w:rsidRDefault="00494B49">
      <w:pPr>
        <w:pStyle w:val="BNormal"/>
      </w:pPr>
      <w:r>
        <w:lastRenderedPageBreak/>
        <w:t xml:space="preserve">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provide rules for allocating a net operating loss (NOL) to net investment income.</w:t>
      </w:r>
      <w:r>
        <w:rPr>
          <w:rStyle w:val="FootnoteReference"/>
        </w:rPr>
        <w:footnoteReference w:id="746"/>
      </w:r>
      <w:r>
        <w:t xml:space="preserve"> The design and operation of these regulatory provisions generally follow the principles of </w:t>
      </w:r>
      <w:smartTag w:uri="http://www.bna.com/sgml2word/cite" w:element="cite.usc">
        <w:smartTagPr>
          <w:attr w:name="ref" w:val="USC\26\172"/>
        </w:smartTagPr>
        <w:r>
          <w:t>§172</w:t>
        </w:r>
      </w:smartTag>
      <w:r>
        <w:t>.</w:t>
      </w:r>
      <w:r>
        <w:rPr>
          <w:rStyle w:val="FootnoteReference"/>
        </w:rPr>
        <w:footnoteReference w:id="747"/>
      </w:r>
      <w:r>
        <w:t xml:space="preserve"> For a detailed discussion of the calculation and use of individual NOLs, 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w:t>
      </w:r>
    </w:p>
    <w:p w14:paraId="17C3433E" w14:textId="77777777" w:rsidR="00494B49" w:rsidRDefault="00494B49">
      <w:pPr>
        <w:pStyle w:val="BNormal"/>
      </w:pPr>
      <w:r>
        <w:t xml:space="preserve">Under the operative provisions of Reg. </w:t>
      </w:r>
      <w:smartTag w:uri="http://www.bna.com/sgml2word/cite" w:element="cite.cfr">
        <w:smartTagPr>
          <w:attr w:name="ref" w:val="cfr\26\1.1411-4(f)(2)(iv)"/>
        </w:smartTagPr>
        <w:r>
          <w:t>§1.1411-4(f)(2)(iv)</w:t>
        </w:r>
      </w:smartTag>
      <w:r>
        <w:t xml:space="preserve">, a taxpayer is allowed to deduct against net investment income the “Total </w:t>
      </w:r>
      <w:smartTag w:uri="http://www.bna.com/sgml2word/cite" w:element="cite.usc">
        <w:smartTagPr>
          <w:attr w:name="ref" w:val="USC\26\1411"/>
        </w:smartTagPr>
        <w:r>
          <w:t>Section 1411</w:t>
        </w:r>
      </w:smartTag>
      <w:r>
        <w:t xml:space="preserve"> NOL amount” of an NOL deduction allowed under </w:t>
      </w:r>
      <w:smartTag w:uri="http://www.bna.com/sgml2word/cite" w:element="cite.usc">
        <w:smartTagPr>
          <w:attr w:name="ref" w:val="USC\26\172"/>
        </w:smartTagPr>
        <w:r>
          <w:t>§172</w:t>
        </w:r>
      </w:smartTag>
      <w:r>
        <w:t xml:space="preserve">. Under Reg. </w:t>
      </w:r>
      <w:smartTag w:uri="http://www.bna.com/sgml2word/cite" w:element="cite.cfr">
        <w:smartTagPr>
          <w:attr w:name="ref" w:val="cfr\26\1.1411-4(h)"/>
        </w:smartTagPr>
        <w:r>
          <w:t>§1.1411-4(h)</w:t>
        </w:r>
      </w:smartTag>
      <w:r>
        <w:t xml:space="preserve">, the taxpayer calculates the Total </w:t>
      </w:r>
      <w:smartTag w:uri="http://www.bna.com/sgml2word/cite" w:element="cite.usc">
        <w:smartTagPr>
          <w:attr w:name="ref" w:val="USC\26\1411"/>
        </w:smartTagPr>
        <w:r>
          <w:t>Section 1411</w:t>
        </w:r>
      </w:smartTag>
      <w:r>
        <w:t xml:space="preserve"> NOL amount by first determining the “applicable portion of the NOL” for each loss year (“step one”). For tax years beginning after December 31, 2012, the applicable portion of the NOL for a loss year is equal to the lesser of: (1) the amount of the NOL for the loss year, calculated under </w:t>
      </w:r>
      <w:smartTag w:uri="http://www.bna.com/sgml2word/cite" w:element="cite.usc">
        <w:smartTagPr>
          <w:attr w:name="ref" w:val="USC\26\172"/>
        </w:smartTagPr>
        <w:r>
          <w:t>§172</w:t>
        </w:r>
      </w:smartTag>
      <w:r>
        <w:t>, that the taxpayer would have incurred if only items of gross income and properly allocable deductions used in calculating net investment income are taken into account, or (2) the amount of the taxpayer’s regular tax NOL for the loss year. Once the taxpayer has determined the applicable portion of an NOL for a given loss year, the taxpayer then determines the Section 1411 NOL amount that is carried to and deducted in the current year (note that the “Section 1411 NOL” is different from the “Total Section 1411 NOL”).</w:t>
      </w:r>
    </w:p>
    <w:p w14:paraId="38F75E37" w14:textId="77777777" w:rsidR="00494B49" w:rsidRDefault="00494B49">
      <w:pPr>
        <w:pStyle w:val="BNormal"/>
      </w:pPr>
      <w:r>
        <w:t>The Section 1411 NOL amount is equal to the amount of the regular tax NOL carried forward from the loss year multiplied by a fraction. The numerator of this fraction is the applicable portion of the NOL for the loss year as determined in step one. The denominator of the fraction is the total regular tax NOL for the loss year. A separate fraction is determined for each loss year. The product is the amount of the NOL deduction from the loss year that is allowed as a properly allocable deduction in the tax year (referred to as the “Section 1411 NOL” amount). The sum of the Section 1411 NOL amounts for each NOL carried to and deducted in the tax year, referred to as the Total Section 1411 NOL amount, is the amount of the NOL deduction for the tax year that is properly allocable to net investment income.</w:t>
      </w:r>
    </w:p>
    <w:p w14:paraId="04E642C5" w14:textId="77777777" w:rsidR="00494B49" w:rsidRDefault="00494B49">
      <w:pPr>
        <w:pStyle w:val="BNormal"/>
      </w:pPr>
      <w:r>
        <w:rPr>
          <w:i/>
        </w:rPr>
        <w:lastRenderedPageBreak/>
        <w:t>Key Point 1</w:t>
      </w:r>
      <w:r>
        <w:t>: As written in the 2013 Final Regulations and explained in greater detail below, in order to include a portion of an NOL as a properly allocable deduction (and thus reduce net investment income), the taxpayer must:</w:t>
      </w:r>
    </w:p>
    <w:p w14:paraId="109C2A6E" w14:textId="77777777" w:rsidR="00494B49" w:rsidRDefault="00494B49">
      <w:pPr>
        <w:pStyle w:val="BListitembul"/>
      </w:pPr>
      <w:r>
        <w:t>generate a “Section 1411 NOL” in a tax year beginning after December 31, 2012; and</w:t>
      </w:r>
      <w:r>
        <w:rPr>
          <w:rStyle w:val="FootnoteReference"/>
        </w:rPr>
        <w:footnoteReference w:id="748"/>
      </w:r>
    </w:p>
    <w:p w14:paraId="52146D8A" w14:textId="77777777" w:rsidR="00494B49" w:rsidRDefault="00494B49">
      <w:pPr>
        <w:pStyle w:val="BListitembul"/>
      </w:pPr>
      <w:r>
        <w:t>deduct the corresponding regular tax NOL (by reference to which the Section 1411 NOL is measured) in a tax year beginning after December 31, 2012.</w:t>
      </w:r>
    </w:p>
    <w:p w14:paraId="74BB2E15" w14:textId="77777777" w:rsidR="00494B49" w:rsidRDefault="00494B49">
      <w:pPr>
        <w:pStyle w:val="BNormal"/>
      </w:pPr>
      <w:r>
        <w:rPr>
          <w:i/>
        </w:rPr>
        <w:t>Key Point 2</w:t>
      </w:r>
      <w:r>
        <w:t xml:space="preserve">: When used in this part of the Portfolio, the term “negative net investment income” occurs when a taxpayer’s </w:t>
      </w:r>
      <w:smartTag w:uri="http://www.bna.com/sgml2word/cite" w:element="cite.usc">
        <w:smartTagPr>
          <w:attr w:name="ref" w:val="USC\26\1411(c)(1)(B)"/>
        </w:smartTagPr>
        <w:r>
          <w:t>§1411(c)(1)(B)</w:t>
        </w:r>
      </w:smartTag>
      <w:r>
        <w:t xml:space="preserve"> properly allocable deductions exceed the taxpayer’s </w:t>
      </w:r>
      <w:smartTag w:uri="http://www.bna.com/sgml2word/cite" w:element="cite.usc">
        <w:smartTagPr>
          <w:attr w:name="ref" w:val="USC\26\1411(c)(1)(A)"/>
        </w:smartTagPr>
        <w:r>
          <w:t>§1411(c)(1)(A)</w:t>
        </w:r>
      </w:smartTag>
      <w:r>
        <w:t xml:space="preserve"> gross net investment income for the year (determined without regard to any Section 1411 NOL deducted in that year under Reg. </w:t>
      </w:r>
      <w:smartTag w:uri="http://www.bna.com/sgml2word/cite" w:element="cite.cfr">
        <w:smartTagPr>
          <w:attr w:name="ref" w:val="cfr\26\1.1411-4(f)(2)(iv)"/>
        </w:smartTagPr>
        <w:r>
          <w:t>§1.1411-4(f)(2)(iv)</w:t>
        </w:r>
      </w:smartTag>
      <w:r>
        <w:t>).</w:t>
      </w:r>
    </w:p>
    <w:p w14:paraId="4BE3CB7F" w14:textId="77777777" w:rsidR="00494B49" w:rsidRDefault="00494B49">
      <w:pPr>
        <w:pStyle w:val="BNormal"/>
      </w:pPr>
      <w:r>
        <w:rPr>
          <w:i/>
        </w:rPr>
        <w:t>Key Point 3</w:t>
      </w:r>
      <w:r>
        <w:t>: All references to regular tax NOLs, including the calculation of the NOL in the loss year, and the amount of the deduction allowed in the carryback or carryover year are independent of the amount of NOL created or used for AMT purposes.</w:t>
      </w:r>
    </w:p>
    <w:p w14:paraId="7D02A851" w14:textId="77777777" w:rsidR="00494B49" w:rsidRDefault="00494B49">
      <w:pPr>
        <w:pStyle w:val="BNormal"/>
      </w:pPr>
      <w:r>
        <w:rPr>
          <w:i/>
        </w:rPr>
        <w:t>Key Point 4</w:t>
      </w:r>
      <w:r>
        <w:t>: NOLs created after 2017 and carried forward in tax years after 2020 can be used only to the extent of 80% of taxable income. If the use of the NOL is limited by the taxable income limitation, then that limitation also applies to the use of the Section 1411 NOL.</w:t>
      </w:r>
      <w:r>
        <w:rPr>
          <w:rStyle w:val="FootnoteReference"/>
        </w:rPr>
        <w:footnoteReference w:id="749"/>
      </w:r>
    </w:p>
    <w:p w14:paraId="6A001BD1" w14:textId="77777777" w:rsidR="00494B49" w:rsidRDefault="00494B49">
      <w:pPr>
        <w:pStyle w:val="BHead2"/>
      </w:pPr>
      <w:r>
        <w:t>1. Step One — Calculation of Applicable Portion of NOL for Each Loss Year</w:t>
      </w:r>
    </w:p>
    <w:p w14:paraId="21380C73" w14:textId="77777777" w:rsidR="00494B49" w:rsidRDefault="00494B49">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7E42645A" w14:textId="77777777" w:rsidR="00494B49" w:rsidRDefault="00494B49">
      <w:pPr>
        <w:pStyle w:val="BNormal"/>
      </w:pPr>
      <w:r>
        <w:t xml:space="preserve">In any tax year beginning in 2013 or later in which a taxpayer incurs a net operating loss for regular tax purposes, the applicable portion of the loss for that particular loss year is equal to the lesser of: (i) the amount of the regular tax NOL for the loss year that the taxpayer would incur if only items of gross income that are used to determine net investment income and only properly allocable deductions are taken into account in determining the NOL in accordance with </w:t>
      </w:r>
      <w:smartTag w:uri="http://www.bna.com/sgml2word/cite" w:element="cite.usc">
        <w:smartTagPr>
          <w:attr w:name="ref" w:val="USC\26\172(c)"/>
        </w:smartTagPr>
        <w:r>
          <w:t>§172(c)</w:t>
        </w:r>
      </w:smartTag>
      <w:r>
        <w:t xml:space="preserve"> and </w:t>
      </w:r>
      <w:smartTag w:uri="http://www.bna.com/sgml2word/cite" w:element="cite.usc">
        <w:smartTagPr>
          <w:attr w:name="ref" w:val="USC\26\172(d)"/>
        </w:smartTagPr>
        <w:r>
          <w:t>§172(d)</w:t>
        </w:r>
      </w:smartTag>
      <w:r>
        <w:t>; or (ii) the amount of the taxpayer’s regular tax NOL for the loss year.</w:t>
      </w:r>
      <w:r>
        <w:rPr>
          <w:rStyle w:val="FootnoteReference"/>
        </w:rPr>
        <w:footnoteReference w:id="750"/>
      </w:r>
    </w:p>
    <w:p w14:paraId="5410C2F6" w14:textId="77777777" w:rsidR="00494B49" w:rsidRDefault="00494B49">
      <w:pPr>
        <w:pStyle w:val="BNormal"/>
      </w:pPr>
      <w:r>
        <w:rPr>
          <w:i/>
        </w:rPr>
        <w:t>Key Point</w:t>
      </w:r>
      <w:r>
        <w:t xml:space="preserve">: Because the introductory phrase of Reg. </w:t>
      </w:r>
      <w:smartTag w:uri="http://www.bna.com/sgml2word/cite" w:element="cite.cfr">
        <w:smartTagPr>
          <w:attr w:name="ref" w:val="cfr\26\1.1411-4(h)(2)"/>
        </w:smartTagPr>
        <w:r>
          <w:t>§1.1411-4(h)(2)</w:t>
        </w:r>
      </w:smartTag>
      <w:r>
        <w:t xml:space="preserve"> provides that a </w:t>
      </w:r>
      <w:smartTag w:uri="http://www.bna.com/sgml2word/cite" w:element="cite.usc">
        <w:smartTagPr>
          <w:attr w:name="ref" w:val="USC\26\1411"/>
        </w:smartTagPr>
        <w:r>
          <w:t>Section 1411</w:t>
        </w:r>
      </w:smartTag>
      <w:r>
        <w:t xml:space="preserve"> NOL can occur only in tax years beginning in 2013 or later, any NOL generated in a tax year beginning before 2013 will not have any </w:t>
      </w:r>
      <w:smartTag w:uri="http://www.bna.com/sgml2word/cite" w:element="cite.usc">
        <w:smartTagPr>
          <w:attr w:name="ref" w:val="USC\26\1411(c)(1)(B)"/>
        </w:smartTagPr>
        <w:r>
          <w:t>§1411(c)(1)(B)</w:t>
        </w:r>
      </w:smartTag>
      <w:r>
        <w:t xml:space="preserve"> properly allocable deduction associated with it.</w:t>
      </w:r>
      <w:r>
        <w:rPr>
          <w:rStyle w:val="FootnoteReference"/>
        </w:rPr>
        <w:footnoteReference w:id="751"/>
      </w:r>
    </w:p>
    <w:p w14:paraId="2214315C" w14:textId="77777777" w:rsidR="00494B49" w:rsidRDefault="00494B49">
      <w:pPr>
        <w:pStyle w:val="BNormal"/>
      </w:pPr>
      <w:r>
        <w:t xml:space="preserve">It may also appear obvious that if a taxpayer has positive net investment income in the same year an NOL is generated, the applicable portion of the NOL should equal zero. Therefore, none of the NOL will be deductible for NIIT purposes in another year. This result is accomplished by the “lesser of” limitation in Reg. </w:t>
      </w:r>
      <w:smartTag w:uri="http://www.bna.com/sgml2word/cite" w:element="cite.cfr">
        <w:smartTagPr>
          <w:attr w:name="ref" w:val="cfr\26\1.1411-4(h)(2)"/>
        </w:smartTagPr>
        <w:r>
          <w:t>§1.1411-4(h)(2)</w:t>
        </w:r>
      </w:smartTag>
      <w:r>
        <w:t xml:space="preserve"> where one side of the amounts being compared is a recalculation of the NOL using only net investment income items. If the net investment income </w:t>
      </w:r>
      <w:r>
        <w:lastRenderedPageBreak/>
        <w:t xml:space="preserve">items are a net positive number (gross investment income is greater than properly allocable deductions), the amount calculated under Reg. </w:t>
      </w:r>
      <w:smartTag w:uri="http://www.bna.com/sgml2word/cite" w:element="cite.cfr">
        <w:smartTagPr>
          <w:attr w:name="ref" w:val="cfr\26\1.1411-4(h)(2)(i)"/>
        </w:smartTagPr>
        <w:r>
          <w:t>§1.1411-4(h)(2)(i)</w:t>
        </w:r>
      </w:smartTag>
      <w:r>
        <w:t xml:space="preserve"> will be zero and will, by definition, be less than the amount calculated under Reg. </w:t>
      </w:r>
      <w:smartTag w:uri="http://www.bna.com/sgml2word/cite" w:element="cite.cfr">
        <w:smartTagPr>
          <w:attr w:name="ref" w:val="cfr\26\1.1411-4(h)(2)(ii)"/>
        </w:smartTagPr>
        <w:r>
          <w:t>§1.1411-4(h)(2)(ii)</w:t>
        </w:r>
      </w:smartTag>
      <w:r>
        <w:t xml:space="preserve"> (the amount of the regular tax NOL). If this were not the case, the NOL taxpayer would be able to use an NOL to “create” deductions under </w:t>
      </w:r>
      <w:smartTag w:uri="http://www.bna.com/sgml2word/cite" w:element="cite.usc">
        <w:smartTagPr>
          <w:attr w:name="ref" w:val="USC\26\1411(c)(1)(B)"/>
        </w:smartTagPr>
        <w:r>
          <w:t>§1411(c)(1)(B)</w:t>
        </w:r>
      </w:smartTag>
      <w:r>
        <w:t xml:space="preserve"> where none exist in Chapter 1.</w:t>
      </w:r>
    </w:p>
    <w:p w14:paraId="7BB64FAA" w14:textId="77777777" w:rsidR="00494B49" w:rsidRDefault="00494B49">
      <w:pPr>
        <w:pStyle w:val="BNormal"/>
      </w:pPr>
      <w:r>
        <w:t xml:space="preserve">Reg. </w:t>
      </w:r>
      <w:smartTag w:uri="http://www.bna.com/sgml2word/cite" w:element="cite.cfr">
        <w:smartTagPr>
          <w:attr w:name="ref" w:val="cfr\26\1.1411-4(h)(2)(i)"/>
        </w:smartTagPr>
        <w:r>
          <w:t>§1.1411-4(h)(2)(i)</w:t>
        </w:r>
      </w:smartTag>
      <w:r>
        <w:t xml:space="preserve"> invokes the limitations of </w:t>
      </w:r>
      <w:smartTag w:uri="http://www.bna.com/sgml2word/cite" w:element="cite.usc">
        <w:smartTagPr>
          <w:attr w:name="ref" w:val="USC\26\172(d)"/>
        </w:smartTagPr>
        <w:r>
          <w:t>§172(d)</w:t>
        </w:r>
      </w:smartTag>
      <w:r>
        <w:t xml:space="preserve">, which exclude from the calculation of a current year’s NOL any deduction allowed under </w:t>
      </w:r>
      <w:smartTag w:uri="http://www.bna.com/sgml2word/cite" w:element="cite.usc">
        <w:smartTagPr>
          <w:attr w:name="ref" w:val="USC\26\172(a)"/>
        </w:smartTagPr>
        <w:r>
          <w:t>§172(a)</w:t>
        </w:r>
      </w:smartTag>
      <w:r>
        <w:t xml:space="preserve">. Therefore, because no </w:t>
      </w:r>
      <w:smartTag w:uri="http://www.bna.com/sgml2word/cite" w:element="cite.usc">
        <w:smartTagPr>
          <w:attr w:name="ref" w:val="USC\26\172(a)"/>
        </w:smartTagPr>
        <w:r>
          <w:t>§172(a)</w:t>
        </w:r>
      </w:smartTag>
      <w:r>
        <w:t xml:space="preserve"> deduction is allowed, the taxpayer’s calculation of an NOL using only net investment income items under Reg. </w:t>
      </w:r>
      <w:smartTag w:uri="http://www.bna.com/sgml2word/cite" w:element="cite.cfr">
        <w:smartTagPr>
          <w:attr w:name="ref" w:val="cfr\26\1.1411-4(h)(2)(i)"/>
        </w:smartTagPr>
        <w:r>
          <w:t>§1.1411-4(h)(2)(i)</w:t>
        </w:r>
      </w:smartTag>
      <w:r>
        <w:t xml:space="preserve"> does not include any NOL deduction allowed in that year pursuant to Reg. </w:t>
      </w:r>
      <w:smartTag w:uri="http://www.bna.com/sgml2word/cite" w:element="cite.cfr">
        <w:smartTagPr>
          <w:attr w:name="ref" w:val="cfr\26\1.1411-4(f)(2)(iv)"/>
        </w:smartTagPr>
        <w:r>
          <w:t>§1.1411-4(f)(2)(iv)</w:t>
        </w:r>
      </w:smartTag>
      <w:r>
        <w:t>.</w:t>
      </w:r>
    </w:p>
    <w:p w14:paraId="1C1B2445" w14:textId="77777777" w:rsidR="00494B49" w:rsidRDefault="00494B49">
      <w:pPr>
        <w:pStyle w:val="BNormal"/>
      </w:pPr>
      <w:r>
        <w:t xml:space="preserve">In addition, the amount of NOL calculated under Reg. </w:t>
      </w:r>
      <w:smartTag w:uri="http://www.bna.com/sgml2word/cite" w:element="cite.cfr">
        <w:smartTagPr>
          <w:attr w:name="ref" w:val="cfr\26\1.1411-4(h)(2)(i)"/>
        </w:smartTagPr>
        <w:r>
          <w:t>§1.1411-4(h)(2)(i)</w:t>
        </w:r>
      </w:smartTag>
      <w:r>
        <w:t xml:space="preserve"> cannot be greater than the taxpayer’s regular tax NOL. Although this statement appears intuitive, due to the unique mechanics of the calculation of an individual net operating loss in </w:t>
      </w:r>
      <w:smartTag w:uri="http://www.bna.com/sgml2word/cite" w:element="cite.usc">
        <w:smartTagPr>
          <w:attr w:name="ref" w:val="USC\26\172(d)(4)"/>
        </w:smartTagPr>
        <w:r>
          <w:t>§172(d)(4)</w:t>
        </w:r>
      </w:smartTag>
      <w:r>
        <w:t>, which limits nonbusiness deductions to nonbusiness income, it is possible for a taxpayer’s regular tax NOL produced in any given year to be less than the taxpayer’s negative net investment income.</w:t>
      </w:r>
    </w:p>
    <w:p w14:paraId="584B3A1D" w14:textId="77777777" w:rsidR="00494B49" w:rsidRDefault="00494B49">
      <w:pPr>
        <w:pStyle w:val="BHead2"/>
      </w:pPr>
      <w:r>
        <w:t xml:space="preserve">2. Step Two — Calculation of Total §1411 NOL </w:t>
      </w:r>
    </w:p>
    <w:p w14:paraId="59015C93" w14:textId="77777777" w:rsidR="00494B49" w:rsidRDefault="00494B49">
      <w:pPr>
        <w:pStyle w:val="BHead3"/>
      </w:pPr>
      <w:r>
        <w:t>a. The §1411 NOL for Each Loss Year</w:t>
      </w:r>
    </w:p>
    <w:p w14:paraId="24495EC7" w14:textId="77777777" w:rsidR="00494B49" w:rsidRDefault="00494B49">
      <w:pPr>
        <w:pStyle w:val="BNormal"/>
      </w:pPr>
      <w:r>
        <w:t xml:space="preserve">Once a taxpayer has calculated the allocable portion of a regular tax NOL for a given loss year, the taxpayer then calculates the </w:t>
      </w:r>
      <w:smartTag w:uri="http://www.bna.com/sgml2word/cite" w:element="cite.usc">
        <w:smartTagPr>
          <w:attr w:name="ref" w:val="USC\26\1411"/>
        </w:smartTagPr>
        <w:r>
          <w:t>Section 1411</w:t>
        </w:r>
      </w:smartTag>
      <w:r>
        <w:t xml:space="preserve"> NOL for that loss year. Under Reg. </w:t>
      </w:r>
      <w:smartTag w:uri="http://www.bna.com/sgml2word/cite" w:element="cite.cfr">
        <w:smartTagPr>
          <w:attr w:name="ref" w:val="cfr\26\1.1411-4(h)(3)"/>
        </w:smartTagPr>
        <w:r>
          <w:t>§1.1411-4(h)(3)</w:t>
        </w:r>
      </w:smartTag>
      <w:r>
        <w:t xml:space="preserve">, a taxpayer determines the </w:t>
      </w:r>
      <w:smartTag w:uri="http://www.bna.com/sgml2word/cite" w:element="cite.usc">
        <w:smartTagPr>
          <w:attr w:name="ref" w:val="USC\26\1411"/>
        </w:smartTagPr>
        <w:r>
          <w:t>Section 1411</w:t>
        </w:r>
      </w:smartTag>
      <w:r>
        <w:t xml:space="preserve"> NOL imbedded in each regular tax NOL that is carried from a loss year and allowed as a deduction by multiplying the total amount of the regular tax NOL carried from the loss year (allowed as a deduction under </w:t>
      </w:r>
      <w:smartTag w:uri="http://www.bna.com/sgml2word/cite" w:element="cite.usc">
        <w:smartTagPr>
          <w:attr w:name="ref" w:val="USC\26\172(a)"/>
        </w:smartTagPr>
        <w:r>
          <w:t>§172(a)</w:t>
        </w:r>
      </w:smartTag>
      <w:r>
        <w:t xml:space="preserve"> in the tax year) by this fraction: </w:t>
      </w:r>
    </w:p>
    <w:p w14:paraId="2DC5B6EF" w14:textId="77777777" w:rsidR="00494B49" w:rsidRDefault="00494B49">
      <w:pPr>
        <w:pStyle w:val="BNormal"/>
      </w:pPr>
      <w:r>
        <w:t xml:space="preserve">Applicable portion of the NOL for that loss year (as determined under Reg. </w:t>
      </w:r>
      <w:smartTag w:uri="http://www.bna.com/sgml2word/cite" w:element="cite.cfr">
        <w:smartTagPr>
          <w:attr w:name="ref" w:val="cfr\26\1.1411-4(h)(2)"/>
        </w:smartTagPr>
        <w:r>
          <w:t>§1.1411-4(h)(2)</w:t>
        </w:r>
      </w:smartTag>
      <w:r>
        <w:t>)</w:t>
      </w:r>
    </w:p>
    <w:p w14:paraId="1507C2F9" w14:textId="77777777" w:rsidR="00494B49" w:rsidRDefault="00494B49">
      <w:pPr>
        <w:pStyle w:val="BNormal"/>
      </w:pPr>
      <w:r>
        <w:t>Total amount of the regular tax NOL for the same loss year.</w:t>
      </w:r>
    </w:p>
    <w:p w14:paraId="65CF7D42" w14:textId="77777777" w:rsidR="00494B49" w:rsidRDefault="00494B49">
      <w:pPr>
        <w:pStyle w:val="BNormal"/>
      </w:pPr>
      <w:r>
        <w:t xml:space="preserve">The function of Reg. </w:t>
      </w:r>
      <w:smartTag w:uri="http://www.bna.com/sgml2word/cite" w:element="cite.cfr">
        <w:smartTagPr>
          <w:attr w:name="ref" w:val="cfr\26\1.1411-4(h)(3)"/>
        </w:smartTagPr>
        <w:r>
          <w:t>§1.1411-4(h)(3)</w:t>
        </w:r>
      </w:smartTag>
      <w:r>
        <w:t xml:space="preserve"> is to allow a pro rata portion of the excess net investment income deductions embedded within the NOL in each loss year to be carried from that loss year and deducted in the tax year. The regulations could have allowed, but do not allow, a stacking approach under which the </w:t>
      </w:r>
      <w:smartTag w:uri="http://www.bna.com/sgml2word/cite" w:element="cite.usc">
        <w:smartTagPr>
          <w:attr w:name="ref" w:val="USC\26\1411"/>
        </w:smartTagPr>
        <w:r>
          <w:t>Section 1411</w:t>
        </w:r>
      </w:smartTag>
      <w:r>
        <w:t xml:space="preserve"> NOL would be used first, or used last. All three alternatives (pro rata, </w:t>
      </w:r>
      <w:smartTag w:uri="http://www.bna.com/sgml2word/cite" w:element="cite.usc">
        <w:smartTagPr>
          <w:attr w:name="ref" w:val="USC\26\1411"/>
        </w:smartTagPr>
        <w:r>
          <w:t>Section 1411</w:t>
        </w:r>
      </w:smartTag>
      <w:r>
        <w:t xml:space="preserve"> NOL first, or </w:t>
      </w:r>
      <w:smartTag w:uri="http://www.bna.com/sgml2word/cite" w:element="cite.usc">
        <w:smartTagPr>
          <w:attr w:name="ref" w:val="USC\26\1411"/>
        </w:smartTagPr>
        <w:r>
          <w:t>Section 1411</w:t>
        </w:r>
      </w:smartTag>
      <w:r>
        <w:t xml:space="preserve"> NOL last) have benefits and burdens, but the pro rata method appeared to be most equitable overall.</w:t>
      </w:r>
    </w:p>
    <w:p w14:paraId="64052CA8" w14:textId="77777777" w:rsidR="00494B49" w:rsidRDefault="00494B49">
      <w:pPr>
        <w:pStyle w:val="BHead3"/>
      </w:pPr>
      <w:r>
        <w:t xml:space="preserve">b. The Total §1411 NOL </w:t>
      </w:r>
    </w:p>
    <w:p w14:paraId="358F2783" w14:textId="77777777" w:rsidR="00494B49" w:rsidRDefault="00494B49">
      <w:pPr>
        <w:pStyle w:val="BNormal"/>
      </w:pPr>
      <w:r>
        <w:t xml:space="preserve">In each year that an NOL is created, the items taken into account in calculating net investment income are different; therefore, a separate </w:t>
      </w:r>
      <w:smartTag w:uri="http://www.bna.com/sgml2word/cite" w:element="cite.usc">
        <w:smartTagPr>
          <w:attr w:name="ref" w:val="USC\26\1411"/>
        </w:smartTagPr>
        <w:r>
          <w:t>Section 1411</w:t>
        </w:r>
      </w:smartTag>
      <w:r>
        <w:t xml:space="preserve"> NOL is determined for each loss generation year under Reg. </w:t>
      </w:r>
      <w:smartTag w:uri="http://www.bna.com/sgml2word/cite" w:element="cite.cfr">
        <w:smartTagPr>
          <w:attr w:name="ref" w:val="cfr\26\1.1411-4(h)(3)"/>
        </w:smartTagPr>
        <w:r>
          <w:t>§1.1411-4(h)(3)</w:t>
        </w:r>
      </w:smartTag>
      <w:r>
        <w:t xml:space="preserve">. Although each NOL creation year has its own characteristics, when the taxpayer uses the NOL in a year with positive income, NOLs from several years can be used in a single tax year. Therefore, the concept of a Total </w:t>
      </w:r>
      <w:smartTag w:uri="http://www.bna.com/sgml2word/cite" w:element="cite.usc">
        <w:smartTagPr>
          <w:attr w:name="ref" w:val="USC\26\1411"/>
        </w:smartTagPr>
        <w:r>
          <w:t>Section 1411</w:t>
        </w:r>
      </w:smartTag>
      <w:r>
        <w:t xml:space="preserve"> NOL was created to capture the sum of </w:t>
      </w:r>
      <w:smartTag w:uri="http://www.bna.com/sgml2word/cite" w:element="cite.usc">
        <w:smartTagPr>
          <w:attr w:name="ref" w:val="USC\26\1411"/>
        </w:smartTagPr>
        <w:r>
          <w:t>Section 1411</w:t>
        </w:r>
      </w:smartTag>
      <w:r>
        <w:t xml:space="preserve"> NOLs embedded in multiple NOLs used in a single tax year. </w:t>
      </w:r>
    </w:p>
    <w:p w14:paraId="4FEB9771" w14:textId="77777777" w:rsidR="00494B49" w:rsidRDefault="00494B49">
      <w:pPr>
        <w:pStyle w:val="BNormal"/>
      </w:pPr>
      <w:r>
        <w:lastRenderedPageBreak/>
        <w:t xml:space="preserve">A taxpayer combines the </w:t>
      </w:r>
      <w:smartTag w:uri="http://www.bna.com/sgml2word/cite" w:element="cite.usc">
        <w:smartTagPr>
          <w:attr w:name="ref" w:val="USC\26\1411"/>
        </w:smartTagPr>
        <w:r>
          <w:t>Section 1411</w:t>
        </w:r>
      </w:smartTag>
      <w:r>
        <w:t xml:space="preserve"> NOL amounts of each NOL carried to and deducted in the tax year (as determined under Reg. </w:t>
      </w:r>
      <w:smartTag w:uri="http://www.bna.com/sgml2word/cite" w:element="cite.cfr">
        <w:smartTagPr>
          <w:attr w:name="ref" w:val="cfr\26\1.1411-4(h)(3)"/>
        </w:smartTagPr>
        <w:r>
          <w:t>§1.1411-4(h)(3)</w:t>
        </w:r>
      </w:smartTag>
      <w:r>
        <w:t xml:space="preserve">) to determine the “Total </w:t>
      </w:r>
      <w:smartTag w:uri="http://www.bna.com/sgml2word/cite" w:element="cite.usc">
        <w:smartTagPr>
          <w:attr w:name="ref" w:val="USC\26\1411"/>
        </w:smartTagPr>
        <w:r>
          <w:t>Section 1411</w:t>
        </w:r>
      </w:smartTag>
      <w:r>
        <w:t xml:space="preserve"> NOL,” which is the amount of the NOL deduction for the tax year that is properly allocable to net investment income under Reg. </w:t>
      </w:r>
      <w:smartTag w:uri="http://www.bna.com/sgml2word/cite" w:element="cite.cfr">
        <w:smartTagPr>
          <w:attr w:name="ref" w:val="cfr\26\1.1411-4(f)(2)(iv)"/>
        </w:smartTagPr>
        <w:r>
          <w:t>§1.1411-4(f)(2)(iv)</w:t>
        </w:r>
      </w:smartTag>
      <w:r>
        <w:t>.</w:t>
      </w:r>
      <w:r>
        <w:rPr>
          <w:rStyle w:val="FootnoteReference"/>
        </w:rPr>
        <w:footnoteReference w:id="752"/>
      </w:r>
    </w:p>
    <w:p w14:paraId="1C1DB580" w14:textId="77777777" w:rsidR="00494B49" w:rsidRDefault="00494B49">
      <w:pPr>
        <w:pStyle w:val="BHead3"/>
      </w:pPr>
      <w:r>
        <w:t>c. Example</w:t>
      </w:r>
    </w:p>
    <w:p w14:paraId="3AC8B51C" w14:textId="77777777" w:rsidR="00494B49" w:rsidRDefault="00494B49">
      <w:pPr>
        <w:pStyle w:val="BNormal"/>
      </w:pPr>
      <w:r>
        <w:t xml:space="preserve">The following example, an excerpt from the </w:t>
      </w:r>
      <w:hyperlink r:id="rId16" w:history="1">
        <w:r>
          <w:rPr>
            <w:rStyle w:val="Hyperlink"/>
          </w:rPr>
          <w:t>Instructions for Form 8960</w:t>
        </w:r>
      </w:hyperlink>
      <w:r>
        <w:t xml:space="preserve"> illustrates the calculation and use of a </w:t>
      </w:r>
      <w:smartTag w:uri="http://www.bna.com/sgml2word/cite" w:element="cite.usc">
        <w:smartTagPr>
          <w:attr w:name="ref" w:val="USC\26\1411"/>
        </w:smartTagPr>
        <w:r>
          <w:t>Section 1411</w:t>
        </w:r>
      </w:smartTag>
      <w:r>
        <w:t xml:space="preserve"> NOL for NIIT purposes.</w:t>
      </w:r>
    </w:p>
    <w:p w14:paraId="40D8C332" w14:textId="77777777" w:rsidR="00494B49" w:rsidRDefault="00494B49" w:rsidP="007865AF">
      <w:pPr>
        <w:pStyle w:val="BExamplepara"/>
      </w:pPr>
      <w:r>
        <w:t>Assume an unmarried individual incurs the following NOLs:</w:t>
      </w:r>
    </w:p>
    <w:p w14:paraId="56C52EB4"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2349"/>
        <w:gridCol w:w="2333"/>
        <w:gridCol w:w="2322"/>
        <w:gridCol w:w="2346"/>
      </w:tblGrid>
      <w:tr w:rsidR="00494B49" w14:paraId="0FAAAE44" w14:textId="77777777">
        <w:tc>
          <w:tcPr>
            <w:tcW w:w="2520" w:type="dxa"/>
          </w:tcPr>
          <w:p w14:paraId="659D8B8D" w14:textId="77777777" w:rsidR="00494B49" w:rsidRDefault="00494B49">
            <w:r>
              <w:t>NOL Origination Year</w:t>
            </w:r>
          </w:p>
        </w:tc>
        <w:tc>
          <w:tcPr>
            <w:tcW w:w="2520" w:type="dxa"/>
          </w:tcPr>
          <w:p w14:paraId="67FF8A18" w14:textId="77777777" w:rsidR="00494B49" w:rsidRDefault="00494B49">
            <w:r>
              <w:t>(A)</w:t>
            </w:r>
          </w:p>
          <w:p w14:paraId="5161ADCF" w14:textId="77777777" w:rsidR="00494B49" w:rsidRDefault="00494B49">
            <w:r>
              <w:t>Regular Tax NOL</w:t>
            </w:r>
          </w:p>
        </w:tc>
        <w:tc>
          <w:tcPr>
            <w:tcW w:w="2520" w:type="dxa"/>
          </w:tcPr>
          <w:p w14:paraId="2B55B80A" w14:textId="77777777" w:rsidR="00494B49" w:rsidRDefault="00494B49">
            <w:r>
              <w:t>(B)</w:t>
            </w:r>
          </w:p>
          <w:p w14:paraId="1282294F" w14:textId="77777777" w:rsidR="00494B49" w:rsidRDefault="00494B49">
            <w:smartTag w:uri="http://www.bna.com/sgml2word/cite" w:element="cite.usc">
              <w:smartTagPr>
                <w:attr w:name="ref" w:val="USC\26\1411"/>
              </w:smartTagPr>
              <w:r>
                <w:t>Section 1411</w:t>
              </w:r>
            </w:smartTag>
            <w:r>
              <w:t xml:space="preserve"> NOL</w:t>
            </w:r>
          </w:p>
        </w:tc>
        <w:tc>
          <w:tcPr>
            <w:tcW w:w="2520" w:type="dxa"/>
          </w:tcPr>
          <w:p w14:paraId="26776EBA" w14:textId="77777777" w:rsidR="00494B49" w:rsidRDefault="00494B49">
            <w:r>
              <w:t>(C)</w:t>
            </w:r>
          </w:p>
          <w:p w14:paraId="4EDFA3CB" w14:textId="77777777" w:rsidR="00494B49" w:rsidRDefault="00494B49">
            <w:r>
              <w:t>Applicable Portion of NOL</w:t>
            </w:r>
          </w:p>
          <w:p w14:paraId="749B94DC" w14:textId="77777777" w:rsidR="00494B49" w:rsidRDefault="00494B49">
            <w:r>
              <w:t>[Column B divided by Column A]</w:t>
            </w:r>
          </w:p>
        </w:tc>
      </w:tr>
      <w:tr w:rsidR="00494B49" w14:paraId="79B1D38B" w14:textId="77777777">
        <w:tc>
          <w:tcPr>
            <w:tcW w:w="2520" w:type="dxa"/>
          </w:tcPr>
          <w:p w14:paraId="21EC2160" w14:textId="77777777" w:rsidR="00494B49" w:rsidRDefault="00494B49">
            <w:r>
              <w:t>2015 Calendar Year</w:t>
            </w:r>
          </w:p>
        </w:tc>
        <w:tc>
          <w:tcPr>
            <w:tcW w:w="2520" w:type="dxa"/>
          </w:tcPr>
          <w:p w14:paraId="7AC91BF7" w14:textId="77777777" w:rsidR="00494B49" w:rsidRDefault="00494B49">
            <w:r>
              <w:t>$150,000</w:t>
            </w:r>
          </w:p>
        </w:tc>
        <w:tc>
          <w:tcPr>
            <w:tcW w:w="2520" w:type="dxa"/>
          </w:tcPr>
          <w:p w14:paraId="1042C67F" w14:textId="77777777" w:rsidR="00494B49" w:rsidRDefault="00494B49">
            <w:r>
              <w:t>None</w:t>
            </w:r>
          </w:p>
        </w:tc>
        <w:tc>
          <w:tcPr>
            <w:tcW w:w="2520" w:type="dxa"/>
          </w:tcPr>
          <w:p w14:paraId="6CC5C209" w14:textId="77777777" w:rsidR="00494B49" w:rsidRDefault="00494B49">
            <w:r>
              <w:t>0.00%</w:t>
            </w:r>
          </w:p>
        </w:tc>
      </w:tr>
      <w:tr w:rsidR="00494B49" w14:paraId="5F3A2B22" w14:textId="77777777">
        <w:tc>
          <w:tcPr>
            <w:tcW w:w="2520" w:type="dxa"/>
          </w:tcPr>
          <w:p w14:paraId="360D7A80" w14:textId="77777777" w:rsidR="00494B49" w:rsidRDefault="00494B49">
            <w:r>
              <w:t>2016 Calendar Year</w:t>
            </w:r>
          </w:p>
        </w:tc>
        <w:tc>
          <w:tcPr>
            <w:tcW w:w="2520" w:type="dxa"/>
          </w:tcPr>
          <w:p w14:paraId="3E2155D8" w14:textId="77777777" w:rsidR="00494B49" w:rsidRDefault="00494B49">
            <w:r>
              <w:t>$100,000</w:t>
            </w:r>
          </w:p>
        </w:tc>
        <w:tc>
          <w:tcPr>
            <w:tcW w:w="2520" w:type="dxa"/>
          </w:tcPr>
          <w:p w14:paraId="1FE7150A" w14:textId="77777777" w:rsidR="00494B49" w:rsidRDefault="00494B49">
            <w:r>
              <w:t>$30,000</w:t>
            </w:r>
          </w:p>
        </w:tc>
        <w:tc>
          <w:tcPr>
            <w:tcW w:w="2520" w:type="dxa"/>
          </w:tcPr>
          <w:p w14:paraId="7F1EE4BD" w14:textId="77777777" w:rsidR="00494B49" w:rsidRDefault="00494B49">
            <w:r>
              <w:t>30.0%</w:t>
            </w:r>
          </w:p>
        </w:tc>
      </w:tr>
      <w:tr w:rsidR="00494B49" w14:paraId="60B72145" w14:textId="77777777">
        <w:tc>
          <w:tcPr>
            <w:tcW w:w="2520" w:type="dxa"/>
          </w:tcPr>
          <w:p w14:paraId="55959696" w14:textId="77777777" w:rsidR="00494B49" w:rsidRDefault="00494B49">
            <w:r>
              <w:t>2017 Calendar Year</w:t>
            </w:r>
          </w:p>
        </w:tc>
        <w:tc>
          <w:tcPr>
            <w:tcW w:w="2520" w:type="dxa"/>
          </w:tcPr>
          <w:p w14:paraId="66BECD29" w14:textId="77777777" w:rsidR="00494B49" w:rsidRDefault="00494B49">
            <w:r>
              <w:t>$40,000</w:t>
            </w:r>
          </w:p>
        </w:tc>
        <w:tc>
          <w:tcPr>
            <w:tcW w:w="2520" w:type="dxa"/>
          </w:tcPr>
          <w:p w14:paraId="40D18179" w14:textId="77777777" w:rsidR="00494B49" w:rsidRDefault="00494B49">
            <w:r>
              <w:t>$40,000</w:t>
            </w:r>
          </w:p>
        </w:tc>
        <w:tc>
          <w:tcPr>
            <w:tcW w:w="2520" w:type="dxa"/>
          </w:tcPr>
          <w:p w14:paraId="4060E828" w14:textId="77777777" w:rsidR="00494B49" w:rsidRDefault="00494B49">
            <w:r>
              <w:t>100%</w:t>
            </w:r>
          </w:p>
        </w:tc>
      </w:tr>
      <w:tr w:rsidR="00494B49" w14:paraId="554E3DB9" w14:textId="77777777">
        <w:tc>
          <w:tcPr>
            <w:tcW w:w="2520" w:type="dxa"/>
          </w:tcPr>
          <w:p w14:paraId="6C842CA1" w14:textId="77777777" w:rsidR="00494B49" w:rsidRDefault="00494B49">
            <w:r>
              <w:t>2018 Calendar Year</w:t>
            </w:r>
          </w:p>
        </w:tc>
        <w:tc>
          <w:tcPr>
            <w:tcW w:w="2520" w:type="dxa"/>
          </w:tcPr>
          <w:p w14:paraId="25B11127" w14:textId="77777777" w:rsidR="00494B49" w:rsidRDefault="00494B49">
            <w:r>
              <w:t>$120,000</w:t>
            </w:r>
          </w:p>
        </w:tc>
        <w:tc>
          <w:tcPr>
            <w:tcW w:w="2520" w:type="dxa"/>
          </w:tcPr>
          <w:p w14:paraId="14EBD7F7" w14:textId="77777777" w:rsidR="00494B49" w:rsidRDefault="00494B49">
            <w:r>
              <w:t>$60,000</w:t>
            </w:r>
          </w:p>
        </w:tc>
        <w:tc>
          <w:tcPr>
            <w:tcW w:w="2520" w:type="dxa"/>
          </w:tcPr>
          <w:p w14:paraId="36C8ED8E" w14:textId="77777777" w:rsidR="00494B49" w:rsidRDefault="00494B49">
            <w:r>
              <w:t>50.0%</w:t>
            </w:r>
          </w:p>
        </w:tc>
      </w:tr>
    </w:tbl>
    <w:p w14:paraId="35A2B395" w14:textId="77777777" w:rsidR="00494B49" w:rsidRDefault="00494B49">
      <w:pPr>
        <w:pStyle w:val="BNormal"/>
      </w:pPr>
    </w:p>
    <w:p w14:paraId="3DD018A5" w14:textId="77777777" w:rsidR="00494B49" w:rsidRDefault="00494B49" w:rsidP="007865AF">
      <w:pPr>
        <w:pStyle w:val="BExamplepara"/>
      </w:pPr>
      <w:r>
        <w:t>Beginning in 2019, the unmarried individual begins to use the NOLs to offset his income:</w:t>
      </w:r>
    </w:p>
    <w:p w14:paraId="734E50A6" w14:textId="77777777" w:rsidR="00494B49" w:rsidRPr="007865AF" w:rsidRDefault="00494B49" w:rsidP="007865AF">
      <w:pPr>
        <w:pStyle w:val="BNormal"/>
        <w:rPr>
          <w:lang w:bidi="en-US"/>
        </w:rPr>
      </w:pPr>
    </w:p>
    <w:tbl>
      <w:tblPr>
        <w:tblStyle w:val="TableGrid"/>
        <w:tblW w:w="9355" w:type="dxa"/>
        <w:tblLook w:val="04A0" w:firstRow="1" w:lastRow="0" w:firstColumn="1" w:lastColumn="0" w:noHBand="0" w:noVBand="1"/>
      </w:tblPr>
      <w:tblGrid>
        <w:gridCol w:w="2585"/>
        <w:gridCol w:w="2580"/>
        <w:gridCol w:w="1414"/>
        <w:gridCol w:w="6"/>
        <w:gridCol w:w="1410"/>
        <w:gridCol w:w="1360"/>
      </w:tblGrid>
      <w:tr w:rsidR="00494B49" w14:paraId="11DB7022" w14:textId="77777777" w:rsidTr="002637DE">
        <w:tc>
          <w:tcPr>
            <w:tcW w:w="2585" w:type="dxa"/>
          </w:tcPr>
          <w:p w14:paraId="1E78E0ED" w14:textId="77777777" w:rsidR="00494B49" w:rsidRDefault="00494B49">
            <w:r>
              <w:t>Taxable Year</w:t>
            </w:r>
          </w:p>
        </w:tc>
        <w:tc>
          <w:tcPr>
            <w:tcW w:w="2580" w:type="dxa"/>
          </w:tcPr>
          <w:p w14:paraId="1E5997E0" w14:textId="77777777" w:rsidR="00494B49" w:rsidRDefault="00494B49">
            <w:r>
              <w:t>NOL Origination Yr</w:t>
            </w:r>
          </w:p>
        </w:tc>
        <w:tc>
          <w:tcPr>
            <w:tcW w:w="1414" w:type="dxa"/>
          </w:tcPr>
          <w:p w14:paraId="6E24338E" w14:textId="77777777" w:rsidR="00494B49" w:rsidRDefault="00494B49">
            <w:r>
              <w:t>Regular Income</w:t>
            </w:r>
          </w:p>
        </w:tc>
        <w:tc>
          <w:tcPr>
            <w:tcW w:w="1416" w:type="dxa"/>
            <w:gridSpan w:val="2"/>
          </w:tcPr>
          <w:p w14:paraId="7DDABDDA" w14:textId="77777777" w:rsidR="00494B49" w:rsidRDefault="00494B49">
            <w:r>
              <w:t>Applicable Portion</w:t>
            </w:r>
          </w:p>
        </w:tc>
        <w:tc>
          <w:tcPr>
            <w:tcW w:w="1360" w:type="dxa"/>
          </w:tcPr>
          <w:p w14:paraId="4BB24A5B" w14:textId="77777777" w:rsidR="00494B49" w:rsidRDefault="00494B49">
            <w:smartTag w:uri="http://www.bna.com/sgml2word/cite" w:element="cite.usc">
              <w:smartTagPr>
                <w:attr w:name="ref" w:val="USC\26\1411"/>
              </w:smartTagPr>
              <w:r>
                <w:t>Section 1411</w:t>
              </w:r>
            </w:smartTag>
            <w:r>
              <w:t xml:space="preserve"> NOL</w:t>
            </w:r>
          </w:p>
        </w:tc>
      </w:tr>
      <w:tr w:rsidR="00494B49" w14:paraId="517CD03B" w14:textId="77777777" w:rsidTr="002637DE">
        <w:tc>
          <w:tcPr>
            <w:tcW w:w="2585" w:type="dxa"/>
          </w:tcPr>
          <w:p w14:paraId="2A69917C" w14:textId="77777777" w:rsidR="00494B49" w:rsidRDefault="00494B49">
            <w:r>
              <w:t>2019 Taxable Yr</w:t>
            </w:r>
          </w:p>
        </w:tc>
        <w:tc>
          <w:tcPr>
            <w:tcW w:w="2580" w:type="dxa"/>
          </w:tcPr>
          <w:p w14:paraId="2EFF0050" w14:textId="77777777" w:rsidR="00494B49" w:rsidRDefault="00494B49"/>
        </w:tc>
        <w:tc>
          <w:tcPr>
            <w:tcW w:w="1414" w:type="dxa"/>
          </w:tcPr>
          <w:p w14:paraId="07BBD4BB" w14:textId="77777777" w:rsidR="00494B49" w:rsidRDefault="00494B49">
            <w:r>
              <w:t>$300,000</w:t>
            </w:r>
          </w:p>
        </w:tc>
        <w:tc>
          <w:tcPr>
            <w:tcW w:w="1416" w:type="dxa"/>
            <w:gridSpan w:val="2"/>
          </w:tcPr>
          <w:p w14:paraId="4BDCD157" w14:textId="77777777" w:rsidR="00494B49" w:rsidRDefault="00494B49"/>
        </w:tc>
        <w:tc>
          <w:tcPr>
            <w:tcW w:w="1360" w:type="dxa"/>
          </w:tcPr>
          <w:p w14:paraId="7157D46A" w14:textId="77777777" w:rsidR="00494B49" w:rsidRDefault="00494B49"/>
        </w:tc>
      </w:tr>
      <w:tr w:rsidR="00494B49" w14:paraId="7B62EE7A" w14:textId="77777777" w:rsidTr="002637DE">
        <w:tc>
          <w:tcPr>
            <w:tcW w:w="2585" w:type="dxa"/>
          </w:tcPr>
          <w:p w14:paraId="3C4D4CAA" w14:textId="77777777" w:rsidR="00494B49" w:rsidRDefault="00494B49"/>
        </w:tc>
        <w:tc>
          <w:tcPr>
            <w:tcW w:w="2580" w:type="dxa"/>
          </w:tcPr>
          <w:p w14:paraId="7C82D871" w14:textId="77777777" w:rsidR="00494B49" w:rsidRDefault="00494B49">
            <w:r>
              <w:t>2015 NOL</w:t>
            </w:r>
          </w:p>
        </w:tc>
        <w:tc>
          <w:tcPr>
            <w:tcW w:w="1414" w:type="dxa"/>
          </w:tcPr>
          <w:p w14:paraId="42B65A37" w14:textId="77777777" w:rsidR="00494B49" w:rsidRDefault="00494B49">
            <w:r>
              <w:t>($150,000)</w:t>
            </w:r>
          </w:p>
        </w:tc>
        <w:tc>
          <w:tcPr>
            <w:tcW w:w="1416" w:type="dxa"/>
            <w:gridSpan w:val="2"/>
          </w:tcPr>
          <w:p w14:paraId="68AFD0DC" w14:textId="77777777" w:rsidR="00494B49" w:rsidRDefault="00494B49">
            <w:r>
              <w:t>0.00%</w:t>
            </w:r>
          </w:p>
        </w:tc>
        <w:tc>
          <w:tcPr>
            <w:tcW w:w="1360" w:type="dxa"/>
          </w:tcPr>
          <w:p w14:paraId="3BEC82CE" w14:textId="77777777" w:rsidR="00494B49" w:rsidRDefault="00494B49">
            <w:r>
              <w:t>None</w:t>
            </w:r>
          </w:p>
        </w:tc>
      </w:tr>
      <w:tr w:rsidR="00494B49" w14:paraId="2E44D12D" w14:textId="77777777" w:rsidTr="002637DE">
        <w:tc>
          <w:tcPr>
            <w:tcW w:w="2585" w:type="dxa"/>
          </w:tcPr>
          <w:p w14:paraId="1D63AFC4" w14:textId="77777777" w:rsidR="00494B49" w:rsidRDefault="00494B49"/>
        </w:tc>
        <w:tc>
          <w:tcPr>
            <w:tcW w:w="2580" w:type="dxa"/>
          </w:tcPr>
          <w:p w14:paraId="145AA5FB" w14:textId="77777777" w:rsidR="00494B49" w:rsidRDefault="00494B49">
            <w:r>
              <w:t>2016 NOL</w:t>
            </w:r>
          </w:p>
        </w:tc>
        <w:tc>
          <w:tcPr>
            <w:tcW w:w="1414" w:type="dxa"/>
          </w:tcPr>
          <w:p w14:paraId="749E555D" w14:textId="77777777" w:rsidR="00494B49" w:rsidRDefault="00494B49">
            <w:r>
              <w:t>($100,000)</w:t>
            </w:r>
          </w:p>
        </w:tc>
        <w:tc>
          <w:tcPr>
            <w:tcW w:w="1416" w:type="dxa"/>
            <w:gridSpan w:val="2"/>
          </w:tcPr>
          <w:p w14:paraId="793DC00D" w14:textId="77777777" w:rsidR="00494B49" w:rsidRDefault="00494B49">
            <w:r>
              <w:t>30.0%</w:t>
            </w:r>
          </w:p>
        </w:tc>
        <w:tc>
          <w:tcPr>
            <w:tcW w:w="1360" w:type="dxa"/>
          </w:tcPr>
          <w:p w14:paraId="50FDA8E2" w14:textId="77777777" w:rsidR="00494B49" w:rsidRDefault="00494B49">
            <w:r>
              <w:t>($30,000)</w:t>
            </w:r>
          </w:p>
        </w:tc>
      </w:tr>
      <w:tr w:rsidR="00494B49" w14:paraId="65573A4E" w14:textId="77777777" w:rsidTr="002637DE">
        <w:tc>
          <w:tcPr>
            <w:tcW w:w="2585" w:type="dxa"/>
          </w:tcPr>
          <w:p w14:paraId="2119747B" w14:textId="77777777" w:rsidR="00494B49" w:rsidRDefault="00494B49"/>
        </w:tc>
        <w:tc>
          <w:tcPr>
            <w:tcW w:w="2580" w:type="dxa"/>
          </w:tcPr>
          <w:p w14:paraId="689650F2" w14:textId="77777777" w:rsidR="00494B49" w:rsidRDefault="00494B49">
            <w:r>
              <w:t>2017 NOL</w:t>
            </w:r>
          </w:p>
        </w:tc>
        <w:tc>
          <w:tcPr>
            <w:tcW w:w="1414" w:type="dxa"/>
          </w:tcPr>
          <w:p w14:paraId="69AC51F1" w14:textId="77777777" w:rsidR="00494B49" w:rsidRDefault="00494B49">
            <w:r>
              <w:t>($40,000)</w:t>
            </w:r>
          </w:p>
        </w:tc>
        <w:tc>
          <w:tcPr>
            <w:tcW w:w="1416" w:type="dxa"/>
            <w:gridSpan w:val="2"/>
          </w:tcPr>
          <w:p w14:paraId="12D07853" w14:textId="77777777" w:rsidR="00494B49" w:rsidRDefault="00494B49">
            <w:r>
              <w:t>100.0%</w:t>
            </w:r>
          </w:p>
        </w:tc>
        <w:tc>
          <w:tcPr>
            <w:tcW w:w="1360" w:type="dxa"/>
          </w:tcPr>
          <w:p w14:paraId="62A4BF99" w14:textId="77777777" w:rsidR="00494B49" w:rsidRDefault="00494B49">
            <w:r>
              <w:t>(40,000)</w:t>
            </w:r>
          </w:p>
        </w:tc>
      </w:tr>
      <w:tr w:rsidR="00494B49" w14:paraId="6B190D89" w14:textId="77777777" w:rsidTr="002637DE">
        <w:tc>
          <w:tcPr>
            <w:tcW w:w="2585" w:type="dxa"/>
          </w:tcPr>
          <w:p w14:paraId="5E64A77D" w14:textId="77777777" w:rsidR="00494B49" w:rsidRDefault="00494B49"/>
        </w:tc>
        <w:tc>
          <w:tcPr>
            <w:tcW w:w="2580" w:type="dxa"/>
          </w:tcPr>
          <w:p w14:paraId="567A487E" w14:textId="77777777" w:rsidR="00494B49" w:rsidRDefault="00494B49">
            <w:r>
              <w:t>2018 NOL</w:t>
            </w:r>
          </w:p>
        </w:tc>
        <w:tc>
          <w:tcPr>
            <w:tcW w:w="1414" w:type="dxa"/>
          </w:tcPr>
          <w:p w14:paraId="2C3BDAB3" w14:textId="77777777" w:rsidR="00494B49" w:rsidRDefault="00494B49">
            <w:r>
              <w:t>($10,000)</w:t>
            </w:r>
          </w:p>
        </w:tc>
        <w:tc>
          <w:tcPr>
            <w:tcW w:w="1416" w:type="dxa"/>
            <w:gridSpan w:val="2"/>
          </w:tcPr>
          <w:p w14:paraId="0F41BF1A" w14:textId="77777777" w:rsidR="00494B49" w:rsidRDefault="00494B49">
            <w:r>
              <w:t>50.0%</w:t>
            </w:r>
          </w:p>
        </w:tc>
        <w:tc>
          <w:tcPr>
            <w:tcW w:w="1360" w:type="dxa"/>
          </w:tcPr>
          <w:p w14:paraId="684CF327" w14:textId="77777777" w:rsidR="00494B49" w:rsidRDefault="00494B49">
            <w:r>
              <w:t>($5,000)</w:t>
            </w:r>
          </w:p>
        </w:tc>
      </w:tr>
      <w:tr w:rsidR="00494B49" w14:paraId="1DD4A3C4" w14:textId="77777777" w:rsidTr="002637DE">
        <w:tc>
          <w:tcPr>
            <w:tcW w:w="2585" w:type="dxa"/>
          </w:tcPr>
          <w:p w14:paraId="3B292FF7" w14:textId="77777777" w:rsidR="00494B49" w:rsidRDefault="00494B49"/>
        </w:tc>
        <w:tc>
          <w:tcPr>
            <w:tcW w:w="2580" w:type="dxa"/>
          </w:tcPr>
          <w:p w14:paraId="3621DF7D" w14:textId="77777777" w:rsidR="00494B49" w:rsidRDefault="00494B49"/>
        </w:tc>
        <w:tc>
          <w:tcPr>
            <w:tcW w:w="1414" w:type="dxa"/>
          </w:tcPr>
          <w:p w14:paraId="4C878032" w14:textId="77777777" w:rsidR="00494B49" w:rsidRDefault="00494B49"/>
        </w:tc>
        <w:tc>
          <w:tcPr>
            <w:tcW w:w="1416" w:type="dxa"/>
            <w:gridSpan w:val="2"/>
          </w:tcPr>
          <w:p w14:paraId="054DEA70" w14:textId="77777777" w:rsidR="00494B49" w:rsidRDefault="00494B49"/>
        </w:tc>
        <w:tc>
          <w:tcPr>
            <w:tcW w:w="1360" w:type="dxa"/>
          </w:tcPr>
          <w:p w14:paraId="19279039" w14:textId="77777777" w:rsidR="00494B49" w:rsidRDefault="00494B49"/>
        </w:tc>
      </w:tr>
      <w:tr w:rsidR="002637DE" w14:paraId="14FFF4EB" w14:textId="4A62055D" w:rsidTr="002637DE">
        <w:tc>
          <w:tcPr>
            <w:tcW w:w="2585" w:type="dxa"/>
          </w:tcPr>
          <w:p w14:paraId="019B4D81" w14:textId="77777777" w:rsidR="00494B49" w:rsidRDefault="00494B49">
            <w:r>
              <w:t xml:space="preserve">Total </w:t>
            </w:r>
            <w:smartTag w:uri="http://www.bna.com/sgml2word/cite" w:element="cite.usc">
              <w:smartTagPr>
                <w:attr w:name="ref" w:val="USC\26\1411"/>
              </w:smartTagPr>
              <w:r>
                <w:t>Section 1411</w:t>
              </w:r>
            </w:smartTag>
            <w:r>
              <w:t xml:space="preserve"> NOL allowed as deduction against 2019 net investment income:</w:t>
            </w:r>
          </w:p>
        </w:tc>
        <w:tc>
          <w:tcPr>
            <w:tcW w:w="2580" w:type="dxa"/>
          </w:tcPr>
          <w:p w14:paraId="3DF9034A" w14:textId="77777777" w:rsidR="00494B49" w:rsidRDefault="00494B49">
            <w:r>
              <w:t xml:space="preserve"> </w:t>
            </w:r>
            <w:r>
              <w:rPr>
                <w:b/>
              </w:rPr>
              <w:t>($75,000)</w:t>
            </w:r>
          </w:p>
        </w:tc>
        <w:tc>
          <w:tcPr>
            <w:tcW w:w="1420" w:type="dxa"/>
            <w:gridSpan w:val="2"/>
            <w:shd w:val="clear" w:color="auto" w:fill="auto"/>
          </w:tcPr>
          <w:p w14:paraId="7D3073D9" w14:textId="77777777" w:rsidR="002637DE" w:rsidRDefault="002637DE"/>
        </w:tc>
        <w:tc>
          <w:tcPr>
            <w:tcW w:w="1410" w:type="dxa"/>
            <w:shd w:val="clear" w:color="auto" w:fill="auto"/>
          </w:tcPr>
          <w:p w14:paraId="5B8CFA0F" w14:textId="77777777" w:rsidR="002637DE" w:rsidRDefault="002637DE"/>
        </w:tc>
        <w:tc>
          <w:tcPr>
            <w:tcW w:w="1360" w:type="dxa"/>
            <w:shd w:val="clear" w:color="auto" w:fill="auto"/>
          </w:tcPr>
          <w:p w14:paraId="2D749A8D" w14:textId="77777777" w:rsidR="002637DE" w:rsidRDefault="002637DE"/>
        </w:tc>
      </w:tr>
      <w:tr w:rsidR="002637DE" w14:paraId="7AF39096" w14:textId="0436583A" w:rsidTr="002637DE">
        <w:tc>
          <w:tcPr>
            <w:tcW w:w="2585" w:type="dxa"/>
          </w:tcPr>
          <w:p w14:paraId="3A63A1CE" w14:textId="77777777" w:rsidR="00494B49" w:rsidRDefault="00494B49"/>
        </w:tc>
        <w:tc>
          <w:tcPr>
            <w:tcW w:w="2580" w:type="dxa"/>
          </w:tcPr>
          <w:p w14:paraId="1B432BC9" w14:textId="77777777" w:rsidR="00494B49" w:rsidRDefault="00494B49"/>
        </w:tc>
        <w:tc>
          <w:tcPr>
            <w:tcW w:w="1420" w:type="dxa"/>
            <w:gridSpan w:val="2"/>
            <w:shd w:val="clear" w:color="auto" w:fill="auto"/>
          </w:tcPr>
          <w:p w14:paraId="2BA3AA9C" w14:textId="77777777" w:rsidR="002637DE" w:rsidRDefault="002637DE"/>
        </w:tc>
        <w:tc>
          <w:tcPr>
            <w:tcW w:w="1410" w:type="dxa"/>
            <w:shd w:val="clear" w:color="auto" w:fill="auto"/>
          </w:tcPr>
          <w:p w14:paraId="441C13F4" w14:textId="77777777" w:rsidR="002637DE" w:rsidRDefault="002637DE"/>
        </w:tc>
        <w:tc>
          <w:tcPr>
            <w:tcW w:w="1360" w:type="dxa"/>
            <w:shd w:val="clear" w:color="auto" w:fill="auto"/>
          </w:tcPr>
          <w:p w14:paraId="33E361B8" w14:textId="77777777" w:rsidR="002637DE" w:rsidRDefault="002637DE"/>
        </w:tc>
      </w:tr>
      <w:tr w:rsidR="002637DE" w14:paraId="45FF8F2D" w14:textId="558A5B07" w:rsidTr="002637DE">
        <w:tc>
          <w:tcPr>
            <w:tcW w:w="2585" w:type="dxa"/>
          </w:tcPr>
          <w:p w14:paraId="6CFED123" w14:textId="77777777" w:rsidR="00494B49" w:rsidRDefault="00494B49">
            <w:r>
              <w:t>In 2019, the regular tax NOLs from 2015-2018 have caused the taxpayer’s adjusted gross income ($0) to fall below the statutory threshold. Therefore, the individual is not subject to the net investment income tax.</w:t>
            </w:r>
          </w:p>
        </w:tc>
        <w:tc>
          <w:tcPr>
            <w:tcW w:w="2580" w:type="dxa"/>
          </w:tcPr>
          <w:p w14:paraId="06AA154B" w14:textId="77777777" w:rsidR="00494B49" w:rsidRDefault="00494B49"/>
        </w:tc>
        <w:tc>
          <w:tcPr>
            <w:tcW w:w="1420" w:type="dxa"/>
            <w:gridSpan w:val="2"/>
            <w:shd w:val="clear" w:color="auto" w:fill="auto"/>
          </w:tcPr>
          <w:p w14:paraId="701A1D40" w14:textId="77777777" w:rsidR="002637DE" w:rsidRDefault="002637DE"/>
        </w:tc>
        <w:tc>
          <w:tcPr>
            <w:tcW w:w="1410" w:type="dxa"/>
            <w:shd w:val="clear" w:color="auto" w:fill="auto"/>
          </w:tcPr>
          <w:p w14:paraId="38093D88" w14:textId="77777777" w:rsidR="002637DE" w:rsidRDefault="002637DE"/>
        </w:tc>
        <w:tc>
          <w:tcPr>
            <w:tcW w:w="1360" w:type="dxa"/>
            <w:shd w:val="clear" w:color="auto" w:fill="auto"/>
          </w:tcPr>
          <w:p w14:paraId="37D30677" w14:textId="77777777" w:rsidR="002637DE" w:rsidRDefault="002637DE"/>
        </w:tc>
      </w:tr>
      <w:tr w:rsidR="00494B49" w14:paraId="73D65E43" w14:textId="77777777" w:rsidTr="002637DE">
        <w:tc>
          <w:tcPr>
            <w:tcW w:w="2585" w:type="dxa"/>
          </w:tcPr>
          <w:p w14:paraId="78247C46" w14:textId="77777777" w:rsidR="00494B49" w:rsidRDefault="00494B49"/>
        </w:tc>
        <w:tc>
          <w:tcPr>
            <w:tcW w:w="2580" w:type="dxa"/>
          </w:tcPr>
          <w:p w14:paraId="2AC07BD9" w14:textId="77777777" w:rsidR="00494B49" w:rsidRDefault="00494B49"/>
        </w:tc>
        <w:tc>
          <w:tcPr>
            <w:tcW w:w="1414" w:type="dxa"/>
          </w:tcPr>
          <w:p w14:paraId="355BF565" w14:textId="77777777" w:rsidR="00494B49" w:rsidRDefault="00494B49"/>
        </w:tc>
        <w:tc>
          <w:tcPr>
            <w:tcW w:w="1416" w:type="dxa"/>
            <w:gridSpan w:val="2"/>
          </w:tcPr>
          <w:p w14:paraId="23E1FB0F" w14:textId="77777777" w:rsidR="00494B49" w:rsidRDefault="00494B49"/>
        </w:tc>
        <w:tc>
          <w:tcPr>
            <w:tcW w:w="1360" w:type="dxa"/>
          </w:tcPr>
          <w:p w14:paraId="2F694059" w14:textId="77777777" w:rsidR="00494B49" w:rsidRDefault="00494B49"/>
        </w:tc>
      </w:tr>
      <w:tr w:rsidR="00494B49" w14:paraId="6A762B81" w14:textId="77777777" w:rsidTr="002637DE">
        <w:tc>
          <w:tcPr>
            <w:tcW w:w="2585" w:type="dxa"/>
          </w:tcPr>
          <w:p w14:paraId="01EB1892" w14:textId="77777777" w:rsidR="00494B49" w:rsidRDefault="00494B49">
            <w:r>
              <w:t>2020 Taxable Yr</w:t>
            </w:r>
          </w:p>
        </w:tc>
        <w:tc>
          <w:tcPr>
            <w:tcW w:w="2580" w:type="dxa"/>
          </w:tcPr>
          <w:p w14:paraId="331A3FA1" w14:textId="77777777" w:rsidR="00494B49" w:rsidRDefault="00494B49"/>
        </w:tc>
        <w:tc>
          <w:tcPr>
            <w:tcW w:w="1414" w:type="dxa"/>
          </w:tcPr>
          <w:p w14:paraId="1107CBE0" w14:textId="77777777" w:rsidR="00494B49" w:rsidRDefault="00494B49">
            <w:r>
              <w:t>$600,000</w:t>
            </w:r>
          </w:p>
        </w:tc>
        <w:tc>
          <w:tcPr>
            <w:tcW w:w="1416" w:type="dxa"/>
            <w:gridSpan w:val="2"/>
          </w:tcPr>
          <w:p w14:paraId="73250652" w14:textId="77777777" w:rsidR="00494B49" w:rsidRDefault="00494B49"/>
        </w:tc>
        <w:tc>
          <w:tcPr>
            <w:tcW w:w="1360" w:type="dxa"/>
          </w:tcPr>
          <w:p w14:paraId="6E706F99" w14:textId="77777777" w:rsidR="00494B49" w:rsidRDefault="00494B49"/>
        </w:tc>
      </w:tr>
      <w:tr w:rsidR="00494B49" w14:paraId="37D0C2EA" w14:textId="77777777" w:rsidTr="002637DE">
        <w:tc>
          <w:tcPr>
            <w:tcW w:w="2585" w:type="dxa"/>
          </w:tcPr>
          <w:p w14:paraId="526FD57E" w14:textId="77777777" w:rsidR="00494B49" w:rsidRDefault="00494B49"/>
        </w:tc>
        <w:tc>
          <w:tcPr>
            <w:tcW w:w="2580" w:type="dxa"/>
          </w:tcPr>
          <w:p w14:paraId="275E369D" w14:textId="77777777" w:rsidR="00494B49" w:rsidRDefault="00494B49">
            <w:r>
              <w:t>2018 NOL</w:t>
            </w:r>
          </w:p>
        </w:tc>
        <w:tc>
          <w:tcPr>
            <w:tcW w:w="1414" w:type="dxa"/>
          </w:tcPr>
          <w:p w14:paraId="6461F7D4" w14:textId="77777777" w:rsidR="00494B49" w:rsidRDefault="00494B49">
            <w:r>
              <w:t>($110,000)</w:t>
            </w:r>
          </w:p>
        </w:tc>
        <w:tc>
          <w:tcPr>
            <w:tcW w:w="1416" w:type="dxa"/>
            <w:gridSpan w:val="2"/>
          </w:tcPr>
          <w:p w14:paraId="1D6D7535" w14:textId="77777777" w:rsidR="00494B49" w:rsidRDefault="00494B49">
            <w:r>
              <w:t>50.0%</w:t>
            </w:r>
          </w:p>
        </w:tc>
        <w:tc>
          <w:tcPr>
            <w:tcW w:w="1360" w:type="dxa"/>
          </w:tcPr>
          <w:p w14:paraId="0B362908" w14:textId="77777777" w:rsidR="00494B49" w:rsidRDefault="00494B49">
            <w:r>
              <w:t>($55,000)</w:t>
            </w:r>
          </w:p>
        </w:tc>
      </w:tr>
      <w:tr w:rsidR="00494B49" w14:paraId="3237B35D" w14:textId="77777777" w:rsidTr="002637DE">
        <w:tc>
          <w:tcPr>
            <w:tcW w:w="2585" w:type="dxa"/>
          </w:tcPr>
          <w:p w14:paraId="5ED26EE3" w14:textId="77777777" w:rsidR="00494B49" w:rsidRDefault="00494B49"/>
        </w:tc>
        <w:tc>
          <w:tcPr>
            <w:tcW w:w="2580" w:type="dxa"/>
          </w:tcPr>
          <w:p w14:paraId="49F4D92D" w14:textId="77777777" w:rsidR="00494B49" w:rsidRDefault="00494B49"/>
        </w:tc>
        <w:tc>
          <w:tcPr>
            <w:tcW w:w="1414" w:type="dxa"/>
          </w:tcPr>
          <w:p w14:paraId="513C5D9A" w14:textId="77777777" w:rsidR="00494B49" w:rsidRDefault="00494B49"/>
        </w:tc>
        <w:tc>
          <w:tcPr>
            <w:tcW w:w="1416" w:type="dxa"/>
            <w:gridSpan w:val="2"/>
          </w:tcPr>
          <w:p w14:paraId="13DFB703" w14:textId="77777777" w:rsidR="00494B49" w:rsidRDefault="00494B49"/>
        </w:tc>
        <w:tc>
          <w:tcPr>
            <w:tcW w:w="1360" w:type="dxa"/>
          </w:tcPr>
          <w:p w14:paraId="087CAE4F" w14:textId="77777777" w:rsidR="00494B49" w:rsidRDefault="00494B49"/>
        </w:tc>
      </w:tr>
      <w:tr w:rsidR="002637DE" w14:paraId="2C8491CF" w14:textId="019131BD" w:rsidTr="002637DE">
        <w:tc>
          <w:tcPr>
            <w:tcW w:w="2585" w:type="dxa"/>
          </w:tcPr>
          <w:p w14:paraId="1DE8C623" w14:textId="77777777" w:rsidR="00494B49" w:rsidRDefault="00494B49">
            <w:r>
              <w:t xml:space="preserve">Total </w:t>
            </w:r>
            <w:smartTag w:uri="http://www.bna.com/sgml2word/cite" w:element="cite.usc">
              <w:smartTagPr>
                <w:attr w:name="ref" w:val="USC\26\1411"/>
              </w:smartTagPr>
              <w:r>
                <w:t>Section 1411</w:t>
              </w:r>
            </w:smartTag>
            <w:r>
              <w:t xml:space="preserve"> NOL allowed as deduction against 2020 net investment income:</w:t>
            </w:r>
          </w:p>
        </w:tc>
        <w:tc>
          <w:tcPr>
            <w:tcW w:w="2580" w:type="dxa"/>
          </w:tcPr>
          <w:p w14:paraId="0605EDE8" w14:textId="77777777" w:rsidR="00494B49" w:rsidRDefault="00494B49">
            <w:r>
              <w:t xml:space="preserve"> </w:t>
            </w:r>
            <w:r>
              <w:rPr>
                <w:b/>
              </w:rPr>
              <w:t>($55,000)</w:t>
            </w:r>
          </w:p>
        </w:tc>
        <w:tc>
          <w:tcPr>
            <w:tcW w:w="1420" w:type="dxa"/>
            <w:gridSpan w:val="2"/>
            <w:shd w:val="clear" w:color="auto" w:fill="auto"/>
          </w:tcPr>
          <w:p w14:paraId="1E74DFE5" w14:textId="77777777" w:rsidR="002637DE" w:rsidRDefault="002637DE"/>
        </w:tc>
        <w:tc>
          <w:tcPr>
            <w:tcW w:w="1410" w:type="dxa"/>
            <w:shd w:val="clear" w:color="auto" w:fill="auto"/>
          </w:tcPr>
          <w:p w14:paraId="08C8E1D7" w14:textId="77777777" w:rsidR="002637DE" w:rsidRDefault="002637DE"/>
        </w:tc>
        <w:tc>
          <w:tcPr>
            <w:tcW w:w="1360" w:type="dxa"/>
            <w:shd w:val="clear" w:color="auto" w:fill="auto"/>
          </w:tcPr>
          <w:p w14:paraId="3A2DCCB1" w14:textId="77777777" w:rsidR="002637DE" w:rsidRDefault="002637DE"/>
        </w:tc>
      </w:tr>
      <w:tr w:rsidR="00A23CA4" w14:paraId="5BEE024D" w14:textId="641744C2" w:rsidTr="00A23CA4">
        <w:tc>
          <w:tcPr>
            <w:tcW w:w="2585" w:type="dxa"/>
          </w:tcPr>
          <w:p w14:paraId="74DA7256" w14:textId="77777777" w:rsidR="00494B49" w:rsidRDefault="00494B49">
            <w:r>
              <w:lastRenderedPageBreak/>
              <w:t xml:space="preserve">In 2020, the regular tax NOL remaining from 2018 has reduced the taxpayer’s income for regular tax to $490,000. The individual is entitled to reduce net investment income by $55,000 (entered as a negative on Line 7 of </w:t>
            </w:r>
            <w:smartTag w:uri="http://www.bna.com/sgml2word/cite" w:element="cite.fed.form">
              <w:smartTagPr>
                <w:attr w:name="ref" w:val="irs\form8960"/>
              </w:smartTagPr>
              <w:r>
                <w:t>Form 8960</w:t>
              </w:r>
            </w:smartTag>
            <w:r>
              <w:t>).</w:t>
            </w:r>
          </w:p>
        </w:tc>
        <w:tc>
          <w:tcPr>
            <w:tcW w:w="2580" w:type="dxa"/>
          </w:tcPr>
          <w:p w14:paraId="7B6139A9" w14:textId="77777777" w:rsidR="00494B49" w:rsidRDefault="00494B49"/>
        </w:tc>
        <w:tc>
          <w:tcPr>
            <w:tcW w:w="1420" w:type="dxa"/>
            <w:gridSpan w:val="2"/>
            <w:shd w:val="clear" w:color="auto" w:fill="auto"/>
          </w:tcPr>
          <w:p w14:paraId="354C8D4A" w14:textId="77777777" w:rsidR="00A23CA4" w:rsidRDefault="00A23CA4"/>
        </w:tc>
        <w:tc>
          <w:tcPr>
            <w:tcW w:w="1410" w:type="dxa"/>
            <w:shd w:val="clear" w:color="auto" w:fill="auto"/>
          </w:tcPr>
          <w:p w14:paraId="0E5B6AA7" w14:textId="77777777" w:rsidR="00A23CA4" w:rsidRDefault="00A23CA4"/>
        </w:tc>
        <w:tc>
          <w:tcPr>
            <w:tcW w:w="1360" w:type="dxa"/>
            <w:shd w:val="clear" w:color="auto" w:fill="auto"/>
          </w:tcPr>
          <w:p w14:paraId="6BB5BA3D" w14:textId="77777777" w:rsidR="00A23CA4" w:rsidRDefault="00A23CA4"/>
        </w:tc>
      </w:tr>
    </w:tbl>
    <w:p w14:paraId="54DB3231" w14:textId="77777777" w:rsidR="00494B49" w:rsidRDefault="00494B49">
      <w:pPr>
        <w:pStyle w:val="BNormal"/>
      </w:pPr>
    </w:p>
    <w:p w14:paraId="7821630E" w14:textId="77777777" w:rsidR="00494B49" w:rsidRDefault="00494B49">
      <w:pPr>
        <w:pStyle w:val="BNormal"/>
      </w:pPr>
      <w:r>
        <w:t xml:space="preserve">As shown in this example from the </w:t>
      </w:r>
      <w:hyperlink r:id="rId17" w:history="1">
        <w:r>
          <w:rPr>
            <w:rStyle w:val="Hyperlink"/>
          </w:rPr>
          <w:t>Instructions for Form 8960</w:t>
        </w:r>
      </w:hyperlink>
      <w:r>
        <w:t>, the Section 1411 NOL embedded in the 2016 and 2017 NOLs is, in essence, lost. The 2016 and 2017 regular tax NOLs eliminated the individual’s MAGI in 2019, which caused the individual to not be subject to NIIT. The 2019 outcome would be the same if the applicable percentage of the 2016 and 2017 NOLs were zero.</w:t>
      </w:r>
    </w:p>
    <w:p w14:paraId="33E20773" w14:textId="77777777" w:rsidR="00494B49" w:rsidRDefault="00494B49">
      <w:pPr>
        <w:pStyle w:val="BNormal"/>
      </w:pPr>
      <w:r>
        <w:rPr>
          <w:i/>
        </w:rPr>
        <w:t>Note:</w:t>
      </w:r>
      <w:r>
        <w:t xml:space="preserve"> If a taxpayer incurs an NOL in a year in which the NIIT is effective and carries that NOL back to offset income in years preceding the imposition of the NIIT (e.g., a carryback to a tax year beginning before January 1, 2013), the amount of Section 1411 NOL that is included in the carryback is used (as an applicable portion) even though the net investment income tax was not in effect. In addition to using an NOL in a pre-NIIT year, if a taxpayer has to reduce the regular tax NOL as a result of debt discharge,</w:t>
      </w:r>
      <w:r>
        <w:rPr>
          <w:rStyle w:val="FootnoteReference"/>
        </w:rPr>
        <w:footnoteReference w:id="753"/>
      </w:r>
      <w:r>
        <w:t xml:space="preserve"> the Section 1411 NOL embedded in the reduced NOL is also reduced.</w:t>
      </w:r>
    </w:p>
    <w:p w14:paraId="014487E5" w14:textId="77777777" w:rsidR="00494B49" w:rsidRDefault="00494B49">
      <w:pPr>
        <w:pStyle w:val="BChapterName"/>
      </w:pPr>
      <w:r>
        <w:t>VI. Dispositions of Interests in Partnerships and S Corporations</w:t>
      </w:r>
    </w:p>
    <w:p w14:paraId="3D1E09C0" w14:textId="77777777" w:rsidR="00494B49" w:rsidRDefault="00494B49">
      <w:pPr>
        <w:pStyle w:val="BHead1"/>
      </w:pPr>
      <w:r>
        <w:t xml:space="preserve">A. Introduction </w:t>
      </w:r>
    </w:p>
    <w:p w14:paraId="4468CF03" w14:textId="77777777" w:rsidR="00494B49" w:rsidRDefault="00494B49">
      <w:pPr>
        <w:pStyle w:val="BNormal"/>
      </w:pPr>
      <w:smartTag w:uri="http://www.bna.com/sgml2word/cite" w:element="cite.usc">
        <w:smartTagPr>
          <w:attr w:name="ref" w:val="USC\26\1411(c)(1)(A)(iii)"/>
        </w:smartTagPr>
        <w:r>
          <w:t>Section 1411(c)(1)(A)(iii)</w:t>
        </w:r>
      </w:smartTag>
      <w:r>
        <w:t xml:space="preserve"> provides that </w:t>
      </w:r>
      <w:smartTag w:uri="http://www.bna.com/sgml2word/cite" w:element="cite.usc">
        <w:smartTagPr>
          <w:attr w:name="ref" w:val="USC\26\1411"/>
        </w:smartTagPr>
        <w:r>
          <w:t>§1411</w:t>
        </w:r>
      </w:smartTag>
      <w:r>
        <w:t xml:space="preserve"> investment income includes net gain from the disposition of property (1) held in a passive activity with respect to the taxpayer or a trade or business of trading in financial instruments or commodities (in other words, held in a </w:t>
      </w:r>
      <w:smartTag w:uri="http://www.bna.com/sgml2word/cite" w:element="cite.usc">
        <w:smartTagPr>
          <w:attr w:name="ref" w:val="USC\26\1411(c)(2)"/>
        </w:smartTagPr>
        <w:r>
          <w:t>§1411(c)(2)</w:t>
        </w:r>
      </w:smartTag>
      <w:r>
        <w:t xml:space="preserve"> trade or business) or (2) held in a for-profit activity that does not rise to the level of a trade or business.</w:t>
      </w:r>
      <w:r>
        <w:rPr>
          <w:rStyle w:val="FootnoteReference"/>
        </w:rPr>
        <w:footnoteReference w:id="754"/>
      </w:r>
      <w:r>
        <w:t xml:space="preserve"> </w:t>
      </w:r>
      <w:smartTag w:uri="http://www.bna.com/sgml2word/cite" w:element="cite.usc">
        <w:smartTagPr>
          <w:attr w:name="ref" w:val="USC\26\1411(c)(4)"/>
        </w:smartTagPr>
        <w:r>
          <w:t>Section 1411(c)(4)</w:t>
        </w:r>
      </w:smartTag>
      <w:r>
        <w:t xml:space="preserve"> creates an exception to this rule for the disposition of certain active interests in partnerships and S corporations. </w:t>
      </w:r>
      <w:smartTag w:uri="http://www.bna.com/sgml2word/cite" w:element="cite.usc">
        <w:smartTagPr>
          <w:attr w:name="ref" w:val="USC\26\1411(c)(4)(A)"/>
        </w:smartTagPr>
        <w:r>
          <w:t>Section 1411(c)(4)(A)</w:t>
        </w:r>
      </w:smartTag>
      <w:r>
        <w:t xml:space="preserve"> provides that, in the case of a disposition of an interest in a partnership or S corporation, the transferor takes into account gain from the disposition for purposes of computing net gain included in net investment income (under </w:t>
      </w:r>
      <w:smartTag w:uri="http://www.bna.com/sgml2word/cite" w:element="cite.usc">
        <w:smartTagPr>
          <w:attr w:name="ref" w:val="USC\26\1411(c)(1)(A)(iii)"/>
        </w:smartTagPr>
        <w:r>
          <w:t>§1411(c)(1)(A)(iii)</w:t>
        </w:r>
      </w:smartTag>
      <w:r>
        <w:t xml:space="preserve">) only to the extent of the net gain that the transferor would take into account as net investment income if all property of the partnership or S corporation were sold for fair market value immediately before the disposition of the interest. </w:t>
      </w:r>
      <w:smartTag w:uri="http://www.bna.com/sgml2word/cite" w:element="cite.usc">
        <w:smartTagPr>
          <w:attr w:name="ref" w:val="USC\26\1411(c)(4)(B)"/>
        </w:smartTagPr>
        <w:r>
          <w:t>Section 1411(c)(4)(B)</w:t>
        </w:r>
      </w:smartTag>
      <w:r>
        <w:t xml:space="preserve"> applies a similar rule to a loss from a disposition.</w:t>
      </w:r>
    </w:p>
    <w:p w14:paraId="03DA773E" w14:textId="77777777" w:rsidR="00494B49" w:rsidRDefault="00494B49">
      <w:pPr>
        <w:pStyle w:val="BNormal"/>
      </w:pPr>
      <w:r>
        <w:t xml:space="preserve">As with nearly all other aspects of </w:t>
      </w:r>
      <w:smartTag w:uri="http://www.bna.com/sgml2word/cite" w:element="cite.usc">
        <w:smartTagPr>
          <w:attr w:name="ref" w:val="USC\26\1411"/>
        </w:smartTagPr>
        <w:r>
          <w:t>§1411</w:t>
        </w:r>
      </w:smartTag>
      <w:r>
        <w:t xml:space="preserve">, there is no legislative history pertaining to </w:t>
      </w:r>
      <w:smartTag w:uri="http://www.bna.com/sgml2word/cite" w:element="cite.usc">
        <w:smartTagPr>
          <w:attr w:name="ref" w:val="USC\26\1411(c)(4)"/>
        </w:smartTagPr>
        <w:r>
          <w:t>§1411(c)(4)</w:t>
        </w:r>
      </w:smartTag>
      <w:r>
        <w:t>. Although not legislative history,</w:t>
      </w:r>
      <w:r>
        <w:rPr>
          <w:rStyle w:val="FootnoteReference"/>
        </w:rPr>
        <w:footnoteReference w:id="755"/>
      </w:r>
      <w:r>
        <w:t xml:space="preserve"> the 2010 bluebook stated: </w:t>
      </w:r>
    </w:p>
    <w:p w14:paraId="6F1D2E22" w14:textId="77777777" w:rsidR="00494B49" w:rsidRDefault="00494B49">
      <w:pPr>
        <w:pStyle w:val="BQuotelong"/>
      </w:pPr>
      <w:r>
        <w:lastRenderedPageBreak/>
        <w:t>In the case of the disposition of a partnership interest or stock in an S corporation, gain or loss is taken into account only to the extent gain or loss would be taken into account by the partner or shareholder if the entity had sold all its properties for fair market value immediately before the disposition. Thus, only net gain or loss attributable to property held by the entity which is not property attributable to an active trade or business is taken into account.</w:t>
      </w:r>
      <w:r>
        <w:rPr>
          <w:rStyle w:val="FootnoteReference"/>
        </w:rPr>
        <w:footnoteReference w:id="756"/>
      </w:r>
      <w:r>
        <w:t xml:space="preserve"> For this purpose, a business of trading financial instruments or commodities is not treated as an active trade or business</w:t>
      </w:r>
      <w:r>
        <w:rPr>
          <w:i/>
        </w:rPr>
        <w:t>.</w:t>
      </w:r>
      <w:r>
        <w:rPr>
          <w:rStyle w:val="FootnoteReference"/>
        </w:rPr>
        <w:footnoteReference w:id="757"/>
      </w:r>
      <w:r>
        <w:t xml:space="preserve"> </w:t>
      </w:r>
    </w:p>
    <w:p w14:paraId="4D7FB96C" w14:textId="77777777" w:rsidR="00494B49" w:rsidRDefault="00494B49">
      <w:pPr>
        <w:pStyle w:val="BNormal"/>
      </w:pPr>
      <w:r>
        <w:t>The 2011 bluebook contains identical language.</w:t>
      </w:r>
      <w:r>
        <w:rPr>
          <w:rStyle w:val="FootnoteReference"/>
        </w:rPr>
        <w:footnoteReference w:id="758"/>
      </w:r>
    </w:p>
    <w:p w14:paraId="37F953CE" w14:textId="77777777" w:rsidR="00494B49" w:rsidRDefault="00494B49">
      <w:pPr>
        <w:pStyle w:val="BNormal"/>
      </w:pPr>
      <w:r>
        <w:t xml:space="preserve">From a policy perspective, the intent behind </w:t>
      </w:r>
      <w:smartTag w:uri="http://www.bna.com/sgml2word/cite" w:element="cite.usc">
        <w:smartTagPr>
          <w:attr w:name="ref" w:val="USC\26\1411(c)(4)"/>
        </w:smartTagPr>
        <w:r>
          <w:t>§1411(c)(4)</w:t>
        </w:r>
      </w:smartTag>
      <w:r>
        <w:t xml:space="preserve"> was to promote fairness in the computation of net investment income.</w:t>
      </w:r>
      <w:r>
        <w:rPr>
          <w:rStyle w:val="FootnoteReference"/>
        </w:rPr>
        <w:footnoteReference w:id="759"/>
      </w:r>
      <w:r>
        <w:t xml:space="preserve"> In most cases, an interest in a partnership or S corporation is not property held in a trade or business. Therefore, absent a special rule, gain or loss from the sale of a partnership interest or S corporation stock would always be included in net investment income under </w:t>
      </w:r>
      <w:smartTag w:uri="http://www.bna.com/sgml2word/cite" w:element="cite.usc">
        <w:smartTagPr>
          <w:attr w:name="ref" w:val="USC\26\1411(c)(1)(A)(iii)"/>
        </w:smartTagPr>
        <w:r>
          <w:t>§1411(c)(1)(A)(iii)</w:t>
        </w:r>
      </w:smartTag>
      <w:r>
        <w:t>. However, if the entity sold all of its assets, and those assets were used in a non-</w:t>
      </w:r>
      <w:smartTag w:uri="http://www.bna.com/sgml2word/cite" w:element="cite.usc">
        <w:smartTagPr>
          <w:attr w:name="ref" w:val="USC\26\1411"/>
        </w:smartTagPr>
        <w:r>
          <w:t>§1411</w:t>
        </w:r>
      </w:smartTag>
      <w:r>
        <w:t xml:space="preserve"> trade or business (an active trade or business other than trading), the owner’s distributive share of the gain or loss would be excluded from net investment income. At the end of the day, the taxpayer may be in the same financial position as having disposed of an interest in an operating business for cash but, without </w:t>
      </w:r>
      <w:smartTag w:uri="http://www.bna.com/sgml2word/cite" w:element="cite.usc">
        <w:smartTagPr>
          <w:attr w:name="ref" w:val="USC\26\1411(c)(4)"/>
        </w:smartTagPr>
        <w:r>
          <w:t>§1411(c)(4)</w:t>
        </w:r>
      </w:smartTag>
      <w:r>
        <w:t xml:space="preserve">, the form of the transaction would govern the net investment income tax (NIIT) treatment. </w:t>
      </w:r>
      <w:smartTag w:uri="http://www.bna.com/sgml2word/cite" w:element="cite.usc">
        <w:smartTagPr>
          <w:attr w:name="ref" w:val="USC\26\1411(c)(4)"/>
        </w:smartTagPr>
        <w:r>
          <w:t>Section 1411(c)(4)</w:t>
        </w:r>
      </w:smartTag>
      <w:r>
        <w:t xml:space="preserve"> tries to alleviate the form-over-substance inequity. The mechanics of how </w:t>
      </w:r>
      <w:smartTag w:uri="http://www.bna.com/sgml2word/cite" w:element="cite.usc">
        <w:smartTagPr>
          <w:attr w:name="ref" w:val="USC\26\1411(c)(4)"/>
        </w:smartTagPr>
        <w:r>
          <w:t>§1411(c)(4)</w:t>
        </w:r>
      </w:smartTag>
      <w:r>
        <w:t xml:space="preserve"> tries to eliminate the inequity is the troublesome aspect. At its core, </w:t>
      </w:r>
      <w:smartTag w:uri="http://www.bna.com/sgml2word/cite" w:element="cite.usc">
        <w:smartTagPr>
          <w:attr w:name="ref" w:val="USC\26\1411(c)(4)"/>
        </w:smartTagPr>
        <w:r>
          <w:t>§1411(c)(4)</w:t>
        </w:r>
      </w:smartTag>
      <w:r>
        <w:t xml:space="preserve"> tries to apply the aggregate theory of passthrough taxation to a sale of an interest in a partnership or S corporation to achieve “parity” in the calculation of net investment income. It is a noble theoretical goal, but this theory bedeviled taxpayers and scholars long before the enactment of </w:t>
      </w:r>
      <w:smartTag w:uri="http://www.bna.com/sgml2word/cite" w:element="cite.usc">
        <w:smartTagPr>
          <w:attr w:name="ref" w:val="USC\26\1411(c)(4)"/>
        </w:smartTagPr>
        <w:r>
          <w:t>§1411(c)(4)</w:t>
        </w:r>
      </w:smartTag>
      <w:r>
        <w:t>.</w:t>
      </w:r>
      <w:r>
        <w:rPr>
          <w:rStyle w:val="FootnoteReference"/>
        </w:rPr>
        <w:footnoteReference w:id="760"/>
      </w:r>
    </w:p>
    <w:p w14:paraId="7310CB11" w14:textId="77777777" w:rsidR="00494B49" w:rsidRDefault="00494B49">
      <w:pPr>
        <w:pStyle w:val="BHead1"/>
      </w:pPr>
      <w:r>
        <w:t xml:space="preserve">B. 2013 Proposed Regulations </w:t>
      </w:r>
    </w:p>
    <w:p w14:paraId="664B4515" w14:textId="77777777" w:rsidR="00494B49" w:rsidRDefault="00494B49">
      <w:pPr>
        <w:pStyle w:val="BNormal"/>
      </w:pPr>
      <w:r>
        <w:t xml:space="preserve">In 2012, the IRS issued proposed regulations (the 2012 Proposed Regulations) on the implementation of the </w:t>
      </w:r>
      <w:smartTag w:uri="http://www.bna.com/sgml2word/cite" w:element="cite.usc">
        <w:smartTagPr>
          <w:attr w:name="ref" w:val="USC\26\1411(c)(4)"/>
        </w:smartTagPr>
        <w:r>
          <w:t>§1411(c)(4)</w:t>
        </w:r>
      </w:smartTag>
      <w:r>
        <w:t xml:space="preserve"> rules with respect to dispositions of interests in partnerships and S corporations. The 2012 Proposed Regulations attempted to provide interpretive rules to calculate the amount of gain or loss included in net investment income.</w:t>
      </w:r>
      <w:r>
        <w:rPr>
          <w:rStyle w:val="FootnoteReference"/>
        </w:rPr>
        <w:footnoteReference w:id="761"/>
      </w:r>
      <w:r>
        <w:t xml:space="preserve"> Taxpayers uniformly criticized the conceptual and computational approach taken in the 2012 Proposed Regulations, </w:t>
      </w:r>
      <w:r>
        <w:lastRenderedPageBreak/>
        <w:t>although commentators did acknowledge that implementing any interpretive rules is difficult. In response to comments, the IRS withdrew the 2012 Proposed Regulations and reproposed regulations in 2013 (the 2013 Proposed Regulations).</w:t>
      </w:r>
      <w:r>
        <w:rPr>
          <w:rStyle w:val="FootnoteReference"/>
        </w:rPr>
        <w:footnoteReference w:id="762"/>
      </w:r>
      <w:r>
        <w:t xml:space="preserve"> The 2013 Proposed Regulations differed in several material respects from the 2012 Proposed Regulations. Most notably, the deemed sale on a property-by-property basis was abandoned.</w:t>
      </w:r>
      <w:r>
        <w:rPr>
          <w:rStyle w:val="FootnoteReference"/>
        </w:rPr>
        <w:footnoteReference w:id="763"/>
      </w:r>
      <w:r>
        <w:t xml:space="preserve"> Another significant difference is the 2013 Proposed Regulations’ concerted effort to minimize the burden on the Passthrough Entity regarding information sharing despite new provisions explicitly requiring the Passthrough Entity to share information with the owner. Although the method of computation differs from the approach taken in the 2012 Proposed Regulations, the Treasury Department and the IRS took the opportunity with the 2013 Proposed Regulations to incorporate simplifying computational provisions requested by commentators and also deal with certain oddities and abnormalities (or “quirks”) that were identified in public comments. Interestingly, the mechanical method of making an adjustment to a taxpayer’s Chapter 1 gain on </w:t>
      </w:r>
      <w:smartTag w:uri="http://www.bna.com/sgml2word/cite" w:element="cite.fed.form">
        <w:smartTagPr>
          <w:attr w:name="ref" w:val="irs\form8960"/>
        </w:smartTagPr>
        <w:r>
          <w:t>Form 8960</w:t>
        </w:r>
      </w:smartTag>
      <w:r>
        <w:t>, Line 5(c), was unchanged in the 2013 Proposed Regulations.</w:t>
      </w:r>
      <w:r>
        <w:rPr>
          <w:rStyle w:val="FootnoteReference"/>
        </w:rPr>
        <w:footnoteReference w:id="764"/>
      </w:r>
    </w:p>
    <w:p w14:paraId="70A624D9" w14:textId="77777777" w:rsidR="00494B49" w:rsidRDefault="00494B49">
      <w:pPr>
        <w:pStyle w:val="BNormal"/>
      </w:pPr>
      <w:r>
        <w:t xml:space="preserve">2012 Prop. Reg. </w:t>
      </w:r>
      <w:smartTag w:uri="http://www.bna.com/sgml2word/cite" w:element="cite.cfr">
        <w:smartTagPr>
          <w:attr w:name="ref" w:val="prule\cfr\26\1.1411-7"/>
        </w:smartTagPr>
        <w:r>
          <w:t>§1.1411-7</w:t>
        </w:r>
      </w:smartTag>
      <w:r>
        <w:t xml:space="preserve"> was not finalized as part of the 2013 Final Regulations package. For tax years beginning after December 31, 2013, taxpayers may either rely on the method from the 2013 Proposed Regulations or choose not to follow the method from the 2013 Proposed Regulations.</w:t>
      </w:r>
    </w:p>
    <w:p w14:paraId="30E07A17" w14:textId="77777777" w:rsidR="00494B49" w:rsidRDefault="00494B49">
      <w:pPr>
        <w:pStyle w:val="BHead2"/>
      </w:pPr>
      <w:r>
        <w:t>1. Interests Subject to §1411(c)(4)</w:t>
      </w:r>
    </w:p>
    <w:p w14:paraId="2EB89581" w14:textId="77777777" w:rsidR="00494B49" w:rsidRDefault="00494B49">
      <w:pPr>
        <w:pStyle w:val="BNormal"/>
      </w:pPr>
      <w:r>
        <w:t xml:space="preserve">In general, for </w:t>
      </w:r>
      <w:smartTag w:uri="http://www.bna.com/sgml2word/cite" w:element="cite.usc">
        <w:smartTagPr>
          <w:attr w:name="ref" w:val="USC\26\1411(c)(4)"/>
        </w:smartTagPr>
        <w:r>
          <w:t>§1411(c)(4)</w:t>
        </w:r>
      </w:smartTag>
      <w:r>
        <w:t xml:space="preserve"> to apply, a taxpayer must have a “Section 1411(c)(4) Disposition.” Prop. Reg. </w:t>
      </w:r>
      <w:smartTag w:uri="http://www.bna.com/sgml2word/cite" w:element="cite.cfr">
        <w:smartTagPr>
          <w:attr w:name="ref" w:val="prule\cfr\26\1.1411-7(a)(2)"/>
        </w:smartTagPr>
        <w:r>
          <w:t>§1.1411-7(a)(2)</w:t>
        </w:r>
      </w:smartTag>
      <w:r>
        <w:t xml:space="preserve"> contains certain definitions that are unique to determining gain or loss under </w:t>
      </w:r>
      <w:smartTag w:uri="http://www.bna.com/sgml2word/cite" w:element="cite.usc">
        <w:smartTagPr>
          <w:attr w:name="ref" w:val="USC\26\1411(c)(4)"/>
        </w:smartTagPr>
        <w:r>
          <w:t>§1411(c)(4)</w:t>
        </w:r>
      </w:smartTag>
      <w:r>
        <w:t xml:space="preserve"> and apply only for purposes of Prop. Reg. </w:t>
      </w:r>
      <w:smartTag w:uri="http://www.bna.com/sgml2word/cite" w:element="cite.cfr">
        <w:smartTagPr>
          <w:attr w:name="ref" w:val="prule\cfr\26\1.1411-7"/>
        </w:smartTagPr>
        <w:r>
          <w:t>§1.1411-7</w:t>
        </w:r>
      </w:smartTag>
      <w:r>
        <w:t>.</w:t>
      </w:r>
    </w:p>
    <w:p w14:paraId="7A4C44D6" w14:textId="77777777" w:rsidR="00494B49" w:rsidRDefault="00494B49">
      <w:pPr>
        <w:pStyle w:val="BHead3"/>
      </w:pPr>
      <w:r>
        <w:t>a. Definition of Passthrough Entity</w:t>
      </w:r>
    </w:p>
    <w:p w14:paraId="5AF9B0D0" w14:textId="77777777" w:rsidR="00494B49" w:rsidRDefault="00494B49">
      <w:pPr>
        <w:pStyle w:val="BNormal"/>
      </w:pPr>
      <w:r>
        <w:t xml:space="preserve">The 2013 Proposed Regulations refer to interests subject to the </w:t>
      </w:r>
      <w:smartTag w:uri="http://www.bna.com/sgml2word/cite" w:element="cite.usc">
        <w:smartTagPr>
          <w:attr w:name="ref" w:val="USC\26\1411(c)(4)"/>
        </w:smartTagPr>
        <w:r>
          <w:t>§1411(c)(4)</w:t>
        </w:r>
      </w:smartTag>
      <w:r>
        <w:t xml:space="preserve"> exception as interests in “Passthrough Entities” and defines a Passthrough Entity as an entity taxed as a partnership or S corporation.</w:t>
      </w:r>
      <w:r>
        <w:rPr>
          <w:rStyle w:val="FootnoteReference"/>
        </w:rPr>
        <w:footnoteReference w:id="765"/>
      </w:r>
      <w:r>
        <w:t xml:space="preserve"> In the case of partnerships, there is no requirement that the partnership qualify as a domestic partnership or a partnership under state law. Therefore, for purposes of applying </w:t>
      </w:r>
      <w:smartTag w:uri="http://www.bna.com/sgml2word/cite" w:element="cite.usc">
        <w:smartTagPr>
          <w:attr w:name="ref" w:val="USC\26\1411(c)(4)"/>
        </w:smartTagPr>
        <w:r>
          <w:t>§1411(c)(4)</w:t>
        </w:r>
      </w:smartTag>
      <w:r>
        <w:t>, “Passthrough Entity” applies to S corporations and any eligible entity</w:t>
      </w:r>
      <w:r>
        <w:rPr>
          <w:rStyle w:val="FootnoteReference"/>
        </w:rPr>
        <w:footnoteReference w:id="766"/>
      </w:r>
      <w:r>
        <w:t xml:space="preserve"> that qualifies as a partnership for federal income tax purposes. Even if a partnership makes an election to exclude itself from the application of Subchapter K, based on a plain reading of </w:t>
      </w:r>
      <w:smartTag w:uri="http://www.bna.com/sgml2word/cite" w:element="cite.usc">
        <w:smartTagPr>
          <w:attr w:name="ref" w:val="USC\26\761(a)"/>
        </w:smartTagPr>
        <w:r>
          <w:t>§761(a)</w:t>
        </w:r>
      </w:smartTag>
      <w:r>
        <w:t xml:space="preserve"> and Reg. </w:t>
      </w:r>
      <w:smartTag w:uri="http://www.bna.com/sgml2word/cite" w:element="cite.cfr">
        <w:smartTagPr>
          <w:attr w:name="ref" w:val="cfr\26\1.761-2"/>
        </w:smartTagPr>
        <w:r>
          <w:t>§1.761-2</w:t>
        </w:r>
      </w:smartTag>
      <w:r>
        <w:t xml:space="preserve">, it is still a partnership for purposes of </w:t>
      </w:r>
      <w:smartTag w:uri="http://www.bna.com/sgml2word/cite" w:element="cite.usc">
        <w:smartTagPr>
          <w:attr w:name="ref" w:val="USC\26\1411(c)(4)"/>
        </w:smartTagPr>
        <w:r>
          <w:t>§1411(c)(4)</w:t>
        </w:r>
      </w:smartTag>
      <w:r>
        <w:t>.</w:t>
      </w:r>
      <w:r>
        <w:rPr>
          <w:rStyle w:val="FootnoteReference"/>
        </w:rPr>
        <w:footnoteReference w:id="767"/>
      </w:r>
      <w:r>
        <w:t xml:space="preserve"> Trusts, REMICs, and common trust funds are not considered Passthrough Entities under these rules.</w:t>
      </w:r>
      <w:r>
        <w:rPr>
          <w:rStyle w:val="FootnoteReference"/>
        </w:rPr>
        <w:footnoteReference w:id="768"/>
      </w:r>
    </w:p>
    <w:p w14:paraId="38010B22" w14:textId="77777777" w:rsidR="00494B49" w:rsidRDefault="00494B49">
      <w:pPr>
        <w:pStyle w:val="BNormal"/>
      </w:pPr>
      <w:r>
        <w:lastRenderedPageBreak/>
        <w:t xml:space="preserve">It is important to note that, when determining whether </w:t>
      </w:r>
      <w:smartTag w:uri="http://www.bna.com/sgml2word/cite" w:element="cite.usc">
        <w:smartTagPr>
          <w:attr w:name="ref" w:val="USC\26\1411(c)(4)"/>
        </w:smartTagPr>
        <w:r>
          <w:t>§1411(c)(4)</w:t>
        </w:r>
      </w:smartTag>
      <w:r>
        <w:t xml:space="preserve"> applies, the disposition needs to be of an interest in a partnership or S corporation on the date of the sale (or more precisely, the recognition event). Additionally, there is no requirement that the entity be a Passthrough Entity for a specific period of time before or after the sale (or recognition event). The statutory language of </w:t>
      </w:r>
      <w:smartTag w:uri="http://www.bna.com/sgml2word/cite" w:element="cite.usc">
        <w:smartTagPr>
          <w:attr w:name="ref" w:val="USC\26\1411(c)(4)"/>
        </w:smartTagPr>
        <w:r>
          <w:t>§1411(c)(4)</w:t>
        </w:r>
      </w:smartTag>
      <w:r>
        <w:t xml:space="preserve"> simply lists S corporations and partnerships. There is no limiting language in the statute and no anti-abuse rule in the 2013 Proposed Regulations that would call this into question.</w:t>
      </w:r>
      <w:r>
        <w:rPr>
          <w:rStyle w:val="FootnoteReference"/>
        </w:rPr>
        <w:footnoteReference w:id="769"/>
      </w:r>
      <w:r>
        <w:t xml:space="preserve"> Therefore, a taxpayer that is planning to sell its stock in a C corporation could make an S corporation election the day before the sale, assuming the C corporation could otherwise qualify as an S corporation.</w:t>
      </w:r>
      <w:r>
        <w:rPr>
          <w:rStyle w:val="FootnoteReference"/>
        </w:rPr>
        <w:footnoteReference w:id="770"/>
      </w:r>
      <w:r>
        <w:t xml:space="preserve"> From a buyer’s perspective, it should not change the economics of the deal because the now-S corporation will revert to being a C corporation if the buyer is an ineligible shareholder (e.g., a partnership or C corporation), or the new owner could simply revoke the S election. In these cases, the inside basis of a target’s assets will not be stepped up regardless of whether the target is a C corporation or S corporation immediately before the sale. Additionally, the temporary S corporation election should not be affected by the </w:t>
      </w:r>
      <w:smartTag w:uri="http://www.bna.com/sgml2word/cite" w:element="cite.usc">
        <w:smartTagPr>
          <w:attr w:name="ref" w:val="USC\26\1374"/>
        </w:smartTagPr>
        <w:r>
          <w:t>§1374</w:t>
        </w:r>
      </w:smartTag>
      <w:r>
        <w:t xml:space="preserve"> built-in gains tax. If the acquisition were an asset sale followed by the liquidation of the target, the corporate-level tax would be paid in both instances. However, due to the many variables involved in acquisition structuring, any net investment income tax (NIIT) savings may or may not be economically worth restructuring the acquisition.</w:t>
      </w:r>
    </w:p>
    <w:p w14:paraId="1B14DC96" w14:textId="77777777" w:rsidR="00494B49" w:rsidRDefault="00494B49">
      <w:pPr>
        <w:pStyle w:val="BNormal"/>
      </w:pPr>
      <w:r>
        <w:t xml:space="preserve">There is no requirement that the sale of a Passthrough Entity be to an unrelated party (e.g., within the meaning of </w:t>
      </w:r>
      <w:smartTag w:uri="http://www.bna.com/sgml2word/cite" w:element="cite.usc">
        <w:smartTagPr>
          <w:attr w:name="ref" w:val="USC\26\707"/>
        </w:smartTagPr>
        <w:r>
          <w:t>§707</w:t>
        </w:r>
      </w:smartTag>
      <w:r>
        <w:t xml:space="preserve"> or </w:t>
      </w:r>
      <w:smartTag w:uri="http://www.bna.com/sgml2word/cite" w:element="cite.usc">
        <w:smartTagPr>
          <w:attr w:name="ref" w:val="USC\26\267(b)"/>
        </w:smartTagPr>
        <w:r>
          <w:t>§267(b)</w:t>
        </w:r>
      </w:smartTag>
      <w:r>
        <w:t>).</w:t>
      </w:r>
    </w:p>
    <w:p w14:paraId="0A5F3A0A" w14:textId="77777777" w:rsidR="00494B49" w:rsidRDefault="00494B49">
      <w:pPr>
        <w:pStyle w:val="BHead3"/>
      </w:pPr>
      <w:r>
        <w:t>b. Definition of Subsidiary Passthrough Entity</w:t>
      </w:r>
    </w:p>
    <w:p w14:paraId="0242596B" w14:textId="77777777" w:rsidR="00494B49" w:rsidRDefault="00494B49">
      <w:pPr>
        <w:pStyle w:val="BNormal"/>
      </w:pPr>
      <w:r>
        <w:t xml:space="preserve">Prop. Reg. </w:t>
      </w:r>
      <w:smartTag w:uri="http://www.bna.com/sgml2word/cite" w:element="cite.cfr">
        <w:smartTagPr>
          <w:attr w:name="ref" w:val="prule\cfr\26\1.1411-7(a)(2)(iv)"/>
        </w:smartTagPr>
        <w:r>
          <w:t>§1.1411-7(a)(2)(iv)</w:t>
        </w:r>
      </w:smartTag>
      <w:r>
        <w:t xml:space="preserve"> defines a Subsidiary Passthrough Entity as an interest in a Passthrough Entity owned, directly or indirectly, by another Passthrough Entity. From a practical perspective, because S corporations cannot have partnerships or other S corporations as shareholders, a Subsidiary Passthrough Entity can only be a partnership held by an S corporation or partnership. Additionally, a Subsidiary Passthrough Entity is not a disregarded entity (such as a single-member LLC), a Qualified Subchapter S subsidiary, a common trust fund, or a wholly owned grantor trust.</w:t>
      </w:r>
    </w:p>
    <w:p w14:paraId="466D11CC" w14:textId="77777777" w:rsidR="00494B49" w:rsidRDefault="00494B49">
      <w:pPr>
        <w:pStyle w:val="BHead3"/>
      </w:pPr>
      <w:r>
        <w:t>c. Definition of ‘Section 1411(c)(4) Disposition’</w:t>
      </w:r>
    </w:p>
    <w:p w14:paraId="6150943B" w14:textId="77777777" w:rsidR="00494B49" w:rsidRDefault="00494B49">
      <w:pPr>
        <w:pStyle w:val="BNormal"/>
      </w:pPr>
      <w:r>
        <w:t xml:space="preserve">A “Section 1411(c)(4) Disposition” is the disposition of an interest in a Passthrough Entity by an individual, estate, or trust if: (1) the Passthrough Entity is engaged in one or more trades or businesses, or owns an interest (directly or indirectly) in another Passthrough Entity that is engaged in one or more trades or businesses, other than the business of trading in financial instruments or commodities (within the meaning of Reg. </w:t>
      </w:r>
      <w:smartTag w:uri="http://www.bna.com/sgml2word/cite" w:element="cite.cfr">
        <w:smartTagPr>
          <w:attr w:name="ref" w:val="cfr\26\1.1411-5(a)(2)"/>
        </w:smartTagPr>
        <w:r>
          <w:t>§1.1411-5(a)(2)</w:t>
        </w:r>
      </w:smartTag>
      <w:r>
        <w:t xml:space="preserve">); and (2) one or more </w:t>
      </w:r>
      <w:r>
        <w:lastRenderedPageBreak/>
        <w:t xml:space="preserve">of the trades or businesses of the Passthrough Entity is not a passive activity (within the meaning of Reg. </w:t>
      </w:r>
      <w:smartTag w:uri="http://www.bna.com/sgml2word/cite" w:element="cite.cfr">
        <w:smartTagPr>
          <w:attr w:name="ref" w:val="cfr\26\1.1411-5(a)(1)"/>
        </w:smartTagPr>
        <w:r>
          <w:t>§1.1411-5(a)(1)</w:t>
        </w:r>
      </w:smartTag>
      <w:r>
        <w:t>) of the transferor.</w:t>
      </w:r>
      <w:r>
        <w:rPr>
          <w:rStyle w:val="FootnoteReference"/>
        </w:rPr>
        <w:footnoteReference w:id="771"/>
      </w:r>
      <w:r>
        <w:t xml:space="preserve"> In other words, in order to determine whether </w:t>
      </w:r>
      <w:smartTag w:uri="http://www.bna.com/sgml2word/cite" w:element="cite.usc">
        <w:smartTagPr>
          <w:attr w:name="ref" w:val="USC\26\1411(c)(4)"/>
        </w:smartTagPr>
        <w:r>
          <w:t>§1411(c)(4)</w:t>
        </w:r>
      </w:smartTag>
      <w:r>
        <w:t xml:space="preserve"> applies, the transferor must look through to the activities of the Passthrough Entity and determine whether the entity engages in at least one trade or business (other than trading) that is “active” with respect to the transferor (is not a passive activity with respect to the transferor). If all of the activities of the Passthrough Entity are either trading businesses or are passive with respect to the transferor, there is no §1411(c)(4) Disposition and the net Chapter 1 gain on the disposition is included in net investment income under </w:t>
      </w:r>
      <w:smartTag w:uri="http://www.bna.com/sgml2word/cite" w:element="cite.usc">
        <w:smartTagPr>
          <w:attr w:name="ref" w:val="USC\26\1411(c)(1)(A)(iii)"/>
        </w:smartTagPr>
        <w:r>
          <w:t>§1411(c)(1)(A)(iii)</w:t>
        </w:r>
      </w:smartTag>
      <w:r>
        <w:t xml:space="preserve">. If the transferor materially participates in one or more of the Passthrough Entity’s trades or businesses (other than a trade or business of trading in financial instruments or commodities), the transferor must use </w:t>
      </w:r>
      <w:smartTag w:uri="http://www.bna.com/sgml2word/cite" w:element="cite.usc">
        <w:smartTagPr>
          <w:attr w:name="ref" w:val="USC\26\1411(c)(4)"/>
        </w:smartTagPr>
        <w:r>
          <w:t>§1411(c)(4)</w:t>
        </w:r>
      </w:smartTag>
      <w:r>
        <w:t xml:space="preserve"> to calculate how much of the Chapter 1 gain or loss from the disposition to include in net investment income under </w:t>
      </w:r>
      <w:smartTag w:uri="http://www.bna.com/sgml2word/cite" w:element="cite.usc">
        <w:smartTagPr>
          <w:attr w:name="ref" w:val="USC\26\1411(c)(1)(A)(iii)"/>
        </w:smartTagPr>
        <w:r>
          <w:t>§1411(c)(1)(A)(iii)</w:t>
        </w:r>
      </w:smartTag>
      <w:r>
        <w:t>.</w:t>
      </w:r>
    </w:p>
    <w:p w14:paraId="6B537319" w14:textId="77777777" w:rsidR="00494B49" w:rsidRDefault="00494B49">
      <w:pPr>
        <w:pStyle w:val="BHead4"/>
      </w:pPr>
      <w:r>
        <w:t xml:space="preserve">(1) Passive and Nonpassive Activities </w:t>
      </w:r>
    </w:p>
    <w:p w14:paraId="7B7373D9" w14:textId="77777777" w:rsidR="00494B49" w:rsidRDefault="00494B49">
      <w:pPr>
        <w:pStyle w:val="BNormal"/>
      </w:pPr>
      <w:r>
        <w:t xml:space="preserve">As discussed above, in order for a disposition of an interest in a Passthrough Entity to be considered a Section 1411(c)(4) Disposition, the Passthrough Entity must engage in at least one trade or business that is not the business of trading in financial instruments or commodities and is not a passive activity (within the meaning of Reg. </w:t>
      </w:r>
      <w:smartTag w:uri="http://www.bna.com/sgml2word/cite" w:element="cite.cfr">
        <w:smartTagPr>
          <w:attr w:name="ref" w:val="cfr\26\1.1411-5(a)"/>
        </w:smartTagPr>
        <w:r>
          <w:t>§1.1411-5(a)</w:t>
        </w:r>
      </w:smartTag>
      <w:r>
        <w:t xml:space="preserve">) with respect to the transferor. The cross-reference to Reg. </w:t>
      </w:r>
      <w:smartTag w:uri="http://www.bna.com/sgml2word/cite" w:element="cite.cfr">
        <w:smartTagPr>
          <w:attr w:name="ref" w:val="cfr\26\1.1411-5(a)"/>
        </w:smartTagPr>
        <w:r>
          <w:t>§1.1411-5(a)</w:t>
        </w:r>
      </w:smartTag>
      <w:r>
        <w:t xml:space="preserve"> in the definition of a Section 1411(c)(4) Disposition is significant. Activities (including rental properties) that are grouped with other activities outside the Passthrough Entity would be nonpassive activities of the Passthrough Entity if the grouped activity is a nonpassive activity to the seller. Additionally, nonpassive rental real estate activities of Real Estate Professionals are treated as nonpassive activities. This is true even if the entire grouped activity is not sold.</w:t>
      </w:r>
    </w:p>
    <w:p w14:paraId="17305015" w14:textId="77777777" w:rsidR="00494B49" w:rsidRDefault="00494B49">
      <w:pPr>
        <w:pStyle w:val="BNormal"/>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what constitutes a passive activity (or more importantly, what does not constitute a passive activity under Reg. </w:t>
      </w:r>
      <w:smartTag w:uri="http://www.bna.com/sgml2word/cite" w:element="cite.cfr">
        <w:smartTagPr>
          <w:attr w:name="ref" w:val="cfr\26\1.1411-5(a)(1)"/>
        </w:smartTagPr>
        <w:r>
          <w:t>§1.1411-5(a)(1)</w:t>
        </w:r>
      </w:smartTag>
      <w:r>
        <w:t xml:space="preserve">) is addressed in Reg. </w:t>
      </w:r>
      <w:smartTag w:uri="http://www.bna.com/sgml2word/cite" w:element="cite.cfr">
        <w:smartTagPr>
          <w:attr w:name="ref" w:val="cfr\26\1.1411-5(b)"/>
        </w:smartTagPr>
        <w:r>
          <w:t>§1.1411-5(b)</w:t>
        </w:r>
      </w:smartTag>
      <w:r>
        <w:t xml:space="preserve">. Reg. </w:t>
      </w:r>
      <w:smartTag w:uri="http://www.bna.com/sgml2word/cite" w:element="cite.cfr">
        <w:smartTagPr>
          <w:attr w:name="ref" w:val="cfr\26\1.1411-5(b)(1)(ii)"/>
        </w:smartTagPr>
        <w:r>
          <w:t>§1.1411-5(b)(1)(ii)</w:t>
        </w:r>
      </w:smartTag>
      <w:r>
        <w:t xml:space="preserve"> provides that a trade or business is a passive activity for purposes of </w:t>
      </w:r>
      <w:smartTag w:uri="http://www.bna.com/sgml2word/cite" w:element="cite.usc">
        <w:smartTagPr>
          <w:attr w:name="ref" w:val="USC\26\1411"/>
        </w:smartTagPr>
        <w:r>
          <w:t>§1411</w:t>
        </w:r>
      </w:smartTag>
      <w:r>
        <w:t xml:space="preserve"> if it is a passive activity with respect to the taxpayer under </w:t>
      </w:r>
      <w:smartTag w:uri="http://www.bna.com/sgml2word/cite" w:element="cite.usc">
        <w:smartTagPr>
          <w:attr w:name="ref" w:val="USC\26\469"/>
        </w:smartTagPr>
        <w:r>
          <w:t>§469</w:t>
        </w:r>
      </w:smartTag>
      <w:r>
        <w:t xml:space="preserve">. Therefore, all of the </w:t>
      </w:r>
      <w:smartTag w:uri="http://www.bna.com/sgml2word/cite" w:element="cite.usc">
        <w:smartTagPr>
          <w:attr w:name="ref" w:val="USC\26\469"/>
        </w:smartTagPr>
        <w:r>
          <w:t>§469</w:t>
        </w:r>
      </w:smartTag>
      <w:r>
        <w:t xml:space="preserve"> recharacterization rules that are “respected” (i.e., not treated as passive activities) also apply for purposes of </w:t>
      </w:r>
      <w:smartTag w:uri="http://www.bna.com/sgml2word/cite" w:element="cite.usc">
        <w:smartTagPr>
          <w:attr w:name="ref" w:val="USC\26\1411(c)(4)"/>
        </w:smartTagPr>
        <w:r>
          <w:t>§1411(c)(4)</w:t>
        </w:r>
      </w:smartTag>
      <w:r>
        <w:t>. For example, the sale of an interest in an S corporation or partnership will be a §1411(c)(4) Disposition if one of more of its trades or businesses constitutes a significant participation passive activity</w:t>
      </w:r>
      <w:r>
        <w:rPr>
          <w:rStyle w:val="FootnoteReference"/>
        </w:rPr>
        <w:footnoteReference w:id="772"/>
      </w:r>
      <w:r>
        <w:t xml:space="preserve"> with respect to the transferor. The same would also be true for certain property rented incidental to a development activity (Reg. </w:t>
      </w:r>
      <w:smartTag w:uri="http://www.bna.com/sgml2word/cite" w:element="cite.cfr">
        <w:smartTagPr>
          <w:attr w:name="ref" w:val="cfr\26\1.469-2(f)(5)"/>
        </w:smartTagPr>
        <w:r>
          <w:t>§1.469-2(f)(5)</w:t>
        </w:r>
      </w:smartTag>
      <w:r>
        <w:t xml:space="preserve">) and self-rentals to a nonpassive activity (Reg. </w:t>
      </w:r>
      <w:smartTag w:uri="http://www.bna.com/sgml2word/cite" w:element="cite.cfr">
        <w:smartTagPr>
          <w:attr w:name="ref" w:val="cfr\26\1.469-2(f)(6)"/>
        </w:smartTagPr>
        <w:r>
          <w:t>§1.469-2(f)(6)</w:t>
        </w:r>
      </w:smartTag>
      <w:r>
        <w:t>).</w:t>
      </w:r>
    </w:p>
    <w:p w14:paraId="337D0009" w14:textId="77777777" w:rsidR="00494B49" w:rsidRDefault="00494B49">
      <w:pPr>
        <w:pStyle w:val="BHead4"/>
      </w:pPr>
      <w:r>
        <w:t xml:space="preserve">(2) Dispositions </w:t>
      </w:r>
    </w:p>
    <w:p w14:paraId="5D771AE8" w14:textId="77777777" w:rsidR="00494B49" w:rsidRDefault="00494B49">
      <w:pPr>
        <w:pStyle w:val="BNormal"/>
      </w:pPr>
      <w:r>
        <w:t>There are several unstated nuances within the Section 1411(c)(4) Disposition definition. Although not specifically stated, a nonrecognition transaction is not a Section 1411(c)(4) Disposition.</w:t>
      </w:r>
      <w:r>
        <w:rPr>
          <w:rStyle w:val="FootnoteReference"/>
        </w:rPr>
        <w:footnoteReference w:id="773"/>
      </w:r>
      <w:r>
        <w:t xml:space="preserve"> Even though the definition of a </w:t>
      </w:r>
      <w:smartTag w:uri="http://www.bna.com/sgml2word/cite" w:element="cite.usc">
        <w:smartTagPr>
          <w:attr w:name="ref" w:val="USC\26\1411(c)(4)"/>
        </w:smartTagPr>
        <w:r>
          <w:t>Section 1411(c)(4)</w:t>
        </w:r>
      </w:smartTag>
      <w:r>
        <w:t xml:space="preserve"> Disposition does not </w:t>
      </w:r>
      <w:r>
        <w:lastRenderedPageBreak/>
        <w:t xml:space="preserve">specifically exclude nonrecognition transactions, the mechanics of the Primary Method or the Optional Simplified Method of computing </w:t>
      </w:r>
      <w:smartTag w:uri="http://www.bna.com/sgml2word/cite" w:element="cite.usc">
        <w:smartTagPr>
          <w:attr w:name="ref" w:val="USC\26\1411"/>
        </w:smartTagPr>
        <w:r>
          <w:t>§1411</w:t>
        </w:r>
      </w:smartTag>
      <w:r>
        <w:t xml:space="preserve"> gain in a </w:t>
      </w:r>
      <w:smartTag w:uri="http://www.bna.com/sgml2word/cite" w:element="cite.usc">
        <w:smartTagPr>
          <w:attr w:name="ref" w:val="USC\26\1411(c)(4)"/>
        </w:smartTagPr>
        <w:r>
          <w:t>§1411(c)(4)</w:t>
        </w:r>
      </w:smartTag>
      <w:r>
        <w:t xml:space="preserve"> Disposition caps that gain at the amount recognized for Chapter 1 purposes (which would be zero in a nonrecognition transaction).</w:t>
      </w:r>
    </w:p>
    <w:p w14:paraId="3D50149E" w14:textId="77777777" w:rsidR="00494B49" w:rsidRDefault="00494B49">
      <w:pPr>
        <w:pStyle w:val="BNormal"/>
      </w:pPr>
      <w:r>
        <w:t>A partial nonrecognition transaction, on the other hand, would be a Section 1411(c)(4) Disposition, although no computational rules are provided for these cases. The preamble to the 2013 Proposed Regulations states, in relevant part, that “[t]he Treasury Department and the IRS anticipate that taxpayers who dispose of an interest in a partial recognition transaction or partial disposition transaction will apply the principles of this section by including a pro rata amount of gain or loss from the Passthrough Entity’s Section 1411 Property.… [T]he proposed regulations do not include special rules on partial recognition…transactions. However, the Treasury Department and the IRS request comments on whether additional rules on these topics are required.”</w:t>
      </w:r>
      <w:r>
        <w:rPr>
          <w:rStyle w:val="FootnoteReference"/>
        </w:rPr>
        <w:footnoteReference w:id="774"/>
      </w:r>
    </w:p>
    <w:p w14:paraId="4433BF2D" w14:textId="77777777" w:rsidR="00494B49" w:rsidRDefault="00494B49">
      <w:pPr>
        <w:pStyle w:val="BNormal"/>
      </w:pPr>
      <w:r>
        <w:rPr>
          <w:i/>
        </w:rPr>
        <w:t>Comment:</w:t>
      </w:r>
      <w:r>
        <w:t xml:space="preserve"> Although the 2013 Proposed Regulations do not specifically state this within the definition of a Section 1411 Disposition, the preamble clarifies that </w:t>
      </w:r>
      <w:smartTag w:uri="http://www.bna.com/sgml2word/cite" w:element="cite.usc">
        <w:smartTagPr>
          <w:attr w:name="ref" w:val="USC\26\1411(c)(4)"/>
        </w:smartTagPr>
        <w:r>
          <w:t>§1411(c)(4)</w:t>
        </w:r>
      </w:smartTag>
      <w:r>
        <w:t xml:space="preserve"> applies only to dispositions of equity interests in partnerships and stock in S corporations and does not apply to gain or loss recognized on, for example, indebtedness owed to the taxpayer by a partnership or S corporation. The 2013 Proposed Regulations do not include this concept in the definition of a Section 1411 Disposition. Rather, the concept is included in the definition of a Passthrough Entity when it states “a reference to an interest in any S corporation shall mean a reference to stock in such S corporation,” which was intended to preclude gain or loss recognized on indebtedness owed to the taxpayer by a partnership or S corporation.</w:t>
      </w:r>
      <w:r>
        <w:rPr>
          <w:rStyle w:val="FootnoteReference"/>
        </w:rPr>
        <w:footnoteReference w:id="775"/>
      </w:r>
    </w:p>
    <w:p w14:paraId="1039E9A8" w14:textId="77777777" w:rsidR="00494B49" w:rsidRDefault="00494B49">
      <w:pPr>
        <w:pStyle w:val="BNormal"/>
      </w:pPr>
      <w:r>
        <w:t xml:space="preserve">It is also important to note that Section 1411 Dispositions also include deemed dispositions that are treated as realization events for regular income tax purposes. For example, a Section 1411 Disposition would occur in (i) a distribution of a partnership interest from an S corporation where </w:t>
      </w:r>
      <w:smartTag w:uri="http://www.bna.com/sgml2word/cite" w:element="cite.usc">
        <w:smartTagPr>
          <w:attr w:name="ref" w:val="USC\26\311(b)"/>
        </w:smartTagPr>
        <w:r>
          <w:t>§311(b)</w:t>
        </w:r>
      </w:smartTag>
      <w:r>
        <w:t xml:space="preserve"> applies; (ii) a distribution from an estate or trust if the fiduciary makes an election under </w:t>
      </w:r>
      <w:smartTag w:uri="http://www.bna.com/sgml2word/cite" w:element="cite.usc">
        <w:smartTagPr>
          <w:attr w:name="ref" w:val="USC\26\643(e)(3)"/>
        </w:smartTagPr>
        <w:r>
          <w:t>§643(e)(3)</w:t>
        </w:r>
      </w:smartTag>
      <w:r>
        <w:t xml:space="preserve">; (iii) a deemed sale resulting from the application of the </w:t>
      </w:r>
      <w:smartTag w:uri="http://www.bna.com/sgml2word/cite" w:element="cite.usc">
        <w:smartTagPr>
          <w:attr w:name="ref" w:val="USC\26\707"/>
        </w:smartTagPr>
        <w:r>
          <w:t>§707</w:t>
        </w:r>
      </w:smartTag>
      <w:r>
        <w:t xml:space="preserve"> disguised sale rules; (iv) a deemed sale under </w:t>
      </w:r>
      <w:smartTag w:uri="http://www.bna.com/sgml2word/cite" w:element="cite.usc">
        <w:smartTagPr>
          <w:attr w:name="ref" w:val="USC\26\877A"/>
        </w:smartTagPr>
        <w:r>
          <w:t>§877A</w:t>
        </w:r>
      </w:smartTag>
      <w:r>
        <w:t xml:space="preserve"> for a covered expatriate; (v) a transfer to a foreign trust to which </w:t>
      </w:r>
      <w:smartTag w:uri="http://www.bna.com/sgml2word/cite" w:element="cite.usc">
        <w:smartTagPr>
          <w:attr w:name="ref" w:val="USC\26\684"/>
        </w:smartTagPr>
        <w:r>
          <w:t>§684</w:t>
        </w:r>
      </w:smartTag>
      <w:r>
        <w:t xml:space="preserve"> applies; or (vi) a transfer of a partnership interest to a foreign corporation to which </w:t>
      </w:r>
      <w:smartTag w:uri="http://www.bna.com/sgml2word/cite" w:element="cite.usc">
        <w:smartTagPr>
          <w:attr w:name="ref" w:val="USC\26\367"/>
        </w:smartTagPr>
        <w:r>
          <w:t>§367</w:t>
        </w:r>
      </w:smartTag>
      <w:r>
        <w:t xml:space="preserve"> applies. </w:t>
      </w:r>
    </w:p>
    <w:p w14:paraId="18C59060" w14:textId="77777777" w:rsidR="00494B49" w:rsidRDefault="00494B49">
      <w:pPr>
        <w:pStyle w:val="BNormal"/>
      </w:pPr>
      <w:r>
        <w:t xml:space="preserve">Consider the following scenarios involving a sale of an interest in an entity that are considered a sale of a Passthrough Entity: </w:t>
      </w:r>
    </w:p>
    <w:p w14:paraId="6E406B25" w14:textId="77777777" w:rsidR="00494B49" w:rsidRDefault="00494B49">
      <w:pPr>
        <w:pStyle w:val="BListitembul"/>
      </w:pPr>
      <w:r>
        <w:t>Sale of a partnership interest in a transaction described in Rev. Rul. 99-6.</w:t>
      </w:r>
      <w:r>
        <w:rPr>
          <w:rStyle w:val="FootnoteReference"/>
        </w:rPr>
        <w:footnoteReference w:id="776"/>
      </w:r>
    </w:p>
    <w:p w14:paraId="385B5417" w14:textId="77777777" w:rsidR="00494B49" w:rsidRDefault="00494B49">
      <w:pPr>
        <w:pStyle w:val="BListitembul"/>
      </w:pPr>
      <w:r>
        <w:lastRenderedPageBreak/>
        <w:t>Distributions in excess of basis that are considered a sale of an interest in an S corporation</w:t>
      </w:r>
      <w:r>
        <w:rPr>
          <w:rStyle w:val="FootnoteReference"/>
        </w:rPr>
        <w:footnoteReference w:id="777"/>
      </w:r>
      <w:r>
        <w:t xml:space="preserve"> or partnership.</w:t>
      </w:r>
      <w:r>
        <w:rPr>
          <w:rStyle w:val="FootnoteReference"/>
        </w:rPr>
        <w:footnoteReference w:id="778"/>
      </w:r>
    </w:p>
    <w:p w14:paraId="22B5D4B1" w14:textId="77777777" w:rsidR="00494B49" w:rsidRDefault="00494B49">
      <w:pPr>
        <w:pStyle w:val="BListitembul"/>
      </w:pPr>
      <w:r>
        <w:t>Transfers of a partnership interest by gift that are treated as taxable sales of the interest attributable to liability relief.</w:t>
      </w:r>
      <w:r>
        <w:rPr>
          <w:rStyle w:val="FootnoteReference"/>
        </w:rPr>
        <w:footnoteReference w:id="779"/>
      </w:r>
    </w:p>
    <w:p w14:paraId="34AD5814" w14:textId="77777777" w:rsidR="00494B49" w:rsidRDefault="00494B49">
      <w:pPr>
        <w:pStyle w:val="BNormal"/>
      </w:pPr>
      <w:r>
        <w:t>Consider the following scenarios involving a sale of an interest in an entity that are not considered a sale of a Passthrough Entity:</w:t>
      </w:r>
    </w:p>
    <w:p w14:paraId="7918BF91" w14:textId="77777777" w:rsidR="00494B49" w:rsidRDefault="00494B49">
      <w:pPr>
        <w:pStyle w:val="BListitembul"/>
      </w:pPr>
      <w:r>
        <w:t>Sale of an interest in a single-member entity in a transaction described in Rev. Rul. 99-5.</w:t>
      </w:r>
      <w:r>
        <w:rPr>
          <w:rStyle w:val="FootnoteReference"/>
        </w:rPr>
        <w:footnoteReference w:id="780"/>
      </w:r>
    </w:p>
    <w:p w14:paraId="457A28BE" w14:textId="77777777" w:rsidR="00494B49" w:rsidRDefault="00494B49">
      <w:pPr>
        <w:pStyle w:val="BListitembul"/>
      </w:pPr>
      <w:r>
        <w:t>Distribution from an S corporation with accumulated C corporation earnings and profits in which the distribution constitutes a dividend under §301(c)(1) and §1368(c)(2).</w:t>
      </w:r>
      <w:r>
        <w:rPr>
          <w:rStyle w:val="FootnoteReference"/>
        </w:rPr>
        <w:footnoteReference w:id="781"/>
      </w:r>
    </w:p>
    <w:p w14:paraId="7A79DFA8" w14:textId="77777777" w:rsidR="00494B49" w:rsidRDefault="00494B49">
      <w:pPr>
        <w:pStyle w:val="BListitembul"/>
      </w:pPr>
      <w:r>
        <w:t xml:space="preserve">Distributions from a Passthrough Entity that are not treated as a taxable sale of an interest in the entity (e.g., a “failed” §302 redemption that is treated as a §301 distribution that does not exceed basis or a liquidating distribution of property from a partnership in which the partner recognizes no gain and takes a substituted basis in distributed property). </w:t>
      </w:r>
    </w:p>
    <w:p w14:paraId="308619AE" w14:textId="77777777" w:rsidR="00494B49" w:rsidRDefault="00494B49">
      <w:pPr>
        <w:pStyle w:val="BHead3"/>
      </w:pPr>
      <w:r>
        <w:t>d. Definition of ‘Section 1411 Property’</w:t>
      </w:r>
    </w:p>
    <w:p w14:paraId="2394068C" w14:textId="77777777" w:rsidR="00494B49" w:rsidRDefault="00494B49">
      <w:pPr>
        <w:pStyle w:val="BNormal"/>
      </w:pPr>
      <w:smartTag w:uri="http://www.bna.com/sgml2word/cite" w:element="cite.usc">
        <w:smartTagPr>
          <w:attr w:name="ref" w:val="USC\26\1411(c)(4)(A)"/>
        </w:smartTagPr>
        <w:r>
          <w:t>Section 1411(c)(4)(A)</w:t>
        </w:r>
      </w:smartTag>
      <w:r>
        <w:t xml:space="preserve"> provides that gain from the disposition of an interest in a Passthrough Entity is taken into account in computing net investment income only to the extent of the amount of gain the transferor would have taken into account under </w:t>
      </w:r>
      <w:smartTag w:uri="http://www.bna.com/sgml2word/cite" w:element="cite.usc">
        <w:smartTagPr>
          <w:attr w:name="ref" w:val="USC\26\1411(c)(1)(A)(iii)"/>
        </w:smartTagPr>
        <w:r>
          <w:t>§1411(c)(1)(A)(iii)</w:t>
        </w:r>
      </w:smartTag>
      <w:r>
        <w:t xml:space="preserve"> if the Passthrough Entity had sold all of its assets immediately before the Section 1411(c)(4) Disposition. The 2013 Proposed Regulations refer to property held by the Passthrough Entity that would generate gain or loss allocable to the transferor of a type includible in determining net investment income under </w:t>
      </w:r>
      <w:smartTag w:uri="http://www.bna.com/sgml2word/cite" w:element="cite.usc">
        <w:smartTagPr>
          <w:attr w:name="ref" w:val="USC\26\1411(c)(1)(A)(iii)"/>
        </w:smartTagPr>
        <w:r>
          <w:t>§1411(c)(1)(A)(iii)</w:t>
        </w:r>
      </w:smartTag>
      <w:r>
        <w:t xml:space="preserve"> as “Section 1411 Property.”</w:t>
      </w:r>
      <w:r>
        <w:rPr>
          <w:rStyle w:val="FootnoteReference"/>
        </w:rPr>
        <w:footnoteReference w:id="782"/>
      </w:r>
      <w:r>
        <w:t xml:space="preserve"> This category of property includes property held in a trade or business that is either passive as to the transferor or is a trading business.</w:t>
      </w:r>
    </w:p>
    <w:p w14:paraId="00CBF6A4" w14:textId="77777777" w:rsidR="00494B49" w:rsidRDefault="00494B49">
      <w:pPr>
        <w:pStyle w:val="BNormal"/>
      </w:pPr>
      <w:r>
        <w:t xml:space="preserve">Although not specifically addressed in Prop. Reg. </w:t>
      </w:r>
      <w:smartTag w:uri="http://www.bna.com/sgml2word/cite" w:element="cite.cfr">
        <w:smartTagPr>
          <w:attr w:name="ref" w:val="prule\cfr\26\1.1411-7"/>
        </w:smartTagPr>
        <w:r>
          <w:t>§1.1411-7</w:t>
        </w:r>
      </w:smartTag>
      <w:r>
        <w:t xml:space="preserve">, the special characterization rules contained in Reg. </w:t>
      </w:r>
      <w:smartTag w:uri="http://www.bna.com/sgml2word/cite" w:element="cite.cfr">
        <w:smartTagPr>
          <w:attr w:name="ref" w:val="cfr\26\1.1411-4(g)"/>
        </w:smartTagPr>
        <w:r>
          <w:t>§1.1411-4(g)</w:t>
        </w:r>
      </w:smartTag>
      <w:r>
        <w:t xml:space="preserve"> apply in this context. For example, if a Passthrough Entity owns an asset that is rented to a nonpassive activity or grouped with a nonpassive activity, Reg. </w:t>
      </w:r>
      <w:smartTag w:uri="http://www.bna.com/sgml2word/cite" w:element="cite.cfr">
        <w:smartTagPr>
          <w:attr w:name="ref" w:val="cfr\26\1.1411-4(g)(6)(ii)"/>
        </w:smartTagPr>
        <w:r>
          <w:t>§1.1411-4(g)(6)(ii)</w:t>
        </w:r>
      </w:smartTag>
      <w:r>
        <w:t xml:space="preserve"> excludes any gain or loss from the computation of net investment income. The property would not be considered Section 1411 Property because the Passthrough Entity’s sale of that property would not generate gain or loss allocable to the transferor of a type </w:t>
      </w:r>
      <w:r>
        <w:lastRenderedPageBreak/>
        <w:t xml:space="preserve">includible in determining net investment income. The factors relevant to the calculation of net investment income are specific to the transferor paying the NIIT (e.g., passive or nonpassive status, self-charged rents, grouped activities, real estate professional status, etc.). Thus, determining what constitutes Section 1411 Property may vary from owner to owner. Most difficult for the Passthrough Entity and the taxpayer is that the Passthrough Entity might not know the individual characteristics of the seller necessary to determine what constitutes Section 1411 Property. This complexity was the primary reason the Optional Simplified Method was proposed, and Prop. Reg. </w:t>
      </w:r>
      <w:smartTag w:uri="http://www.bna.com/sgml2word/cite" w:element="cite.cfr">
        <w:smartTagPr>
          <w:attr w:name="ref" w:val="prule\cfr\26\1.1411-7(e)"/>
        </w:smartTagPr>
        <w:r>
          <w:t>§1.1411-7(e)</w:t>
        </w:r>
      </w:smartTag>
      <w:r>
        <w:t xml:space="preserve"> was reserved. </w:t>
      </w:r>
    </w:p>
    <w:p w14:paraId="2BC19386" w14:textId="77777777" w:rsidR="00494B49" w:rsidRDefault="00494B49">
      <w:pPr>
        <w:pStyle w:val="BHead2"/>
      </w:pPr>
      <w:r>
        <w:t>2. Calculation of Gain or Loss Taken into Account in Computing Net Investment Income</w:t>
      </w:r>
    </w:p>
    <w:p w14:paraId="3C453A06" w14:textId="77777777" w:rsidR="00494B49" w:rsidRDefault="00494B49">
      <w:pPr>
        <w:pStyle w:val="BNormal"/>
      </w:pPr>
      <w:r>
        <w:t>The 2013 Proposed Regulations provide a general method of calculating the gain or loss that a transferor in a Section 1411(c)(4) Disposition takes into account in computing net investment income. This general method is referred to in this Portfolio as the “Primary Method.” The 2013 Proposed Regulations also provide a simpler, alternative method, which is available only if certain criteria are met and is referred to in this Portfolio as the “Optional Simplified Method.”</w:t>
      </w:r>
      <w:r>
        <w:rPr>
          <w:rStyle w:val="FootnoteReference"/>
        </w:rPr>
        <w:footnoteReference w:id="783"/>
      </w:r>
      <w:r>
        <w:t xml:space="preserve"> Prop. Reg. </w:t>
      </w:r>
      <w:smartTag w:uri="http://www.bna.com/sgml2word/cite" w:element="cite.cfr">
        <w:smartTagPr>
          <w:attr w:name="ref" w:val="prule\cfr\26\1.1411-7(b)"/>
        </w:smartTagPr>
        <w:r>
          <w:t>§1.1411-7(b)</w:t>
        </w:r>
      </w:smartTag>
      <w:r>
        <w:t xml:space="preserve"> provides rules applicable to the Primary Method and Prop. Reg. </w:t>
      </w:r>
      <w:smartTag w:uri="http://www.bna.com/sgml2word/cite" w:element="cite.cfr">
        <w:smartTagPr>
          <w:attr w:name="ref" w:val="prule\cfr\26\1.1411-7(c)"/>
        </w:smartTagPr>
        <w:r>
          <w:t>§1.1411-7(c)</w:t>
        </w:r>
      </w:smartTag>
      <w:r>
        <w:t xml:space="preserve"> provides rules applicable to the Optional Simplified Method.</w:t>
      </w:r>
    </w:p>
    <w:p w14:paraId="46CFBBF4" w14:textId="77777777" w:rsidR="00494B49" w:rsidRDefault="00494B49">
      <w:pPr>
        <w:pStyle w:val="BHead3"/>
      </w:pPr>
      <w:r>
        <w:t xml:space="preserve">a. Primary Method </w:t>
      </w:r>
    </w:p>
    <w:p w14:paraId="2A6A519D" w14:textId="77777777" w:rsidR="00494B49" w:rsidRDefault="00494B49">
      <w:pPr>
        <w:pStyle w:val="BNormal"/>
      </w:pPr>
      <w:r>
        <w:t xml:space="preserve">Prop. Reg. </w:t>
      </w:r>
      <w:smartTag w:uri="http://www.bna.com/sgml2word/cite" w:element="cite.cfr">
        <w:smartTagPr>
          <w:attr w:name="ref" w:val="prule\cfr\26\1.1411-7(b)"/>
        </w:smartTagPr>
        <w:r>
          <w:t>§1.1411-7(b)</w:t>
        </w:r>
      </w:smartTag>
      <w:r>
        <w:t xml:space="preserve"> provides the general rules for calculating the gain or loss that a transferor in a Section 1411(c)(4) Disposition (a disposition of certain active interests in a Passthrough Entity) takes into account under </w:t>
      </w:r>
      <w:smartTag w:uri="http://www.bna.com/sgml2word/cite" w:element="cite.usc">
        <w:smartTagPr>
          <w:attr w:name="ref" w:val="USC\26\1411(c)(1)(A)(iii)"/>
        </w:smartTagPr>
        <w:r>
          <w:t>§1411(c)(1)(A)(iii)</w:t>
        </w:r>
      </w:smartTag>
      <w:r>
        <w:t xml:space="preserve"> when computing net investment income. </w:t>
      </w:r>
    </w:p>
    <w:p w14:paraId="4BC9C2EF" w14:textId="77777777" w:rsidR="00494B49" w:rsidRDefault="00494B49">
      <w:pPr>
        <w:pStyle w:val="BNormal"/>
      </w:pPr>
      <w:r>
        <w:t xml:space="preserve">The Prop. Reg. </w:t>
      </w:r>
      <w:smartTag w:uri="http://www.bna.com/sgml2word/cite" w:element="cite.cfr">
        <w:smartTagPr>
          <w:attr w:name="ref" w:val="prule\cfr\26\1.1411-7(b)"/>
        </w:smartTagPr>
        <w:r>
          <w:t>§1.1411-7(b)</w:t>
        </w:r>
      </w:smartTag>
      <w:r>
        <w:t xml:space="preserve"> calculation method, referred to in this Portfolio as the Primary Method, includes rules that apply if the transferor recognizes gain on the disposition of the interest</w:t>
      </w:r>
      <w:r>
        <w:rPr>
          <w:rStyle w:val="FootnoteReference"/>
        </w:rPr>
        <w:footnoteReference w:id="784"/>
      </w:r>
      <w:r>
        <w:t xml:space="preserve"> and separate rules that apply if the transferor recognizes loss on the disposition.</w:t>
      </w:r>
      <w:r>
        <w:rPr>
          <w:rStyle w:val="FootnoteReference"/>
        </w:rPr>
        <w:footnoteReference w:id="785"/>
      </w:r>
      <w:r>
        <w:t xml:space="preserve"> If the transferor recognizes gain in a Section 1411(c)(4) Disposition, the 2013 Proposed Regulations provide that the amount of net gain that the transferor includes in the computation of net investment income is equal to the lesser of: (i) the amount of gain that the transferor recognizes for Chapter 1 purposes, or (ii) the transferor’s allocable share of the Chapter 1 net gain from a deemed sale of the Passthrough Entity’s Section 1411 Property.</w:t>
      </w:r>
      <w:r>
        <w:rPr>
          <w:rStyle w:val="FootnoteReference"/>
        </w:rPr>
        <w:footnoteReference w:id="786"/>
      </w:r>
      <w:r>
        <w:t xml:space="preserve"> The 2013 Proposed Regulations further provide that the transferor’s “allocable share” of the net gain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gain is equal to the sum of the amounts of net gain and net loss allocable to the transferor. If the </w:t>
      </w:r>
      <w:r>
        <w:lastRenderedPageBreak/>
        <w:t>transferor recognizes gain in a Section 1411(c)(4) Disposition, the amount of net gain included in the computation of net investment income cannot be less than zero.</w:t>
      </w:r>
      <w:r>
        <w:rPr>
          <w:rStyle w:val="FootnoteReference"/>
        </w:rPr>
        <w:footnoteReference w:id="787"/>
      </w:r>
    </w:p>
    <w:p w14:paraId="16482EEE" w14:textId="77777777" w:rsidR="00494B49" w:rsidRDefault="00494B49">
      <w:pPr>
        <w:pStyle w:val="BNormal"/>
      </w:pPr>
      <w:r>
        <w:t>If the transferor recognizes loss in a Section 1411(c)(4) Disposition, the 2013 Proposed Regulations provide that the amount of net loss included the computation of net investment income is equal to the lesser of (i) the amount of loss (expressed as a positive number) that the transferor recognizes for Chapter 1 purposes, or (ii) the transferor’s allocable share of the Chapter 1 net loss (expressed as a positive number) from a deemed sale of the Passthrough Entity’s Section 1411 Property.</w:t>
      </w:r>
      <w:r>
        <w:rPr>
          <w:rStyle w:val="FootnoteReference"/>
        </w:rPr>
        <w:footnoteReference w:id="788"/>
      </w:r>
      <w:r>
        <w:t xml:space="preserve"> The transferor’s “allocable share” of the net loss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loss is equal to the sum of the amounts of net gain and net loss allocable to the transferor.</w:t>
      </w:r>
    </w:p>
    <w:p w14:paraId="6A3D2DB6" w14:textId="77777777" w:rsidR="00494B49" w:rsidRDefault="00494B49">
      <w:pPr>
        <w:pStyle w:val="BHead4"/>
      </w:pPr>
      <w:r>
        <w:t>(1) Transferor’s Allocable Share of Net Gain or Loss</w:t>
      </w:r>
    </w:p>
    <w:p w14:paraId="480F835F" w14:textId="77777777" w:rsidR="00494B49" w:rsidRDefault="00494B49">
      <w:pPr>
        <w:pStyle w:val="BNormal"/>
      </w:pPr>
      <w:r>
        <w:t xml:space="preserve">For purposes of determining the transferor’s allocable share of net gain or loss from a deemed sale of the Passthrough Entity’s Section 1411 Property, the 2013 Proposed Regulations direct the transferor to rely on the valuation and apportionment provisions of Reg. </w:t>
      </w:r>
      <w:smartTag w:uri="http://www.bna.com/sgml2word/cite" w:element="cite.cfr">
        <w:smartTagPr>
          <w:attr w:name="ref" w:val="cfr\26\1.469-2T(e)(3)"/>
        </w:smartTagPr>
        <w:r>
          <w:t>§1.469-2T(e)(3)</w:t>
        </w:r>
      </w:smartTag>
      <w:r>
        <w:t>.</w:t>
      </w:r>
      <w:r>
        <w:rPr>
          <w:rStyle w:val="FootnoteReference"/>
        </w:rPr>
        <w:footnoteReference w:id="789"/>
      </w:r>
      <w:r>
        <w:t xml:space="preserve"> Reg. </w:t>
      </w:r>
      <w:smartTag w:uri="http://www.bna.com/sgml2word/cite" w:element="cite.cfr">
        <w:smartTagPr>
          <w:attr w:name="ref" w:val="cfr\26\1.469-2T(e)(3)"/>
        </w:smartTagPr>
        <w:r>
          <w:t>§1.469-2T(e)(3)</w:t>
        </w:r>
      </w:smartTag>
      <w:r>
        <w:t xml:space="preserve"> addresses dispositions of partnership interests and S corporation stock in the context of the passive activity loss rules for purposes of Chapter 1.</w:t>
      </w:r>
      <w:r>
        <w:rPr>
          <w:rStyle w:val="FootnoteReference"/>
        </w:rPr>
        <w:footnoteReference w:id="790"/>
      </w:r>
    </w:p>
    <w:p w14:paraId="162FAEB4" w14:textId="77777777" w:rsidR="00494B49" w:rsidRDefault="00494B49">
      <w:pPr>
        <w:pStyle w:val="BNormal"/>
      </w:pPr>
      <w:r>
        <w:t xml:space="preserve">In general, Reg. </w:t>
      </w:r>
      <w:smartTag w:uri="http://www.bna.com/sgml2word/cite" w:element="cite.cfr">
        <w:smartTagPr>
          <w:attr w:name="ref" w:val="cfr\26\1.469-2T(e)(3)"/>
        </w:smartTagPr>
        <w:r>
          <w:t>§1.469-2T(e)(3)</w:t>
        </w:r>
      </w:smartTag>
      <w:r>
        <w:t xml:space="preserve"> requires a ratable portion of any gain or loss from a disposition to be treated as gain or loss from the disposition of an interest in each trade or business, rental, or investment activity in which a Passthrough Entity owns an interest. The Passthrough Entity must perform the calculation.</w:t>
      </w:r>
      <w:r>
        <w:rPr>
          <w:rStyle w:val="FootnoteReference"/>
        </w:rPr>
        <w:footnoteReference w:id="791"/>
      </w:r>
      <w:r>
        <w:t xml:space="preserve"> Because Reg. </w:t>
      </w:r>
      <w:smartTag w:uri="http://www.bna.com/sgml2word/cite" w:element="cite.cfr">
        <w:smartTagPr>
          <w:attr w:name="ref" w:val="cfr\26\1.469-2T(e)(3)"/>
        </w:smartTagPr>
        <w:r>
          <w:t>§1.469-2T(e)(3)</w:t>
        </w:r>
      </w:smartTag>
      <w:r>
        <w:t xml:space="preserve"> uses the terms “trade or business” activity and “rental” activity, the general rules applicable to </w:t>
      </w:r>
      <w:smartTag w:uri="http://www.bna.com/sgml2word/cite" w:element="cite.usc">
        <w:smartTagPr>
          <w:attr w:name="ref" w:val="USC\26\469"/>
        </w:smartTagPr>
        <w:r>
          <w:t>§469</w:t>
        </w:r>
      </w:smartTag>
      <w:r>
        <w:t xml:space="preserve"> definitions of activity and grouping are implicitly included in this rule. For example, if a rental property is grouped with a trade or business because the rental is insubstantial to the trade or business,</w:t>
      </w:r>
      <w:r>
        <w:rPr>
          <w:rStyle w:val="FootnoteReference"/>
        </w:rPr>
        <w:footnoteReference w:id="792"/>
      </w:r>
      <w:r>
        <w:t xml:space="preserve"> the rental property is subsumed into the trade or business activity and the Passthrough Entity would report the gain or loss to the shareholder (or partner) from a trade or business activity under Reg. </w:t>
      </w:r>
      <w:smartTag w:uri="http://www.bna.com/sgml2word/cite" w:element="cite.cfr">
        <w:smartTagPr>
          <w:attr w:name="ref" w:val="cfr\26\1.469-2T(e)(3)"/>
        </w:smartTagPr>
        <w:r>
          <w:t>§1.469-2T(e)(3)</w:t>
        </w:r>
      </w:smartTag>
      <w:r>
        <w:t>.</w:t>
      </w:r>
    </w:p>
    <w:p w14:paraId="3E4DE50A" w14:textId="77777777" w:rsidR="00494B49" w:rsidRDefault="00494B49">
      <w:pPr>
        <w:pStyle w:val="BNormal"/>
      </w:pPr>
      <w:r>
        <w:lastRenderedPageBreak/>
        <w:t xml:space="preserve">In reporting gain or loss from an “investment activity” to the shareholder or partner, Reg. </w:t>
      </w:r>
      <w:smartTag w:uri="http://www.bna.com/sgml2word/cite" w:element="cite.cfr">
        <w:smartTagPr>
          <w:attr w:name="ref" w:val="cfr\26\1.469-2T(e)(3)(v)"/>
        </w:smartTagPr>
        <w:r>
          <w:t>§1.469-2T(e)(3)(v)</w:t>
        </w:r>
      </w:smartTag>
      <w:r>
        <w:t xml:space="preserve"> provides that all portfolio assets owned by a Passthrough Entity are treated as held in a single investment activity. Reg. </w:t>
      </w:r>
      <w:smartTag w:uri="http://www.bna.com/sgml2word/cite" w:element="cite.cfr">
        <w:smartTagPr>
          <w:attr w:name="ref" w:val="cfr\26\1.469-2T(e)(3)(vi)(A)"/>
        </w:smartTagPr>
        <w:r>
          <w:t>§1.469-2T(e)(3)(vi)(A)</w:t>
        </w:r>
      </w:smartTag>
      <w:r>
        <w:t xml:space="preserve"> defines the term “portfolio asset” as any property of a type that produces portfolio income (within the meaning of Reg. </w:t>
      </w:r>
      <w:smartTag w:uri="http://www.bna.com/sgml2word/cite" w:element="cite.cfr">
        <w:smartTagPr>
          <w:attr w:name="ref" w:val="cfr\26\1.469-2T(c)(3)(i)"/>
        </w:smartTagPr>
        <w:r>
          <w:t>§1.469-2T(c)(3)(i)</w:t>
        </w:r>
      </w:smartTag>
      <w:r>
        <w:t>).</w:t>
      </w:r>
    </w:p>
    <w:p w14:paraId="4D588C92" w14:textId="77777777" w:rsidR="00494B49" w:rsidRDefault="00494B49">
      <w:pPr>
        <w:pStyle w:val="BNormal"/>
      </w:pPr>
      <w:r>
        <w:t xml:space="preserve">The 2013 Proposed Regulations require a materially participating transferor to calculate its </w:t>
      </w:r>
      <w:smartTag w:uri="http://www.bna.com/sgml2word/cite" w:element="cite.usc">
        <w:smartTagPr>
          <w:attr w:name="ref" w:val="USC\26\1411(c)(4)"/>
        </w:smartTagPr>
        <w:r>
          <w:t>§1411(c)(4)</w:t>
        </w:r>
      </w:smartTag>
      <w:r>
        <w:t xml:space="preserve"> gain or loss by reference to the activity gain and loss amounts computed for Chapter 1 purposes under Reg. </w:t>
      </w:r>
      <w:smartTag w:uri="http://www.bna.com/sgml2word/cite" w:element="cite.cfr">
        <w:smartTagPr>
          <w:attr w:name="ref" w:val="cfr\26\1.469-2T(e)(3)(ii)(B)(1)(i)"/>
        </w:smartTagPr>
        <w:r>
          <w:t>§1.469-2T(e)(3)(ii)(B)(1)(i)</w:t>
        </w:r>
      </w:smartTag>
      <w:r>
        <w:t xml:space="preserve"> and </w:t>
      </w:r>
      <w:smartTag w:uri="http://www.bna.com/sgml2word/cite" w:element="cite.cfr">
        <w:smartTagPr>
          <w:attr w:name="ref" w:val="cfr\26\1.469-2T(e)(3)(ii)(B)(2)(i)"/>
        </w:smartTagPr>
        <w:r>
          <w:t>§1.469-2T(e)(3)(ii)(B)(2)(i)</w:t>
        </w:r>
      </w:smartTag>
      <w:r>
        <w:t>.</w:t>
      </w:r>
      <w:r>
        <w:rPr>
          <w:rStyle w:val="FootnoteReference"/>
        </w:rPr>
        <w:footnoteReference w:id="793"/>
      </w:r>
      <w:r>
        <w:t xml:space="preserve"> Specifically for purposes of the Primary Method, the transferor’s allocable share of gain or loss from a deemed sale of the Passthrough Entity’s Section 1411 Property equals the sum of the transferor’s allocable share of net gains and net losses from a hypothetical deemed sale of the activities in which the transferor does not materially participate and any trading activity. In virtually all conceivable situations, the ratable portion of the gain or loss allocated to any “investment activity” will be included in the computation of the transferor’s net investment income.</w:t>
      </w:r>
      <w:r>
        <w:rPr>
          <w:rStyle w:val="FootnoteReference"/>
        </w:rPr>
        <w:footnoteReference w:id="794"/>
      </w:r>
    </w:p>
    <w:p w14:paraId="59159202" w14:textId="77777777" w:rsidR="00494B49" w:rsidRDefault="00494B49">
      <w:pPr>
        <w:pStyle w:val="BNormal"/>
      </w:pPr>
      <w:r>
        <w:t xml:space="preserve">Because </w:t>
      </w:r>
      <w:smartTag w:uri="http://www.bna.com/sgml2word/cite" w:element="cite.usc">
        <w:smartTagPr>
          <w:attr w:name="ref" w:val="USC\26\1411(c)(4)"/>
        </w:smartTagPr>
        <w:r>
          <w:t>§1411(c)(4)</w:t>
        </w:r>
      </w:smartTag>
      <w:r>
        <w:t xml:space="preserve"> applies to all activities in which a transferor in a Section 1411(c)(4) Disposition does not materially participate (whether held at a gain or loss), certain </w:t>
      </w:r>
      <w:smartTag w:uri="http://www.bna.com/sgml2word/cite" w:element="cite.usc">
        <w:smartTagPr>
          <w:attr w:name="ref" w:val="USC\26\469"/>
        </w:smartTagPr>
        <w:r>
          <w:t>§469</w:t>
        </w:r>
      </w:smartTag>
      <w:r>
        <w:t xml:space="preserve">-specific provisions regarding reclassifications are excluded from the Reg. </w:t>
      </w:r>
      <w:smartTag w:uri="http://www.bna.com/sgml2word/cite" w:element="cite.cfr">
        <w:smartTagPr>
          <w:attr w:name="ref" w:val="cfr\26\1.469-2T(e)(3)"/>
        </w:smartTagPr>
        <w:r>
          <w:t>§1.469-2T(e)(3)</w:t>
        </w:r>
      </w:smartTag>
      <w:r>
        <w:t xml:space="preserve"> cross-reference. More precisely, 2013 Prop. Reg. </w:t>
      </w:r>
      <w:smartTag w:uri="http://www.bna.com/sgml2word/cite" w:element="cite.cfr">
        <w:smartTagPr>
          <w:attr w:name="ref" w:val="prule\cfr\26\1.1411-7(b)(1)(i)(B)"/>
        </w:smartTagPr>
        <w:r>
          <w:t>§1.1411-7(b)(1)(i)(B)</w:t>
        </w:r>
      </w:smartTag>
      <w:r>
        <w:t xml:space="preserve"> and </w:t>
      </w:r>
      <w:smartTag w:uri="http://www.bna.com/sgml2word/cite" w:element="cite.cfr">
        <w:smartTagPr>
          <w:attr w:name="ref" w:val="prule\cfr\26\1.1411-7(b)(1)(ii)(B)"/>
        </w:smartTagPr>
        <w:r>
          <w:t>§1.1411-7(b)(1)(ii)(B)</w:t>
        </w:r>
      </w:smartTag>
      <w:r>
        <w:t xml:space="preserve"> both apply Reg. </w:t>
      </w:r>
      <w:smartTag w:uri="http://www.bna.com/sgml2word/cite" w:element="cite.cfr">
        <w:smartTagPr>
          <w:attr w:name="ref" w:val="cfr\26\1.469-2T(e)(3)"/>
        </w:smartTagPr>
        <w:r>
          <w:t>§1.469-2T(e)(3)</w:t>
        </w:r>
      </w:smartTag>
      <w:r>
        <w:t xml:space="preserve"> without the recharacterization rule of Reg. </w:t>
      </w:r>
      <w:smartTag w:uri="http://www.bna.com/sgml2word/cite" w:element="cite.cfr">
        <w:smartTagPr>
          <w:attr w:name="ref" w:val="cfr\26\1.469-2T(e)(3)(iii)"/>
        </w:smartTagPr>
        <w:r>
          <w:t>§1.469-2T(e)(3)(iii)</w:t>
        </w:r>
      </w:smartTag>
      <w:r>
        <w:t xml:space="preserve">, because that rule is intended to recharacterize gains in certain circumstances as not being from a passive activity, and thus it is not relevant in the context of </w:t>
      </w:r>
      <w:smartTag w:uri="http://www.bna.com/sgml2word/cite" w:element="cite.usc">
        <w:smartTagPr>
          <w:attr w:name="ref" w:val="USC\26\1411"/>
        </w:smartTagPr>
        <w:r>
          <w:t>§1411</w:t>
        </w:r>
      </w:smartTag>
      <w:r>
        <w:t>.</w:t>
      </w:r>
    </w:p>
    <w:p w14:paraId="2B8F2FD1" w14:textId="77777777" w:rsidR="00494B49" w:rsidRDefault="00494B49">
      <w:pPr>
        <w:pStyle w:val="BNormal"/>
      </w:pPr>
      <w:r>
        <w:rPr>
          <w:i/>
        </w:rPr>
        <w:t>Comment:</w:t>
      </w:r>
      <w:r>
        <w:t xml:space="preserve"> Interestingly, little commentary is available on the literal application of these Reg. </w:t>
      </w:r>
      <w:smartTag w:uri="http://www.bna.com/sgml2word/cite" w:element="cite.cfr">
        <w:smartTagPr>
          <w:attr w:name="ref" w:val="cfr\26\1.469-2T(e)(3)"/>
        </w:smartTagPr>
        <w:r>
          <w:t>§1.469-2T(e)(3)</w:t>
        </w:r>
      </w:smartTag>
      <w:r>
        <w:t xml:space="preserve"> rules to real-life fact patterns. In theory, these rules have “been on the books” since 1988 and taxpayers should therefore be very familiar with them. Nonetheless, little critical commentary has been written on them, which may suggest that these rules have not been followed very closely by practitioners or frequently audited by the IRS. Accordingly, the method adopted by the 2013 Proposed Regulations represents a defensible position that is unlikely to receive much criticism from the public regarding administrative burden or complexity.</w:t>
      </w:r>
    </w:p>
    <w:p w14:paraId="2F2A3DA4" w14:textId="77777777" w:rsidR="00494B49" w:rsidRDefault="00494B49">
      <w:pPr>
        <w:pStyle w:val="BHead4"/>
      </w:pPr>
      <w:r>
        <w:t>(2) Timing of Calculation</w:t>
      </w:r>
    </w:p>
    <w:p w14:paraId="028B98D2" w14:textId="77777777" w:rsidR="00494B49" w:rsidRDefault="00494B49">
      <w:pPr>
        <w:pStyle w:val="BNormal"/>
      </w:pPr>
      <w:r>
        <w:t xml:space="preserve">The cross-references in Reg. </w:t>
      </w:r>
      <w:smartTag w:uri="http://www.bna.com/sgml2word/cite" w:element="cite.cfr">
        <w:smartTagPr>
          <w:attr w:name="ref" w:val="cfr\26\1.1411-7(b)"/>
        </w:smartTagPr>
        <w:r>
          <w:t>§1.1411-7(b)</w:t>
        </w:r>
      </w:smartTag>
      <w:r>
        <w:t xml:space="preserve"> to Reg. </w:t>
      </w:r>
      <w:smartTag w:uri="http://www.bna.com/sgml2word/cite" w:element="cite.cfr">
        <w:smartTagPr>
          <w:attr w:name="ref" w:val="cfr\26\1.469-2T(e)(3)"/>
        </w:smartTagPr>
        <w:r>
          <w:t>§1.469-2T(e)(3)</w:t>
        </w:r>
      </w:smartTag>
      <w:r>
        <w:t xml:space="preserve"> not only provide a calculation method, but also provide rules for when the calculation can be done.</w:t>
      </w:r>
      <w:r>
        <w:rPr>
          <w:rStyle w:val="FootnoteReference"/>
        </w:rPr>
        <w:footnoteReference w:id="795"/>
      </w:r>
      <w:r>
        <w:t xml:space="preserve"> For Reg. </w:t>
      </w:r>
      <w:smartTag w:uri="http://www.bna.com/sgml2word/cite" w:element="cite.cfr">
        <w:smartTagPr>
          <w:attr w:name="ref" w:val="cfr\26\1.469-2T(e)(3)"/>
        </w:smartTagPr>
        <w:r>
          <w:t>§1.469-2T(e)(3)</w:t>
        </w:r>
      </w:smartTag>
      <w:r>
        <w:t xml:space="preserve"> </w:t>
      </w:r>
      <w:r>
        <w:lastRenderedPageBreak/>
        <w:t xml:space="preserve">purposes, and consequently for </w:t>
      </w:r>
      <w:smartTag w:uri="http://www.bna.com/sgml2word/cite" w:element="cite.usc">
        <w:smartTagPr>
          <w:attr w:name="ref" w:val="USC\26\1411(c)(4)"/>
        </w:smartTagPr>
        <w:r>
          <w:t>§1411(c)(4)</w:t>
        </w:r>
      </w:smartTag>
      <w:r>
        <w:t xml:space="preserve"> purposes, the calculation and classification of gain or loss for </w:t>
      </w:r>
      <w:smartTag w:uri="http://www.bna.com/sgml2word/cite" w:element="cite.usc">
        <w:smartTagPr>
          <w:attr w:name="ref" w:val="USC\26\469"/>
        </w:smartTagPr>
        <w:r>
          <w:t>§469</w:t>
        </w:r>
      </w:smartTag>
      <w:r>
        <w:t xml:space="preserve"> purposes is made on the “applicable valuation date.” Reg. </w:t>
      </w:r>
      <w:smartTag w:uri="http://www.bna.com/sgml2word/cite" w:element="cite.cfr">
        <w:smartTagPr>
          <w:attr w:name="ref" w:val="cfr\26\1.469-2T(e)(3)(ii)(D)(1)(i)"/>
        </w:smartTagPr>
        <w:r>
          <w:t>§1.469-2T(e)(3)(ii)(D)(1)(i)</w:t>
        </w:r>
      </w:smartTag>
      <w:r>
        <w:t xml:space="preserve"> defines the applicable valuation date with respect to any disposition of an interest in a Passthrough Entity as the Passthrough Entity’s choice of either: (a) the beginning of the tax year of the Passthrough Entity in which the disposition occurs,</w:t>
      </w:r>
      <w:r>
        <w:rPr>
          <w:rStyle w:val="FootnoteReference"/>
        </w:rPr>
        <w:footnoteReference w:id="796"/>
      </w:r>
      <w:r>
        <w:t xml:space="preserve"> or (b) the date on which the disposition occurs.</w:t>
      </w:r>
      <w:r>
        <w:rPr>
          <w:rStyle w:val="FootnoteReference"/>
        </w:rPr>
        <w:footnoteReference w:id="797"/>
      </w:r>
      <w:r>
        <w:t xml:space="preserve"> However, Reg. </w:t>
      </w:r>
      <w:smartTag w:uri="http://www.bna.com/sgml2word/cite" w:element="cite.cfr">
        <w:smartTagPr>
          <w:attr w:name="ref" w:val="cfr\26\1.469-2T(e)(3)(ii)(D)(1)(ii)"/>
        </w:smartTagPr>
        <w:r>
          <w:t>§1.469-2T(e)(3)(ii)(D)(1)(ii)</w:t>
        </w:r>
      </w:smartTag>
      <w:r>
        <w:t xml:space="preserve"> contains an exception that provides that the applicable valuation date is the date immediately before the date on which the disposition occurs if one of three conditions is met. The date immediately before the date on which the disposition occurs must be used if, after the beginning of a Passthrough Entity’s tax year in which the disposition occurs and before the disposition actually occurs:</w:t>
      </w:r>
    </w:p>
    <w:p w14:paraId="40725468" w14:textId="77777777" w:rsidR="00494B49" w:rsidRDefault="00494B49">
      <w:pPr>
        <w:pStyle w:val="BListitembul"/>
      </w:pPr>
      <w:r>
        <w:t>The Passthrough Entity disposes of more than 10% of its interest (by value as of the beginning of the tax year) in any activity;</w:t>
      </w:r>
      <w:r>
        <w:rPr>
          <w:rStyle w:val="FootnoteReference"/>
        </w:rPr>
        <w:footnoteReference w:id="798"/>
      </w:r>
    </w:p>
    <w:p w14:paraId="7D1CE263" w14:textId="77777777" w:rsidR="00494B49" w:rsidRDefault="00494B49">
      <w:pPr>
        <w:pStyle w:val="BListitembul"/>
      </w:pPr>
      <w:r>
        <w:t>The Passthrough Entity disposes of more than 10% of the property (by value as of the beginning of the tax year) used in any of its activities;</w:t>
      </w:r>
      <w:r>
        <w:rPr>
          <w:rStyle w:val="FootnoteReference"/>
        </w:rPr>
        <w:footnoteReference w:id="799"/>
      </w:r>
      <w:r>
        <w:t xml:space="preserve"> or</w:t>
      </w:r>
    </w:p>
    <w:p w14:paraId="5825E12E" w14:textId="77777777" w:rsidR="00494B49" w:rsidRDefault="00494B49">
      <w:pPr>
        <w:pStyle w:val="BListitembul"/>
      </w:pPr>
      <w:r>
        <w:t>The holder of the interest contributes to the Passthrough Entity substantially appreciated property or substantially depreciated property with a total fair market value or adjusted basis, respectively, that exceeds 10% of the total fair market value of the holder’s interest in the Passthrough Entity as of the beginning of the tax year.</w:t>
      </w:r>
      <w:r>
        <w:rPr>
          <w:rStyle w:val="FootnoteReference"/>
        </w:rPr>
        <w:footnoteReference w:id="800"/>
      </w:r>
    </w:p>
    <w:p w14:paraId="403C8D3C" w14:textId="77777777" w:rsidR="00494B49" w:rsidRDefault="00494B49">
      <w:pPr>
        <w:pStyle w:val="BHead4"/>
      </w:pPr>
      <w:r>
        <w:t>(3) Treatment of Losses Suspended by §704(d)(1) and §1366(d)</w:t>
      </w:r>
    </w:p>
    <w:p w14:paraId="6E03035F" w14:textId="77777777" w:rsidR="00494B49" w:rsidRDefault="00494B49">
      <w:pPr>
        <w:pStyle w:val="BNormal"/>
      </w:pPr>
      <w:smartTag w:uri="http://www.bna.com/sgml2word/cite" w:element="cite.usc">
        <w:smartTagPr>
          <w:attr w:name="ref" w:val="USC\26\704(d)(1)"/>
        </w:smartTagPr>
        <w:r>
          <w:t>Section 704(d)(1)</w:t>
        </w:r>
      </w:smartTag>
      <w:r>
        <w:t xml:space="preserve"> and </w:t>
      </w:r>
      <w:smartTag w:uri="http://www.bna.com/sgml2word/cite" w:element="cite.usc">
        <w:smartTagPr>
          <w:attr w:name="ref" w:val="USC\26\1366(d)"/>
        </w:smartTagPr>
        <w:r>
          <w:t>§1366(d)</w:t>
        </w:r>
      </w:smartTag>
      <w:r>
        <w:t xml:space="preserve"> provide that a partner/shareholder is allowed to deduct its distributive share of loss (including capital loss) only to the extent of the partner/shareholder’s adjusted basis in the passthrough entity at the end of the passthrough entity’s tax year in which the loss occurred. However, under </w:t>
      </w:r>
      <w:smartTag w:uri="http://www.bna.com/sgml2word/cite" w:element="cite.usc">
        <w:smartTagPr>
          <w:attr w:name="ref" w:val="USC\26\704(d)(2)"/>
        </w:smartTagPr>
        <w:r>
          <w:t>§ 704(d)(2)</w:t>
        </w:r>
      </w:smartTag>
      <w:r>
        <w:t xml:space="preserve"> and </w:t>
      </w:r>
      <w:smartTag w:uri="http://www.bna.com/sgml2word/cite" w:element="cite.usc">
        <w:smartTagPr>
          <w:attr w:name="ref" w:val="USC\26\1366(d)"/>
        </w:smartTagPr>
        <w:r>
          <w:t>§1366(d)</w:t>
        </w:r>
      </w:smartTag>
      <w:r>
        <w:t xml:space="preserve">, a partner/shareholder is allowed to deduct any unutilized loss (loss that is suspended due to lack of basis) at the end of a tax year in which the partner/shareholder’s basis is restored. For partnership tax years beginning in tax years after December 31, 2017, a partner's distributive share of deductions is taken into account for purposes of the </w:t>
      </w:r>
      <w:smartTag w:uri="http://www.bna.com/sgml2word/cite" w:element="cite.usc">
        <w:smartTagPr>
          <w:attr w:name="ref" w:val="USC\26\704(d)"/>
        </w:smartTagPr>
        <w:r>
          <w:t>§704(d)</w:t>
        </w:r>
      </w:smartTag>
      <w:r>
        <w:t xml:space="preserve"> basis limitation rule.17.</w:t>
      </w:r>
      <w:r>
        <w:rPr>
          <w:rStyle w:val="FootnoteReference"/>
        </w:rPr>
        <w:footnoteReference w:id="801"/>
      </w:r>
      <w:r>
        <w:t xml:space="preserve"> Basis can be restored in later years,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by items of income and gain allocated to the partner/shareholder. </w:t>
      </w:r>
    </w:p>
    <w:p w14:paraId="04A545C8" w14:textId="77777777" w:rsidR="00494B49" w:rsidRDefault="00494B49">
      <w:pPr>
        <w:pStyle w:val="BNormal"/>
      </w:pPr>
      <w:r>
        <w:t xml:space="preserve">Gain on the sale of a partnership interest or S corporation stock does not represent a distributable share of income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and, therefore, does not create basis against which a partner/shareholder can deduct losses suspended under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As a result, upon a sale of an interest, suspended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losses disappear. In these cases, because the selling partner/shareholder has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it can be presumed that the partner’s or shareholder’s basis is zero and any proceeds from the sale represent gain. </w:t>
      </w:r>
    </w:p>
    <w:p w14:paraId="5372BD48" w14:textId="77777777" w:rsidR="00494B49" w:rsidRDefault="00494B49">
      <w:pPr>
        <w:pStyle w:val="BNormal"/>
      </w:pPr>
      <w:r>
        <w:t xml:space="preserve">Under the Primary Method, the amount of gain on the sale of the Passthrough Entity is allocated amongst the Passthrough Entity’s assets under the provisions of Reg. </w:t>
      </w:r>
      <w:smartTag w:uri="http://www.bna.com/sgml2word/cite" w:element="cite.cfr">
        <w:smartTagPr>
          <w:attr w:name="ref" w:val="cfr\26\1.469-2T(e)(3)"/>
        </w:smartTagPr>
        <w:r>
          <w:t>§1.469-2T(e)(3)</w:t>
        </w:r>
      </w:smartTag>
      <w:r>
        <w:t xml:space="preserve">. The mechanical rules in Reg. </w:t>
      </w:r>
      <w:smartTag w:uri="http://www.bna.com/sgml2word/cite" w:element="cite.cfr">
        <w:smartTagPr>
          <w:attr w:name="ref" w:val="cfr\26\1.469-2T(e)(3)"/>
        </w:smartTagPr>
        <w:r>
          <w:t>§1.469-2T(e)(3)</w:t>
        </w:r>
      </w:smartTag>
      <w:r>
        <w:t xml:space="preserve"> are a method of allocation; they do not provide a </w:t>
      </w:r>
      <w:r>
        <w:lastRenderedPageBreak/>
        <w:t xml:space="preserve">mechanism under which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taken into account for regular tax income tax purposes. Therefore,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not taken into account under the Primary Method. </w:t>
      </w:r>
    </w:p>
    <w:p w14:paraId="73D452C3" w14:textId="77777777" w:rsidR="00494B49" w:rsidRDefault="00494B49">
      <w:pPr>
        <w:pStyle w:val="BHead4"/>
      </w:pPr>
      <w:r>
        <w:t>(4) Examples</w:t>
      </w:r>
    </w:p>
    <w:p w14:paraId="3377FA5A" w14:textId="77777777" w:rsidR="00494B49" w:rsidRDefault="00494B49">
      <w:pPr>
        <w:pStyle w:val="BNormal"/>
      </w:pPr>
      <w:r>
        <w:t>The 2013 Proposed Regulations provide two examples of the application of the Primary Method, discussed below.</w:t>
      </w:r>
    </w:p>
    <w:p w14:paraId="1CCC1DBF" w14:textId="77777777" w:rsidR="00494B49" w:rsidRDefault="00494B49">
      <w:pPr>
        <w:pStyle w:val="BExamplepara"/>
      </w:pPr>
      <w:r>
        <w:rPr>
          <w:rStyle w:val="BExamplehead"/>
          <w:rFonts w:eastAsiaTheme="minorHAnsi"/>
          <w:i/>
        </w:rPr>
        <w:t>Example 1:</w:t>
      </w:r>
      <w:r>
        <w:rPr>
          <w:rStyle w:val="FootnoteReference"/>
        </w:rPr>
        <w:footnoteReference w:id="802"/>
      </w:r>
      <w:r>
        <w:t xml:space="preserve"> A owns a one-half interest in P, a calendar year partnership. In 20x1, A sells its interest for $200,000. A’s adjusted basis in the interest sold is $120,000. Thus, A recognizes $80,000 of gain from the sale (Chapter 1 gain). P is engaged in three trade or business activities, X, Y and Z, none of which is a trade or business described in Reg. </w:t>
      </w:r>
      <w:smartTag w:uri="http://www.bna.com/sgml2word/cite" w:element="cite.cfr">
        <w:smartTagPr>
          <w:attr w:name="ref" w:val="cfr\26\1.1411-5(a)(2)"/>
        </w:smartTagPr>
        <w:r>
          <w:t>§1.1411-5(a)(2)</w:t>
        </w:r>
      </w:smartTag>
      <w:r>
        <w:t xml:space="preserve"> (a business of trading in financial instruments or commodities). P also owns a nominal amount of marketable securities.</w:t>
      </w:r>
    </w:p>
    <w:p w14:paraId="5D9DF410" w14:textId="77777777" w:rsidR="00494B49" w:rsidRDefault="00494B49">
      <w:pPr>
        <w:pStyle w:val="BNormal"/>
      </w:pPr>
      <w:r>
        <w:rPr>
          <w:i/>
        </w:rPr>
        <w:t>Comment:</w:t>
      </w:r>
      <w:r>
        <w:t xml:space="preserve"> The marketable securities are not used in the activities of X, Y, or Z. In this case, they would be considered working capital under </w:t>
      </w:r>
      <w:smartTag w:uri="http://www.bna.com/sgml2word/cite" w:element="cite.usc">
        <w:smartTagPr>
          <w:attr w:name="ref" w:val="USC\26\1411(c)(3)"/>
        </w:smartTagPr>
        <w:r>
          <w:t>§1411(c)(3)</w:t>
        </w:r>
      </w:smartTag>
      <w:r>
        <w:t xml:space="preserve"> and Reg. </w:t>
      </w:r>
      <w:smartTag w:uri="http://www.bna.com/sgml2word/cite" w:element="cite.cfr">
        <w:smartTagPr>
          <w:attr w:name="ref" w:val="cfr\26\1.1411-6"/>
        </w:smartTagPr>
        <w:r>
          <w:t>§1.1411-6</w:t>
        </w:r>
      </w:smartTag>
      <w:r>
        <w:t xml:space="preserve"> such that the gain would be included in net investment income. As a result, the marketable securities constitute Section 1411 Property.</w:t>
      </w:r>
    </w:p>
    <w:p w14:paraId="0FA8F530" w14:textId="77777777" w:rsidR="00494B49" w:rsidRDefault="00494B49">
      <w:pPr>
        <w:pStyle w:val="BExamplepara"/>
      </w:pPr>
      <w:r>
        <w:t xml:space="preserve">For 20x1, A materially participates in activity Z. Therefore, activity Z is not a Reg. </w:t>
      </w:r>
      <w:smartTag w:uri="http://www.bna.com/sgml2word/cite" w:element="cite.cfr">
        <w:smartTagPr>
          <w:attr w:name="ref" w:val="cfr\26\1.1411-5(a)(1)"/>
        </w:smartTagPr>
        <w:r>
          <w:t>§1.1411-5(a)(1)</w:t>
        </w:r>
      </w:smartTag>
      <w:r>
        <w:t xml:space="preserve"> trade or business with respect to A (a passive activity). A does not materially participate in activities X and Y. Therefore, activity X and activity Y are trade or businesses described in Reg. </w:t>
      </w:r>
      <w:smartTag w:uri="http://www.bna.com/sgml2word/cite" w:element="cite.cfr">
        <w:smartTagPr>
          <w:attr w:name="ref" w:val="cfr\26\1.1411-5(a)(1)"/>
        </w:smartTagPr>
        <w:r>
          <w:t>§1.1411-5(a)(1)</w:t>
        </w:r>
      </w:smartTag>
      <w:r>
        <w:t xml:space="preserve"> (passive activities with respect to A). However, because P is engaged in at least one trade or business that is not passive to the transferor A, the disposition is a Section 1411 Disposition. As a result, </w:t>
      </w:r>
      <w:smartTag w:uri="http://www.bna.com/sgml2word/cite" w:element="cite.usc">
        <w:smartTagPr>
          <w:attr w:name="ref" w:val="USC\26\1411(c)(4)"/>
        </w:smartTagPr>
        <w:r>
          <w:t>§1411(c)(4)</w:t>
        </w:r>
      </w:smartTag>
      <w:r>
        <w:t xml:space="preserve"> and 2013 Prop. Reg. </w:t>
      </w:r>
      <w:smartTag w:uri="http://www.bna.com/sgml2word/cite" w:element="cite.cfr">
        <w:smartTagPr>
          <w:attr w:name="ref" w:val="prule\cfr\26\1.1411-7"/>
        </w:smartTagPr>
        <w:r>
          <w:t>§1.1411-7</w:t>
        </w:r>
      </w:smartTag>
      <w:r>
        <w:t xml:space="preserve"> are applicable. Assume for purposes of this example that A is not eligible to use the Optional Simplified Method contained in 2013 Prop. Reg. </w:t>
      </w:r>
      <w:smartTag w:uri="http://www.bna.com/sgml2word/cite" w:element="cite.cfr">
        <w:smartTagPr>
          <w:attr w:name="ref" w:val="prule\cfr\26\1.1411-7(c)"/>
        </w:smartTagPr>
        <w:r>
          <w:t>§1.1411-7(c)</w:t>
        </w:r>
      </w:smartTag>
      <w:r>
        <w:t xml:space="preserve"> to compute the amount of net gain or loss from the disposition included in net investment income. </w:t>
      </w:r>
    </w:p>
    <w:p w14:paraId="5FD2F113" w14:textId="77777777" w:rsidR="00494B49" w:rsidRDefault="00494B49" w:rsidP="007865AF">
      <w:pPr>
        <w:pStyle w:val="BExamplepara"/>
      </w:pPr>
      <w:r>
        <w:t>Based on information P provided to A,</w:t>
      </w:r>
      <w:r>
        <w:rPr>
          <w:rStyle w:val="FootnoteReference"/>
        </w:rPr>
        <w:footnoteReference w:id="803"/>
      </w:r>
      <w:r>
        <w:t xml:space="preserve"> the fair market value and adjusted basis of the gross assets used in P’s activities are as follows: </w:t>
      </w:r>
    </w:p>
    <w:p w14:paraId="3A776069"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1896"/>
        <w:gridCol w:w="1861"/>
        <w:gridCol w:w="1861"/>
        <w:gridCol w:w="1870"/>
        <w:gridCol w:w="1862"/>
      </w:tblGrid>
      <w:tr w:rsidR="00494B49" w14:paraId="6A4FE524" w14:textId="77777777">
        <w:tc>
          <w:tcPr>
            <w:tcW w:w="2016" w:type="dxa"/>
          </w:tcPr>
          <w:p w14:paraId="10BA7550" w14:textId="77777777" w:rsidR="00494B49" w:rsidRDefault="00494B49"/>
        </w:tc>
        <w:tc>
          <w:tcPr>
            <w:tcW w:w="2016" w:type="dxa"/>
          </w:tcPr>
          <w:p w14:paraId="5C333762" w14:textId="77777777" w:rsidR="00494B49" w:rsidRDefault="00494B49">
            <w:r>
              <w:t>Adjusted basis</w:t>
            </w:r>
          </w:p>
        </w:tc>
        <w:tc>
          <w:tcPr>
            <w:tcW w:w="2016" w:type="dxa"/>
          </w:tcPr>
          <w:p w14:paraId="33E082B8" w14:textId="77777777" w:rsidR="00494B49" w:rsidRDefault="00494B49">
            <w:r>
              <w:t>FMV</w:t>
            </w:r>
          </w:p>
        </w:tc>
        <w:tc>
          <w:tcPr>
            <w:tcW w:w="2016" w:type="dxa"/>
          </w:tcPr>
          <w:p w14:paraId="470397B2" w14:textId="77777777" w:rsidR="00494B49" w:rsidRDefault="00494B49">
            <w:r>
              <w:t>Gain/Loss</w:t>
            </w:r>
          </w:p>
        </w:tc>
        <w:tc>
          <w:tcPr>
            <w:tcW w:w="2016" w:type="dxa"/>
          </w:tcPr>
          <w:p w14:paraId="6FDF731C" w14:textId="77777777" w:rsidR="00494B49" w:rsidRDefault="00494B49">
            <w:r>
              <w:t>A’s share gain/loss</w:t>
            </w:r>
          </w:p>
        </w:tc>
      </w:tr>
      <w:tr w:rsidR="00494B49" w14:paraId="7DEA65DC" w14:textId="77777777">
        <w:tc>
          <w:tcPr>
            <w:tcW w:w="2016" w:type="dxa"/>
          </w:tcPr>
          <w:p w14:paraId="16168C8B" w14:textId="77777777" w:rsidR="00494B49" w:rsidRDefault="00494B49">
            <w:r>
              <w:t>X (Passive as to A)</w:t>
            </w:r>
          </w:p>
        </w:tc>
        <w:tc>
          <w:tcPr>
            <w:tcW w:w="2016" w:type="dxa"/>
          </w:tcPr>
          <w:p w14:paraId="7A1A6AA3" w14:textId="77777777" w:rsidR="00494B49" w:rsidRDefault="00494B49">
            <w:r>
              <w:t>$136,000</w:t>
            </w:r>
          </w:p>
        </w:tc>
        <w:tc>
          <w:tcPr>
            <w:tcW w:w="2016" w:type="dxa"/>
          </w:tcPr>
          <w:p w14:paraId="6279ED9E" w14:textId="77777777" w:rsidR="00494B49" w:rsidRDefault="00494B49">
            <w:r>
              <w:t>$96,000</w:t>
            </w:r>
          </w:p>
        </w:tc>
        <w:tc>
          <w:tcPr>
            <w:tcW w:w="2016" w:type="dxa"/>
          </w:tcPr>
          <w:p w14:paraId="7A9DB0B8" w14:textId="77777777" w:rsidR="00494B49" w:rsidRDefault="00494B49">
            <w:r>
              <w:t>($40,000)</w:t>
            </w:r>
          </w:p>
        </w:tc>
        <w:tc>
          <w:tcPr>
            <w:tcW w:w="2016" w:type="dxa"/>
          </w:tcPr>
          <w:p w14:paraId="0E917962" w14:textId="77777777" w:rsidR="00494B49" w:rsidRDefault="00494B49">
            <w:r>
              <w:t>($20,000)</w:t>
            </w:r>
          </w:p>
        </w:tc>
      </w:tr>
      <w:tr w:rsidR="00494B49" w14:paraId="15D5AD5C" w14:textId="77777777">
        <w:tc>
          <w:tcPr>
            <w:tcW w:w="2016" w:type="dxa"/>
          </w:tcPr>
          <w:p w14:paraId="2452B125" w14:textId="77777777" w:rsidR="00494B49" w:rsidRDefault="00494B49">
            <w:r>
              <w:t>Y (Passive as to A)</w:t>
            </w:r>
          </w:p>
        </w:tc>
        <w:tc>
          <w:tcPr>
            <w:tcW w:w="2016" w:type="dxa"/>
          </w:tcPr>
          <w:p w14:paraId="1362949D" w14:textId="77777777" w:rsidR="00494B49" w:rsidRDefault="00494B49">
            <w:r>
              <w:t>60,000</w:t>
            </w:r>
          </w:p>
        </w:tc>
        <w:tc>
          <w:tcPr>
            <w:tcW w:w="2016" w:type="dxa"/>
          </w:tcPr>
          <w:p w14:paraId="47EBF90A" w14:textId="77777777" w:rsidR="00494B49" w:rsidRDefault="00494B49">
            <w:r>
              <w:t>124,000</w:t>
            </w:r>
          </w:p>
        </w:tc>
        <w:tc>
          <w:tcPr>
            <w:tcW w:w="2016" w:type="dxa"/>
          </w:tcPr>
          <w:p w14:paraId="42BDE2B4" w14:textId="77777777" w:rsidR="00494B49" w:rsidRDefault="00494B49">
            <w:r>
              <w:t>64,000</w:t>
            </w:r>
          </w:p>
        </w:tc>
        <w:tc>
          <w:tcPr>
            <w:tcW w:w="2016" w:type="dxa"/>
          </w:tcPr>
          <w:p w14:paraId="09AEE6B7" w14:textId="77777777" w:rsidR="00494B49" w:rsidRDefault="00494B49">
            <w:r>
              <w:t>32,000</w:t>
            </w:r>
          </w:p>
        </w:tc>
      </w:tr>
      <w:tr w:rsidR="00494B49" w14:paraId="2EADF3CF" w14:textId="77777777">
        <w:tc>
          <w:tcPr>
            <w:tcW w:w="2016" w:type="dxa"/>
          </w:tcPr>
          <w:p w14:paraId="416862B6" w14:textId="77777777" w:rsidR="00494B49" w:rsidRDefault="00494B49">
            <w:r>
              <w:t>Z (Nonpassive as to A)</w:t>
            </w:r>
          </w:p>
        </w:tc>
        <w:tc>
          <w:tcPr>
            <w:tcW w:w="2016" w:type="dxa"/>
          </w:tcPr>
          <w:p w14:paraId="5C9FB41C" w14:textId="77777777" w:rsidR="00494B49" w:rsidRDefault="00494B49">
            <w:r>
              <w:t>40,000</w:t>
            </w:r>
          </w:p>
        </w:tc>
        <w:tc>
          <w:tcPr>
            <w:tcW w:w="2016" w:type="dxa"/>
          </w:tcPr>
          <w:p w14:paraId="75CD87C3" w14:textId="77777777" w:rsidR="00494B49" w:rsidRDefault="00494B49">
            <w:r>
              <w:t>160,000</w:t>
            </w:r>
          </w:p>
        </w:tc>
        <w:tc>
          <w:tcPr>
            <w:tcW w:w="2016" w:type="dxa"/>
          </w:tcPr>
          <w:p w14:paraId="68DE2BC3" w14:textId="77777777" w:rsidR="00494B49" w:rsidRDefault="00494B49">
            <w:r>
              <w:t>120,000</w:t>
            </w:r>
          </w:p>
        </w:tc>
        <w:tc>
          <w:tcPr>
            <w:tcW w:w="2016" w:type="dxa"/>
          </w:tcPr>
          <w:p w14:paraId="2E41D5A5" w14:textId="77777777" w:rsidR="00494B49" w:rsidRDefault="00494B49">
            <w:r>
              <w:t>60,000</w:t>
            </w:r>
          </w:p>
        </w:tc>
      </w:tr>
      <w:tr w:rsidR="00494B49" w14:paraId="5D8CADC4" w14:textId="77777777">
        <w:tc>
          <w:tcPr>
            <w:tcW w:w="2016" w:type="dxa"/>
          </w:tcPr>
          <w:p w14:paraId="626F1002" w14:textId="77777777" w:rsidR="00494B49" w:rsidRDefault="00494B49">
            <w:r>
              <w:t>Marketable securities</w:t>
            </w:r>
          </w:p>
        </w:tc>
        <w:tc>
          <w:tcPr>
            <w:tcW w:w="2016" w:type="dxa"/>
          </w:tcPr>
          <w:p w14:paraId="59C60553" w14:textId="77777777" w:rsidR="00494B49" w:rsidRDefault="00494B49">
            <w:r>
              <w:t>4,000</w:t>
            </w:r>
          </w:p>
        </w:tc>
        <w:tc>
          <w:tcPr>
            <w:tcW w:w="2016" w:type="dxa"/>
          </w:tcPr>
          <w:p w14:paraId="1CC730DF" w14:textId="77777777" w:rsidR="00494B49" w:rsidRDefault="00494B49">
            <w:r>
              <w:t>20,000</w:t>
            </w:r>
          </w:p>
        </w:tc>
        <w:tc>
          <w:tcPr>
            <w:tcW w:w="2016" w:type="dxa"/>
          </w:tcPr>
          <w:p w14:paraId="20AAAE2F" w14:textId="77777777" w:rsidR="00494B49" w:rsidRDefault="00494B49">
            <w:r>
              <w:t>16,000</w:t>
            </w:r>
          </w:p>
        </w:tc>
        <w:tc>
          <w:tcPr>
            <w:tcW w:w="2016" w:type="dxa"/>
          </w:tcPr>
          <w:p w14:paraId="4EE90C60" w14:textId="77777777" w:rsidR="00494B49" w:rsidRDefault="00494B49">
            <w:r>
              <w:t>8,000</w:t>
            </w:r>
          </w:p>
        </w:tc>
      </w:tr>
      <w:tr w:rsidR="00494B49" w14:paraId="56152E00" w14:textId="77777777">
        <w:tc>
          <w:tcPr>
            <w:tcW w:w="2016" w:type="dxa"/>
          </w:tcPr>
          <w:p w14:paraId="78F331CF" w14:textId="77777777" w:rsidR="00494B49" w:rsidRDefault="00494B49">
            <w:r>
              <w:t>Total</w:t>
            </w:r>
          </w:p>
        </w:tc>
        <w:tc>
          <w:tcPr>
            <w:tcW w:w="2016" w:type="dxa"/>
          </w:tcPr>
          <w:p w14:paraId="24CACAD6" w14:textId="77777777" w:rsidR="00494B49" w:rsidRDefault="00494B49">
            <w:r>
              <w:t>$240,000</w:t>
            </w:r>
          </w:p>
        </w:tc>
        <w:tc>
          <w:tcPr>
            <w:tcW w:w="2016" w:type="dxa"/>
          </w:tcPr>
          <w:p w14:paraId="12D4384E" w14:textId="77777777" w:rsidR="00494B49" w:rsidRDefault="00494B49">
            <w:r>
              <w:t>$400,000</w:t>
            </w:r>
          </w:p>
        </w:tc>
        <w:tc>
          <w:tcPr>
            <w:tcW w:w="2016" w:type="dxa"/>
          </w:tcPr>
          <w:p w14:paraId="7280C387" w14:textId="77777777" w:rsidR="00494B49" w:rsidRDefault="00494B49">
            <w:r>
              <w:t>$160,000</w:t>
            </w:r>
          </w:p>
        </w:tc>
        <w:tc>
          <w:tcPr>
            <w:tcW w:w="2016" w:type="dxa"/>
          </w:tcPr>
          <w:p w14:paraId="50D9FEEA" w14:textId="77777777" w:rsidR="00494B49" w:rsidRDefault="00494B49">
            <w:r>
              <w:t>$80,000</w:t>
            </w:r>
          </w:p>
        </w:tc>
      </w:tr>
    </w:tbl>
    <w:p w14:paraId="05928B6C" w14:textId="77777777" w:rsidR="00494B49" w:rsidRDefault="00494B49">
      <w:pPr>
        <w:pStyle w:val="BNormal"/>
      </w:pPr>
    </w:p>
    <w:p w14:paraId="61FB6468" w14:textId="77777777" w:rsidR="00494B49" w:rsidRDefault="00494B49">
      <w:pPr>
        <w:pStyle w:val="BExamplepara"/>
      </w:pPr>
      <w:r>
        <w:t xml:space="preserve">The Primary Method requires A to determine the portion of gain or loss from the sale of P’s Section 1411 Property allocable to A. A recognizes a gain on the disposition, so the rules in 2013 Prop. Reg. </w:t>
      </w:r>
      <w:smartTag w:uri="http://www.bna.com/sgml2word/cite" w:element="cite.cfr">
        <w:smartTagPr>
          <w:attr w:name="ref" w:val="prule\cfr\26\1.1411-7(b)(1)(i)"/>
        </w:smartTagPr>
        <w:r>
          <w:t>§1.1411-7(b)(1)(i)</w:t>
        </w:r>
      </w:smartTag>
      <w:r>
        <w:t xml:space="preserve"> apply. Pursuant to the rules in Reg. </w:t>
      </w:r>
      <w:smartTag w:uri="http://www.bna.com/sgml2word/cite" w:element="cite.cfr">
        <w:smartTagPr>
          <w:attr w:name="ref" w:val="cfr\26\1.469-2T(e)(3)"/>
        </w:smartTagPr>
        <w:r>
          <w:t>§1.469-</w:t>
        </w:r>
        <w:r>
          <w:lastRenderedPageBreak/>
          <w:t>2T(e)(3)</w:t>
        </w:r>
      </w:smartTag>
      <w:r>
        <w:t>, A’s allocable share of the Chapter 1 net gain from a deemed sale of P’s Section 1411 Property is $20,000, computed as follows:</w:t>
      </w:r>
    </w:p>
    <w:p w14:paraId="0447D023" w14:textId="77777777" w:rsidR="00494B49" w:rsidRDefault="00494B49">
      <w:pPr>
        <w:pStyle w:val="BExamplepara"/>
      </w:pPr>
      <w:r>
        <w:t>($20,000) allocable loss from activity X</w:t>
      </w:r>
    </w:p>
    <w:p w14:paraId="520886D6" w14:textId="77777777" w:rsidR="00494B49" w:rsidRDefault="00494B49">
      <w:pPr>
        <w:pStyle w:val="BExamplepara"/>
      </w:pPr>
      <w:r>
        <w:t>+ $32,000 allocable gain from activity Y</w:t>
      </w:r>
    </w:p>
    <w:p w14:paraId="2C299B75" w14:textId="77777777" w:rsidR="00494B49" w:rsidRDefault="00494B49">
      <w:pPr>
        <w:pStyle w:val="BExamplepara"/>
      </w:pPr>
      <w:r>
        <w:t>+  $8,000 allocable gain from the marketable securities.</w:t>
      </w:r>
    </w:p>
    <w:p w14:paraId="533D9791" w14:textId="77777777" w:rsidR="00494B49" w:rsidRDefault="00494B49">
      <w:pPr>
        <w:pStyle w:val="BExamplepara"/>
      </w:pPr>
      <w:r>
        <w:t>+ $20,000</w:t>
      </w:r>
    </w:p>
    <w:p w14:paraId="7CEC7B20" w14:textId="77777777" w:rsidR="00494B49" w:rsidRDefault="00494B49">
      <w:pPr>
        <w:pStyle w:val="BExamplepara"/>
      </w:pPr>
      <w:r>
        <w:t>Because the $20,000 net gain allocable to A from a deemed sale of P’s Section 1411 Property is less than A’s $80,000 Chapter 1 gain, A will include $20,000 in net investment income.</w:t>
      </w:r>
    </w:p>
    <w:p w14:paraId="173C7895" w14:textId="77777777" w:rsidR="00494B49" w:rsidRDefault="00494B49">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a $60,000 adjustment on Line 5c. A will have to attach a statement to his return with the information required by 2013 Prop. Reg. </w:t>
      </w:r>
      <w:smartTag w:uri="http://www.bna.com/sgml2word/cite" w:element="cite.cfr">
        <w:smartTagPr>
          <w:attr w:name="ref" w:val="prule\cfr\26\1.1411-7(g)(2)"/>
        </w:smartTagPr>
        <w:r>
          <w:t>§1.1411-7(g)(2)</w:t>
        </w:r>
      </w:smartTag>
      <w:r>
        <w:t>.</w:t>
      </w:r>
      <w:r>
        <w:rPr>
          <w:rStyle w:val="FootnoteReference"/>
        </w:rPr>
        <w:footnoteReference w:id="804"/>
      </w:r>
    </w:p>
    <w:p w14:paraId="05EAACA5" w14:textId="77777777" w:rsidR="00494B49" w:rsidRDefault="00494B49">
      <w:pPr>
        <w:pStyle w:val="BExamplepara"/>
      </w:pPr>
      <w:r>
        <w:rPr>
          <w:rStyle w:val="BExamplehead"/>
          <w:rFonts w:eastAsiaTheme="minorHAnsi"/>
          <w:i/>
        </w:rPr>
        <w:t>Example 2:</w:t>
      </w:r>
      <w:r>
        <w:rPr>
          <w:rStyle w:val="FootnoteReference"/>
        </w:rPr>
        <w:footnoteReference w:id="805"/>
      </w:r>
      <w:r>
        <w:t xml:space="preserve"> Assume the same facts as Example 1, but assume instead that A materially participates in trade or business activities Y and Z and does not materially participate in trade or business activity X. Under these facts, A’s allocable share of the net gain from a deemed sale of P’s Section 1411 Property is ($12,000), computed as follows: </w:t>
      </w:r>
    </w:p>
    <w:p w14:paraId="16EDF87B" w14:textId="77777777" w:rsidR="00494B49" w:rsidRDefault="00494B49">
      <w:pPr>
        <w:pStyle w:val="BExamplepara"/>
      </w:pPr>
      <w:r>
        <w:t>($20,000) allocable loss from activity X</w:t>
      </w:r>
    </w:p>
    <w:p w14:paraId="4262458C" w14:textId="77777777" w:rsidR="00494B49" w:rsidRDefault="00494B49">
      <w:pPr>
        <w:pStyle w:val="BExamplepara"/>
      </w:pPr>
      <w:r>
        <w:t>+ $8,000 allocable gain from the marketable securities.</w:t>
      </w:r>
    </w:p>
    <w:p w14:paraId="4F12F4E9" w14:textId="77777777" w:rsidR="00494B49" w:rsidRDefault="00494B49">
      <w:pPr>
        <w:pStyle w:val="BExamplepara"/>
      </w:pPr>
      <w:r>
        <w:t>($12,000)</w:t>
      </w:r>
    </w:p>
    <w:p w14:paraId="254A5B73" w14:textId="77777777" w:rsidR="00494B49" w:rsidRDefault="00494B49">
      <w:pPr>
        <w:pStyle w:val="BExamplepara"/>
      </w:pPr>
      <w:r>
        <w:t xml:space="preserve">Because A sold its interest for a Chapter 1 gain, A’s allocable share of net gain from a deemed sale of P’s Section 1411 Property cannot be less than zero. Accordingly, A includes no gain or loss in net investment income. </w:t>
      </w:r>
    </w:p>
    <w:p w14:paraId="30A30539" w14:textId="77777777" w:rsidR="00494B49" w:rsidRDefault="00494B49">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$80,000 of adjustment on Line 5c. The information reporting requirements are the same as in Example 1. </w:t>
      </w:r>
    </w:p>
    <w:p w14:paraId="790C2941" w14:textId="77777777" w:rsidR="00494B49" w:rsidRDefault="00494B49">
      <w:pPr>
        <w:pStyle w:val="BHead3"/>
      </w:pPr>
      <w:r>
        <w:t>b. Optional Simplified Method</w:t>
      </w:r>
    </w:p>
    <w:p w14:paraId="6297A2BD" w14:textId="77777777" w:rsidR="00494B49" w:rsidRDefault="00494B49">
      <w:pPr>
        <w:pStyle w:val="BNormal"/>
      </w:pPr>
      <w:r>
        <w:t xml:space="preserve">In response to comments that computations under the 2012 Proposed Regulations’ Deemed Sale Method were too complex and administratively burdensome on partnerships, the 2013 Proposed Regulations provide an Optional Simplified Method of calculating gain or loss for purposes of applying </w:t>
      </w:r>
      <w:smartTag w:uri="http://www.bna.com/sgml2word/cite" w:element="cite.usc">
        <w:smartTagPr>
          <w:attr w:name="ref" w:val="USC\26\1411(c)(4)"/>
        </w:smartTagPr>
        <w:r>
          <w:t>§1411(c)(4)</w:t>
        </w:r>
      </w:smartTag>
      <w:r>
        <w:t>. To qualify for use of the Optional Simplified Method, the transferor must meet quantitative requirements and not be excluded by one of five exemptions discussed below.</w:t>
      </w:r>
    </w:p>
    <w:p w14:paraId="6E4B1DE0" w14:textId="77777777" w:rsidR="00494B49" w:rsidRDefault="00494B49">
      <w:pPr>
        <w:pStyle w:val="BNormal"/>
      </w:pPr>
      <w:r>
        <w:lastRenderedPageBreak/>
        <w:t>In devising the Optional Simplified Method, the Treasury Department and the IRS focused on situations in which the amount of gain associated with passive assets owned by the Passthrough Entity is likely to be relatively small. In other words, the amount of gain or loss that would be included in the computation of net investment income would be relatively small.</w:t>
      </w:r>
    </w:p>
    <w:p w14:paraId="52C605D2" w14:textId="77777777" w:rsidR="00494B49" w:rsidRDefault="00494B49">
      <w:pPr>
        <w:pStyle w:val="BNormal"/>
      </w:pPr>
      <w:r>
        <w:rPr>
          <w:i/>
        </w:rPr>
        <w:t>Comment:</w:t>
      </w:r>
      <w:r>
        <w:t xml:space="preserve"> The amount of gain or loss that the Treasury Department and the IRS considered “relatively small” was $250,000 (not indexed for inflation). Although not explicit in the regulations, the two situations where the Optional Simplified Method is available could produce situations in which the taxpayer can exclude a maximum of $250,000 gain from net investment income even though the application of 2013 Prop. Reg. </w:t>
      </w:r>
      <w:smartTag w:uri="http://www.bna.com/sgml2word/cite" w:element="cite.cfr">
        <w:smartTagPr>
          <w:attr w:name="ref" w:val="prule\cfr\26\1.1411-7(b)"/>
        </w:smartTagPr>
        <w:r>
          <w:t>§1.1411-7(b)</w:t>
        </w:r>
      </w:smartTag>
      <w:r>
        <w:t xml:space="preserve"> would have excluded a lesser amount. The Treasury Department and the IRS may have chosen $250,000 for several reasons, including the fact that similar amounts are considered de minimis for purposes of other provisions in the Code.</w:t>
      </w:r>
      <w:r>
        <w:rPr>
          <w:rStyle w:val="FootnoteReference"/>
        </w:rPr>
        <w:footnoteReference w:id="806"/>
      </w:r>
      <w:r>
        <w:t xml:space="preserve"> In addition, because the net investment income tax on $250,000 would be only $9,500, it may be that the administrative costs of auditing returns for such amounts are cost-prohibitive.</w:t>
      </w:r>
    </w:p>
    <w:p w14:paraId="11DA356A" w14:textId="77777777" w:rsidR="00494B49" w:rsidRDefault="00494B49">
      <w:pPr>
        <w:pStyle w:val="BNormal"/>
      </w:pPr>
      <w:r>
        <w:t xml:space="preserve">The Optional Simplified Method is intended to limit the information-sharing burden on Passthrough Entities by allowing transferors to rely on readily available information to calculate the amount of net gain or loss included in the computation of net investment income under </w:t>
      </w:r>
      <w:smartTag w:uri="http://www.bna.com/sgml2word/cite" w:element="cite.usc">
        <w:smartTagPr>
          <w:attr w:name="ref" w:val="USC\26\1411(c)(4)"/>
        </w:smartTagPr>
        <w:r>
          <w:t>§1411(c)(4)</w:t>
        </w:r>
      </w:smartTag>
      <w:r>
        <w:t xml:space="preserve">. For this purpose, the Optional Simplified Method relies on historic distributive share amounts received by the transferor from the Passthrough Entity to extrapolate a percentage of the assets within the Passthrough Entity that are passive with respect to the transferor for purposes of </w:t>
      </w:r>
      <w:smartTag w:uri="http://www.bna.com/sgml2word/cite" w:element="cite.usc">
        <w:smartTagPr>
          <w:attr w:name="ref" w:val="USC\26\1411(c)(4)"/>
        </w:smartTagPr>
        <w:r>
          <w:t>§1411(c)(4)</w:t>
        </w:r>
      </w:smartTag>
      <w:r>
        <w:t xml:space="preserve">. For example, if 10% of the income reported on the applicable Schedules K-1 is of a type that would be included in net investment income, the simplified reporting method presumes that 10% of the Chapter 1 gain on the disposition of the transferor’s interest relates to Section 1411 Property of the Passthrough Entity for purposes of </w:t>
      </w:r>
      <w:smartTag w:uri="http://www.bna.com/sgml2word/cite" w:element="cite.usc">
        <w:smartTagPr>
          <w:attr w:name="ref" w:val="USC\26\1411(c)(4)"/>
        </w:smartTagPr>
        <w:r>
          <w:t>§1411(c)(4)</w:t>
        </w:r>
      </w:smartTag>
      <w:r>
        <w:t>.</w:t>
      </w:r>
    </w:p>
    <w:p w14:paraId="7B3FDB1A" w14:textId="77777777" w:rsidR="00494B49" w:rsidRDefault="00494B49">
      <w:pPr>
        <w:pStyle w:val="BNormal"/>
      </w:pPr>
      <w:r>
        <w:t xml:space="preserve">The use of the Optional Simplified Method is not required for qualifying transferors. However, under 2013 Prop. Reg. </w:t>
      </w:r>
      <w:smartTag w:uri="http://www.bna.com/sgml2word/cite" w:element="cite.cfr">
        <w:smartTagPr>
          <w:attr w:name="ref" w:val="prule\cfr\26\1.1411-7(g)"/>
        </w:smartTagPr>
        <w:r>
          <w:t>§1.1411-7(g)</w:t>
        </w:r>
      </w:smartTag>
      <w:r>
        <w:t>, the Passthrough Entity may not be required to provide a transferor who qualifies to use the Optional Simplified Method with information that the transferor would need to report under the Primary Method.</w:t>
      </w:r>
    </w:p>
    <w:p w14:paraId="5BC56C1B" w14:textId="77777777" w:rsidR="00494B49" w:rsidRDefault="00494B49">
      <w:pPr>
        <w:pStyle w:val="BNormal"/>
      </w:pPr>
      <w:r>
        <w:rPr>
          <w:i/>
        </w:rPr>
        <w:t>Comment:</w:t>
      </w:r>
      <w:r>
        <w:t xml:space="preserve"> The language in the preamble to the 2013 Proposed Regulations stating that the Optional Simplified Method is not mandatory is somewhat illusory because if a passthrough entity refuses to provide the information necessary to calculate the amount of gain or loss included in net investment income under the Primary Method the qualifying taxpayer has no choice but to use the Optional Simplified Method when making that calculation. To put it differently, the Optional Simplified Method is optional only when the qualifying taxpayer has the information to make such calculations under the Primary Method. Because the Passthrough Entity has the information, the optionality of the Optional Simplified Method is as much left to the Passthrough Entity as it is to the qualifying taxpayer.</w:t>
      </w:r>
    </w:p>
    <w:p w14:paraId="3FD124CC" w14:textId="77777777" w:rsidR="00494B49" w:rsidRDefault="00494B49">
      <w:pPr>
        <w:pStyle w:val="BHead4"/>
      </w:pPr>
      <w:r>
        <w:t xml:space="preserve">(1) Section 1411 Holding Period </w:t>
      </w:r>
    </w:p>
    <w:p w14:paraId="557D698B" w14:textId="77777777" w:rsidR="00494B49" w:rsidRDefault="00494B49">
      <w:pPr>
        <w:pStyle w:val="BNormal"/>
      </w:pPr>
      <w:r>
        <w:t xml:space="preserve">The concept of a Section 1411 Holding Period is only relevant in the context of the Optional Simplified Method. The Section 1411 Holding Period is critically important because it captures the “multiplier” that is used to calculate the gain included in the computation of net investment </w:t>
      </w:r>
      <w:r>
        <w:lastRenderedPageBreak/>
        <w:t>income.</w:t>
      </w:r>
      <w:r>
        <w:rPr>
          <w:rStyle w:val="FootnoteReference"/>
        </w:rPr>
        <w:footnoteReference w:id="807"/>
      </w:r>
      <w:r>
        <w:t xml:space="preserve"> A Section 1411 Holding Period that creates a multiplier of 20% will cause less gain to be included in net investment income than would a Section 1411 Holding Period that creates a multiplier of 35%.</w:t>
      </w:r>
      <w:r>
        <w:rPr>
          <w:rStyle w:val="FootnoteReference"/>
        </w:rPr>
        <w:footnoteReference w:id="808"/>
      </w:r>
      <w:r>
        <w:t xml:space="preserve"> The lower the multiplier, the lower the amount included in the computation of net investment income. The calculation of the multiplier is discussed in </w:t>
      </w:r>
      <w:smartTag w:uri="http://www.bna.com/sgml2word/cite" w:element="cite.bna.reference">
        <w:smartTagPr>
          <w:attr w:name="bna.id.ref" w:val="TM\511.VI.B.2.b(4)"/>
        </w:smartTagPr>
        <w:r>
          <w:t>VI.B.2.b.(4)</w:t>
        </w:r>
      </w:smartTag>
      <w:smartTag w:uri="http://www.bna.com/sgml2word/cite" w:element="cite.bna.reference">
        <w:smartTagPr>
          <w:attr w:name="bna.id.ref" w:val="TM\873.VI.B.2.b(4)"/>
        </w:smartTagPr>
        <w:r>
          <w:t>VI.B.2.b.(4)</w:t>
        </w:r>
      </w:smartTag>
      <w:r>
        <w:t>, below.</w:t>
      </w:r>
    </w:p>
    <w:p w14:paraId="4746E59E" w14:textId="77777777" w:rsidR="00494B49" w:rsidRDefault="00494B49">
      <w:pPr>
        <w:pStyle w:val="BNormal"/>
      </w:pPr>
      <w:r>
        <w:t>The term Section 1411 Holding Period is defined as the year of disposition plus the transferor’s two tax years preceding the disposition or the time period that the transferor held the interest, whichever is less.</w:t>
      </w:r>
      <w:r>
        <w:rPr>
          <w:rStyle w:val="FootnoteReference"/>
        </w:rPr>
        <w:footnoteReference w:id="809"/>
      </w:r>
      <w:r>
        <w:t xml:space="preserve"> For example, if a taxpayer sells an interest in a partnership in January 20x5, the taxpayer’s Section 1411 Holding Period includes tax year 20x3, 20x4 and 20x5 (which would be a short tax year). The Section 1411 Holding Period would be the same if the taxpayer sold a partnership interest in December 20x5.</w:t>
      </w:r>
    </w:p>
    <w:p w14:paraId="05E3BC5D" w14:textId="77777777" w:rsidR="00494B49" w:rsidRDefault="00494B49">
      <w:pPr>
        <w:pStyle w:val="BNormal"/>
      </w:pPr>
      <w:r>
        <w:t>As a planning matter, the timing of a sale and its effect on the Optional Simplified Method’s multiplier is relevant. If a taxpayer sells a Passthrough Entity in December 20x5, the taxpayer’s Section 1411 Holding Period includes tax years 20x3, 20x4 and 20x5. If the taxpayer were to delay the sale to January 1, 20x6, the taxpayer’s Section 1411 Holding Period includes tax year 20x4, 20x5 and 20x6. Delaying the sale to January 1, 20x6 causes the 20x3 year to drop out of the Section 1411 Holding Period and tax year 20x6 (which is, consequently, only one day) to be added. Solely considering the calculation under the Optional Simplified Method, delaying the sale to January 1, 20x6 may increase or decrease the Optional Simplified Method’s multiplier. If the tax “attributes” of the 20x3 tax year produce an overall lower multiplier, the sale should not be delayed to 20x6. Conversely, if the tax attributes of the 20x3 tax year produce an overall higher multiplier, the sale should be delayed to 20x6.</w:t>
      </w:r>
    </w:p>
    <w:p w14:paraId="0CBDE6B9" w14:textId="77777777" w:rsidR="00494B49" w:rsidRDefault="00494B49">
      <w:pPr>
        <w:pStyle w:val="BNormal"/>
      </w:pPr>
      <w:r>
        <w:t xml:space="preserve">2013 Prop. Reg. </w:t>
      </w:r>
      <w:smartTag w:uri="http://www.bna.com/sgml2word/cite" w:element="cite.cfr">
        <w:smartTagPr>
          <w:attr w:name="ref" w:val="prule\cfr\26\1.1411-7(a)(2)(iii)"/>
        </w:smartTagPr>
        <w:r>
          <w:t>§1.1411-7(a)(2)(iii)</w:t>
        </w:r>
      </w:smartTag>
      <w:r>
        <w:t xml:space="preserve"> contains two holding period tacking rules. First, if the transferor acquires its interest from another Passthrough Entity in a nonrecognition transaction during the year of disposition or the prior two tax years, the transferor must include in its Section 1411 Holding Period the period that the previous owner or owners held the interest.</w:t>
      </w:r>
      <w:r>
        <w:rPr>
          <w:rStyle w:val="FootnoteReference"/>
        </w:rPr>
        <w:footnoteReference w:id="810"/>
      </w:r>
      <w:r>
        <w:t xml:space="preserve"> The purpose of this rule is to prevent taxpayers from purging unfavorable tax attributes that would be included in the multiplier in preceding years.</w:t>
      </w:r>
      <w:r>
        <w:rPr>
          <w:rStyle w:val="FootnoteReference"/>
        </w:rPr>
        <w:footnoteReference w:id="811"/>
      </w:r>
      <w:r>
        <w:t xml:space="preserve"> However, it is important to note that this rule can also be taxpayer favorable when the tacked holding period is beneficial to the overall multiplier. Although this would most commonly occur in a tiered partnership structure in which a lower-tier </w:t>
      </w:r>
      <w:r>
        <w:lastRenderedPageBreak/>
        <w:t xml:space="preserve">partnership is distributed to the owner(s) of an upper-tier partnership, the rule also covers an S corporation that splits into two or more entities in a nonrecognition </w:t>
      </w:r>
      <w:smartTag w:uri="http://www.bna.com/sgml2word/cite" w:element="cite.usc">
        <w:smartTagPr>
          <w:attr w:name="ref" w:val="USC\26\355"/>
        </w:smartTagPr>
        <w:r>
          <w:t>§355</w:t>
        </w:r>
      </w:smartTag>
      <w:r>
        <w:t xml:space="preserve"> transaction. The rule also covers mergers of partnerships or S corporations in which the interest in an old Passthrough Entity is exchanged for an interest in another Passthrough Entity.</w:t>
      </w:r>
    </w:p>
    <w:p w14:paraId="6C48FDC1" w14:textId="77777777" w:rsidR="00494B49" w:rsidRDefault="00494B49">
      <w:pPr>
        <w:pStyle w:val="BNormal"/>
      </w:pPr>
      <w:r>
        <w:t>The second tacking rule provides that if the transferor transferred an interest in a Subsidiary Passthrough Entity to a Passthrough Entity in a nonrecognition transaction during the year of the disposition or the prior two tax years, the transferor must include in its Section 1411 Holding Period the period of time that it held the interest in the Subsidiary Passthrough Entity.</w:t>
      </w:r>
      <w:r>
        <w:rPr>
          <w:rStyle w:val="FootnoteReference"/>
        </w:rPr>
        <w:footnoteReference w:id="812"/>
      </w:r>
      <w:r>
        <w:t xml:space="preserve"> The rationale for this rule is similar to the rationale for the first rule. Depending on the taxpayer’s particular fact pattern, the rule could be beneficial or detrimental. This can only apply to a partnership that is contributed to an S corporation or to another partnership because an S corporation cannot be a Subsidiary Passthrough Entity (because it would have an ineligible shareholder). </w:t>
      </w:r>
    </w:p>
    <w:p w14:paraId="473BB7F2" w14:textId="77777777" w:rsidR="00494B49" w:rsidRDefault="00494B49">
      <w:pPr>
        <w:pStyle w:val="BNormal"/>
      </w:pPr>
      <w:r>
        <w:t xml:space="preserve">It is important to note that the tacked holding period rules do not tack holding periods in the case of gifts or bequests. However, an acquisition of a Passthrough Entity within a year of the sale by bequest or gift would cause the sale to be ineligible for the Optional Simplified Method under 2013 Prop. Reg. </w:t>
      </w:r>
      <w:smartTag w:uri="http://www.bna.com/sgml2word/cite" w:element="cite.cfr">
        <w:smartTagPr>
          <w:attr w:name="ref" w:val="prule\cfr\26\1.1411-7(c)(4)"/>
        </w:smartTagPr>
        <w:r>
          <w:t>§1.1411-7(c)(4)</w:t>
        </w:r>
      </w:smartTag>
      <w:r>
        <w:t>.</w:t>
      </w:r>
    </w:p>
    <w:p w14:paraId="590C88DE" w14:textId="77777777" w:rsidR="00494B49" w:rsidRDefault="00494B49">
      <w:pPr>
        <w:pStyle w:val="BHead4"/>
      </w:pPr>
      <w:r>
        <w:t>(2) Dispositions Eligible for the Optional Simplified Method</w:t>
      </w:r>
    </w:p>
    <w:p w14:paraId="50EB9134" w14:textId="77777777" w:rsidR="00494B49" w:rsidRDefault="00494B49">
      <w:pPr>
        <w:pStyle w:val="BNormal"/>
      </w:pPr>
      <w:r>
        <w:t xml:space="preserve">To qualify for the Optional Simplified Method, a transferor in a Section 1411(c)(4) Disposition must meet at least one of two objective requirements. Both of the objective requirements key off the amount of recognized Chapter 1 gain. </w:t>
      </w:r>
    </w:p>
    <w:p w14:paraId="782E4896" w14:textId="77777777" w:rsidR="00494B49" w:rsidRDefault="00494B49">
      <w:pPr>
        <w:pStyle w:val="BNormal"/>
      </w:pPr>
      <w:r>
        <w:t>The first type of sale eligible for the Optional Simplified Method is one in which the transferor’s recognized Chapter 1 gain from the disposition of the Passthrough Entity is $250,000 or less.</w:t>
      </w:r>
      <w:r>
        <w:rPr>
          <w:rStyle w:val="FootnoteReference"/>
        </w:rPr>
        <w:footnoteReference w:id="813"/>
      </w:r>
      <w:r>
        <w:t xml:space="preserve"> In calculating the $250,000 threshold of recognized Chapter 1 gain, all dispositions of interests in the Passthrough Entity that occur during the transferor’s tax year will be presumed to be part of a plan.</w:t>
      </w:r>
      <w:r>
        <w:rPr>
          <w:rStyle w:val="FootnoteReference"/>
        </w:rPr>
        <w:footnoteReference w:id="814"/>
      </w:r>
    </w:p>
    <w:p w14:paraId="22A39463" w14:textId="77777777" w:rsidR="00494B49" w:rsidRDefault="00494B49">
      <w:pPr>
        <w:pStyle w:val="BNormal"/>
      </w:pPr>
      <w:r>
        <w:t xml:space="preserve">The second type of sale eligible for the Optional Simplified Method occurs when: </w:t>
      </w:r>
    </w:p>
    <w:p w14:paraId="78805109" w14:textId="77777777" w:rsidR="00494B49" w:rsidRDefault="00494B49">
      <w:pPr>
        <w:pStyle w:val="BListitembul"/>
      </w:pPr>
      <w:r>
        <w:t>the sum of the transferor’s allocable share during the Section 1411 Holding Period of separately stated items of income, gain, loss, and deduction (with any separately stated loss and deduction items included as positive numbers) that the transferor would take into account in calculating net investment income is 5% or less of the sum of all separately stated items of income, gain, loss, and deduction (with any separately stated loss and deduction items included as positive numbers) allocated to the transferor during the Section 1411 Holding Period, and</w:t>
      </w:r>
    </w:p>
    <w:p w14:paraId="6DB1B383" w14:textId="77777777" w:rsidR="00494B49" w:rsidRDefault="00494B49">
      <w:pPr>
        <w:pStyle w:val="BListitembul"/>
      </w:pPr>
      <w:r>
        <w:t>the gain the transferor recognized under Chapter 1 from the disposition of the Passthrough Entity is $5 million or less (including gains from multiple dispositions as part of a plan).</w:t>
      </w:r>
      <w:r>
        <w:rPr>
          <w:rStyle w:val="FootnoteReference"/>
        </w:rPr>
        <w:footnoteReference w:id="815"/>
      </w:r>
    </w:p>
    <w:p w14:paraId="5540A27F" w14:textId="77777777" w:rsidR="00494B49" w:rsidRDefault="00494B49">
      <w:pPr>
        <w:pStyle w:val="BHead4"/>
      </w:pPr>
      <w:r>
        <w:lastRenderedPageBreak/>
        <w:t xml:space="preserve">(3) Dispositions Not Eligible for the Optional </w:t>
      </w:r>
      <w:r>
        <w:br/>
        <w:t>Simplified Method</w:t>
      </w:r>
    </w:p>
    <w:p w14:paraId="2BA6D05C" w14:textId="77777777" w:rsidR="00494B49" w:rsidRDefault="00494B49">
      <w:pPr>
        <w:pStyle w:val="BNormal"/>
      </w:pPr>
      <w:r>
        <w:t xml:space="preserve">2013 Prop. Reg. </w:t>
      </w:r>
      <w:smartTag w:uri="http://www.bna.com/sgml2word/cite" w:element="cite.cfr">
        <w:smartTagPr>
          <w:attr w:name="ref" w:val="prule\cfr\26\1.1411-7(c)(3)"/>
        </w:smartTagPr>
        <w:r>
          <w:t>§1.1411-7(c)(3)</w:t>
        </w:r>
      </w:smartTag>
      <w:r>
        <w:t xml:space="preserve"> provides certain exceptions for situations in which a transferor is ineligible to use the Optional Simplified Method. 2013 Prop. Reg. </w:t>
      </w:r>
      <w:smartTag w:uri="http://www.bna.com/sgml2word/cite" w:element="cite.cfr">
        <w:smartTagPr>
          <w:attr w:name="ref" w:val="prule\cfr\26\1.1411-7(c)(3)(i)"/>
        </w:smartTagPr>
        <w:r>
          <w:t>§1.1411-7(c)(3)(i)</w:t>
        </w:r>
      </w:smartTag>
      <w:r>
        <w:t>–</w:t>
      </w:r>
      <w:smartTag w:uri="http://www.bna.com/sgml2word/cite" w:element="cite.cfr">
        <w:smartTagPr>
          <w:attr w:name="ref" w:val="prule\cfr\26\1.1411-7(c)(3)(v)"/>
        </w:smartTagPr>
        <w:r>
          <w:t>§1.1411-7(c)(3)(v)</w:t>
        </w:r>
      </w:smartTag>
      <w:r>
        <w:t xml:space="preserve"> provide five exceptions for this purpose: (1) transferors that have held the interest for less than 12 months; (2) certain contributions and distributions during the Section 1411 Holding Period; (3) Passthrough Entities that have significantly modified the composition of their assets; (4) S corporations that have recently converted from C corporations; and (5) partial dispositions. These exceptions include situations in which the transferor’s historical distributive share amounts are less likely to reflect the gain in the Passthrough Entity’s Section 1411 Property on the date of the transferor’s disposition.</w:t>
      </w:r>
    </w:p>
    <w:p w14:paraId="39941451" w14:textId="77777777" w:rsidR="00494B49" w:rsidRDefault="00494B49">
      <w:pPr>
        <w:pStyle w:val="BNormal"/>
      </w:pPr>
      <w:r>
        <w:t>The first exception to eligibility for the Optional Simplified Method applies unless the transferor has directly held the interest in the Passthrough Entity (or indirectly held the interest in the case of a Subsidiary Passthrough Entity) for the 12-month period preceding the Section 1411(c)(4) Disposition.</w:t>
      </w:r>
      <w:r>
        <w:rPr>
          <w:rStyle w:val="FootnoteReference"/>
        </w:rPr>
        <w:footnoteReference w:id="816"/>
      </w:r>
      <w:r>
        <w:t xml:space="preserve"> As stated above, the core rationale for the exception is that historical Schedules K-1 are not a reliable proxy to estimate the asset mix because, in this case, the historical Schedules K-1 cover less than 12 months. Keep in mind, however, that the Section 1411 Holding Period covers contributions to, and distributions from, Passthrough Entities. Therefore, this exception would not cover those situations, but would cover gifts, inheritances, distributions from estates and trusts, purchases (and deemed purchases resulting from deemed sales),</w:t>
      </w:r>
      <w:r>
        <w:rPr>
          <w:rStyle w:val="FootnoteReference"/>
        </w:rPr>
        <w:footnoteReference w:id="817"/>
      </w:r>
      <w:r>
        <w:t xml:space="preserve"> option exercises, and compensatory grants.</w:t>
      </w:r>
    </w:p>
    <w:p w14:paraId="00DC386D" w14:textId="77777777" w:rsidR="00494B49" w:rsidRDefault="00494B49">
      <w:pPr>
        <w:pStyle w:val="BNormal"/>
      </w:pPr>
      <w:r>
        <w:t>The second exception provides that a transferor is ineligible to use the Optional Simplified Method if the transferor transferred Section 1411 Property (other than cash or cash equivalents) to the Passthrough Entity, or received a distribution of property (other than Section 1411 Property) from the Passthrough Entity, as part of a plan that includes the transfer of the interest in the Passthrough Entity.</w:t>
      </w:r>
      <w:r>
        <w:rPr>
          <w:rStyle w:val="FootnoteReference"/>
        </w:rPr>
        <w:footnoteReference w:id="818"/>
      </w:r>
      <w:r>
        <w:t xml:space="preserve"> A transferor who contributes, directly or indirectly, Section 1411 Property (other than cash or cash equivalents) within 120 days of the disposition of the interest in the Passthrough Entity is presumed to have made the contribution as part of a plan that includes the transfer of the interest in the Passthrough Entity.</w:t>
      </w:r>
      <w:r>
        <w:rPr>
          <w:rStyle w:val="FootnoteReference"/>
        </w:rPr>
        <w:footnoteReference w:id="819"/>
      </w:r>
      <w:r>
        <w:t xml:space="preserve"> The rationale for this exception is that historical Schedules K-1 are not reliable if the asset mix within the entity on the date of sale is different than the asset mix that produced the income on the historical Schedules K-1. This was intended to cover the situation in which a partnership with 80% non-Section 1411 Property that produced the vast majority of non-net-investment income is distributed to the partners (or divided the partnership into two partnerships) where the assets remaining in the partnership constitute mostly Section 1411 Property but the historical Schedules K-1 report predominantly non-net-investment income. In this situation, the partners could sell the partnership with a favorable Optional Simplified Method multiplier (even though it now contains mostly Section 1411 Property) and then sell the distributed assets such that all of the gain is excluded under Reg. </w:t>
      </w:r>
      <w:smartTag w:uri="http://www.bna.com/sgml2word/cite" w:element="cite.cfr">
        <w:smartTagPr>
          <w:attr w:name="ref" w:val="cfr\26\1.1411-4(d)(4)"/>
        </w:smartTagPr>
        <w:r>
          <w:t>§1.1411-4(d)(4)</w:t>
        </w:r>
      </w:smartTag>
      <w:r>
        <w:t xml:space="preserve"> or </w:t>
      </w:r>
      <w:smartTag w:uri="http://www.bna.com/sgml2word/cite" w:element="cite.usc">
        <w:smartTagPr>
          <w:attr w:name="ref" w:val="USC\26\1411(c)(4)"/>
        </w:smartTagPr>
        <w:r>
          <w:t>§1411(c)(4)</w:t>
        </w:r>
      </w:smartTag>
      <w:r>
        <w:t xml:space="preserve"> (in the case of a divided partnership). </w:t>
      </w:r>
    </w:p>
    <w:p w14:paraId="1B6D6EA3" w14:textId="77777777" w:rsidR="00494B49" w:rsidRDefault="00494B49">
      <w:pPr>
        <w:pStyle w:val="BNormal"/>
      </w:pPr>
      <w:r>
        <w:lastRenderedPageBreak/>
        <w:t>The third exception focuses on changes to the composition of the Passthrough Entity’s assets during the Section 1411 Holding Period. Under this exception, the transferor is ineligible to use the Optional Simplified Method if the transferor knows or has reason to know that the percentage of the Passthrough Entity’s gross assets that consists of Section 1411 Property (other than cash or cash equivalents) has increased or decreased by 25 percentage points or more during the transferor’s Section 1411 Holding Period due to contributions, distributions, or asset acquisitions or dispositions in taxable or nonrecognition transactions.</w:t>
      </w:r>
      <w:r>
        <w:rPr>
          <w:rStyle w:val="FootnoteReference"/>
        </w:rPr>
        <w:footnoteReference w:id="820"/>
      </w:r>
      <w:r>
        <w:t xml:space="preserve"> The rationale for this exception is similar to the second exception because it concerns the asset mix of the balance sheet. The second exception was concerned with stuffing Section 1411 Property into a Passthrough Entity, or a distribution of non-Section 1411 Property. This exception applies more broadly but is counterbalanced by the requirement that the seller has knowledge of the change. This exception covers contributions of non-Section 1411 Property by other Passthrough Entity owners but would also cover mergers and acquisitions. Additionally, in the S corporation context, it would cover the QSub election of a corporation wholly owned by the S corporation.</w:t>
      </w:r>
      <w:r>
        <w:rPr>
          <w:rStyle w:val="FootnoteReference"/>
        </w:rPr>
        <w:footnoteReference w:id="821"/>
      </w:r>
      <w:r>
        <w:t xml:space="preserve"> It is likely, although not free from doubt, that if an entity’s balance sheet changes by more than 25% during the Section 1411 Holding Period, owners will likely know about it.</w:t>
      </w:r>
      <w:r>
        <w:rPr>
          <w:rStyle w:val="FootnoteReference"/>
        </w:rPr>
        <w:footnoteReference w:id="822"/>
      </w:r>
    </w:p>
    <w:p w14:paraId="503A302B" w14:textId="77777777" w:rsidR="00494B49" w:rsidRDefault="00494B49">
      <w:pPr>
        <w:pStyle w:val="BNormal"/>
      </w:pPr>
      <w:r>
        <w:t>The fourth exception provides that the Optional Simplified Method is not available if the Passthrough Entity was a C corporation during the Section 1411 Holding Period and elected to be taxed as an S corporation.</w:t>
      </w:r>
      <w:r>
        <w:rPr>
          <w:rStyle w:val="FootnoteReference"/>
        </w:rPr>
        <w:footnoteReference w:id="823"/>
      </w:r>
      <w:r>
        <w:t xml:space="preserve"> In C-to-S conversions, the well-advised corporation traditionally values their assets of </w:t>
      </w:r>
      <w:smartTag w:uri="http://www.bna.com/sgml2word/cite" w:element="cite.usc">
        <w:smartTagPr>
          <w:attr w:name="ref" w:val="USC\26\1374"/>
        </w:smartTagPr>
        <w:r>
          <w:t>§1374</w:t>
        </w:r>
      </w:smartTag>
      <w:r>
        <w:t xml:space="preserve"> built-in gains purposes, so the entity may have the information readily available for shareholders to comply with the Primary Method. More specifically, if a C corporation converts to an S corporation two days before a sale (presumably in contemplation of a sale in order to be covered by </w:t>
      </w:r>
      <w:smartTag w:uri="http://www.bna.com/sgml2word/cite" w:element="cite.usc">
        <w:smartTagPr>
          <w:attr w:name="ref" w:val="USC\26\1411(c)(4)"/>
        </w:smartTagPr>
        <w:r>
          <w:t>§1411(c)(4)</w:t>
        </w:r>
      </w:smartTag>
      <w:r>
        <w:t>), the two days of historical Schedules K-1 are not representative of the S corporation’s assets of the S corporation. Because the Treasury Department and IRS presumably were unable to bar this type of pre-sale planning, the government eliminated the simplifying conventions for the shareholders.</w:t>
      </w:r>
    </w:p>
    <w:p w14:paraId="6356B580" w14:textId="77777777" w:rsidR="00494B49" w:rsidRDefault="00494B49">
      <w:pPr>
        <w:pStyle w:val="BNormal"/>
      </w:pPr>
      <w:r>
        <w:t>The final exception provides that a transferor-partner cannot use the Optional Simplified Method if the transferor transfers only a partial interest that does not represent a proportionate share of all of the partner’s economic rights in the partnership.</w:t>
      </w:r>
      <w:r>
        <w:rPr>
          <w:rStyle w:val="FootnoteReference"/>
        </w:rPr>
        <w:footnoteReference w:id="824"/>
      </w:r>
      <w:r>
        <w:t xml:space="preserve"> For example, a partner who transfers a preferred interest in a partnership while retaining a common interest in that partnership cannot use the Optional Simplified Method. Because S corporations cannot have more than one class of stock, this exception is limited to partnerships. The rationale for this exception is because the historical Schedules K-1 for a partner with different classes of interests combine the partner’s distributive share of tax items from all classes into a single line-item entry on the Schedule K-1. </w:t>
      </w:r>
      <w:r>
        <w:lastRenderedPageBreak/>
        <w:t xml:space="preserve">Therefore, it would be too difficult for the partner to deconstruct a unified Schedule K-1 into component parts when only a nonvertical slice of the partnership is sold. </w:t>
      </w:r>
    </w:p>
    <w:p w14:paraId="107DE9C9" w14:textId="77777777" w:rsidR="00494B49" w:rsidRDefault="00494B49">
      <w:pPr>
        <w:pStyle w:val="BHead4"/>
      </w:pPr>
      <w:r>
        <w:t>(4) Calculation of §1411(c)(4) Adjustment Under the Optional Simplified Method</w:t>
      </w:r>
    </w:p>
    <w:p w14:paraId="497E8847" w14:textId="77777777" w:rsidR="00494B49" w:rsidRDefault="00494B49">
      <w:pPr>
        <w:pStyle w:val="BNormal"/>
      </w:pPr>
      <w:r>
        <w:t xml:space="preserve">2013 Prop. Reg. </w:t>
      </w:r>
      <w:smartTag w:uri="http://www.bna.com/sgml2word/cite" w:element="cite.cfr">
        <w:smartTagPr>
          <w:attr w:name="ref" w:val="prule\cfr\26\1.1411-7(c)(4)"/>
        </w:smartTagPr>
        <w:r>
          <w:t>§1.1411-7(c)(4)</w:t>
        </w:r>
      </w:smartTag>
      <w:r>
        <w:t xml:space="preserve"> provides the calculation methodology for making the </w:t>
      </w:r>
      <w:smartTag w:uri="http://www.bna.com/sgml2word/cite" w:element="cite.usc">
        <w:smartTagPr>
          <w:attr w:name="ref" w:val="USC\26\1411(c)(4)"/>
        </w:smartTagPr>
        <w:r>
          <w:t>§1411(c)(4)</w:t>
        </w:r>
      </w:smartTag>
      <w:r>
        <w:t xml:space="preserve"> adjustment under the Optional Simplified Method. As mentioned above, the Optional Simplified Method multiplies the seller’s Chapter 1 gain (regardless of whether it is ordinary or capital gain) by a multiplier based on the tax attributes of the Passthrough Entity reported to the seller on Schedules K-1 during the Section 1411 Holding Period.</w:t>
      </w:r>
    </w:p>
    <w:p w14:paraId="163EF7D8" w14:textId="77777777" w:rsidR="00494B49" w:rsidRDefault="00494B49">
      <w:pPr>
        <w:pStyle w:val="BNormal"/>
      </w:pPr>
      <w:r>
        <w:t xml:space="preserve">In the simplest terms, the multiplier is equal to total net investment income reported to the taxpayer divided by the total income reported to the taxpayer during the Section 1411 Holding Period. However, the simple explanation is only a guidepost for interpreting the complex wording of 2013 Prop. Reg. </w:t>
      </w:r>
      <w:smartTag w:uri="http://www.bna.com/sgml2word/cite" w:element="cite.cfr">
        <w:smartTagPr>
          <w:attr w:name="ref" w:val="prule\cfr\26\1.1411-7(c)(4)"/>
        </w:smartTagPr>
        <w:r>
          <w:t>§1.1411-7(c)(4)</w:t>
        </w:r>
      </w:smartTag>
      <w:r>
        <w:t xml:space="preserve">. The wording of 2013 Prop. Reg. </w:t>
      </w:r>
      <w:smartTag w:uri="http://www.bna.com/sgml2word/cite" w:element="cite.cfr">
        <w:smartTagPr>
          <w:attr w:name="ref" w:val="prule\cfr\26\1.1411-7(c)(4)"/>
        </w:smartTagPr>
        <w:r>
          <w:t>§1.1411-7(c)(4)</w:t>
        </w:r>
      </w:smartTag>
      <w:r>
        <w:t xml:space="preserve"> is complex because the simple explanation only works if the distributive share items reported to the taxpayer on Schedule K-1 are all positive amounts or all negative amounts. The simple explanation fails when, for example, the total net investment income from an activity over the Section 1411 Holding Period is $100 and the total income from the activity over the same period is a net loss of ($50).</w:t>
      </w:r>
    </w:p>
    <w:p w14:paraId="08B6CA1A" w14:textId="77777777" w:rsidR="00494B49" w:rsidRDefault="00494B49">
      <w:pPr>
        <w:pStyle w:val="BNormal"/>
      </w:pPr>
      <w:r>
        <w:t xml:space="preserve">2013 Prop. Reg. </w:t>
      </w:r>
      <w:smartTag w:uri="http://www.bna.com/sgml2word/cite" w:element="cite.cfr">
        <w:smartTagPr>
          <w:attr w:name="ref" w:val="prule\cfr\26\1.1411-7(c)(4)"/>
        </w:smartTagPr>
        <w:r>
          <w:t>§1.1411-7(c)(4)</w:t>
        </w:r>
      </w:smartTag>
      <w:r>
        <w:t xml:space="preserve"> describes the multiplier as a fraction “the numerator of which is the sum of income, gain, loss, and deduction items (with any separately stated loss and deduction items netted as negative numbers) of a type that are taken into account in the calculation of net investment income (as defined in Reg. </w:t>
      </w:r>
      <w:smartTag w:uri="http://www.bna.com/sgml2word/cite" w:element="cite.cfr">
        <w:smartTagPr>
          <w:attr w:name="ref" w:val="cfr\26\1.1411-1(d)"/>
        </w:smartTagPr>
        <w:r>
          <w:t>§1.1411-1(d)</w:t>
        </w:r>
      </w:smartTag>
      <w:r>
        <w:t>) that are allocated to the transferor during the Section 1411 Holding Period and the denominator of which is the sum of all items of income, gain, loss, and deduction allocated to the transferor during the Section 1411 Holding Period (with any separately stated loss and deduction items netted as negative numbers).” If the seller’s holding period is tacked to a predecessor Passthrough Entity,</w:t>
      </w:r>
      <w:r>
        <w:rPr>
          <w:rStyle w:val="FootnoteReference"/>
        </w:rPr>
        <w:footnoteReference w:id="825"/>
      </w:r>
      <w:r>
        <w:t xml:space="preserve"> items of income, gain, loss, or deduction allocated to the transferor include items allocated to the transferor’s predecessor (or predecessors) in interest during the Section 1411 Holding Period.</w:t>
      </w:r>
      <w:r>
        <w:rPr>
          <w:rStyle w:val="FootnoteReference"/>
        </w:rPr>
        <w:footnoteReference w:id="826"/>
      </w:r>
      <w:r>
        <w:t xml:space="preserve"> Following the same logic, if the seller has a tacked holding period because the transferor transferred an interest in a Subsidiary Passthrough Entity to the Passthrough Entity,</w:t>
      </w:r>
      <w:r>
        <w:rPr>
          <w:rStyle w:val="FootnoteReference"/>
        </w:rPr>
        <w:footnoteReference w:id="827"/>
      </w:r>
      <w:r>
        <w:t xml:space="preserve"> items of income, gain, loss, or deduction allocated to the transferor include items allocated to the transferor during the Section 1411 Holding Period in respect of the interest in the Subsidiary Passthrough Entity.</w:t>
      </w:r>
      <w:r>
        <w:rPr>
          <w:rStyle w:val="FootnoteReference"/>
        </w:rPr>
        <w:footnoteReference w:id="828"/>
      </w:r>
    </w:p>
    <w:p w14:paraId="6773F680" w14:textId="77777777" w:rsidR="00494B49" w:rsidRDefault="00494B49" w:rsidP="007865AF">
      <w:pPr>
        <w:pStyle w:val="BNormal"/>
      </w:pPr>
      <w:r>
        <w:t xml:space="preserve">Translating the text of 2013 Prop. Reg. </w:t>
      </w:r>
      <w:smartTag w:uri="http://www.bna.com/sgml2word/cite" w:element="cite.cfr">
        <w:smartTagPr>
          <w:attr w:name="ref" w:val="prule\cfr\26\1.1411-7(c)(4)"/>
        </w:smartTagPr>
        <w:r>
          <w:t>§1.1411-7(c)(4)</w:t>
        </w:r>
      </w:smartTag>
      <w:r>
        <w:t xml:space="preserve"> into a traditional mathematical formula yields the following equation: </w:t>
      </w:r>
    </w:p>
    <w:p w14:paraId="66C46909" w14:textId="77777777" w:rsidR="00494B49" w:rsidRDefault="00494B49" w:rsidP="007865AF">
      <w:pPr>
        <w:pStyle w:val="BNormal"/>
      </w:pPr>
    </w:p>
    <w:tbl>
      <w:tblPr>
        <w:tblStyle w:val="TableGrid"/>
        <w:tblW w:w="0" w:type="auto"/>
        <w:tblLook w:val="04A0" w:firstRow="1" w:lastRow="0" w:firstColumn="1" w:lastColumn="0" w:noHBand="0" w:noVBand="1"/>
      </w:tblPr>
      <w:tblGrid>
        <w:gridCol w:w="5435"/>
        <w:gridCol w:w="1809"/>
        <w:gridCol w:w="2106"/>
      </w:tblGrid>
      <w:tr w:rsidR="00494B49" w14:paraId="18D72603" w14:textId="77777777">
        <w:tc>
          <w:tcPr>
            <w:tcW w:w="3360" w:type="dxa"/>
          </w:tcPr>
          <w:p w14:paraId="17FE64A0" w14:textId="77777777" w:rsidR="00494B49" w:rsidRDefault="00494B49">
            <w:r>
              <w:t>Multiplier</w:t>
            </w:r>
          </w:p>
        </w:tc>
        <w:tc>
          <w:tcPr>
            <w:tcW w:w="3360" w:type="dxa"/>
          </w:tcPr>
          <w:p w14:paraId="15670640" w14:textId="77777777" w:rsidR="00494B49" w:rsidRDefault="00494B49">
            <w:r>
              <w:t>=</w:t>
            </w:r>
          </w:p>
        </w:tc>
        <w:tc>
          <w:tcPr>
            <w:tcW w:w="3360" w:type="dxa"/>
          </w:tcPr>
          <w:p w14:paraId="2C677A9A" w14:textId="77777777" w:rsidR="00494B49" w:rsidRDefault="00494B49">
            <w:r>
              <w:t xml:space="preserve">Total “net NII” over </w:t>
            </w:r>
            <w:r>
              <w:br/>
              <w:t>the Section 1411 Holding Period</w:t>
            </w:r>
            <w:r>
              <w:rPr>
                <w:rStyle w:val="FootnoteReference"/>
              </w:rPr>
              <w:footnoteReference w:id="829"/>
            </w:r>
          </w:p>
        </w:tc>
      </w:tr>
      <w:tr w:rsidR="00494B49" w14:paraId="1645BC4E" w14:textId="77777777">
        <w:trPr>
          <w:gridAfter w:val="2"/>
          <w:wAfter w:w="6720" w:type="dxa"/>
        </w:trPr>
        <w:tc>
          <w:tcPr>
            <w:tcW w:w="10080" w:type="dxa"/>
          </w:tcPr>
          <w:p w14:paraId="10DA002F" w14:textId="77777777" w:rsidR="00494B49" w:rsidRDefault="00494B49">
            <w:r>
              <w:lastRenderedPageBreak/>
              <w:t xml:space="preserve">Total “net income” over </w:t>
            </w:r>
            <w:r>
              <w:br/>
              <w:t>the Section 1411 Holding Period</w:t>
            </w:r>
            <w:r>
              <w:rPr>
                <w:rStyle w:val="FootnoteReference"/>
              </w:rPr>
              <w:footnoteReference w:id="830"/>
            </w:r>
          </w:p>
        </w:tc>
      </w:tr>
    </w:tbl>
    <w:p w14:paraId="0C55BCC7" w14:textId="77777777" w:rsidR="00494B49" w:rsidRDefault="00494B49">
      <w:pPr>
        <w:pStyle w:val="BNormal"/>
      </w:pPr>
      <w:r>
        <w:t xml:space="preserve"> </w:t>
      </w:r>
    </w:p>
    <w:p w14:paraId="5037D9DC" w14:textId="77777777" w:rsidR="00494B49" w:rsidRDefault="00494B49">
      <w:pPr>
        <w:pStyle w:val="BNormal"/>
      </w:pPr>
      <w:r>
        <w:t>As mentioned above, the simple multiplier formula breaks down when either the numerator or denominator is negative, but not both. Additionally, it is mathematically possible for the multiplier to be greater than one or less than negative one (i.e., when total “net NII” exceeds total “net income” or when total net net investment income loses are greater than total net loss). To account for these possibilities, the regulation provides that “[i]f the quotient of the fraction is either greater than one or less than zero, then the fraction shall be one; provided, however, that if the numerator is a negative amount in connection with a computation of overall Chapter 1 gain on the sale or a positive amount in connection with a computation of overall Chapter 1 loss on the sale, then the fraction shall be zero.”</w:t>
      </w:r>
      <w:r>
        <w:rPr>
          <w:rStyle w:val="FootnoteReference"/>
        </w:rPr>
        <w:footnoteReference w:id="831"/>
      </w:r>
    </w:p>
    <w:p w14:paraId="09ADB646" w14:textId="77777777" w:rsidR="00494B49" w:rsidRDefault="00494B49">
      <w:pPr>
        <w:pStyle w:val="BHead4"/>
      </w:pPr>
      <w:r>
        <w:t>(5) Examples of the Optional Simplified Method</w:t>
      </w:r>
    </w:p>
    <w:p w14:paraId="68365DBD" w14:textId="77777777" w:rsidR="00494B49" w:rsidRDefault="00494B49">
      <w:pPr>
        <w:pStyle w:val="BExamplepara"/>
      </w:pPr>
      <w:r>
        <w:t xml:space="preserve"> </w:t>
      </w:r>
      <w:r>
        <w:rPr>
          <w:i/>
        </w:rPr>
        <w:t xml:space="preserve">Example 1: </w:t>
      </w:r>
    </w:p>
    <w:p w14:paraId="08B7125A" w14:textId="77777777" w:rsidR="00494B49" w:rsidRDefault="00494B49">
      <w:pPr>
        <w:pStyle w:val="BExamplepara"/>
      </w:pPr>
      <w:r>
        <w:t xml:space="preserve">Assume that A owns a one-half interest in PRS, a partnership for federal income tax purposes. In Year 1, A sells an interest in PRS for $2,000,000. A’s adjusted basis in the interest sold is $1,100,000. Assume that PRS is engaged in at least one trade or business that is not passive with respect to A. Thus, A determines its amount of Reg. </w:t>
      </w:r>
      <w:smartTag w:uri="http://www.bna.com/sgml2word/cite" w:element="cite.cfr">
        <w:smartTagPr>
          <w:attr w:name="ref" w:val="cfr\26\1.1411-4(a)(1)(iii)"/>
        </w:smartTagPr>
        <w:r>
          <w:t>§1.1411-4(a)(1)(iii)</w:t>
        </w:r>
      </w:smartTag>
      <w:r>
        <w:t xml:space="preserve"> net gain included in the computation of net investment income under 2013 Prop. Reg. </w:t>
      </w:r>
      <w:smartTag w:uri="http://www.bna.com/sgml2word/cite" w:element="cite.cfr">
        <w:smartTagPr>
          <w:attr w:name="ref" w:val="prule\cfr\26\1.1411-7"/>
        </w:smartTagPr>
        <w:r>
          <w:t>§1.1411-7</w:t>
        </w:r>
      </w:smartTag>
      <w:r>
        <w:t>.</w:t>
      </w:r>
    </w:p>
    <w:p w14:paraId="7247AF61" w14:textId="77777777" w:rsidR="00494B49" w:rsidRDefault="00494B49" w:rsidP="007865AF">
      <w:pPr>
        <w:pStyle w:val="BExamplepara"/>
      </w:pPr>
      <w:r>
        <w:t xml:space="preserve">Assume that none of the inapplicability conditions set forth in 2013 Prop. Reg. </w:t>
      </w:r>
      <w:smartTag w:uri="http://www.bna.com/sgml2word/cite" w:element="cite.cfr">
        <w:smartTagPr>
          <w:attr w:name="ref" w:val="prule\cfr\26\1.1411-7(c)(3)"/>
        </w:smartTagPr>
        <w:r>
          <w:t>§1.1411-7(c)(3)</w:t>
        </w:r>
      </w:smartTag>
      <w:r>
        <w:t xml:space="preserve"> apply (discussed in </w:t>
      </w:r>
      <w:smartTag w:uri="http://www.bna.com/sgml2word/cite" w:element="cite.bna.reference">
        <w:smartTagPr>
          <w:attr w:name="bna.id.ref" w:val="TM\511.VI.B.2.b(3)"/>
        </w:smartTagPr>
        <w:r>
          <w:t>VI.B.2.b.(3)</w:t>
        </w:r>
      </w:smartTag>
      <w:smartTag w:uri="http://www.bna.com/sgml2word/cite" w:element="cite.bna.reference">
        <w:smartTagPr>
          <w:attr w:name="bna.id.ref" w:val="TM\873.VI.B.2.b(3)"/>
        </w:smartTagPr>
        <w:r>
          <w:t>VI.B.2.b.(3)</w:t>
        </w:r>
      </w:smartTag>
      <w:r>
        <w:t>, above). The aggregate net income from PRS’s activities allocable to A for the year of disposition and the two preceding tax years are as follows:</w:t>
      </w:r>
    </w:p>
    <w:p w14:paraId="43200E47"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4680"/>
        <w:gridCol w:w="4670"/>
      </w:tblGrid>
      <w:tr w:rsidR="00494B49" w14:paraId="665EAF43" w14:textId="77777777">
        <w:tc>
          <w:tcPr>
            <w:tcW w:w="5040" w:type="dxa"/>
          </w:tcPr>
          <w:p w14:paraId="3FD0A551" w14:textId="77777777" w:rsidR="00494B49" w:rsidRDefault="00494B49"/>
        </w:tc>
        <w:tc>
          <w:tcPr>
            <w:tcW w:w="5040" w:type="dxa"/>
          </w:tcPr>
          <w:p w14:paraId="4262E101" w14:textId="77777777" w:rsidR="00494B49" w:rsidRDefault="00494B49">
            <w:r>
              <w:t>Aggregate income / (loss)</w:t>
            </w:r>
          </w:p>
        </w:tc>
      </w:tr>
      <w:tr w:rsidR="00494B49" w14:paraId="564147E6" w14:textId="77777777">
        <w:tc>
          <w:tcPr>
            <w:tcW w:w="5040" w:type="dxa"/>
          </w:tcPr>
          <w:p w14:paraId="59769D9E" w14:textId="77777777" w:rsidR="00494B49" w:rsidRDefault="00494B49">
            <w:r>
              <w:t>X (Nonpassive activity of A)</w:t>
            </w:r>
          </w:p>
        </w:tc>
        <w:tc>
          <w:tcPr>
            <w:tcW w:w="5040" w:type="dxa"/>
          </w:tcPr>
          <w:p w14:paraId="36898F0A" w14:textId="77777777" w:rsidR="00494B49" w:rsidRDefault="00494B49">
            <w:r>
              <w:t>$1,800,000</w:t>
            </w:r>
          </w:p>
        </w:tc>
      </w:tr>
      <w:tr w:rsidR="00494B49" w14:paraId="73BE2598" w14:textId="77777777">
        <w:tc>
          <w:tcPr>
            <w:tcW w:w="5040" w:type="dxa"/>
          </w:tcPr>
          <w:p w14:paraId="21703785" w14:textId="77777777" w:rsidR="00494B49" w:rsidRDefault="00494B49">
            <w:r>
              <w:t>Y (Passive activity of A)</w:t>
            </w:r>
          </w:p>
        </w:tc>
        <w:tc>
          <w:tcPr>
            <w:tcW w:w="5040" w:type="dxa"/>
          </w:tcPr>
          <w:p w14:paraId="690EB18C" w14:textId="77777777" w:rsidR="00494B49" w:rsidRDefault="00494B49">
            <w:r>
              <w:t>($10,000)</w:t>
            </w:r>
          </w:p>
        </w:tc>
      </w:tr>
      <w:tr w:rsidR="00494B49" w14:paraId="7946C661" w14:textId="77777777">
        <w:tc>
          <w:tcPr>
            <w:tcW w:w="5040" w:type="dxa"/>
          </w:tcPr>
          <w:p w14:paraId="60B51AF9" w14:textId="77777777" w:rsidR="00494B49" w:rsidRDefault="00494B49">
            <w:r>
              <w:t xml:space="preserve">Marketable securities </w:t>
            </w:r>
          </w:p>
        </w:tc>
        <w:tc>
          <w:tcPr>
            <w:tcW w:w="5040" w:type="dxa"/>
          </w:tcPr>
          <w:p w14:paraId="1ED8ABE2" w14:textId="77777777" w:rsidR="00494B49" w:rsidRDefault="00494B49">
            <w:r>
              <w:t>$20,000</w:t>
            </w:r>
          </w:p>
        </w:tc>
      </w:tr>
    </w:tbl>
    <w:p w14:paraId="2B3569CE" w14:textId="77777777" w:rsidR="00494B49" w:rsidRDefault="00494B49">
      <w:pPr>
        <w:pStyle w:val="BNormal"/>
      </w:pPr>
    </w:p>
    <w:p w14:paraId="3B28D356" w14:textId="77777777" w:rsidR="00494B49" w:rsidRDefault="00494B49">
      <w:pPr>
        <w:pStyle w:val="BExamplepara"/>
      </w:pPr>
      <w:r>
        <w:rPr>
          <w:rStyle w:val="BExamplehead"/>
          <w:rFonts w:eastAsiaTheme="minorHAnsi"/>
          <w:i/>
        </w:rPr>
        <w:t>Determination of Optional Simplified Method eligibility</w:t>
      </w:r>
      <w:r>
        <w:t>:</w:t>
      </w:r>
    </w:p>
    <w:p w14:paraId="2840595E" w14:textId="77777777" w:rsidR="00494B49" w:rsidRDefault="00494B49">
      <w:pPr>
        <w:pStyle w:val="BExamplepara"/>
      </w:pPr>
      <w:r>
        <w:t>During A’s Section 1411 Holding Period, A was allocated $30,000 of gross items of a type taken into account in the computation of net investment income ($10,000 of loss from activity Y and $20,000 of income from marketable securities).</w:t>
      </w:r>
      <w:r>
        <w:rPr>
          <w:rStyle w:val="FootnoteReference"/>
        </w:rPr>
        <w:footnoteReference w:id="832"/>
      </w:r>
      <w:r>
        <w:t xml:space="preserve"> The total amount of A’s </w:t>
      </w:r>
      <w:r>
        <w:lastRenderedPageBreak/>
        <w:t xml:space="preserve">allocated net items during the Section 1411 Holding Period equals $1,830,000 ($1,800,000 income from activity X, $10,000 loss from activity Y, and $20,000 income from marketable securities). Thus, less than 5% ($30,000/$1,830,000) of A’s allocations during the Section 1411 Holding Period are of a type that are taken into account in the computation of net investment income, and because A’s Chapter 1 gain recognized of $900,000 is less than $5,000,000, A qualifies under 2013 Prop. Reg. </w:t>
      </w:r>
      <w:smartTag w:uri="http://www.bna.com/sgml2word/cite" w:element="cite.cfr">
        <w:smartTagPr>
          <w:attr w:name="ref" w:val="prule\cfr\26\1.1411-7(c)(2)(ii)"/>
        </w:smartTagPr>
        <w:r>
          <w:t>§1.1411-7(c)(2)(ii)</w:t>
        </w:r>
      </w:smartTag>
      <w:r>
        <w:t xml:space="preserve"> to use the Optional Simplified Method.</w:t>
      </w:r>
    </w:p>
    <w:p w14:paraId="47B13DCB" w14:textId="77777777" w:rsidR="00494B49" w:rsidRDefault="00494B49">
      <w:pPr>
        <w:pStyle w:val="BExamplepara"/>
      </w:pPr>
      <w:r>
        <w:rPr>
          <w:rStyle w:val="BExamplehead"/>
          <w:rFonts w:eastAsiaTheme="minorHAnsi"/>
          <w:i/>
        </w:rPr>
        <w:t>Calculation of net gain included in computation of net investment income</w:t>
      </w:r>
      <w:r>
        <w:t>:</w:t>
      </w:r>
    </w:p>
    <w:p w14:paraId="759C7BFF" w14:textId="77777777" w:rsidR="00494B49" w:rsidRDefault="00494B49">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shares of income and loss of a type taken into account in calculating net investment income and allocated to the transferor by the Passthrough Entity during the Section 1411 Holding Period, is $10,000 ($20,000 income from marketable securities minus $10,000 loss from Y) divided by $1,810,000, which is the sum of A’s share of income and loss from all of P’s activities ($1,800,000 + $20,000 - $10,000). Thus, A’s net gain included in net investment income is $4,972.32 ($900,000 Chapter 1 gain multiplied by the fraction $10,000/$1,810,000).</w:t>
      </w:r>
    </w:p>
    <w:p w14:paraId="0F4DCB05" w14:textId="77777777" w:rsidR="00494B49" w:rsidRDefault="00494B49">
      <w:pPr>
        <w:pStyle w:val="BExamplepara"/>
      </w:pPr>
      <w:r>
        <w:t xml:space="preserve">From a tax compliance perspective, the $900,000 gain will be reported on </w:t>
      </w:r>
      <w:smartTag w:uri="http://www.bna.com/sgml2word/cite" w:element="cite.fed.form">
        <w:smartTagPr>
          <w:attr w:name="ref" w:val="irs\form8960"/>
        </w:smartTagPr>
        <w:r>
          <w:t>Form 8960</w:t>
        </w:r>
      </w:smartTag>
      <w:r>
        <w:t>, Line 5a and will be reduced by a negative adjustment of $895,027.68 on Line 5c. The information reporting requirements associated with the adjustment only require (i) the name and taxpayer identification number of the Passthrough Entity that had its interest transferred and (ii) the amount of the transferor’s gain or loss on the disposition of the interest for purposes of Chapter 1.</w:t>
      </w:r>
      <w:r>
        <w:rPr>
          <w:rStyle w:val="FootnoteReference"/>
        </w:rPr>
        <w:footnoteReference w:id="833"/>
      </w:r>
    </w:p>
    <w:p w14:paraId="36722927" w14:textId="77777777" w:rsidR="00494B49" w:rsidRDefault="00494B49">
      <w:pPr>
        <w:pStyle w:val="BExamplepara"/>
      </w:pPr>
      <w:r>
        <w:t xml:space="preserve"> </w:t>
      </w:r>
      <w:r>
        <w:rPr>
          <w:i/>
        </w:rPr>
        <w:t xml:space="preserve">Example 2: </w:t>
      </w:r>
    </w:p>
    <w:p w14:paraId="54A188B2" w14:textId="77777777" w:rsidR="00494B49" w:rsidRDefault="00494B49">
      <w:pPr>
        <w:pStyle w:val="BExamplepara"/>
      </w:pPr>
      <w:r>
        <w:t xml:space="preserve">Assume the same facts as Example 1 above, but assume that A sells the interest in PRS for $900,000, which generates a $200,000 loss for regular income tax purposes. </w:t>
      </w:r>
    </w:p>
    <w:p w14:paraId="5405F219" w14:textId="77777777" w:rsidR="00494B49" w:rsidRDefault="00494B49">
      <w:pPr>
        <w:pStyle w:val="BExamplepara"/>
      </w:pPr>
      <w:r>
        <w:t xml:space="preserve"> </w:t>
      </w:r>
      <w:r>
        <w:rPr>
          <w:i/>
        </w:rPr>
        <w:t xml:space="preserve">Calculation of loss included in net investment income: </w:t>
      </w:r>
    </w:p>
    <w:p w14:paraId="03259655" w14:textId="77777777" w:rsidR="00494B49" w:rsidRDefault="00494B49">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 of income and loss of a type taken into account in calculating net investment income and allocated to the transferor by the Passthrough Entity during the Section 1411 Holding Period is $10,000 ($10,000 loss from Y + $20,000 income from marketable securities) by $1,810,000, which is the sum of A’s share of income and loss from all of P’s activities ($1,800,000 + $20,000 - $10,000).</w:t>
      </w:r>
    </w:p>
    <w:p w14:paraId="5404E7E9" w14:textId="77777777" w:rsidR="00494B49" w:rsidRDefault="00494B49">
      <w:pPr>
        <w:pStyle w:val="BExamplepara"/>
      </w:pPr>
      <w:r>
        <w:t xml:space="preserve">Because A’s allocable share, during the Section 1411 Holding Period, of income and loss of a type that is taken into account in calculating net investment income was a positive </w:t>
      </w:r>
      <w:r>
        <w:lastRenderedPageBreak/>
        <w:t xml:space="preserve">amount, and A sells its interest for an overall Chapter 1 loss, A uses a fraction of 0/0 to compute its net investment income under 2013 Prop. Reg. </w:t>
      </w:r>
      <w:smartTag w:uri="http://www.bna.com/sgml2word/cite" w:element="cite.cfr">
        <w:smartTagPr>
          <w:attr w:name="ref" w:val="prule\cfr\26\1.1411-7(c)(4)"/>
        </w:smartTagPr>
        <w:r>
          <w:t>§1.1411-7(c)(4)</w:t>
        </w:r>
      </w:smartTag>
      <w:r>
        <w:t>. Thus, A includes no gain or loss in its computation of net investment income ($200,000 Chapter 1 loss multiplied by a fraction of 0/0).</w:t>
      </w:r>
    </w:p>
    <w:p w14:paraId="5B41B5DA" w14:textId="77777777" w:rsidR="00494B49" w:rsidRDefault="00494B49">
      <w:pPr>
        <w:pStyle w:val="BExamplepara"/>
      </w:pPr>
      <w:r>
        <w:t xml:space="preserve">From a tax compliance perspective, the $200,000 loss will be reported on </w:t>
      </w:r>
      <w:smartTag w:uri="http://www.bna.com/sgml2word/cite" w:element="cite.fed.form">
        <w:smartTagPr>
          <w:attr w:name="ref" w:val="irs\form8960"/>
        </w:smartTagPr>
        <w:r>
          <w:t>Form 8960</w:t>
        </w:r>
      </w:smartTag>
      <w:r>
        <w:t xml:space="preserve">, Line 5a and there is no adjustment amount reported on Line 5c. The same information reporting is required in </w:t>
      </w:r>
      <w:r>
        <w:rPr>
          <w:i/>
        </w:rPr>
        <w:t>Example 2</w:t>
      </w:r>
      <w:r>
        <w:t xml:space="preserve"> as in </w:t>
      </w:r>
      <w:r>
        <w:rPr>
          <w:i/>
        </w:rPr>
        <w:t>Example 1</w:t>
      </w:r>
      <w:r>
        <w:t xml:space="preserve">. </w:t>
      </w:r>
    </w:p>
    <w:p w14:paraId="02EA65BC" w14:textId="77777777" w:rsidR="00494B49" w:rsidRDefault="00494B49">
      <w:pPr>
        <w:pStyle w:val="BHead2"/>
      </w:pPr>
      <w:r>
        <w:t>3. Information Reporting</w:t>
      </w:r>
    </w:p>
    <w:p w14:paraId="754D823C" w14:textId="77777777" w:rsidR="00494B49" w:rsidRDefault="00494B49">
      <w:pPr>
        <w:pStyle w:val="BNormal"/>
      </w:pPr>
      <w:r>
        <w:t xml:space="preserve">The 2013 Proposed Regulations impose information reporting requirements on certain Passthrough Entities to ensure that the transferor has sufficient information to comply with the computational requirements of the Primary Method embodied in 2013 Prop. Reg. </w:t>
      </w:r>
      <w:smartTag w:uri="http://www.bna.com/sgml2word/cite" w:element="cite.cfr">
        <w:smartTagPr>
          <w:attr w:name="ref" w:val="prule\cfr\26\1.1411-7(b)"/>
        </w:smartTagPr>
        <w:r>
          <w:t>§1.1411-7(b)</w:t>
        </w:r>
      </w:smartTag>
      <w:r>
        <w:t>.</w:t>
      </w:r>
    </w:p>
    <w:p w14:paraId="398A26B2" w14:textId="77777777" w:rsidR="00494B49" w:rsidRDefault="00494B49">
      <w:pPr>
        <w:pStyle w:val="BHead3"/>
      </w:pPr>
      <w:r>
        <w:t>a. Information Reporting by the Passthrough Entity to the Transferor</w:t>
      </w:r>
    </w:p>
    <w:p w14:paraId="03FB3EA1" w14:textId="77777777" w:rsidR="00494B49" w:rsidRDefault="00494B49">
      <w:pPr>
        <w:pStyle w:val="BNormal"/>
      </w:pPr>
      <w:r>
        <w:t xml:space="preserve">Transferors that compute </w:t>
      </w:r>
      <w:smartTag w:uri="http://www.bna.com/sgml2word/cite" w:element="cite.usc">
        <w:smartTagPr>
          <w:attr w:name="ref" w:val="USC\26\1411(c)(4)"/>
        </w:smartTagPr>
        <w:r>
          <w:t>§1411(c)(4)</w:t>
        </w:r>
      </w:smartTag>
      <w:r>
        <w:t xml:space="preserve"> gain or loss under the Primary Method must generally obtain from the Passthrough Entity the transferor’s allocable share of the net gain or loss from the deemed sale of the Passthrough Entity’s Section 1411 Property.</w:t>
      </w:r>
      <w:r>
        <w:rPr>
          <w:rStyle w:val="FootnoteReference"/>
        </w:rPr>
        <w:footnoteReference w:id="834"/>
      </w:r>
      <w:r>
        <w:t xml:space="preserve"> It is important to note that the Instructions for </w:t>
      </w:r>
      <w:smartTag w:uri="http://www.bna.com/sgml2word/cite" w:element="cite.fed.form">
        <w:smartTagPr>
          <w:attr w:name="ref" w:val="irs\form1065"/>
        </w:smartTagPr>
        <w:r>
          <w:t>Form 1065</w:t>
        </w:r>
      </w:smartTag>
      <w:r>
        <w:t xml:space="preserve"> and the Instructions for </w:t>
      </w:r>
      <w:smartTag w:uri="http://www.bna.com/sgml2word/cite" w:element="cite.fed.form">
        <w:smartTagPr>
          <w:attr w:name="ref" w:val="irs\form1120S"/>
        </w:smartTagPr>
        <w:r>
          <w:t>Form 1120S</w:t>
        </w:r>
      </w:smartTag>
      <w:r>
        <w:t xml:space="preserve"> do not require the entity to include this information on the Schedule K-1. Instead, the instructions simply require the Passthrough Entity to provide the information to the partner or shareholder.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contain a sample letter to a transferor when there is no Section 1411 Property.</w:t>
      </w:r>
    </w:p>
    <w:p w14:paraId="589E504C" w14:textId="77777777" w:rsidR="00494B49" w:rsidRDefault="00494B49">
      <w:pPr>
        <w:pStyle w:val="BNormal"/>
      </w:pPr>
      <w:r>
        <w:t xml:space="preserve">2013 Prop. Reg. </w:t>
      </w:r>
      <w:smartTag w:uri="http://www.bna.com/sgml2word/cite" w:element="cite.cfr">
        <w:smartTagPr>
          <w:attr w:name="ref" w:val="prule\cfr\26\1.1411-7(g)(1)"/>
        </w:smartTagPr>
        <w:r>
          <w:t>§1.1411-7(g)(1)</w:t>
        </w:r>
      </w:smartTag>
      <w:r>
        <w:t xml:space="preserve"> requires the Passthrough Entity to provide this information only to transferors that are ineligible for the Optional Simplified Method. If a transferor qualifies to use the Optional Simplified Method but prefers to determine net gain or loss under the Primary Method, the transferor must negotiate with the Passthrough Entity the terms under which the information will be supplied.</w:t>
      </w:r>
    </w:p>
    <w:p w14:paraId="4C7B5B16" w14:textId="77777777" w:rsidR="00494B49" w:rsidRDefault="00494B49">
      <w:pPr>
        <w:pStyle w:val="BNormal"/>
      </w:pPr>
      <w:r>
        <w:rPr>
          <w:i/>
        </w:rPr>
        <w:t>Comment:</w:t>
      </w:r>
      <w:r>
        <w:t xml:space="preserve"> Despite </w:t>
      </w:r>
      <w:smartTag w:uri="http://www.bna.com/sgml2word/cite" w:element="cite.fed.form">
        <w:smartTagPr>
          <w:attr w:name="ref" w:val="irs\form8960"/>
        </w:smartTagPr>
        <w:r>
          <w:t>Form 8960</w:t>
        </w:r>
      </w:smartTag>
      <w:r>
        <w:t xml:space="preserve"> instructions requiring the Passthrough Entity to share the necessary information with the selling interest holder, the information-sharing provisions in the 2013 Proposed Regulations apply until the provisions are finalized. As a result, there will likely be instances in which the Passthrough Entity does not provide the necessary information to the selling interest holder. In these instances, the interest holder does not appear to have much leverage over the Passthrough Entity to demand information, absent contractual rights set forth in the Passthrough Entity’s governing documents. It may be prudent for Passthrough Entities to include provisions in the operating agreement or other governing documents addressing access to books and records by owners for purposes of </w:t>
      </w:r>
      <w:smartTag w:uri="http://www.bna.com/sgml2word/cite" w:element="cite.usc">
        <w:smartTagPr>
          <w:attr w:name="ref" w:val="USC\26\1411(c)(4)"/>
        </w:smartTagPr>
        <w:r>
          <w:t>§1411(c)(4)</w:t>
        </w:r>
      </w:smartTag>
      <w:r>
        <w:t xml:space="preserve"> gain calculation. Such provisions could include: (1) allowing the Passthrough Entity to deny access to records unless the interest holder can prove that the Primary Method is the only available method, or (2) providing that all costs of the Passthrough Entity attributable to the interest holder’s request must be borne by the interest holder. Absent such governing provisions, a Passthrough Entity that simply refuses to provide a seller with access to the necessary information will put the seller in an unenviable position which has the potential to lead to a dispute. The seller can still take the position that the gain can be </w:t>
      </w:r>
      <w:r>
        <w:lastRenderedPageBreak/>
        <w:t xml:space="preserve">excluded and attach the information required by 2013 Prop. Reg. </w:t>
      </w:r>
      <w:smartTag w:uri="http://www.bna.com/sgml2word/cite" w:element="cite.cfr">
        <w:smartTagPr>
          <w:attr w:name="ref" w:val="prule\cfr\26\1.1411-7(g)(1)"/>
        </w:smartTagPr>
        <w:r>
          <w:t>§1.1411-7(g)(1)</w:t>
        </w:r>
      </w:smartTag>
      <w:r>
        <w:t xml:space="preserve"> as discussed below. But this leaves open the issue of how the seller will determine the amount of Section 1411 Property without the assistance of the Passthrough Entity.</w:t>
      </w:r>
    </w:p>
    <w:p w14:paraId="33622EEA" w14:textId="77777777" w:rsidR="00494B49" w:rsidRDefault="00494B49">
      <w:pPr>
        <w:pStyle w:val="BHead3"/>
      </w:pPr>
      <w:r>
        <w:t xml:space="preserve">b. Information Reporting by the Transferor </w:t>
      </w:r>
    </w:p>
    <w:p w14:paraId="58AE8B44" w14:textId="77777777" w:rsidR="00494B49" w:rsidRDefault="00494B49">
      <w:pPr>
        <w:pStyle w:val="BNormal"/>
      </w:pPr>
      <w:r>
        <w:t>Any transferor applying the 2013 Proposed Regulations, including in reliance on the proposed regulations, must attach a statement to the transferor’s income tax return for the year of disposition.</w:t>
      </w:r>
      <w:r>
        <w:rPr>
          <w:rStyle w:val="FootnoteReference"/>
        </w:rPr>
        <w:footnoteReference w:id="835"/>
      </w:r>
      <w:r>
        <w:t xml:space="preserve"> That statement must include: (1) the taxpayer’s name and taxpayer identification number; (2) the name and taxpayer identification number of the Passthrough Entity in which the interest was transferred; (3) the amount of the transferor’s gain or loss on the disposition of the interest under Chapter 1; and (4) the amount of adjustment to gain or loss by reason of basis differences for Chapter 1 and </w:t>
      </w:r>
      <w:smartTag w:uri="http://www.bna.com/sgml2word/cite" w:element="cite.usc">
        <w:smartTagPr>
          <w:attr w:name="ref" w:val="USC\26\1411"/>
        </w:smartTagPr>
        <w:r>
          <w:t>§1411</w:t>
        </w:r>
      </w:smartTag>
      <w:r>
        <w:t xml:space="preserve"> purposes. The transferor must also attach a copy of any information provided by the Passthrough Entity to the transferor relating to the transferor’s allocable share of gain or loss from the deemed sale of the Passthrough Entity’s Section 1411 Property.</w:t>
      </w:r>
    </w:p>
    <w:p w14:paraId="3B219BC0" w14:textId="77777777" w:rsidR="00494B49" w:rsidRDefault="00494B49">
      <w:pPr>
        <w:pStyle w:val="BHead2"/>
      </w:pPr>
      <w:r>
        <w:t>4. Special Operating Rules</w:t>
      </w:r>
    </w:p>
    <w:p w14:paraId="1360EBBF" w14:textId="77777777" w:rsidR="00494B49" w:rsidRDefault="00494B49">
      <w:pPr>
        <w:pStyle w:val="BHead3"/>
      </w:pPr>
      <w:r>
        <w:t>a. Certain Liquidations</w:t>
      </w:r>
    </w:p>
    <w:p w14:paraId="0840AD72" w14:textId="77777777" w:rsidR="00494B49" w:rsidRDefault="00494B49">
      <w:pPr>
        <w:pStyle w:val="BNormal"/>
      </w:pPr>
      <w:r>
        <w:t xml:space="preserve">2013 Prop. Reg. </w:t>
      </w:r>
      <w:smartTag w:uri="http://www.bna.com/sgml2word/cite" w:element="cite.cfr">
        <w:smartTagPr>
          <w:attr w:name="ref" w:val="prule\cfr\26\1.1411-7(a)(4)(i)"/>
        </w:smartTagPr>
        <w:r>
          <w:t>§1.1411-7(a)(4)(i)</w:t>
        </w:r>
      </w:smartTag>
      <w:r>
        <w:t xml:space="preserve"> provides that if a fully taxable disposition of the Passthrough Entity’s assets is followed by the liquidation of the Passthrough Entity as part of a single plan, the disposition will be treated as an asset sale for purposes of </w:t>
      </w:r>
      <w:smartTag w:uri="http://www.bna.com/sgml2word/cite" w:element="cite.usc">
        <w:smartTagPr>
          <w:attr w:name="ref" w:val="USC\26\1411"/>
        </w:smartTagPr>
        <w:r>
          <w:t>§1411</w:t>
        </w:r>
      </w:smartTag>
      <w:r>
        <w:t xml:space="preserve">. Thus, no additional gain or loss is included in the computation of net investment income on the subsequent liquidation of the Passthrough Entity by any transferor provided that the transferor would have satisfied 2013 Prop. Reg. </w:t>
      </w:r>
      <w:smartTag w:uri="http://www.bna.com/sgml2word/cite" w:element="cite.cfr">
        <w:smartTagPr>
          <w:attr w:name="ref" w:val="prule\cfr\26\1.1411-7(a)(3)"/>
        </w:smartTagPr>
        <w:r>
          <w:t>§1.1411-7(a)(3)</w:t>
        </w:r>
      </w:smartTag>
      <w:r>
        <w:t xml:space="preserve"> (defining a Section 1411 Disposition) before the sale. 2013 Prop. Reg. </w:t>
      </w:r>
      <w:smartTag w:uri="http://www.bna.com/sgml2word/cite" w:element="cite.cfr">
        <w:smartTagPr>
          <w:attr w:name="ref" w:val="prule\cfr\26\1.1411-7(a)(4)(i)"/>
        </w:smartTagPr>
        <w:r>
          <w:t>§1.1411-7(a)(4)(i)</w:t>
        </w:r>
      </w:smartTag>
      <w:r>
        <w:t xml:space="preserve"> goes on to state that, when an S corporation makes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on the sale of its stock, the transaction will be treated under </w:t>
      </w:r>
      <w:smartTag w:uri="http://www.bna.com/sgml2word/cite" w:element="cite.usc">
        <w:smartTagPr>
          <w:attr w:name="ref" w:val="USC\26\1411"/>
        </w:smartTagPr>
        <w:r>
          <w:t>§1411</w:t>
        </w:r>
      </w:smartTag>
      <w:r>
        <w:t xml:space="preserve"> as a fully taxable asset sale by the Passthrough Entity followed by a liquidation of the entity. Thus, no additional gain or loss is included in the computation of net investment income on the subsequent liquidation of the S corporation stock, provided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is in effect. Although not specifically addressed in the preamble or text of the 2013 Proposed Regulations, the same result would occur in a deemed liquidation of an S corporation that resulted from a change in entity classification from an association taxable as a corporation to a partnership</w:t>
      </w:r>
      <w:r>
        <w:rPr>
          <w:rStyle w:val="FootnoteReference"/>
        </w:rPr>
        <w:footnoteReference w:id="836"/>
      </w:r>
      <w:r>
        <w:t xml:space="preserve"> or disregarded entity.</w:t>
      </w:r>
      <w:r>
        <w:rPr>
          <w:rStyle w:val="FootnoteReference"/>
        </w:rPr>
        <w:footnoteReference w:id="837"/>
      </w:r>
      <w:r>
        <w:t xml:space="preserve"> The same result should also occur in a state-law formless conversion from a corporation to an LLC that fails to qualify as a </w:t>
      </w:r>
      <w:smartTag w:uri="http://www.bna.com/sgml2word/cite" w:element="cite.usc">
        <w:smartTagPr>
          <w:attr w:name="ref" w:val="USC\26\368(a)(1)(F)"/>
        </w:smartTagPr>
        <w:r>
          <w:t>§368(a)(1)(F)</w:t>
        </w:r>
      </w:smartTag>
      <w:r>
        <w:t xml:space="preserve"> reorganization, if the converting entity was an S corporation.</w:t>
      </w:r>
    </w:p>
    <w:p w14:paraId="344AA497" w14:textId="77777777" w:rsidR="00494B49" w:rsidRDefault="00494B49" w:rsidP="007865AF">
      <w:pPr>
        <w:pStyle w:val="BHead3"/>
        <w:keepNext/>
        <w:keepLines/>
      </w:pPr>
      <w:r>
        <w:lastRenderedPageBreak/>
        <w:t>b. Coordinating Rules for S Corporations</w:t>
      </w:r>
    </w:p>
    <w:p w14:paraId="2E98F4D8" w14:textId="77777777" w:rsidR="00494B49" w:rsidRDefault="00494B49" w:rsidP="007865AF">
      <w:pPr>
        <w:pStyle w:val="BHead4"/>
        <w:keepNext/>
        <w:keepLines/>
      </w:pPr>
      <w:r>
        <w:t>(1) Sales That Terminate the Passthrough Entity’s S Corporation Election</w:t>
      </w:r>
    </w:p>
    <w:p w14:paraId="3CF5E0F4" w14:textId="77777777" w:rsidR="00494B49" w:rsidRDefault="00494B49">
      <w:pPr>
        <w:pStyle w:val="BNormal"/>
      </w:pPr>
      <w:r>
        <w:t xml:space="preserve">If an interest in an S corporation is transferred to an ineligible shareholder, the entity will cease to be an S corporation. In this case,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treat the day of the transfer as the first day of the corporation’s “C short year” (as defined therein). For example, if an individual sells an S corporation to a corporation on June 1,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cause June 1 to be the first day as a C corporation for income tax purposes. Consequently, the last day the entity was an S corporation was on May 31. Therefore, when the sale occurs on June 1, following a literal interpretation of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the seller sold a C corporation, not an S corporation, to the buyer. As a result, the seller would not transfer a “Passthrough Entity” and, therefore, would not be eligible for </w:t>
      </w:r>
      <w:smartTag w:uri="http://www.bna.com/sgml2word/cite" w:element="cite.usc">
        <w:smartTagPr>
          <w:attr w:name="ref" w:val="USC\26\1411(c)(4)"/>
        </w:smartTagPr>
        <w:r>
          <w:t>§1411(c)(4)</w:t>
        </w:r>
      </w:smartTag>
      <w:r>
        <w:t xml:space="preserve"> treatment. However, if the buyer was an eligible shareholder, the entity’s S corporation election would not terminate, and the seller would be eligible for </w:t>
      </w:r>
      <w:smartTag w:uri="http://www.bna.com/sgml2word/cite" w:element="cite.usc">
        <w:smartTagPr>
          <w:attr w:name="ref" w:val="USC\26\1411(c)(4)"/>
        </w:smartTagPr>
        <w:r>
          <w:t>§1411(c)(4)</w:t>
        </w:r>
      </w:smartTag>
      <w:r>
        <w:t xml:space="preserve"> treatment (assuming all other requirements are met).</w:t>
      </w:r>
    </w:p>
    <w:p w14:paraId="3FC3CC5A" w14:textId="77777777" w:rsidR="00494B49" w:rsidRDefault="00494B49">
      <w:pPr>
        <w:pStyle w:val="BNormal"/>
      </w:pPr>
      <w:r>
        <w:t xml:space="preserve">To alleviate this technical inequity, the 2013 Proposed Regulations provide that if the transfer of an interest in an S corporation causes the S election to terminate on the day of the transfer, the corporation continues to be treated as an S corporation for purposes of applying the rules in 2013 Prop. Reg. </w:t>
      </w:r>
      <w:smartTag w:uri="http://www.bna.com/sgml2word/cite" w:element="cite.cfr">
        <w:smartTagPr>
          <w:attr w:name="ref" w:val="prule\cfr\26\1.1411-7"/>
        </w:smartTagPr>
        <w:r>
          <w:t>§1.1411-7</w:t>
        </w:r>
      </w:smartTag>
      <w:r>
        <w:t xml:space="preserve">, notwithstanding that Reg. </w:t>
      </w:r>
      <w:smartTag w:uri="http://www.bna.com/sgml2word/cite" w:element="cite.cfr">
        <w:smartTagPr>
          <w:attr w:name="ref" w:val="cfr\26\1.1362-3(a)"/>
        </w:smartTagPr>
        <w:r>
          <w:t>§1.1362-3(a)</w:t>
        </w:r>
      </w:smartTag>
      <w:r>
        <w:t xml:space="preserve"> treats the day of the transfer as the first day of the corporation’s “C short year.”</w:t>
      </w:r>
      <w:r>
        <w:rPr>
          <w:rStyle w:val="FootnoteReference"/>
        </w:rPr>
        <w:footnoteReference w:id="838"/>
      </w:r>
    </w:p>
    <w:p w14:paraId="55837F1F" w14:textId="77777777" w:rsidR="00494B49" w:rsidRDefault="00494B49">
      <w:pPr>
        <w:pStyle w:val="BNormal"/>
      </w:pPr>
      <w:r>
        <w:t xml:space="preserve">The tax policy behind the rule is clear and equitable, but its application remains ambiguous in certain transactions. A literal interpretation of the rule seems to indicate that the transfer to the ineligible shareholder must cause the S election to terminate. To state it differently, the rule seems to require a causal connection between the transfer and the S election termination. Consider the following two situations: </w:t>
      </w:r>
    </w:p>
    <w:p w14:paraId="30B0ADB7" w14:textId="77777777" w:rsidR="00494B49" w:rsidRDefault="00494B49">
      <w:pPr>
        <w:pStyle w:val="BExamplepara"/>
      </w:pPr>
      <w:r>
        <w:t xml:space="preserve"> </w:t>
      </w:r>
      <w:r>
        <w:rPr>
          <w:i/>
        </w:rPr>
        <w:t>Example 1:</w:t>
      </w:r>
    </w:p>
    <w:p w14:paraId="05051D13" w14:textId="77777777" w:rsidR="00494B49" w:rsidRDefault="00494B49">
      <w:pPr>
        <w:pStyle w:val="BExamplepara"/>
      </w:pPr>
      <w:r>
        <w:t xml:space="preserve">SCo, an S corporation, is owned 100% by A. A agrees to sell 40% of SCo to PEP, a private equity partnership, in a transaction consummated on September 30. However, the terms of the transaction require SCo to recapitalize in a nontaxable transaction (described in </w:t>
      </w:r>
      <w:smartTag w:uri="http://www.bna.com/sgml2word/cite" w:element="cite.usc">
        <w:smartTagPr>
          <w:attr w:name="ref" w:val="USC\26\368(a)(1)(E)"/>
        </w:smartTagPr>
        <w:r>
          <w:t>§368(a)(1)(E)</w:t>
        </w:r>
      </w:smartTag>
      <w:r>
        <w:t xml:space="preserve">) where the single class of SCo stock will be split into common shares and preferred shares with special distribution and voting rights. The recapitalization occurs at 12:01pm on September 30, and the sale of 100% of preferred stock to PEP occurs at 12:02pm on September 30. On the morning of September 30, SCo was an S corporation, but at the end of the day it was not, even though Reg. </w:t>
      </w:r>
      <w:smartTag w:uri="http://www.bna.com/sgml2word/cite" w:element="cite.cfr">
        <w:smartTagPr>
          <w:attr w:name="ref" w:val="cfr\26\1.1362-3(a)"/>
        </w:smartTagPr>
        <w:r>
          <w:t>§1.1362-3(a)</w:t>
        </w:r>
      </w:smartTag>
      <w:r>
        <w:t xml:space="preserve"> treats September 29 as the last day of SCo’s S corporation year. As a technical matter, the </w:t>
      </w:r>
      <w:smartTag w:uri="http://www.bna.com/sgml2word/cite" w:element="cite.usc">
        <w:smartTagPr>
          <w:attr w:name="ref" w:val="USC\26\368(a)(1)(E)"/>
        </w:smartTagPr>
        <w:r>
          <w:t>§368(a)(1)(E)</w:t>
        </w:r>
      </w:smartTag>
      <w:r>
        <w:t xml:space="preserve"> recapitalization into two classes of stock terminated the S election, not the transfer of the preferred shares to an ineligible shareholder. </w:t>
      </w:r>
    </w:p>
    <w:p w14:paraId="30392258" w14:textId="77777777" w:rsidR="00494B49" w:rsidRDefault="00494B49">
      <w:pPr>
        <w:pStyle w:val="BExamplepara"/>
      </w:pPr>
      <w:r>
        <w:t xml:space="preserve"> </w:t>
      </w:r>
      <w:r>
        <w:rPr>
          <w:i/>
        </w:rPr>
        <w:t xml:space="preserve">Example 2: </w:t>
      </w:r>
    </w:p>
    <w:p w14:paraId="1AE7458A" w14:textId="77777777" w:rsidR="00494B49" w:rsidRDefault="00494B49">
      <w:pPr>
        <w:pStyle w:val="BExamplepara"/>
      </w:pPr>
      <w:r>
        <w:t xml:space="preserve">SCo, an S corporation, is owned 10% by B and 90% by C. B is an employee of SCo. C agrees to sell his 90% interest in SCo to a publicly traded corporation on September 30. B </w:t>
      </w:r>
      <w:r>
        <w:lastRenderedPageBreak/>
        <w:t xml:space="preserve">agrees to remain an employee, but on the day of the sale, B transfers his stock to a charitable remainder trust. Although both transactions occurred on the same day, B’s transfer of 10% of SCo stock to a charitable reminder trust, an ineligible shareholder, terminated the S election. But which happened first? </w:t>
      </w:r>
    </w:p>
    <w:p w14:paraId="3563821F" w14:textId="77777777" w:rsidR="00494B49" w:rsidRDefault="00494B49">
      <w:pPr>
        <w:pStyle w:val="BExamplepara"/>
      </w:pPr>
      <w:r>
        <w:t xml:space="preserve">Both of these Examples illustrate the ambiguity in 2013 Prop. Reg. </w:t>
      </w:r>
      <w:smartTag w:uri="http://www.bna.com/sgml2word/cite" w:element="cite.cfr">
        <w:smartTagPr>
          <w:attr w:name="ref" w:val="prule\cfr\26\1.1411-7(a)(4)(iii)(A)"/>
        </w:smartTagPr>
        <w:r>
          <w:t>§1.1411-7(a)(4)(iii)(A)</w:t>
        </w:r>
      </w:smartTag>
      <w:r>
        <w:t xml:space="preserve">. Should that provision cover the sale by A (in Example 1) and C (in Example 2)? For purposes of Subchapter S, in both examples, pursuant to Reg. </w:t>
      </w:r>
      <w:smartTag w:uri="http://www.bna.com/sgml2word/cite" w:element="cite.cfr">
        <w:smartTagPr>
          <w:attr w:name="ref" w:val="cfr\26\1.1362-3(a)"/>
        </w:smartTagPr>
        <w:r>
          <w:t>§1.1362-3(a)</w:t>
        </w:r>
      </w:smartTag>
      <w:r>
        <w:t xml:space="preserve">, SCo’s last day as an S corporation was September 29. For purposes of Reg. </w:t>
      </w:r>
      <w:smartTag w:uri="http://www.bna.com/sgml2word/cite" w:element="cite.cfr">
        <w:smartTagPr>
          <w:attr w:name="ref" w:val="cfr\26\1.1362-3(a)"/>
        </w:smartTagPr>
        <w:r>
          <w:t>§1.1362-3(a)</w:t>
        </w:r>
      </w:smartTag>
      <w:r>
        <w:t xml:space="preserve"> it does not matter why the S election terminated. As illustrated in these two situations, the form of the transactions appears to be governing the </w:t>
      </w:r>
      <w:smartTag w:uri="http://www.bna.com/sgml2word/cite" w:element="cite.usc">
        <w:smartTagPr>
          <w:attr w:name="ref" w:val="USC\26\1411(c)(4)"/>
        </w:smartTagPr>
        <w:r>
          <w:t>§1411(c)(4)</w:t>
        </w:r>
      </w:smartTag>
      <w:r>
        <w:t xml:space="preserve"> outcome. This was unlikely the intent behind inclusion of the rule. Nonetheless, to the extent that the recapitalization (in Example 1) and the transfer to the charitable remainder trust (in Example 2) could occur the day after the sale, the sales by A and C would fall squarely within 2013 Prop. Reg. </w:t>
      </w:r>
      <w:smartTag w:uri="http://www.bna.com/sgml2word/cite" w:element="cite.cfr">
        <w:smartTagPr>
          <w:attr w:name="ref" w:val="prule\cfr\26\1.1411-7(a)(4)(iii)(A)"/>
        </w:smartTagPr>
        <w:r>
          <w:t>§1.1411-7(a)(4)(iii)(A)</w:t>
        </w:r>
      </w:smartTag>
      <w:r>
        <w:t xml:space="preserve">. But such flexibility may not always be a viable option. </w:t>
      </w:r>
    </w:p>
    <w:p w14:paraId="4583A193" w14:textId="77777777" w:rsidR="00494B49" w:rsidRDefault="00494B49">
      <w:pPr>
        <w:pStyle w:val="BHead4"/>
      </w:pPr>
      <w:r>
        <w:t xml:space="preserve">(2) Treatment of Hypothetical §1374 Built-In Gain Taxes </w:t>
      </w:r>
    </w:p>
    <w:p w14:paraId="65DA54B9" w14:textId="77777777" w:rsidR="00494B49" w:rsidRDefault="00494B49">
      <w:pPr>
        <w:pStyle w:val="BNormal"/>
      </w:pPr>
      <w:r>
        <w:t xml:space="preserve">Generally, to the extent an S corporation sells assets that were held by a C corporation within the built-in gains recognition period, </w:t>
      </w:r>
      <w:smartTag w:uri="http://www.bna.com/sgml2word/cite" w:element="cite.usc">
        <w:smartTagPr>
          <w:attr w:name="ref" w:val="USC\26\1374"/>
        </w:smartTagPr>
        <w:r>
          <w:t>§1374</w:t>
        </w:r>
      </w:smartTag>
      <w:r>
        <w:t xml:space="preserve"> imposes a corporate-level tax on any built-in gain in those assets as of the date the S corporation elected S status or acquired the assets from the C corporation.</w:t>
      </w:r>
      <w:r>
        <w:rPr>
          <w:rStyle w:val="FootnoteReference"/>
        </w:rPr>
        <w:footnoteReference w:id="839"/>
      </w:r>
      <w:r>
        <w:t xml:space="preserve"> If an S corporation pays the </w:t>
      </w:r>
      <w:smartTag w:uri="http://www.bna.com/sgml2word/cite" w:element="cite.usc">
        <w:smartTagPr>
          <w:attr w:name="ref" w:val="USC\26\1374"/>
        </w:smartTagPr>
        <w:r>
          <w:t>§1374</w:t>
        </w:r>
      </w:smartTag>
      <w:r>
        <w:t xml:space="preserve"> tax, </w:t>
      </w:r>
      <w:smartTag w:uri="http://www.bna.com/sgml2word/cite" w:element="cite.usc">
        <w:smartTagPr>
          <w:attr w:name="ref" w:val="USC\26\1366(f)(2)"/>
        </w:smartTagPr>
        <w:r>
          <w:t>§1366(f)(2)</w:t>
        </w:r>
      </w:smartTag>
      <w:r>
        <w:t xml:space="preserve"> provides that the amount of taxable net gain allocable to the S corporation’s shareholders is reduced by the tax levied on the S corporation. For example, if an S corporation sells an asset for a long-term capital gain of $1,000 and pays $250 of tax under </w:t>
      </w:r>
      <w:smartTag w:uri="http://www.bna.com/sgml2word/cite" w:element="cite.usc">
        <w:smartTagPr>
          <w:attr w:name="ref" w:val="USC\26\1374"/>
        </w:smartTagPr>
        <w:r>
          <w:t>§1374</w:t>
        </w:r>
      </w:smartTag>
      <w:r>
        <w:t xml:space="preserve"> on the gain, the shareholders include $750 of long-term capital gain in taxable income.</w:t>
      </w:r>
    </w:p>
    <w:p w14:paraId="03F132A0" w14:textId="77777777" w:rsidR="00494B49" w:rsidRDefault="00494B49">
      <w:pPr>
        <w:pStyle w:val="BNormal"/>
      </w:pPr>
      <w:r>
        <w:t xml:space="preserve">For purposes of </w:t>
      </w:r>
      <w:smartTag w:uri="http://www.bna.com/sgml2word/cite" w:element="cite.usc">
        <w:smartTagPr>
          <w:attr w:name="ref" w:val="USC\26\1411(c)(4)"/>
        </w:smartTagPr>
        <w:r>
          <w:t>§1411(c)(4)</w:t>
        </w:r>
      </w:smartTag>
      <w:r>
        <w:t xml:space="preserve">, 2013 Prop. Reg. </w:t>
      </w:r>
      <w:smartTag w:uri="http://www.bna.com/sgml2word/cite" w:element="cite.cfr">
        <w:smartTagPr>
          <w:attr w:name="ref" w:val="prule\cfr\26\1.1411-7(b)"/>
        </w:smartTagPr>
        <w:r>
          <w:t>§1.1411-7(b)</w:t>
        </w:r>
      </w:smartTag>
      <w:r>
        <w:t xml:space="preserve"> compares the difference between the shareholder’s gain on the sale of the stock for regular tax purposes with the hypothetical gain associated with the S corporation’s Section 1411 Property. Following the example in the preceding paragraph, if a shareholder sold S corporation stock for a gain of $1,700 and the only asset that constitutes Section 1411 Property to the selling shareholder is an asset subject to </w:t>
      </w:r>
      <w:smartTag w:uri="http://www.bna.com/sgml2word/cite" w:element="cite.usc">
        <w:smartTagPr>
          <w:attr w:name="ref" w:val="USC\26\1374"/>
        </w:smartTagPr>
        <w:r>
          <w:t>§1374</w:t>
        </w:r>
      </w:smartTag>
      <w:r>
        <w:t xml:space="preserve"> tax (the one that sold for $1,000 gain, above), how is 2013 Prop. Reg. </w:t>
      </w:r>
      <w:smartTag w:uri="http://www.bna.com/sgml2word/cite" w:element="cite.cfr">
        <w:smartTagPr>
          <w:attr w:name="ref" w:val="prule\cfr\26\1.1411-7(b)"/>
        </w:smartTagPr>
        <w:r>
          <w:t>§1.1411-7(b)</w:t>
        </w:r>
      </w:smartTag>
      <w:r>
        <w:t xml:space="preserve"> applied? Is the $1,700 regular tax gain compared against the $1,000 gain or $750?</w:t>
      </w:r>
    </w:p>
    <w:p w14:paraId="572FC970" w14:textId="77777777" w:rsidR="00494B49" w:rsidRDefault="00494B49">
      <w:pPr>
        <w:pStyle w:val="BNormal"/>
      </w:pPr>
      <w:r>
        <w:t xml:space="preserve">2013 Prop. Reg. </w:t>
      </w:r>
      <w:smartTag w:uri="http://www.bna.com/sgml2word/cite" w:element="cite.cfr">
        <w:smartTagPr>
          <w:attr w:name="ref" w:val="prule\cfr\26\1.1411-7(a)(4)(iii)(B)"/>
        </w:smartTagPr>
        <w:r>
          <w:t>§1.1411-7(a)(4)(iii)(B)</w:t>
        </w:r>
      </w:smartTag>
      <w:r>
        <w:t xml:space="preserve"> provides that the Primary Method is determined without regard to any reduction in gain under </w:t>
      </w:r>
      <w:smartTag w:uri="http://www.bna.com/sgml2word/cite" w:element="cite.usc">
        <w:smartTagPr>
          <w:attr w:name="ref" w:val="USC\26\1366(f)(2)"/>
        </w:smartTagPr>
        <w:r>
          <w:t>§1366(f)(2)</w:t>
        </w:r>
      </w:smartTag>
      <w:r>
        <w:t>.</w:t>
      </w:r>
      <w:r>
        <w:rPr>
          <w:rStyle w:val="FootnoteReference"/>
        </w:rPr>
        <w:footnoteReference w:id="840"/>
      </w:r>
      <w:r>
        <w:t xml:space="preserve"> Continuing with the example, the Primary Method compares the shareholder’s gain on the sale of the stock ($1,700) with the deemed gain on the Section 1411 Property ($1,000) without regard to the $250 of </w:t>
      </w:r>
      <w:smartTag w:uri="http://www.bna.com/sgml2word/cite" w:element="cite.usc">
        <w:smartTagPr>
          <w:attr w:name="ref" w:val="USC\26\1374"/>
        </w:smartTagPr>
        <w:r>
          <w:t>§1374</w:t>
        </w:r>
      </w:smartTag>
      <w:r>
        <w:t xml:space="preserve"> tax. Therefore, under the Primary Method, the amount of gain includible in the computation of net investment income is $1,000.</w:t>
      </w:r>
    </w:p>
    <w:p w14:paraId="5F4FB90F" w14:textId="77777777" w:rsidR="00494B49" w:rsidRDefault="00494B49">
      <w:pPr>
        <w:pStyle w:val="BNormal"/>
      </w:pPr>
      <w:r>
        <w:lastRenderedPageBreak/>
        <w:t xml:space="preserve">Note, the rule applicable to the </w:t>
      </w:r>
      <w:smartTag w:uri="http://www.bna.com/sgml2word/cite" w:element="cite.usc">
        <w:smartTagPr>
          <w:attr w:name="ref" w:val="USC\26\1374"/>
        </w:smartTagPr>
        <w:r>
          <w:t>§1374</w:t>
        </w:r>
      </w:smartTag>
      <w:r>
        <w:t xml:space="preserve"> tax and </w:t>
      </w:r>
      <w:smartTag w:uri="http://www.bna.com/sgml2word/cite" w:element="cite.usc">
        <w:smartTagPr>
          <w:attr w:name="ref" w:val="USC\26\1366(f)(2)"/>
        </w:smartTagPr>
        <w:r>
          <w:t>§1366(f)(2)</w:t>
        </w:r>
      </w:smartTag>
      <w:r>
        <w:t xml:space="preserve"> applies only to the Primary Method calculation in 2013 Prop. Reg. </w:t>
      </w:r>
      <w:smartTag w:uri="http://www.bna.com/sgml2word/cite" w:element="cite.cfr">
        <w:smartTagPr>
          <w:attr w:name="ref" w:val="prule\cfr\26\1.1411-7(b)"/>
        </w:smartTagPr>
        <w:r>
          <w:t>§1.1411-7(b)</w:t>
        </w:r>
      </w:smartTag>
      <w:r>
        <w:t xml:space="preserve">. It does not apply to taxpayers using the Optional Simplified Method under 2013 Prop. Reg. </w:t>
      </w:r>
      <w:smartTag w:uri="http://www.bna.com/sgml2word/cite" w:element="cite.cfr">
        <w:smartTagPr>
          <w:attr w:name="ref" w:val="prule\cfr\26\1.1411-7(c)"/>
        </w:smartTagPr>
        <w:r>
          <w:t>§1.1411-7(c)</w:t>
        </w:r>
      </w:smartTag>
      <w:r>
        <w:t>.</w:t>
      </w:r>
      <w:r>
        <w:rPr>
          <w:rStyle w:val="FootnoteReference"/>
        </w:rPr>
        <w:footnoteReference w:id="841"/>
      </w:r>
    </w:p>
    <w:p w14:paraId="107B5975" w14:textId="77777777" w:rsidR="00494B49" w:rsidRDefault="00494B49">
      <w:pPr>
        <w:pStyle w:val="BHead4"/>
      </w:pPr>
      <w:r>
        <w:t>(3) Treatment of Section 1411 Dispositions by Qualified</w:t>
      </w:r>
      <w:r>
        <w:br/>
        <w:t>Subchapter S Trusts (QSSTs)</w:t>
      </w:r>
    </w:p>
    <w:p w14:paraId="67238B48" w14:textId="77777777" w:rsidR="00494B49" w:rsidRDefault="00494B49">
      <w:pPr>
        <w:pStyle w:val="BNormal"/>
      </w:pPr>
      <w:r>
        <w:t xml:space="preserve">Reg. </w:t>
      </w:r>
      <w:smartTag w:uri="http://www.bna.com/sgml2word/cite" w:element="cite.cfr">
        <w:smartTagPr>
          <w:attr w:name="ref" w:val="cfr\26\1.1361-1(j)(8)"/>
        </w:smartTagPr>
        <w:r>
          <w:t>§1.1361-1(j)(8)</w:t>
        </w:r>
      </w:smartTag>
      <w:r>
        <w:t xml:space="preserve"> provides rules for coordinating the QSST rules and the grantor trust rules and provides that the income beneficiary of the QSST is treated as the owner, for purposes of </w:t>
      </w:r>
      <w:smartTag w:uri="http://www.bna.com/sgml2word/cite" w:element="cite.usc">
        <w:smartTagPr>
          <w:attr w:name="ref" w:val="USC\26\678(a)"/>
        </w:smartTagPr>
        <w:r>
          <w:t>§678(a)</w:t>
        </w:r>
      </w:smartTag>
      <w:r>
        <w:t xml:space="preserve">, of the portion of the trust that consists of the S corporation stock for which the QSST election was made. However, solely for purposes of this rule, an income beneficiary who is a deemed </w:t>
      </w:r>
      <w:smartTag w:uri="http://www.bna.com/sgml2word/cite" w:element="cite.usc">
        <w:smartTagPr>
          <w:attr w:name="ref" w:val="USC\26\678"/>
        </w:smartTagPr>
        <w:r>
          <w:t>§678</w:t>
        </w:r>
      </w:smartTag>
      <w:r>
        <w:t xml:space="preserve"> owner only by reason of </w:t>
      </w:r>
      <w:smartTag w:uri="http://www.bna.com/sgml2word/cite" w:element="cite.usc">
        <w:smartTagPr>
          <w:attr w:name="ref" w:val="USC\26\1361(d)(1)"/>
        </w:smartTagPr>
        <w:r>
          <w:t>§1361(d)(1)</w:t>
        </w:r>
      </w:smartTag>
      <w:r>
        <w:t xml:space="preserve"> will not be treated as the owner of the S corporation stock in determining and attributing the federal income tax consequences of a disposition of the stock by the QSST. Therefore, if the QSST sells some (or all) of its S corporation stock, any gain or loss recognized on the sale will be that of the trust, not the income beneficiary. On the other hand, the disposition is treated as a disposition by the income beneficiary for purposes of applying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income beneficiary of a QSST.</w:t>
      </w:r>
      <w:r>
        <w:rPr>
          <w:rStyle w:val="FootnoteReference"/>
        </w:rPr>
        <w:footnoteReference w:id="842"/>
      </w:r>
    </w:p>
    <w:p w14:paraId="59A348AF" w14:textId="77777777" w:rsidR="00494B49" w:rsidRDefault="00494B49">
      <w:pPr>
        <w:pStyle w:val="BNormal"/>
      </w:pPr>
      <w:r>
        <w:t xml:space="preserve">For purposes of applying </w:t>
      </w:r>
      <w:smartTag w:uri="http://www.bna.com/sgml2word/cite" w:element="cite.usc">
        <w:smartTagPr>
          <w:attr w:name="ref" w:val="USC\26\1411(c)(4)"/>
        </w:smartTagPr>
        <w:r>
          <w:t>§1411(c)(4)</w:t>
        </w:r>
      </w:smartTag>
      <w:r>
        <w:t xml:space="preserve">, the rules in 2013 Prop. Reg. </w:t>
      </w:r>
      <w:smartTag w:uri="http://www.bna.com/sgml2word/cite" w:element="cite.cfr">
        <w:smartTagPr>
          <w:attr w:name="ref" w:val="prule\cfr\26\1.1411-7"/>
        </w:smartTagPr>
        <w:r>
          <w:t>§1.1411-7</w:t>
        </w:r>
      </w:smartTag>
      <w:r>
        <w:t xml:space="preserve"> are applied by treating the trust as the owner of the S corporation stock on the date of the sale.</w:t>
      </w:r>
      <w:r>
        <w:rPr>
          <w:rStyle w:val="FootnoteReference"/>
        </w:rPr>
        <w:footnoteReference w:id="843"/>
      </w:r>
      <w:r>
        <w:t xml:space="preserve"> In essence, the </w:t>
      </w:r>
      <w:smartTag w:uri="http://www.bna.com/sgml2word/cite" w:element="cite.usc">
        <w:smartTagPr>
          <w:attr w:name="ref" w:val="USC\26\1411(c)(4)"/>
        </w:smartTagPr>
        <w:r>
          <w:t>§1411(c)(4)</w:t>
        </w:r>
      </w:smartTag>
      <w:r>
        <w:t xml:space="preserve"> rules follow the treatment of the QSST and beneficiary for Chapter 1 income tax purposes.</w:t>
      </w:r>
    </w:p>
    <w:p w14:paraId="68284141" w14:textId="77777777" w:rsidR="00494B49" w:rsidRDefault="00494B49">
      <w:pPr>
        <w:pStyle w:val="BHead3"/>
      </w:pPr>
      <w:r>
        <w:t xml:space="preserve">c. Sales Involving Installment Sales and Private </w:t>
      </w:r>
      <w:r>
        <w:br/>
        <w:t xml:space="preserve">Annuities </w:t>
      </w:r>
    </w:p>
    <w:p w14:paraId="6B5C5917" w14:textId="77777777" w:rsidR="00494B49" w:rsidRDefault="00494B49">
      <w:pPr>
        <w:pStyle w:val="BHead4"/>
      </w:pPr>
      <w:r>
        <w:t xml:space="preserve">(1) General Rule </w:t>
      </w:r>
    </w:p>
    <w:p w14:paraId="50D2B892" w14:textId="77777777" w:rsidR="00494B49" w:rsidRDefault="00494B49">
      <w:pPr>
        <w:pStyle w:val="BNormal"/>
      </w:pPr>
      <w:r>
        <w:t xml:space="preserve">To address the application of 2013 Prop. Reg. </w:t>
      </w:r>
      <w:smartTag w:uri="http://www.bna.com/sgml2word/cite" w:element="cite.cfr">
        <w:smartTagPr>
          <w:attr w:name="ref" w:val="prule\cfr\26\1.1411-7"/>
        </w:smartTagPr>
        <w:r>
          <w:t>§1.1411-7</w:t>
        </w:r>
      </w:smartTag>
      <w:r>
        <w:t xml:space="preserve"> to deferred recognition transactions, such as installment sales and certain private annuities, the 2013 Proposed Rregulations provide that certain calculations are performed in the year of disposition as though the entire gain was recognized and taken into account in that year.</w:t>
      </w:r>
      <w:r>
        <w:rPr>
          <w:rStyle w:val="FootnoteReference"/>
        </w:rPr>
        <w:footnoteReference w:id="844"/>
      </w:r>
      <w:r>
        <w:t xml:space="preserve"> For this purpose, 2013 Prop. Reg. </w:t>
      </w:r>
      <w:smartTag w:uri="http://www.bna.com/sgml2word/cite" w:element="cite.cfr">
        <w:smartTagPr>
          <w:attr w:name="ref" w:val="prule\cfr\26\1.1411-7(d)"/>
        </w:smartTagPr>
        <w:r>
          <w:t>§1.1411-7(d)</w:t>
        </w:r>
      </w:smartTag>
      <w:r>
        <w:t xml:space="preserve"> applies to calculations required by the Primary Method,</w:t>
      </w:r>
      <w:r>
        <w:rPr>
          <w:rStyle w:val="FootnoteReference"/>
        </w:rPr>
        <w:footnoteReference w:id="845"/>
      </w:r>
      <w:r>
        <w:t xml:space="preserve"> testing for eligibility for the Optional Simplified Method,</w:t>
      </w:r>
      <w:r>
        <w:rPr>
          <w:rStyle w:val="FootnoteReference"/>
        </w:rPr>
        <w:footnoteReference w:id="846"/>
      </w:r>
      <w:r>
        <w:t xml:space="preserve"> and the amount of gain includible in the computation of net investment income under the Optional Simplified Method.</w:t>
      </w:r>
      <w:r>
        <w:rPr>
          <w:rStyle w:val="FootnoteReference"/>
        </w:rPr>
        <w:footnoteReference w:id="847"/>
      </w:r>
    </w:p>
    <w:p w14:paraId="3EFFA490" w14:textId="77777777" w:rsidR="00494B49" w:rsidRDefault="00494B49">
      <w:pPr>
        <w:pStyle w:val="BNormal"/>
      </w:pPr>
      <w:r>
        <w:t xml:space="preserve">The gain-acceleration approach embodied in 2013 Prop. Reg. </w:t>
      </w:r>
      <w:smartTag w:uri="http://www.bna.com/sgml2word/cite" w:element="cite.cfr">
        <w:smartTagPr>
          <w:attr w:name="ref" w:val="prule\cfr\26\1.1411-7(d)"/>
        </w:smartTagPr>
        <w:r>
          <w:t>§1.1411-7(d)</w:t>
        </w:r>
      </w:smartTag>
      <w:r>
        <w:t xml:space="preserve"> allows the transferor to determine the amount of gain includible in the computation of net investment income for each future installment. If under this approach no gain or loss from the disposition would be included in the computation of net investment income, the transferor excludes from that computation each </w:t>
      </w:r>
      <w:r>
        <w:lastRenderedPageBreak/>
        <w:t xml:space="preserve">payment received from the deferred recognition transaction. If under this approach only a portion of the Chapter 1 gain on the disposition would be included in the computation of net investment income, the difference between the gain recognized for Chapter 1 purposes and the gain recognized for NIIT purposes is considered an addition to basis. After taking those basis adjustments into account, gain amounts are included in the computation of net investment income as payments received in accordance with the existing rules for installment sales or private annuities. </w:t>
      </w:r>
    </w:p>
    <w:p w14:paraId="7058F4E3" w14:textId="77777777" w:rsidR="00494B49" w:rsidRDefault="00494B49">
      <w:pPr>
        <w:pStyle w:val="BExamplepara"/>
      </w:pPr>
      <w:r>
        <w:rPr>
          <w:rStyle w:val="BExamplehead"/>
          <w:rFonts w:eastAsiaTheme="minorHAnsi"/>
          <w:i/>
        </w:rPr>
        <w:t>Example:</w:t>
      </w:r>
      <w:r>
        <w:t xml:space="preserve"> Assume A sells an interest in an S corporation for $100,000 payable in five annual installments of $20,000. Assume that A’s gain is $30,000 for regular tax purposes. Assume that the amount of gain includible in the computation of net investment income after applying the Primary Method (or Optional Simplified Method) is $5,000. Under the general rules of </w:t>
      </w:r>
      <w:smartTag w:uri="http://www.bna.com/sgml2word/cite" w:element="cite.usc">
        <w:smartTagPr>
          <w:attr w:name="ref" w:val="USC\26\453"/>
        </w:smartTagPr>
        <w:r>
          <w:t>§453</w:t>
        </w:r>
      </w:smartTag>
      <w:r>
        <w:t xml:space="preserve">, A will receive $20,000 of cash and apportion the $70,000 adjusted basis across the five equal payments. More precisely, A’s gross profit percentage applied to each payment is 30% (which is $30,000 gain over $100,000, the total amount of proceeds). For regular tax purposes, A will report $6,000 of gain each year ($20,000 × 30% gross profit percentage). </w:t>
      </w:r>
    </w:p>
    <w:p w14:paraId="1FB79ABC" w14:textId="77777777" w:rsidR="00494B49" w:rsidRDefault="00494B49">
      <w:pPr>
        <w:pStyle w:val="BExamplepara"/>
      </w:pPr>
      <w:r>
        <w:t xml:space="preserve">For NIIT purposes, assume that A will report $5,000 of net investment income over the life of the installment sale. Following the method described in 2013 Prop. Reg. </w:t>
      </w:r>
      <w:smartTag w:uri="http://www.bna.com/sgml2word/cite" w:element="cite.cfr">
        <w:smartTagPr>
          <w:attr w:name="ref" w:val="prule\cfr\26\1.1411-7(d)"/>
        </w:smartTagPr>
        <w:r>
          <w:t>§1.1411-7(d)</w:t>
        </w:r>
      </w:smartTag>
      <w:r>
        <w:t xml:space="preserve">, the amount of regular tax gain that is excludable from the computation of net investment income is added to basis for purposes of applying the rules of </w:t>
      </w:r>
      <w:smartTag w:uri="http://www.bna.com/sgml2word/cite" w:element="cite.usc">
        <w:smartTagPr>
          <w:attr w:name="ref" w:val="USC\26\453"/>
        </w:smartTagPr>
        <w:r>
          <w:t>§453</w:t>
        </w:r>
      </w:smartTag>
      <w:r>
        <w:t xml:space="preserve">. Therefore, for NIIT purposes, A is considered to have a basis of $70,000 (regular tax) plus the $25,000 that is excluded from the computation of net investment income. Thus, for NIIT purposes, A’s gross profit percentage is 5% (which is $5,000 gain ($100,000 – $95,000) over the total proceeds). As a result, A will have $1,000 of net gain included in the computation of net investment income each year for five years. </w:t>
      </w:r>
    </w:p>
    <w:p w14:paraId="61B7D1EC" w14:textId="77777777" w:rsidR="00494B49" w:rsidRDefault="00494B49">
      <w:pPr>
        <w:pStyle w:val="BExamplepara"/>
      </w:pPr>
      <w:r>
        <w:t xml:space="preserve">From a tax compliance perspective, each year A will report $6,000 of long-term capital gain. On </w:t>
      </w:r>
      <w:smartTag w:uri="http://www.bna.com/sgml2word/cite" w:element="cite.fed.form">
        <w:smartTagPr>
          <w:attr w:name="ref" w:val="irs\form8960"/>
        </w:smartTagPr>
        <w:r>
          <w:t>Form 8960</w:t>
        </w:r>
      </w:smartTag>
      <w:r>
        <w:t xml:space="preserve">, Line 5c, A will adjust net gain (a decrease) by ($5,000) such that A’s net gain is $1,000 on Line 5c. </w:t>
      </w:r>
    </w:p>
    <w:p w14:paraId="63FD2A57" w14:textId="77777777" w:rsidR="00494B49" w:rsidRDefault="00494B49">
      <w:pPr>
        <w:pStyle w:val="BHead4"/>
      </w:pPr>
      <w:r>
        <w:t>(2) Treatment of Contingent Payment Installment Sales and Private Annuities Based on Life Expectancy</w:t>
      </w:r>
    </w:p>
    <w:p w14:paraId="024E431F" w14:textId="77777777" w:rsidR="00494B49" w:rsidRDefault="00494B49">
      <w:pPr>
        <w:pStyle w:val="BNormal"/>
      </w:pPr>
      <w:r>
        <w:t xml:space="preserve">For purposes of applying the rules in 2013 Prop. Reg. </w:t>
      </w:r>
      <w:smartTag w:uri="http://www.bna.com/sgml2word/cite" w:element="cite.cfr">
        <w:smartTagPr>
          <w:attr w:name="ref" w:val="prule\cfr\26\1.1411-7(d)"/>
        </w:smartTagPr>
        <w:r>
          <w:t>§1.1411-7(d)</w:t>
        </w:r>
      </w:smartTag>
      <w:r>
        <w:t xml:space="preserve"> on deferred recognition transactions, it is assumed that any contingencies that could reasonably be expected to affect the transferor’s consideration will occur, and in the case of annuities based on the life expectancy of one or more individuals, the present value of the annuity (using existing federal tax valuation methods) is used to determine the estimated gain.</w:t>
      </w:r>
      <w:r>
        <w:rPr>
          <w:rStyle w:val="FootnoteReference"/>
        </w:rPr>
        <w:footnoteReference w:id="848"/>
      </w:r>
    </w:p>
    <w:p w14:paraId="0F71A4E0" w14:textId="77777777" w:rsidR="00494B49" w:rsidRDefault="00494B49">
      <w:pPr>
        <w:pStyle w:val="BNormal"/>
      </w:pPr>
      <w:r>
        <w:t xml:space="preserve">For example, assume a Passthrough Entity is sold for a private annuity based on the life of the seller. Under this approach, if the seller lives one year longer than his life expectancy, the entire amount of the payment in that final year will be included in the computation of net investment </w:t>
      </w:r>
      <w:r>
        <w:lastRenderedPageBreak/>
        <w:t xml:space="preserve">income. The rationale is that because a particular period of time has passed (e.g., the entire life expectancy of the seller), the private annuity is more akin to an investment than an interest in an operating business. Following that logic, the seller was making a bet that he would live longer than his actuarial life expectancy, and when he does, the final year’s payment is compensation for risk, rather than compensation attributable to the Passthrough Entity assets sold years ago. </w:t>
      </w:r>
    </w:p>
    <w:p w14:paraId="15CEEA17" w14:textId="77777777" w:rsidR="00494B49" w:rsidRDefault="00494B49">
      <w:pPr>
        <w:pStyle w:val="BNormal"/>
      </w:pPr>
      <w:r>
        <w:t>In the case of contingent installment sales,</w:t>
      </w:r>
      <w:r>
        <w:rPr>
          <w:rStyle w:val="FootnoteReference"/>
        </w:rPr>
        <w:footnoteReference w:id="849"/>
      </w:r>
      <w:r>
        <w:t xml:space="preserve"> any amount received above and beyond the amount estimated to be received will be included in the computation of net investment income. This provision will be most applicable in earn-out type installment sales where future payments are contingent on financial targets. This provision was met with some resistance when proposed. The resistance was based on a situation in which all of the assets of a Passthrough Entity constituted non-Section 1411 Property: Why should any of the contingent gain be included in the computation of net investment income if that non-Section 1411 Property were determined to be worth more than expected? But to counter that argument, if the Passthrough Entity held both Section 1411 Property and non-Section 1411 Property, how could the sellers or the IRS differentiate between the assets that produced the earn-out payments and those that did not?</w:t>
      </w:r>
      <w:r>
        <w:rPr>
          <w:rStyle w:val="FootnoteReference"/>
        </w:rPr>
        <w:footnoteReference w:id="850"/>
      </w:r>
      <w:r>
        <w:t xml:space="preserve"> Another reason for the rule is that the old owners of the Passthrough Entity may not be actively involved in the exploitation of the Passthrough Entity’s assets; thus, they may be viewed as passive investors in the ongoing business enterprise and are somewhat dependent on the sweat-equity of the new owners to produce above-expected returns on their participating debt instruments. Given these considerations, the 2013 Proposed Regulations appeared to side with simplicity over computational accuracy. </w:t>
      </w:r>
    </w:p>
    <w:p w14:paraId="3DF72E20" w14:textId="77777777" w:rsidR="00494B49" w:rsidRDefault="00494B49">
      <w:pPr>
        <w:pStyle w:val="BHead2"/>
      </w:pPr>
      <w:r>
        <w:t>5. Tiered Passthrough Dispositions</w:t>
      </w:r>
    </w:p>
    <w:p w14:paraId="4EB15D30" w14:textId="77777777" w:rsidR="00494B49" w:rsidRDefault="00494B49">
      <w:pPr>
        <w:pStyle w:val="BNormal"/>
      </w:pPr>
      <w:r>
        <w:t>The 2013 Proposed Regulations partially address the sale of a lower-tier partnership interest by an upper-tier Passthrough Entity but fall short of providing a comprehensive solution.</w:t>
      </w:r>
    </w:p>
    <w:p w14:paraId="0550D2EF" w14:textId="77777777" w:rsidR="00494B49" w:rsidRDefault="00494B49">
      <w:pPr>
        <w:pStyle w:val="BNormal"/>
      </w:pPr>
      <w:r>
        <w:t xml:space="preserve">2013 Prop. Reg. </w:t>
      </w:r>
      <w:smartTag w:uri="http://www.bna.com/sgml2word/cite" w:element="cite.cfr">
        <w:smartTagPr>
          <w:attr w:name="ref" w:val="prule\cfr\26\1.1411-7(a)(3)"/>
        </w:smartTagPr>
        <w:r>
          <w:t>§1.1411-7(a)(3)</w:t>
        </w:r>
      </w:smartTag>
      <w:r>
        <w:t xml:space="preserve"> addresses the disposition by Passthrough Entities of interests in lower-tier Passthrough Entities.</w:t>
      </w:r>
      <w:r>
        <w:rPr>
          <w:rStyle w:val="FootnoteReference"/>
        </w:rPr>
        <w:footnoteReference w:id="851"/>
      </w:r>
      <w:r>
        <w:t xml:space="preserve"> Proposed Reg. </w:t>
      </w:r>
      <w:smartTag w:uri="http://www.bna.com/sgml2word/cite" w:element="cite.cfr">
        <w:smartTagPr>
          <w:attr w:name="ref" w:val="prule\cfr\26\1.1411-7(a)(3)(ii)"/>
        </w:smartTagPr>
        <w:r>
          <w:t>§1.1411-7(a)(3)(ii)</w:t>
        </w:r>
      </w:smartTag>
      <w:r>
        <w:t xml:space="preserve"> provides a look-through rule that treats a partner or shareholder as owning a proportionate share of any Subsidiary Passthrough Entity, as if the partner or shareholder owned the interest directly. Thus, each partner of the upper-tier Passthrough Entity must determine whether the disposition of the Subsidiary Passthrough Entity is a Section 1411(c)(4) Disposition based on whether the disposition would qualify as a Section 1411(c)(4) Disposition if that owner owned its interest in the Subsidiary Passthrough Entity directly.</w:t>
      </w:r>
      <w:r>
        <w:rPr>
          <w:rStyle w:val="FootnoteReference"/>
        </w:rPr>
        <w:footnoteReference w:id="852"/>
      </w:r>
    </w:p>
    <w:p w14:paraId="08B8BBCC" w14:textId="77777777" w:rsidR="00494B49" w:rsidRDefault="00494B49">
      <w:pPr>
        <w:pStyle w:val="BHead3"/>
      </w:pPr>
      <w:r>
        <w:t>a. Computational Issues</w:t>
      </w:r>
    </w:p>
    <w:p w14:paraId="32093197" w14:textId="77777777" w:rsidR="00494B49" w:rsidRDefault="00494B49">
      <w:pPr>
        <w:pStyle w:val="BNormal"/>
      </w:pPr>
      <w:r>
        <w:lastRenderedPageBreak/>
        <w:t xml:space="preserve">From a theoretical standpoint,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to tiered partnerships. In fact, it could be argued that 2013 Prop. Reg. </w:t>
      </w:r>
      <w:smartTag w:uri="http://www.bna.com/sgml2word/cite" w:element="cite.cfr">
        <w:smartTagPr>
          <w:attr w:name="ref" w:val="prule\cfr\26\1.1411-7(a)(3)"/>
        </w:smartTagPr>
        <w:r>
          <w:t>§1.1411-7(a)(3)</w:t>
        </w:r>
      </w:smartTag>
      <w:r>
        <w:t xml:space="preserve"> is unnecessary. In support of this proposition, the general computational rule in 2013 Prop. Reg. </w:t>
      </w:r>
      <w:smartTag w:uri="http://www.bna.com/sgml2word/cite" w:element="cite.cfr">
        <w:smartTagPr>
          <w:attr w:name="ref" w:val="prule\cfr\26\1.1411-7(b)"/>
        </w:smartTagPr>
        <w:r>
          <w:t>§1.1411-7(b)</w:t>
        </w:r>
      </w:smartTag>
      <w:r>
        <w:t xml:space="preserve"> relies on the mechanics of Reg. </w:t>
      </w:r>
      <w:smartTag w:uri="http://www.bna.com/sgml2word/cite" w:element="cite.cfr">
        <w:smartTagPr>
          <w:attr w:name="ref" w:val="cfr\26\1.1411-2T(e)(3)"/>
        </w:smartTagPr>
        <w:r>
          <w:t>§1.1411-2T(e)(3)</w:t>
        </w:r>
      </w:smartTag>
      <w:r>
        <w:t>.</w:t>
      </w:r>
      <w:r>
        <w:rPr>
          <w:rStyle w:val="FootnoteReference"/>
        </w:rPr>
        <w:footnoteReference w:id="853"/>
      </w:r>
      <w:r>
        <w:t xml:space="preserve"> Following the general cross-reference to Reg. </w:t>
      </w:r>
      <w:smartTag w:uri="http://www.bna.com/sgml2word/cite" w:element="cite.cfr">
        <w:smartTagPr>
          <w:attr w:name="ref" w:val="cfr\26\1.1411-2T(e)(3)"/>
        </w:smartTagPr>
        <w:r>
          <w:t>§1.1411-2T(e)(3)</w:t>
        </w:r>
      </w:smartTag>
      <w:r>
        <w:t xml:space="preserve"> leads to Reg. </w:t>
      </w:r>
      <w:smartTag w:uri="http://www.bna.com/sgml2word/cite" w:element="cite.cfr">
        <w:smartTagPr>
          <w:attr w:name="ref" w:val="cfr\26\1.469-2T(e)(3)(ii)(D)(3)"/>
        </w:smartTagPr>
        <w:r>
          <w:t>§1.469-2T(e)(3)(ii)(D)(3)</w:t>
        </w:r>
      </w:smartTag>
      <w:r>
        <w:t>.</w:t>
      </w:r>
      <w:r>
        <w:rPr>
          <w:rStyle w:val="FootnoteReference"/>
        </w:rPr>
        <w:footnoteReference w:id="854"/>
      </w:r>
      <w:r>
        <w:t xml:space="preserve"> A comparison of the language in 2013 Prop. Reg. </w:t>
      </w:r>
      <w:smartTag w:uri="http://www.bna.com/sgml2word/cite" w:element="cite.cfr">
        <w:smartTagPr>
          <w:attr w:name="ref" w:val="prule\cfr\26\1.1411-7(a)(3)(ii)"/>
        </w:smartTagPr>
        <w:r>
          <w:t>§1.1411-7(a)(3)(ii)</w:t>
        </w:r>
      </w:smartTag>
      <w:r>
        <w:t xml:space="preserve"> to the language in Reg. </w:t>
      </w:r>
      <w:smartTag w:uri="http://www.bna.com/sgml2word/cite" w:element="cite.cfr">
        <w:smartTagPr>
          <w:attr w:name="ref" w:val="cfr\26\1.469-2T(e)(3)(ii)(D)(3)"/>
        </w:smartTagPr>
        <w:r>
          <w:t>§1.469-2T(e)(3)(ii)(D)(3)</w:t>
        </w:r>
      </w:smartTag>
      <w:r>
        <w:t xml:space="preserve"> shows that the outcome is virtually identical. In other words, because Reg. </w:t>
      </w:r>
      <w:smartTag w:uri="http://www.bna.com/sgml2word/cite" w:element="cite.cfr">
        <w:smartTagPr>
          <w:attr w:name="ref" w:val="cfr\26\1.469-2T(e)(3)(ii)(D)(3)"/>
        </w:smartTagPr>
        <w:r>
          <w:t>§1.469-2T(e)(3)(ii)(D)(3)</w:t>
        </w:r>
      </w:smartTag>
      <w:r>
        <w:t xml:space="preserve"> has been on the books for more than 25 years, taxpayers should be well accustomed to applying the aggregate theory of taxation to tiered partnerships.</w:t>
      </w:r>
      <w:r>
        <w:rPr>
          <w:rStyle w:val="FootnoteReference"/>
        </w:rPr>
        <w:footnoteReference w:id="855"/>
      </w:r>
    </w:p>
    <w:p w14:paraId="25C03557" w14:textId="77777777" w:rsidR="00494B49" w:rsidRDefault="00494B49">
      <w:pPr>
        <w:pStyle w:val="BNormal"/>
      </w:pPr>
      <w:r>
        <w:t xml:space="preserve">Although taxpayers “should” have been applying the mechanical rules of Reg. </w:t>
      </w:r>
      <w:smartTag w:uri="http://www.bna.com/sgml2word/cite" w:element="cite.cfr">
        <w:smartTagPr>
          <w:attr w:name="ref" w:val="cfr\26\1.469-2T(e)(3)(ii)(D)(3)"/>
        </w:smartTagPr>
        <w:r>
          <w:t>§1.469-2T(e)(3)(ii)(D)(3)</w:t>
        </w:r>
      </w:smartTag>
      <w:r>
        <w:t xml:space="preserve"> to tiered partnerships for several decades before </w:t>
      </w:r>
      <w:smartTag w:uri="http://www.bna.com/sgml2word/cite" w:element="cite.usc">
        <w:smartTagPr>
          <w:attr w:name="ref" w:val="USC\26\1411"/>
        </w:smartTagPr>
        <w:r>
          <w:t>§1411</w:t>
        </w:r>
      </w:smartTag>
      <w:r>
        <w:t xml:space="preserve"> was enacted, the Treasury Department and the IRS implicitly acknowledged that taxpayers, both individuals and partnerships, might not be fully complying with Reg. </w:t>
      </w:r>
      <w:smartTag w:uri="http://www.bna.com/sgml2word/cite" w:element="cite.cfr">
        <w:smartTagPr>
          <w:attr w:name="ref" w:val="cfr\26\1.469-2T(e)(3)(ii)(D)(3)"/>
        </w:smartTagPr>
        <w:r>
          <w:t>§1.469-2T(e)(3)(ii)(D)(3)</w:t>
        </w:r>
      </w:smartTag>
      <w:r>
        <w:t xml:space="preserve"> due to its complexity. The 2013 Proposed Regulations reserved 2013 Prop. Reg. </w:t>
      </w:r>
      <w:smartTag w:uri="http://www.bna.com/sgml2word/cite" w:element="cite.cfr">
        <w:smartTagPr>
          <w:attr w:name="ref" w:val="prule\cfr\26\1.1411-7(e)"/>
        </w:smartTagPr>
        <w:r>
          <w:t>§1.1411-7(e)</w:t>
        </w:r>
      </w:smartTag>
      <w:r>
        <w:rPr>
          <w:rStyle w:val="FootnoteReference"/>
        </w:rPr>
        <w:footnoteReference w:id="856"/>
      </w:r>
      <w:r>
        <w:t xml:space="preserve"> and in the preamble requested public comments regarding a simplified computational method for determining the </w:t>
      </w:r>
      <w:smartTag w:uri="http://www.bna.com/sgml2word/cite" w:element="cite.usc">
        <w:smartTagPr>
          <w:attr w:name="ref" w:val="USC\26\1411(c)(4)"/>
        </w:smartTagPr>
        <w:r>
          <w:t>§1411(c)(4)</w:t>
        </w:r>
      </w:smartTag>
      <w:r>
        <w:t xml:space="preserve"> gain resulting from a Passthrough Entity’s disposition of an interest in a Subsidiary Passthrough Entity.</w:t>
      </w:r>
    </w:p>
    <w:p w14:paraId="59CB0905" w14:textId="77777777" w:rsidR="00494B49" w:rsidRDefault="00494B49">
      <w:pPr>
        <w:pStyle w:val="BNormal"/>
      </w:pPr>
      <w:r>
        <w:t xml:space="preserve">Unlike comment requests in the other NIIT regulation packages, the preamble proposed a fact pattern and requested a simplified method, including a detailed technical analysis with examples, for determining the </w:t>
      </w:r>
      <w:smartTag w:uri="http://www.bna.com/sgml2word/cite" w:element="cite.usc">
        <w:smartTagPr>
          <w:attr w:name="ref" w:val="USC\26\1411(c)(4)"/>
        </w:smartTagPr>
        <w:r>
          <w:t>§1411(c)(4)</w:t>
        </w:r>
      </w:smartTag>
      <w:r>
        <w:t xml:space="preserve"> gain resulting in similar cases.</w:t>
      </w:r>
      <w:r>
        <w:rPr>
          <w:rStyle w:val="FootnoteReference"/>
        </w:rPr>
        <w:footnoteReference w:id="857"/>
      </w:r>
      <w:r>
        <w:t xml:space="preserve"> To put it differently, the preamble contained a riddle and asked commentators to solve it and show their work. The riddle in the preamble is: </w:t>
      </w:r>
    </w:p>
    <w:p w14:paraId="5D25EA6B" w14:textId="77777777" w:rsidR="00494B49" w:rsidRDefault="00494B49">
      <w:pPr>
        <w:pStyle w:val="BQuotelong"/>
      </w:pPr>
      <w:r>
        <w:t xml:space="preserve">A holds an interest in UTP, a Passthrough Entity that owns a 50% interest in LTP, a Subsidiary Passthrough Entity that is a real estate development company. A is a real estate developer and elected to group his real estate activities under Reg. </w:t>
      </w:r>
      <w:smartTag w:uri="http://www.bna.com/sgml2word/cite" w:element="cite.cfr">
        <w:smartTagPr>
          <w:attr w:name="ref" w:val="cfr\26\1.469-9"/>
        </w:smartTagPr>
        <w:r>
          <w:t>§1.469-9</w:t>
        </w:r>
      </w:smartTag>
      <w:r>
        <w:t xml:space="preserve">. When UTP sells its interest in LTP, any gain from the sale of that interest allocable to A through UTP may qualify under 2013 Prop. Reg. </w:t>
      </w:r>
      <w:smartTag w:uri="http://www.bna.com/sgml2word/cite" w:element="cite.cfr">
        <w:smartTagPr>
          <w:attr w:name="ref" w:val="prule\cfr\26\1.1411-7(a)(2)"/>
        </w:smartTagPr>
        <w:r>
          <w:t>§1.1411-7(a)(2)</w:t>
        </w:r>
      </w:smartTag>
      <w:r>
        <w:t xml:space="preserve">. However, A lacks access to the books of LTP that would allow A to compute its </w:t>
      </w:r>
      <w:smartTag w:uri="http://www.bna.com/sgml2word/cite" w:element="cite.usc">
        <w:smartTagPr>
          <w:attr w:name="ref" w:val="USC\26\1411(c)(4)"/>
        </w:smartTagPr>
        <w:r>
          <w:t>§1411(c)(4)</w:t>
        </w:r>
      </w:smartTag>
      <w:r>
        <w:t xml:space="preserve"> inclusion under the general rule of proposed </w:t>
      </w:r>
      <w:smartTag w:uri="http://www.bna.com/sgml2word/cite" w:element="cite.cfr">
        <w:smartTagPr>
          <w:attr w:name="ref" w:val="cfr\26\1.1411-7(b)"/>
        </w:smartTagPr>
        <w:r>
          <w:t>§1.1411-7(b)</w:t>
        </w:r>
      </w:smartTag>
      <w:r>
        <w:t xml:space="preserve">. Additionally, A receives insufficient information from UTP to allow A to determine whether A qualifies to apply the Optional Simplified Method of 2013 Prop. Reg. </w:t>
      </w:r>
      <w:smartTag w:uri="http://www.bna.com/sgml2word/cite" w:element="cite.cfr">
        <w:smartTagPr>
          <w:attr w:name="ref" w:val="prule\cfr\26\1.1411-7(c)"/>
        </w:smartTagPr>
        <w:r>
          <w:t>§1.1411-7(c)</w:t>
        </w:r>
      </w:smartTag>
      <w:r>
        <w:t xml:space="preserve"> or to undertake that computation.</w:t>
      </w:r>
      <w:r>
        <w:rPr>
          <w:rStyle w:val="FootnoteReference"/>
        </w:rPr>
        <w:footnoteReference w:id="858"/>
      </w:r>
      <w:r>
        <w:t xml:space="preserve"> </w:t>
      </w:r>
    </w:p>
    <w:p w14:paraId="129EF067" w14:textId="77777777" w:rsidR="00494B49" w:rsidRDefault="00494B49">
      <w:pPr>
        <w:pStyle w:val="BNormal"/>
      </w:pPr>
      <w:r>
        <w:lastRenderedPageBreak/>
        <w:t xml:space="preserve">As noted above,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(specifically Reg. </w:t>
      </w:r>
      <w:smartTag w:uri="http://www.bna.com/sgml2word/cite" w:element="cite.cfr">
        <w:smartTagPr>
          <w:attr w:name="ref" w:val="cfr\26\1.469-2T(e)(3)"/>
        </w:smartTagPr>
        <w:r>
          <w:t>§1.469-2T(e)(3)</w:t>
        </w:r>
      </w:smartTag>
      <w:r>
        <w:t xml:space="preserve">) to this situation. But this fact pattern presents an issue that is not present in Reg. </w:t>
      </w:r>
      <w:smartTag w:uri="http://www.bna.com/sgml2word/cite" w:element="cite.cfr">
        <w:smartTagPr>
          <w:attr w:name="ref" w:val="cfr\26\1.469-2T(e)(3)"/>
        </w:smartTagPr>
        <w:r>
          <w:t>§1.469-2T(e)(3)</w:t>
        </w:r>
      </w:smartTag>
      <w:r>
        <w:t xml:space="preserve">. </w:t>
      </w:r>
    </w:p>
    <w:p w14:paraId="7679579C" w14:textId="77777777" w:rsidR="00494B49" w:rsidRDefault="00494B49">
      <w:pPr>
        <w:pStyle w:val="BNormal"/>
      </w:pPr>
      <w:r>
        <w:t xml:space="preserve">Very generally, Reg. </w:t>
      </w:r>
      <w:smartTag w:uri="http://www.bna.com/sgml2word/cite" w:element="cite.cfr">
        <w:smartTagPr>
          <w:attr w:name="ref" w:val="cfr\26\1.469-2T(e)(3)"/>
        </w:smartTagPr>
        <w:r>
          <w:t>§1.469-2T(e)(3)</w:t>
        </w:r>
      </w:smartTag>
      <w:r>
        <w:t xml:space="preserve"> requires the entity to report to the selling partner or shareholder their ratable portion of any gain or loss in each trade or business, rental, or investment activity in which the Passthrough Entity owns an interest. The requirement that the entity provide this information is unconditional. In other words, it is irrelevant whether the partner or shareholder is passive or nonpassive. Additionally, the Passthrough Entity’s </w:t>
      </w:r>
      <w:smartTag w:uri="http://www.bna.com/sgml2word/cite" w:element="cite.usc">
        <w:smartTagPr>
          <w:attr w:name="ref" w:val="USC\26\469"/>
        </w:smartTagPr>
        <w:r>
          <w:t>§469</w:t>
        </w:r>
      </w:smartTag>
      <w:r>
        <w:t xml:space="preserve"> groupings are taken into account in delivering this information. But for NIIT purposes, reporting the NIIT-based gain or loss is required only if a transferor has a Section 1411 Disposition. The Passthrough Entity may not know whether the owner is considering the disposition a Section 1411 Disposition. Therefore, an implied communication is required between the transferor and entity regarding the passive or nonpassive status of the Passthrough Entity’s activity, even though Reg. </w:t>
      </w:r>
      <w:smartTag w:uri="http://www.bna.com/sgml2word/cite" w:element="cite.cfr">
        <w:smartTagPr>
          <w:attr w:name="ref" w:val="cfr\26\1.469-2T(e)(3)"/>
        </w:smartTagPr>
        <w:r>
          <w:t>§1.469-2T(e)(3)</w:t>
        </w:r>
      </w:smartTag>
      <w:r>
        <w:t xml:space="preserve"> does not expressly enunciate a requirement to communicate. In the tier passthrough context, using the example from the preamble, the communication must originate from A to UTP and then from UTP to LTP. However, if A is not aware that UTP sold an interest in LTP (or even, for example, recognized gain on a cash distribution in excess of basis). A would not know that he has to initiate the communication to get the information. Of course, if the rules are applied by UTP, LTP would report the gain or loss from its activities to UTP and UTP would communicate that to A. Once A realizes that there has been a disposition of LTP, he would begin the communication process. However, the communication is unlikely to be a viable option if (1) the UTP Schedule K-1 is not delivered to A within a sufficient time frame to use the information on A’s return; or (2) LTP or UTP don’t report to their respective partners in accordance with Reg. </w:t>
      </w:r>
      <w:smartTag w:uri="http://www.bna.com/sgml2word/cite" w:element="cite.cfr">
        <w:smartTagPr>
          <w:attr w:name="ref" w:val="cfr\26\1.469-2T(e)(3)"/>
        </w:smartTagPr>
        <w:r>
          <w:t>§1.469-2T(e)(3)</w:t>
        </w:r>
      </w:smartTag>
      <w:r>
        <w:t>.</w:t>
      </w:r>
    </w:p>
    <w:p w14:paraId="282304B8" w14:textId="77777777" w:rsidR="00494B49" w:rsidRDefault="00494B49">
      <w:pPr>
        <w:pStyle w:val="BHead3"/>
      </w:pPr>
      <w:r>
        <w:t>b. Reporting in Tiered Structures</w:t>
      </w:r>
    </w:p>
    <w:p w14:paraId="6278C2DC" w14:textId="77777777" w:rsidR="00494B49" w:rsidRDefault="00494B49">
      <w:pPr>
        <w:pStyle w:val="BNormal"/>
      </w:pPr>
      <w:r>
        <w:t xml:space="preserve">The 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do not provide specific guidance on how information should be reported to owners that sold an interest in a Passthrough Entity that might qualify as a Section 1411 Disposition to one or more of its direct or indirect owners. In these situations, it is likely advisable to use a combination of Schedule K-1 reporting and non-Schedule K-1 information sharing.</w:t>
      </w:r>
    </w:p>
    <w:p w14:paraId="4DD85EB8" w14:textId="77777777" w:rsidR="00494B49" w:rsidRDefault="00494B49">
      <w:pPr>
        <w:pStyle w:val="BNormal"/>
      </w:pP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include a sample disclosure for an individual, estate, or trust that reports an adjustment on </w:t>
      </w:r>
      <w:smartTag w:uri="http://www.bna.com/sgml2word/cite" w:element="cite.fed.form">
        <w:smartTagPr>
          <w:attr w:name="ref" w:val="irs\form8960"/>
        </w:smartTagPr>
        <w:r>
          <w:t>Form 8960</w:t>
        </w:r>
      </w:smartTag>
      <w:r>
        <w:t>, Line 5c, for a Section 1411 Disposition of an indirectly owned entity.</w:t>
      </w:r>
    </w:p>
    <w:p w14:paraId="00B688CC" w14:textId="77777777" w:rsidR="00494B49" w:rsidRDefault="00494B49">
      <w:pPr>
        <w:pStyle w:val="BNormal"/>
      </w:pP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also include a sample Schedule K-1 reporting for the upper-tier Passthrough Entity to report gain or loss to its owners, which was created for a situation in which an upper-tier entity sold a lower-tier partnership in an installment sale before the effective date of </w:t>
      </w:r>
      <w:smartTag w:uri="http://www.bna.com/sgml2word/cite" w:element="cite.usc">
        <w:smartTagPr>
          <w:attr w:name="ref" w:val="USC\26\1411"/>
        </w:smartTagPr>
        <w:r>
          <w:t>§1411</w:t>
        </w:r>
      </w:smartTag>
      <w:r>
        <w:t>.</w:t>
      </w:r>
    </w:p>
    <w:p w14:paraId="75AAA650" w14:textId="77777777" w:rsidR="00494B49" w:rsidRDefault="00494B49">
      <w:pPr>
        <w:pStyle w:val="BHead2"/>
      </w:pPr>
      <w:r>
        <w:t>6. Short Year Sales: A Trap for the Unwary</w:t>
      </w:r>
    </w:p>
    <w:p w14:paraId="2EBB51B6" w14:textId="77777777" w:rsidR="00494B49" w:rsidRDefault="00494B49">
      <w:pPr>
        <w:pStyle w:val="BNormal"/>
      </w:pPr>
      <w:r>
        <w:t xml:space="preserve">When there is a disposition of a Passthrough Entity early in the tax year of the seller, a trap for the unwary can exist. Recall that under </w:t>
      </w:r>
      <w:smartTag w:uri="http://www.bna.com/sgml2word/cite" w:element="cite.usc">
        <w:smartTagPr>
          <w:attr w:name="ref" w:val="USC\26\469(h)(1)"/>
        </w:smartTagPr>
        <w:r>
          <w:t>§469(h)(1)</w:t>
        </w:r>
      </w:smartTag>
      <w:r>
        <w:t xml:space="preserve">, a taxpayer is treated as materially participating in an activity only if the taxpayer is involved in the operations of the activity on a basis that is regular, continuous, and substantial. The material participation rules of </w:t>
      </w:r>
      <w:smartTag w:uri="http://www.bna.com/sgml2word/cite" w:element="cite.usc">
        <w:smartTagPr>
          <w:attr w:name="ref" w:val="USC\26\469(h)(1)"/>
        </w:smartTagPr>
        <w:r>
          <w:t>§469(h)(1)</w:t>
        </w:r>
      </w:smartTag>
      <w:r>
        <w:t xml:space="preserve"> </w:t>
      </w:r>
      <w:r>
        <w:lastRenderedPageBreak/>
        <w:t xml:space="preserve">and Reg. </w:t>
      </w:r>
      <w:smartTag w:uri="http://www.bna.com/sgml2word/cite" w:element="cite.cfr">
        <w:smartTagPr>
          <w:attr w:name="ref" w:val="cfr\26\1.469-5T"/>
        </w:smartTagPr>
        <w:r>
          <w:t>§1.469-5T</w:t>
        </w:r>
      </w:smartTag>
      <w:r>
        <w:t xml:space="preserve"> apply for purposes of determining whether a taxpayer materially participates in a trade or business when determining whether the trade or business is a “Trade or Business” to which the NIIT applies. The seven tests described in Reg. </w:t>
      </w:r>
      <w:smartTag w:uri="http://www.bna.com/sgml2word/cite" w:element="cite.cfr">
        <w:smartTagPr>
          <w:attr w:name="ref" w:val="cfr\26\1.469-5T(a)"/>
        </w:smartTagPr>
        <w:r>
          <w:t>§1.469-5T(a)</w:t>
        </w:r>
      </w:smartTag>
      <w:r>
        <w:t xml:space="preserve"> can present issues for certain taxpayers selling early in the year if they have not been long-term holders of the business. A taxpayer that has not satisfied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respectively, needs to rely on the other five tests in Reg. </w:t>
      </w:r>
      <w:smartTag w:uri="http://www.bna.com/sgml2word/cite" w:element="cite.cfr">
        <w:smartTagPr>
          <w:attr w:name="ref" w:val="cfr\26\1.469-5T"/>
        </w:smartTagPr>
        <w:r>
          <w:t>§1.469-5T</w:t>
        </w:r>
      </w:smartTag>
      <w:r>
        <w:t xml:space="preserve"> (assuming they are not a “limited partner”),</w:t>
      </w:r>
      <w:r>
        <w:rPr>
          <w:rStyle w:val="FootnoteReference"/>
        </w:rPr>
        <w:footnoteReference w:id="859"/>
      </w:r>
      <w:r>
        <w:t xml:space="preserve"> or on the Significant Participation Passive Activities rule (SPPA rule).</w:t>
      </w:r>
      <w:r>
        <w:rPr>
          <w:rStyle w:val="FootnoteReference"/>
        </w:rPr>
        <w:footnoteReference w:id="860"/>
      </w:r>
      <w:r>
        <w:t xml:space="preserve"> To the extent that an individual sells a business on, say, January 8, there is little, if any, time to meet the 100-hour tests under Reg. </w:t>
      </w:r>
      <w:smartTag w:uri="http://www.bna.com/sgml2word/cite" w:element="cite.cfr">
        <w:smartTagPr>
          <w:attr w:name="ref" w:val="cfr\26\1.469-5T(a)"/>
        </w:smartTagPr>
        <w:r>
          <w:t>§1.469-5T(a)</w:t>
        </w:r>
      </w:smartTag>
      <w:r>
        <w:t xml:space="preserve"> or the SPPA test. Furthermore, the 500-hour test in Reg. </w:t>
      </w:r>
      <w:smartTag w:uri="http://www.bna.com/sgml2word/cite" w:element="cite.cfr">
        <w:smartTagPr>
          <w:attr w:name="ref" w:val="cfr\26\1.469-5T(a)(1)"/>
        </w:smartTagPr>
        <w:r>
          <w:t>§1.469-5T(a)(1)</w:t>
        </w:r>
      </w:smartTag>
      <w:r>
        <w:t xml:space="preserve"> is not pro-rated for a short year.</w:t>
      </w:r>
      <w:r>
        <w:rPr>
          <w:rStyle w:val="FootnoteReference"/>
        </w:rPr>
        <w:footnoteReference w:id="861"/>
      </w:r>
      <w:r>
        <w:t xml:space="preserve"> As a result, for taxpayers that cannot meet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the prudent course would be to delay closing for enough time to allow for the material participation tests to be satisfied. However, in the case of an equity rollover where the selling taxpayer maintains an interest in the </w:t>
      </w:r>
      <w:smartTag w:uri="http://www.bna.com/sgml2word/cite" w:element="cite.usc">
        <w:smartTagPr>
          <w:attr w:name="ref" w:val="USC\26\469"/>
        </w:smartTagPr>
        <w:r>
          <w:t>§469</w:t>
        </w:r>
      </w:smartTag>
      <w:r>
        <w:t xml:space="preserve"> activity,</w:t>
      </w:r>
      <w:r>
        <w:rPr>
          <w:rStyle w:val="FootnoteReference"/>
        </w:rPr>
        <w:footnoteReference w:id="862"/>
      </w:r>
      <w:r>
        <w:t xml:space="preserve"> the time devoted to the business even after the sale date should apply for purposes of all of the material participation tests in </w:t>
      </w:r>
      <w:smartTag w:uri="http://www.bna.com/sgml2word/cite" w:element="cite.usc">
        <w:smartTagPr>
          <w:attr w:name="ref" w:val="USC\26\469"/>
        </w:smartTagPr>
        <w:r>
          <w:t>§469</w:t>
        </w:r>
      </w:smartTag>
      <w:r>
        <w:t xml:space="preserve">, and therefore likewise apply for purposes of </w:t>
      </w:r>
      <w:smartTag w:uri="http://www.bna.com/sgml2word/cite" w:element="cite.usc">
        <w:smartTagPr>
          <w:attr w:name="ref" w:val="USC\26\1411(c)(4)"/>
        </w:smartTagPr>
        <w:r>
          <w:t>§1411(c)(4)</w:t>
        </w:r>
      </w:smartTag>
      <w:r>
        <w:t>.</w:t>
      </w:r>
    </w:p>
    <w:p w14:paraId="633A81DD" w14:textId="77777777" w:rsidR="00494B49" w:rsidRDefault="00494B49">
      <w:pPr>
        <w:pStyle w:val="BHead1"/>
      </w:pPr>
      <w:r>
        <w:t>C. 2012 Proposed Regulations</w:t>
      </w:r>
    </w:p>
    <w:p w14:paraId="5694F7D1" w14:textId="77777777" w:rsidR="00494B49" w:rsidRDefault="00494B49">
      <w:pPr>
        <w:pStyle w:val="BHead2"/>
      </w:pPr>
      <w:r>
        <w:t>1. Deemed Sale Approach</w:t>
      </w:r>
    </w:p>
    <w:p w14:paraId="2BF3E26C" w14:textId="77777777" w:rsidR="00494B49" w:rsidRDefault="00494B49">
      <w:pPr>
        <w:pStyle w:val="BNormal"/>
      </w:pPr>
      <w:r>
        <w:t xml:space="preserve">In the context of the entire 2012 Proposed Regulations package, the provisions interpreting </w:t>
      </w:r>
      <w:smartTag w:uri="http://www.bna.com/sgml2word/cite" w:element="cite.usc">
        <w:smartTagPr>
          <w:attr w:name="ref" w:val="USC\26\1411(c)(4)"/>
        </w:smartTagPr>
        <w:r>
          <w:t>§1411(c)(4)</w:t>
        </w:r>
      </w:smartTag>
      <w:r>
        <w:t xml:space="preserve"> were some of the most criticized. The preamble to the 2012 Proposed Regulations seemed to indicate that the Treasury Department and the IRS anticipated that they were going to </w:t>
      </w:r>
      <w:r>
        <w:lastRenderedPageBreak/>
        <w:t>be criticized; in explaining the government’s reasoning behind the Deemed Sale approach,</w:t>
      </w:r>
      <w:r>
        <w:rPr>
          <w:rStyle w:val="FootnoteReference"/>
        </w:rPr>
        <w:footnoteReference w:id="863"/>
      </w:r>
      <w:r>
        <w:t xml:space="preserve"> the preamble acknowledged the approach was administratively burdensome.</w:t>
      </w:r>
      <w:r>
        <w:rPr>
          <w:rStyle w:val="FootnoteReference"/>
        </w:rPr>
        <w:footnoteReference w:id="864"/>
      </w:r>
    </w:p>
    <w:p w14:paraId="46420660" w14:textId="77777777" w:rsidR="00494B49" w:rsidRDefault="00494B49">
      <w:pPr>
        <w:pStyle w:val="BNormal"/>
      </w:pPr>
      <w:r>
        <w:t xml:space="preserve">The 2012 Proposed Regulations provided that a transferor first computes the gain or loss from the sale of the underlying properties of the partnership or S corporation using a deemed asset sale method (Deemed Sale), and then determines if, based on the Deemed Sale, there is an adjustment (either positive or negative) to the transferor’s gain or loss on the disposition of the partnership or S corporation interest for purposes of </w:t>
      </w:r>
      <w:smartTag w:uri="http://www.bna.com/sgml2word/cite" w:element="cite.usc">
        <w:smartTagPr>
          <w:attr w:name="ref" w:val="USC\26\1411(c)(1)(A)(iii)"/>
        </w:smartTagPr>
        <w:r>
          <w:t>§1411(c)(1)(A)(iii)</w:t>
        </w:r>
      </w:smartTag>
      <w:r>
        <w:t xml:space="preserve">. Under this methodology, an adjustment occurs only if the underlying property is used in a trade or business not described in Reg. </w:t>
      </w:r>
      <w:smartTag w:uri="http://www.bna.com/sgml2word/cite" w:element="cite.cfr">
        <w:smartTagPr>
          <w:attr w:name="ref" w:val="cfr\26\1.1411-5"/>
        </w:smartTagPr>
        <w:r>
          <w:t>§1.1411-5</w:t>
        </w:r>
      </w:smartTag>
      <w:r>
        <w:t xml:space="preserve"> (a positive adjustment reduces a loss on the disposition of the interest, and a negative adjustment reduces the gain on the disposition of the interest). </w:t>
      </w:r>
    </w:p>
    <w:p w14:paraId="6DFB731A" w14:textId="77777777" w:rsidR="00494B49" w:rsidRDefault="00494B49">
      <w:pPr>
        <w:pStyle w:val="BNormal"/>
      </w:pPr>
      <w:r>
        <w:t xml:space="preserve">The “Deemed Sale” approach in 2012 Prop. Reg. </w:t>
      </w:r>
      <w:smartTag w:uri="http://www.bna.com/sgml2word/cite" w:element="cite.cfr">
        <w:smartTagPr>
          <w:attr w:name="ref" w:val="prule\cfr\26\1.1411-7(c)"/>
        </w:smartTagPr>
        <w:r>
          <w:t>§1.1411-7(c)</w:t>
        </w:r>
      </w:smartTag>
      <w:r>
        <w:t xml:space="preserve"> involved four steps. The first step of the Deemed Sale was a hypothetical disposition of all the entity’s properties (including goodwill) in a fully taxable transaction for cash equal to the fair market value of the entity’s properties immediately before the disposition of the interest.</w:t>
      </w:r>
      <w:r>
        <w:rPr>
          <w:rStyle w:val="FootnoteReference"/>
        </w:rPr>
        <w:footnoteReference w:id="865"/>
      </w:r>
    </w:p>
    <w:p w14:paraId="627BB1AB" w14:textId="77777777" w:rsidR="00494B49" w:rsidRDefault="00494B49">
      <w:pPr>
        <w:pStyle w:val="BNormal"/>
      </w:pPr>
      <w:r>
        <w:t>The second step of the Deemed Sale was to compute the gain or loss on each of the entity’s properties (including goodwill) separately,</w:t>
      </w:r>
      <w:r>
        <w:rPr>
          <w:rStyle w:val="FootnoteReference"/>
        </w:rPr>
        <w:footnoteReference w:id="866"/>
      </w:r>
      <w:r>
        <w:t xml:space="preserve"> by comparing the fair market value of each property with the property’s adjusted basis. For property held in more than one trade or business during the 12-month period ending on the date of the disposition, 2012 Prop. Reg. </w:t>
      </w:r>
      <w:smartTag w:uri="http://www.bna.com/sgml2word/cite" w:element="cite.cfr">
        <w:smartTagPr>
          <w:attr w:name="ref" w:val="prule\cfr\26\1.1411-7(c)"/>
        </w:smartTagPr>
        <w:r>
          <w:t>§1.1411-7(c)</w:t>
        </w:r>
      </w:smartTag>
      <w:r>
        <w:t xml:space="preserve"> provided that the fair market value and adjusted basis of the property must be allocated among the trades or businesses on a basis that reasonably reflects the use of the property.</w:t>
      </w:r>
      <w:r>
        <w:rPr>
          <w:rStyle w:val="FootnoteReference"/>
        </w:rPr>
        <w:footnoteReference w:id="867"/>
      </w:r>
      <w:r>
        <w:t xml:space="preserve"> Additionally, the 2012 Proposed Regulations contained a special rule for the allocation of gain or loss from goodwill for purposes of </w:t>
      </w:r>
      <w:smartTag w:uri="http://www.bna.com/sgml2word/cite" w:element="cite.usc">
        <w:smartTagPr>
          <w:attr w:name="ref" w:val="USC\26\1411(c)(4)"/>
        </w:smartTagPr>
        <w:r>
          <w:t>§1411(c)(4)</w:t>
        </w:r>
      </w:smartTag>
      <w:r>
        <w:t>.</w:t>
      </w:r>
      <w:r>
        <w:rPr>
          <w:rStyle w:val="FootnoteReference"/>
        </w:rPr>
        <w:footnoteReference w:id="868"/>
      </w:r>
      <w:r>
        <w:t xml:space="preserve"> If the entity was engaged in one trade or business, the entire gain or loss on the goodwill was treated as gain or loss from the disposition of property held for use in that trade or business, and no portion of the gain or loss was treated as attributable to property not held for use in the trade or business. If the entity was engaged in more than one trade or business, the proposed regulation required that the gain or loss on the goodwill be allocated between the trades or businesses based on the relative fair market value of the property (excluding cash) held for use in each trade or business.</w:t>
      </w:r>
      <w:r>
        <w:rPr>
          <w:rStyle w:val="FootnoteReference"/>
        </w:rPr>
        <w:footnoteReference w:id="869"/>
      </w:r>
    </w:p>
    <w:p w14:paraId="3E5BC576" w14:textId="77777777" w:rsidR="00494B49" w:rsidRDefault="00494B49">
      <w:pPr>
        <w:pStyle w:val="BNormal"/>
      </w:pPr>
      <w:r>
        <w:lastRenderedPageBreak/>
        <w:t>The third step of the Deemed Sale was to allocate the gain or loss from each property determined in the second step to the transferor.</w:t>
      </w:r>
      <w:r>
        <w:rPr>
          <w:rStyle w:val="FootnoteReference"/>
        </w:rPr>
        <w:footnoteReference w:id="870"/>
      </w:r>
      <w:r>
        <w:t xml:space="preserve"> In the case of a partnership, the 2012 Proposed Regulations provided that the amount of gain or loss allocated to the transferor must take into account the allocations provided in the partnership agreement and any allocations required by </w:t>
      </w:r>
      <w:smartTag w:uri="http://www.bna.com/sgml2word/cite" w:element="cite.usc">
        <w:smartTagPr>
          <w:attr w:name="ref" w:val="USC\26\704(b)"/>
        </w:smartTagPr>
        <w:r>
          <w:t>§704(b)</w:t>
        </w:r>
      </w:smartTag>
      <w:r>
        <w:t xml:space="preserve"> and </w:t>
      </w:r>
      <w:smartTag w:uri="http://www.bna.com/sgml2word/cite" w:element="cite.usc">
        <w:smartTagPr>
          <w:attr w:name="ref" w:val="USC\26\704(c)"/>
        </w:smartTagPr>
        <w:r>
          <w:t>§704(c)</w:t>
        </w:r>
      </w:smartTag>
      <w:r>
        <w:t xml:space="preserve"> (and the regulations thereunder), as well as basis adjustments under </w:t>
      </w:r>
      <w:smartTag w:uri="http://www.bna.com/sgml2word/cite" w:element="cite.usc">
        <w:smartTagPr>
          <w:attr w:name="ref" w:val="USC\26\743"/>
        </w:smartTagPr>
        <w:r>
          <w:t>§743</w:t>
        </w:r>
      </w:smartTag>
      <w:r>
        <w:t xml:space="preserve"> with respect to the transferor. In the case of an S corporation, the 2012 Proposed Regulations provided that the amount of gain or loss allocated to the transferor is determined under </w:t>
      </w:r>
      <w:smartTag w:uri="http://www.bna.com/sgml2word/cite" w:element="cite.usc">
        <w:smartTagPr>
          <w:attr w:name="ref" w:val="USC\26\1366(a)"/>
        </w:smartTagPr>
        <w:r>
          <w:t>§1366(a)</w:t>
        </w:r>
      </w:smartTag>
      <w:r>
        <w:t xml:space="preserve">, and the allocation should not take into account any reduction in the transferor’s distributive share in </w:t>
      </w:r>
      <w:smartTag w:uri="http://www.bna.com/sgml2word/cite" w:element="cite.usc">
        <w:smartTagPr>
          <w:attr w:name="ref" w:val="USC\26\1366(f)(2)"/>
        </w:smartTagPr>
        <w:r>
          <w:t>§1366(f)(2)</w:t>
        </w:r>
      </w:smartTag>
      <w:r>
        <w:t xml:space="preserve"> resulting from the hypothetical imposition of tax under </w:t>
      </w:r>
      <w:smartTag w:uri="http://www.bna.com/sgml2word/cite" w:element="cite.usc">
        <w:smartTagPr>
          <w:attr w:name="ref" w:val="USC\26\1374"/>
        </w:smartTagPr>
        <w:r>
          <w:t>§1374</w:t>
        </w:r>
      </w:smartTag>
      <w:r>
        <w:t xml:space="preserve"> as a result of the Deemed Sale.</w:t>
      </w:r>
      <w:r>
        <w:rPr>
          <w:rStyle w:val="FootnoteReference"/>
        </w:rPr>
        <w:footnoteReference w:id="871"/>
      </w:r>
    </w:p>
    <w:p w14:paraId="61B31FA0" w14:textId="77777777" w:rsidR="00494B49" w:rsidRDefault="00494B49">
      <w:pPr>
        <w:pStyle w:val="BNormal"/>
      </w:pPr>
      <w:r>
        <w:t xml:space="preserve">The fourth step of the Deemed Sale was to determine whether the amount of gain or loss allocated to the transferor with respect to each property under the Deemed Sale would have been taken into account in determining the transferor’s net gain under </w:t>
      </w:r>
      <w:smartTag w:uri="http://www.bna.com/sgml2word/cite" w:element="cite.usc">
        <w:smartTagPr>
          <w:attr w:name="ref" w:val="USC\26\1411(c)(1)(A)(iii)"/>
        </w:smartTagPr>
        <w:r>
          <w:t>§1411(c)(1)(A)(iii)</w:t>
        </w:r>
      </w:smartTag>
      <w:r>
        <w:t xml:space="preserve"> if it were an actual disposition.</w:t>
      </w:r>
      <w:r>
        <w:rPr>
          <w:rStyle w:val="FootnoteReference"/>
        </w:rPr>
        <w:footnoteReference w:id="872"/>
      </w:r>
      <w:r>
        <w:t xml:space="preserve"> Or more simply, step four compared (1) the amount of net investment income the taxpayer would have if the taxpayer received a hypothetical Schedule K-1 reflecting his or her distributive share of items of gain or loss resulting from the Deemed Sale with (2) the amount of net investment income on the sale of the interest itself (operating under the premise that all of the Chapter 1 gain or loss is included in net investment income).</w:t>
      </w:r>
    </w:p>
    <w:p w14:paraId="2FD11C36" w14:textId="77777777" w:rsidR="00494B49" w:rsidRDefault="00494B49">
      <w:pPr>
        <w:pStyle w:val="BNormal"/>
      </w:pPr>
      <w:r>
        <w:t xml:space="preserve">To the extent that the Deemed Sale resulted in a difference between the gain or loss computed for Chapter 1 purposes and the gain or loss computed under 2012 Prop. Reg. </w:t>
      </w:r>
      <w:smartTag w:uri="http://www.bna.com/sgml2word/cite" w:element="cite.cfr">
        <w:smartTagPr>
          <w:attr w:name="ref" w:val="prule\cfr\26\1.1411-7(c)"/>
        </w:smartTagPr>
        <w:r>
          <w:t>§1.1411-7(c)</w:t>
        </w:r>
      </w:smartTag>
      <w:r>
        <w:t>, the transferor was required to attach a statement to the transferor’s return for the year of disposition.</w:t>
      </w:r>
      <w:r>
        <w:rPr>
          <w:rStyle w:val="FootnoteReference"/>
        </w:rPr>
        <w:footnoteReference w:id="873"/>
      </w:r>
      <w:r>
        <w:t xml:space="preserve"> The disclosure statement had to include: (1) a description of the disposed-of interest; (2) the name and taxpayer identification number of the entity disposed of; (3) the fair market value of each property held by the entity; (4) the entity’s adjusted basis in each property; (5) the transferor’s allocable share of gain or loss with respect to each property held by the entity; (6) information regarding whether the property was held in a trade or business not described in </w:t>
      </w:r>
      <w:smartTag w:uri="http://www.bna.com/sgml2word/cite" w:element="cite.usc">
        <w:smartTagPr>
          <w:attr w:name="ref" w:val="USC\26\1411(c)(2)"/>
        </w:smartTagPr>
        <w:r>
          <w:t>§1411(c)(2)</w:t>
        </w:r>
      </w:smartTag>
      <w:r>
        <w:t xml:space="preserve">; (7) the amount of the Chapter 1 gain on the disposition of the interest; and (8) a computation of the adjustment under 2012 Prop. Reg. </w:t>
      </w:r>
      <w:smartTag w:uri="http://www.bna.com/sgml2word/cite" w:element="cite.cfr">
        <w:smartTagPr>
          <w:attr w:name="ref" w:val="prule\cfr\26\1.1411-7(c)(5)"/>
        </w:smartTagPr>
        <w:r>
          <w:t>§1.1411-7(c)(5)</w:t>
        </w:r>
      </w:smartTag>
      <w:r>
        <w:t>.</w:t>
      </w:r>
    </w:p>
    <w:p w14:paraId="04340A5A" w14:textId="77777777" w:rsidR="00494B49" w:rsidRDefault="00494B49">
      <w:pPr>
        <w:pStyle w:val="BNormal"/>
      </w:pPr>
      <w:r>
        <w:t xml:space="preserve">Unlike the 2013 Proposed Regulations discussed in </w:t>
      </w:r>
      <w:smartTag w:uri="http://www.bna.com/sgml2word/cite" w:element="cite.bna.reference">
        <w:smartTagPr>
          <w:attr w:name="bna.id.ref" w:val="TM\511.VI.B"/>
        </w:smartTagPr>
        <w:r>
          <w:t>VI.B.</w:t>
        </w:r>
      </w:smartTag>
      <w:smartTag w:uri="http://www.bna.com/sgml2word/cite" w:element="cite.bna.reference">
        <w:smartTagPr>
          <w:attr w:name="bna.id.ref" w:val="TM\873.VI.B"/>
        </w:smartTagPr>
        <w:r>
          <w:t>VI.B.</w:t>
        </w:r>
      </w:smartTag>
      <w:r>
        <w:t xml:space="preserve">, above, the 2012 Proposed Regulations did not impose an information reporting requirement on the partnership or S corporation. There was nothing in the text of the 2012 Proposed Regulations that required the passthrough entity to provide any information to the IRS or the seller. The preamble did note that in cases involving partnerships that did not have a </w:t>
      </w:r>
      <w:smartTag w:uri="http://www.bna.com/sgml2word/cite" w:element="cite.usc">
        <w:smartTagPr>
          <w:attr w:name="ref" w:val="USC\26\754"/>
        </w:smartTagPr>
        <w:r>
          <w:t>§754</w:t>
        </w:r>
      </w:smartTag>
      <w:r>
        <w:t xml:space="preserve"> election in effect (or where there was no mandatory </w:t>
      </w:r>
      <w:smartTag w:uri="http://www.bna.com/sgml2word/cite" w:element="cite.usc">
        <w:smartTagPr>
          <w:attr w:name="ref" w:val="USC\26\743"/>
        </w:smartTagPr>
        <w:r>
          <w:t>§743</w:t>
        </w:r>
      </w:smartTag>
      <w:r>
        <w:t xml:space="preserve"> adjustment) and S corporations, the transferor may not have access to the information necessary to make the adjustment and to file the required statements.</w:t>
      </w:r>
      <w:r>
        <w:rPr>
          <w:rStyle w:val="FootnoteReference"/>
        </w:rPr>
        <w:footnoteReference w:id="874"/>
      </w:r>
    </w:p>
    <w:p w14:paraId="5B7DE427" w14:textId="77777777" w:rsidR="00494B49" w:rsidRDefault="00494B49" w:rsidP="007865AF">
      <w:pPr>
        <w:pStyle w:val="BHead2"/>
        <w:keepNext/>
        <w:keepLines/>
        <w:ind w:left="720"/>
      </w:pPr>
      <w:r>
        <w:lastRenderedPageBreak/>
        <w:t>2. Taxpayer Reliance on 2012 Proposed Regulations — 2013 Tax Year</w:t>
      </w:r>
    </w:p>
    <w:p w14:paraId="07A6949F" w14:textId="77777777" w:rsidR="00494B49" w:rsidRDefault="00494B49" w:rsidP="007865AF">
      <w:pPr>
        <w:pStyle w:val="BNormal"/>
        <w:keepNext/>
        <w:keepLines/>
        <w:spacing w:before="240" w:after="120"/>
        <w:ind w:left="720"/>
      </w:pPr>
      <w:r>
        <w:t xml:space="preserve">As stated in the preamble to the 2012 Proposed Regulations, taxpayers were allowed to rely on 2012 Prop. Reg. §1.1411-7 for purposes of compliance with </w:t>
      </w:r>
      <w:smartTag w:uri="http://www.bna.com/sgml2word/cite" w:element="cite.usc">
        <w:smartTagPr>
          <w:attr w:name="ref" w:val="USC\26\1411"/>
        </w:smartTagPr>
        <w:r>
          <w:t>§1411</w:t>
        </w:r>
      </w:smartTag>
      <w:r>
        <w:t xml:space="preserve"> until the effective date of the 2013 Final Regulations.</w:t>
      </w:r>
      <w:r>
        <w:rPr>
          <w:rStyle w:val="FootnoteReference"/>
        </w:rPr>
        <w:footnoteReference w:id="875"/>
      </w:r>
      <w:r>
        <w:t xml:space="preserve"> Although the text of the 2012 Proposed Regulations did not contain such language, the 2013 Final Regulations included the operative text.</w:t>
      </w:r>
      <w:r>
        <w:rPr>
          <w:rStyle w:val="FootnoteReference"/>
        </w:rPr>
        <w:footnoteReference w:id="876"/>
      </w:r>
    </w:p>
    <w:p w14:paraId="1CA0532F" w14:textId="77777777" w:rsidR="00494B49" w:rsidRDefault="00494B49">
      <w:pPr>
        <w:pStyle w:val="BNormal"/>
      </w:pPr>
      <w:r>
        <w:t xml:space="preserve">In general, Reg. </w:t>
      </w:r>
      <w:smartTag w:uri="http://www.bna.com/sgml2word/cite" w:element="cite.cfr">
        <w:smartTagPr>
          <w:attr w:name="ref" w:val="cfr\26\1.1411-1(f)"/>
        </w:smartTagPr>
        <w:r>
          <w:t>§1.1411-1(f)</w:t>
        </w:r>
      </w:smartTag>
      <w:r>
        <w:t xml:space="preserve"> provides that a taxpayer can rely on the 2012 Proposed Regulations or the 2013 Final Regulations for the 2013 tax year. In most cases the 2013 Final Regulations are more favorable. Taxpayers also had the option not to follow either set of regulations.</w:t>
      </w:r>
    </w:p>
    <w:p w14:paraId="4DA3E71F" w14:textId="77777777" w:rsidR="00494B49" w:rsidRDefault="00494B49">
      <w:pPr>
        <w:pStyle w:val="BNormal"/>
      </w:pPr>
      <w:r>
        <w:t>2012 Prop. Reg. §1.1411-7 was not finalized as part of the 2013 Final Regulations package. As a result, for 2013, taxpayers essentially had three choices: (1) adopt the mechanics in the 2012 Proposed Regulations, (2) adopt the mechanics in the 2013 Proposed Regulations, or (3) follow neither. Although having choices while regulation projects evolve is nothing new to taxpayers, the choice made 2013 tax compliance more difficult.</w:t>
      </w:r>
      <w:r>
        <w:rPr>
          <w:rStyle w:val="FootnoteReference"/>
        </w:rPr>
        <w:footnoteReference w:id="877"/>
      </w:r>
    </w:p>
    <w:p w14:paraId="23E6812E" w14:textId="77777777" w:rsidR="00494B49" w:rsidRDefault="00494B49">
      <w:pPr>
        <w:pStyle w:val="BNormal"/>
      </w:pPr>
      <w:r>
        <w:t xml:space="preserve">For the 2013 tax year, </w:t>
      </w:r>
      <w:hyperlink r:id="rId18" w:history="1">
        <w:r>
          <w:rPr>
            <w:rStyle w:val="Hyperlink"/>
            <w:i/>
          </w:rPr>
          <w:t>Instructions for Form 8960, Net Investment Income Tax Individuals, Estates, and Trusts</w:t>
        </w:r>
        <w:r>
          <w:rPr>
            <w:rStyle w:val="Hyperlink"/>
          </w:rPr>
          <w:t xml:space="preserve"> (2013)</w:t>
        </w:r>
      </w:hyperlink>
      <w:r>
        <w:t xml:space="preserve"> outlined the </w:t>
      </w:r>
      <w:smartTag w:uri="http://www.bna.com/sgml2word/cite" w:element="cite.usc">
        <w:smartTagPr>
          <w:attr w:name="ref" w:val="USC\26\1411(c)(4)"/>
        </w:smartTagPr>
        <w:r>
          <w:t>§1411(c)(4)</w:t>
        </w:r>
      </w:smartTag>
      <w:r>
        <w:t xml:space="preserve"> calculation method described in both the 2012 Proposed Regulations and the 2013 Proposed Regulations (described above) and explained the different disclosure methods from each proposed regulation package. For the 2014 tax year, these references to the 2012 Proposed Regulations were dropped from </w:t>
      </w:r>
      <w:hyperlink r:id="rId19" w:history="1">
        <w:r>
          <w:rPr>
            <w:rStyle w:val="Hyperlink"/>
            <w:i/>
          </w:rPr>
          <w:t>Instructions for Form 8960, Net Investment Income Tax Individuals, Estates, and Trusts</w:t>
        </w:r>
        <w:r>
          <w:rPr>
            <w:rStyle w:val="Hyperlink"/>
          </w:rPr>
          <w:t xml:space="preserve"> (2014)</w:t>
        </w:r>
      </w:hyperlink>
      <w:r>
        <w:t>.</w:t>
      </w:r>
    </w:p>
    <w:p w14:paraId="5CF69149" w14:textId="77777777" w:rsidR="00494B49" w:rsidRDefault="00494B49">
      <w:pPr>
        <w:pStyle w:val="BChapterName"/>
      </w:pPr>
      <w:r>
        <w:t xml:space="preserve">VII. Income from Controlled Foreign Corporations and Passive Foreign Investment Companies </w:t>
      </w:r>
    </w:p>
    <w:p w14:paraId="7A30739C" w14:textId="77777777" w:rsidR="00494B49" w:rsidRDefault="00494B49">
      <w:pPr>
        <w:pStyle w:val="BHead1"/>
      </w:pPr>
      <w:r>
        <w:t>A. Overview of Regular Income Taxation of Controlled Foreign Corporations and Passive Foreign Investment Companies</w:t>
      </w:r>
    </w:p>
    <w:p w14:paraId="2FD01C90" w14:textId="77777777" w:rsidR="00494B49" w:rsidRDefault="00494B49">
      <w:pPr>
        <w:pStyle w:val="BNormal"/>
      </w:pPr>
      <w:r>
        <w:t xml:space="preserve">One of the most complicated areas of the entire net investment income tax (NIIT) regulations package is the treatment of controlled foreign corporations (CFCs) and passive foreign investment companies (PFICs). </w:t>
      </w:r>
      <w:smartTag w:uri="http://www.bna.com/sgml2word/cite" w:element="cite.usc">
        <w:smartTagPr>
          <w:attr w:name="ref" w:val="USC\26\1411(c)(1)"/>
        </w:smartTagPr>
        <w:r>
          <w:t>Section 1411(c)(1)</w:t>
        </w:r>
      </w:smartTag>
      <w:r>
        <w:t xml:space="preserve"> provides that net investment income includes dividends and net gain (to the extent taken into account in computing taxable income) attributable to the disposition of property other than property held in a trade or business to which the tax does not apply. Accordingly, income with respect to investments in foreign corporations generally is included in the calculation of net investment income for </w:t>
      </w:r>
      <w:smartTag w:uri="http://www.bna.com/sgml2word/cite" w:element="cite.usc">
        <w:smartTagPr>
          <w:attr w:name="ref" w:val="USC\26\1411"/>
        </w:smartTagPr>
        <w:r>
          <w:t>§1411</w:t>
        </w:r>
      </w:smartTag>
      <w:r>
        <w:t xml:space="preserve"> purposes. Specifically, dividends and gains derived with respect to the stock of a CFC</w:t>
      </w:r>
      <w:r>
        <w:rPr>
          <w:rStyle w:val="FootnoteReference"/>
        </w:rPr>
        <w:footnoteReference w:id="878"/>
      </w:r>
      <w:r>
        <w:t xml:space="preserve"> or a PFIC</w:t>
      </w:r>
      <w:r>
        <w:rPr>
          <w:rStyle w:val="FootnoteReference"/>
        </w:rPr>
        <w:footnoteReference w:id="879"/>
      </w:r>
      <w:r>
        <w:t xml:space="preserve"> are taken into account in computing net investment income. In other words, if a distribution from a CFC or PFIC is a dividend for regular income tax purpose (that is, not subject to any special rule </w:t>
      </w:r>
      <w:r>
        <w:lastRenderedPageBreak/>
        <w:t>of inclusion or exclusion), it is a dividend for NIIT purposes.</w:t>
      </w:r>
      <w:r>
        <w:rPr>
          <w:rStyle w:val="FootnoteReference"/>
        </w:rPr>
        <w:footnoteReference w:id="880"/>
      </w:r>
      <w:r>
        <w:t xml:space="preserve"> But that is where the simplicity ends. This section of the Portfolio provides a detailed discussion of the application of the NIIT in the context of CFCs and PFICs.</w:t>
      </w:r>
    </w:p>
    <w:p w14:paraId="5DE48193" w14:textId="77777777" w:rsidR="00494B49" w:rsidRDefault="00494B49">
      <w:pPr>
        <w:pStyle w:val="BHead2"/>
      </w:pPr>
      <w:r>
        <w:t xml:space="preserve">1. Controlled Foreign Corporations (CFCs) </w:t>
      </w:r>
    </w:p>
    <w:p w14:paraId="224BC643" w14:textId="77777777" w:rsidR="00494B49" w:rsidRDefault="00494B49">
      <w:pPr>
        <w:pStyle w:val="BNormal"/>
      </w:pPr>
      <w:r>
        <w:t xml:space="preserve">Under </w:t>
      </w:r>
      <w:smartTag w:uri="http://www.bna.com/sgml2word/cite" w:element="cite.usc">
        <w:smartTagPr>
          <w:attr w:name="ref" w:val="USC\26\951(a)"/>
        </w:smartTagPr>
        <w:r>
          <w:t>§951(a)</w:t>
        </w:r>
      </w:smartTag>
      <w:r>
        <w:t>, a United States shareholder</w:t>
      </w:r>
      <w:r>
        <w:rPr>
          <w:rStyle w:val="FootnoteReference"/>
        </w:rPr>
        <w:footnoteReference w:id="881"/>
      </w:r>
      <w:r>
        <w:t xml:space="preserve"> must include in gross income each year its share of certain CFC income. This income, defined as “Subpart F” income by </w:t>
      </w:r>
      <w:smartTag w:uri="http://www.bna.com/sgml2word/cite" w:element="cite.usc">
        <w:smartTagPr>
          <w:attr w:name="ref" w:val="USC\26\952"/>
        </w:smartTagPr>
        <w:r>
          <w:t>§952</w:t>
        </w:r>
      </w:smartTag>
      <w:r>
        <w:t>, is extremely complicated to define and calculate, and is beyond the scope of this Portfolio.</w:t>
      </w:r>
      <w:r>
        <w:rPr>
          <w:rStyle w:val="FootnoteReference"/>
        </w:rPr>
        <w:footnoteReference w:id="882"/>
      </w:r>
    </w:p>
    <w:p w14:paraId="5001B45B" w14:textId="77777777" w:rsidR="00494B49" w:rsidRDefault="00494B49">
      <w:pPr>
        <w:pStyle w:val="BNormal"/>
      </w:pPr>
      <w:r>
        <w:t xml:space="preserve">The </w:t>
      </w:r>
      <w:smartTag w:uri="http://www.bna.com/sgml2word/cite" w:element="cite.usc">
        <w:smartTagPr>
          <w:attr w:name="ref" w:val="USC\26\951(a)"/>
        </w:smartTagPr>
        <w:r>
          <w:t>§951(a)</w:t>
        </w:r>
      </w:smartTag>
      <w:r>
        <w:t xml:space="preserve"> inclusion occurs whether or not the CFC makes an actual distribution.</w:t>
      </w:r>
      <w:r>
        <w:rPr>
          <w:rStyle w:val="FootnoteReference"/>
        </w:rPr>
        <w:footnoteReference w:id="883"/>
      </w:r>
      <w:r>
        <w:t xml:space="preserve"> In effect, these are pass-through regimes that remove the benefit of deferral for Subpart F income of CFCs and for all earnings of qualified electing funds (QEFs). However, the IRS and the courts have concluded that </w:t>
      </w:r>
      <w:smartTag w:uri="http://www.bna.com/sgml2word/cite" w:element="cite.usc">
        <w:smartTagPr>
          <w:attr w:name="ref" w:val="USC\26\951"/>
        </w:smartTagPr>
        <w:r>
          <w:t>§951</w:t>
        </w:r>
      </w:smartTag>
      <w:r>
        <w:t xml:space="preserve"> inclusions are not treated as dividends except when expressly provided for in the Code.</w:t>
      </w:r>
      <w:r>
        <w:rPr>
          <w:rStyle w:val="FootnoteReference"/>
        </w:rPr>
        <w:footnoteReference w:id="884"/>
      </w:r>
    </w:p>
    <w:p w14:paraId="6C70F3DA" w14:textId="77777777" w:rsidR="00494B49" w:rsidRDefault="00494B49">
      <w:pPr>
        <w:pStyle w:val="BNormal"/>
      </w:pPr>
      <w:r>
        <w:t xml:space="preserve">Because the income is taxed currently, </w:t>
      </w:r>
      <w:smartTag w:uri="http://www.bna.com/sgml2word/cite" w:element="cite.usc">
        <w:smartTagPr>
          <w:attr w:name="ref" w:val="USC\26\959"/>
        </w:smartTagPr>
        <w:r>
          <w:t>§959</w:t>
        </w:r>
      </w:smartTag>
      <w:r>
        <w:t xml:space="preserve"> provides that actual distributions are not taxed a second time to the extent deemed made out of previously taxed income (PTI). These provisions operate by stipulating that PTI distributions are excluded from gross income.</w:t>
      </w:r>
      <w:r>
        <w:rPr>
          <w:rStyle w:val="FootnoteReference"/>
        </w:rPr>
        <w:footnoteReference w:id="885"/>
      </w:r>
      <w:r>
        <w:t xml:space="preserve"> </w:t>
      </w:r>
      <w:smartTag w:uri="http://www.bna.com/sgml2word/cite" w:element="cite.usc">
        <w:smartTagPr>
          <w:attr w:name="ref" w:val="usc\26\961(a)"/>
        </w:smartTagPr>
        <w:r>
          <w:t>Section 961(a)</w:t>
        </w:r>
      </w:smartTag>
      <w:r>
        <w:t xml:space="preserve"> provides that a CFC shareholder that reports an income inclusion increases its basis in its CFC stock by the amount of the inclusion. Conversely, </w:t>
      </w:r>
      <w:smartTag w:uri="http://www.bna.com/sgml2word/cite" w:element="cite.usc">
        <w:smartTagPr>
          <w:attr w:name="ref" w:val="USC\26\961(b)(1)"/>
        </w:smartTagPr>
        <w:r>
          <w:t>§961(b)(1)</w:t>
        </w:r>
      </w:smartTag>
      <w:r>
        <w:t xml:space="preserve"> provides that when, and if, a distribution is made out of PTI, the shareholder’s basis is reduced by the amount thereof excluded from gross income by reason of </w:t>
      </w:r>
      <w:smartTag w:uri="http://www.bna.com/sgml2word/cite" w:element="cite.usc">
        <w:smartTagPr>
          <w:attr w:name="ref" w:val="USC\26\959(a)"/>
        </w:smartTagPr>
        <w:r>
          <w:t>§959(a)</w:t>
        </w:r>
      </w:smartTag>
      <w:r>
        <w:t>.</w:t>
      </w:r>
    </w:p>
    <w:p w14:paraId="4447E882" w14:textId="77777777" w:rsidR="00494B49" w:rsidRDefault="00494B49">
      <w:pPr>
        <w:pStyle w:val="BNormal"/>
      </w:pPr>
      <w:r>
        <w:t xml:space="preserve">If a domestic corporation receives a dividend from a specified 10%-owned foreign corporation in any taxable year, solely for purposes of determining loss on any disposition of stock of such foreign corporation in such taxable year or any subsequent taxable year, the basis of such domestic corporation in such stock must be reduced, but not below zero, by the amount of any deduction allowable to such domestic corporation under </w:t>
      </w:r>
      <w:smartTag w:uri="http://www.bna.com/sgml2word/cite" w:element="cite.usc">
        <w:smartTagPr>
          <w:attr w:name="ref" w:val="usc\26\245A"/>
        </w:smartTagPr>
        <w:r>
          <w:t>§245A</w:t>
        </w:r>
      </w:smartTag>
      <w:r>
        <w:t xml:space="preserve"> with respect to such stock extent </w:t>
      </w:r>
      <w:r>
        <w:lastRenderedPageBreak/>
        <w:t xml:space="preserve">to the extent such basis was reduced under </w:t>
      </w:r>
      <w:smartTag w:uri="http://www.bna.com/sgml2word/cite" w:element="cite.usc">
        <w:smartTagPr>
          <w:attr w:name="ref" w:val="usc\26\1059"/>
        </w:smartTagPr>
        <w:r>
          <w:t>§1059</w:t>
        </w:r>
      </w:smartTag>
      <w:r>
        <w:t xml:space="preserve"> by reason of a dividend for which such a deduction was allowable.</w:t>
      </w:r>
      <w:r>
        <w:rPr>
          <w:rStyle w:val="FootnoteReference"/>
        </w:rPr>
        <w:footnoteReference w:id="886"/>
      </w:r>
    </w:p>
    <w:p w14:paraId="15AF95E0" w14:textId="77777777" w:rsidR="00494B49" w:rsidRDefault="00494B49">
      <w:pPr>
        <w:pStyle w:val="BNormal"/>
      </w:pPr>
      <w:r>
        <w:t xml:space="preserve">For a detailed analysis, see </w:t>
      </w:r>
      <w:smartTag w:uri="http://www.bna.com/sgml2word/cite" w:element="cite.bna.reference">
        <w:smartTagPr>
          <w:attr w:name="bna.id.ref" w:val="TM\6220"/>
        </w:smartTagPr>
        <w:r>
          <w:t>6220</w:t>
        </w:r>
      </w:smartTag>
      <w:r>
        <w:t xml:space="preserve"> T.M., </w:t>
      </w:r>
      <w:r>
        <w:rPr>
          <w:i/>
        </w:rPr>
        <w:t>CFCs — Foreign Personal Holding Company Income</w:t>
      </w:r>
      <w:r>
        <w:t xml:space="preserve"> (Foreign Income Series), and </w:t>
      </w:r>
      <w:smartTag w:uri="http://www.bna.com/sgml2word/cite" w:element="cite.bna.reference">
        <w:smartTagPr>
          <w:attr w:name="bna.id.ref" w:val="TM\6240"/>
        </w:smartTagPr>
        <w:r>
          <w:t>6240</w:t>
        </w:r>
      </w:smartTag>
      <w:r>
        <w:t xml:space="preserve"> T.M., </w:t>
      </w:r>
      <w:r>
        <w:rPr>
          <w:i/>
        </w:rPr>
        <w:t>CFCs — Foreign Base Company Income (Other than Foreign Personal Holding Company Income)</w:t>
      </w:r>
      <w:r>
        <w:t xml:space="preserve"> (Foreign Income Series).</w:t>
      </w:r>
    </w:p>
    <w:p w14:paraId="0C157344" w14:textId="77777777" w:rsidR="00494B49" w:rsidRDefault="00494B49">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The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887"/>
      </w:r>
      <w:r>
        <w:t xml:space="preserve"> For a detailed analysis of GILTI, see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2DF3B6B8" w14:textId="77777777" w:rsidR="00494B49" w:rsidRDefault="00494B49">
      <w:pPr>
        <w:pStyle w:val="BHead2"/>
      </w:pPr>
      <w:r>
        <w:t xml:space="preserve">2. Passive Foreign Investment Companies (PFICs) </w:t>
      </w:r>
    </w:p>
    <w:p w14:paraId="79B58177" w14:textId="77777777" w:rsidR="00494B49" w:rsidRDefault="00494B49">
      <w:pPr>
        <w:pStyle w:val="BNormal"/>
      </w:pPr>
      <w:r>
        <w:t xml:space="preserve">Since the enactment of the Tax Reform Act of 1986, United States persons who own PFIC stock have been subject to two alternative tax regimes: the interest charge rules under </w:t>
      </w:r>
      <w:smartTag w:uri="http://www.bna.com/sgml2word/cite" w:element="cite.usc">
        <w:smartTagPr>
          <w:attr w:name="ref" w:val="USC\26\1291"/>
        </w:smartTagPr>
        <w:r>
          <w:t>§1291</w:t>
        </w:r>
      </w:smartTag>
      <w:r>
        <w:t xml:space="preserve"> and the QEF rules under </w:t>
      </w:r>
      <w:smartTag w:uri="http://www.bna.com/sgml2word/cite" w:element="cite.usc">
        <w:smartTagPr>
          <w:attr w:name="ref" w:val="USC\26\1293"/>
        </w:smartTagPr>
        <w:r>
          <w:t>§1293</w:t>
        </w:r>
      </w:smartTag>
      <w:r>
        <w:t xml:space="preserve">. In the Taxpayer Relief Act of 1997, Congress enacted new </w:t>
      </w:r>
      <w:smartTag w:uri="http://www.bna.com/sgml2word/cite" w:element="cite.usc">
        <w:smartTagPr>
          <w:attr w:name="ref" w:val="USC\26\1296"/>
        </w:smartTagPr>
        <w:r>
          <w:t>§1296</w:t>
        </w:r>
      </w:smartTag>
      <w:r>
        <w:t xml:space="preserve"> to provide shareholders with an alternative method to include income currently with respect to their interest in a PFIC by allowing them to elect to mark to market their PFIC stock, provided the stock is marketable.</w:t>
      </w:r>
    </w:p>
    <w:p w14:paraId="43349D27" w14:textId="77777777" w:rsidR="00494B49" w:rsidRDefault="00494B49">
      <w:pPr>
        <w:pStyle w:val="BNormal"/>
      </w:pPr>
      <w:r>
        <w:t>Very generally, a foreign corporation is a PFIC if (1) 75% or more of its gross income is passive income</w:t>
      </w:r>
      <w:r>
        <w:rPr>
          <w:rStyle w:val="FootnoteReference"/>
        </w:rPr>
        <w:footnoteReference w:id="888"/>
      </w:r>
      <w:r>
        <w:t xml:space="preserve"> or (2) 50% or more of the average value of its assets consists of assets that produce, or that are held for the production of, passive income.</w:t>
      </w:r>
      <w:r>
        <w:rPr>
          <w:rStyle w:val="FootnoteReference"/>
        </w:rPr>
        <w:footnoteReference w:id="889"/>
      </w:r>
      <w:r>
        <w:t xml:space="preserve"> Although this Portfolio contains a cursory outline of the three PFIC regimes necessary to put into context the net investment income tax (NIIT) rules contained in Reg. </w:t>
      </w:r>
      <w:smartTag w:uri="http://www.bna.com/sgml2word/cite" w:element="cite.cfr">
        <w:smartTagPr>
          <w:attr w:name="ref" w:val="cfr\26\1.1411-10"/>
        </w:smartTagPr>
        <w:r>
          <w:t>§1.1411-10</w:t>
        </w:r>
      </w:smartTag>
      <w:r>
        <w:t xml:space="preserve">, it is by no means a complete analysis. For a detailed analysis, see </w:t>
      </w:r>
      <w:smartTag w:uri="http://www.bna.com/sgml2word/cite" w:element="cite.bna.reference">
        <w:smartTagPr>
          <w:attr w:name="bna.id.ref" w:val="TM\6300"/>
        </w:smartTagPr>
        <w:r>
          <w:t>6300 T.M.</w:t>
        </w:r>
      </w:smartTag>
      <w:r>
        <w:t xml:space="preserve">, </w:t>
      </w:r>
      <w:r>
        <w:rPr>
          <w:i/>
        </w:rPr>
        <w:t>PFICs</w:t>
      </w:r>
      <w:r>
        <w:t xml:space="preserve"> (Foreign Income Series).</w:t>
      </w:r>
    </w:p>
    <w:p w14:paraId="547DC2CC" w14:textId="77777777" w:rsidR="00494B49" w:rsidRDefault="00494B49">
      <w:pPr>
        <w:pStyle w:val="BHead3"/>
      </w:pPr>
      <w:r>
        <w:t>a. Section 1291 Funds</w:t>
      </w:r>
    </w:p>
    <w:p w14:paraId="77A6FFF2" w14:textId="77777777" w:rsidR="00494B49" w:rsidRDefault="00494B49">
      <w:pPr>
        <w:pStyle w:val="BNormal"/>
      </w:pPr>
      <w:r>
        <w:t>Generally, a United States person who is a shareholder of a “</w:t>
      </w:r>
      <w:smartTag w:uri="http://www.bna.com/sgml2word/cite" w:element="cite.usc">
        <w:smartTagPr>
          <w:attr w:name="ref" w:val="USC\26\1291"/>
        </w:smartTagPr>
        <w:r>
          <w:t>§1291</w:t>
        </w:r>
      </w:smartTag>
      <w:r>
        <w:t xml:space="preserve"> Fund” pays tax and an interest charge on receipt of certain distributions and upon disposition of stock of the </w:t>
      </w:r>
      <w:smartTag w:uri="http://www.bna.com/sgml2word/cite" w:element="cite.usc">
        <w:smartTagPr>
          <w:attr w:name="ref" w:val="USC\26\1291"/>
        </w:smartTagPr>
        <w:r>
          <w:t>§1291</w:t>
        </w:r>
      </w:smartTag>
      <w:r>
        <w:t xml:space="preserve"> Fund. </w:t>
      </w:r>
    </w:p>
    <w:p w14:paraId="5CB5E012" w14:textId="77777777" w:rsidR="00494B49" w:rsidRDefault="00494B49">
      <w:pPr>
        <w:pStyle w:val="BNormal"/>
      </w:pPr>
      <w:r>
        <w:t>For PFICs taxed under this regime, gain from a disposition</w:t>
      </w:r>
      <w:r>
        <w:rPr>
          <w:rStyle w:val="FootnoteReference"/>
        </w:rPr>
        <w:footnoteReference w:id="890"/>
      </w:r>
      <w:r>
        <w:t xml:space="preserve"> or the portion of any distribution that is an excess distribution is treated as ordinary income</w:t>
      </w:r>
      <w:r>
        <w:rPr>
          <w:rStyle w:val="FootnoteReference"/>
        </w:rPr>
        <w:footnoteReference w:id="891"/>
      </w:r>
      <w:r>
        <w:t xml:space="preserve"> earned ratably over the shareholder’s holding period of the stock of the </w:t>
      </w:r>
      <w:smartTag w:uri="http://www.bna.com/sgml2word/cite" w:element="cite.usc">
        <w:smartTagPr>
          <w:attr w:name="ref" w:val="USC\26\1291"/>
        </w:smartTagPr>
        <w:r>
          <w:t>§1291</w:t>
        </w:r>
      </w:smartTag>
      <w:r>
        <w:t xml:space="preserve"> Fund.</w:t>
      </w:r>
      <w:r>
        <w:rPr>
          <w:rStyle w:val="FootnoteReference"/>
        </w:rPr>
        <w:footnoteReference w:id="892"/>
      </w:r>
    </w:p>
    <w:p w14:paraId="486207CD" w14:textId="77777777" w:rsidR="00494B49" w:rsidRDefault="00494B49">
      <w:pPr>
        <w:pStyle w:val="BNormal"/>
      </w:pPr>
      <w:r>
        <w:lastRenderedPageBreak/>
        <w:t xml:space="preserve">Prop. Reg. </w:t>
      </w:r>
      <w:smartTag w:uri="http://www.bna.com/sgml2word/cite" w:element="cite.cfr">
        <w:smartTagPr>
          <w:attr w:name="ref" w:val="prule\cfr\26\1.1291-2(c)"/>
        </w:smartTagPr>
        <w:r>
          <w:t>§1.1291-2(c)</w:t>
        </w:r>
      </w:smartTag>
      <w:r>
        <w:t xml:space="preserve"> provides rules for determining the non-excess distribution and the total excess distribution for the current shareholder year. These amounts are calculated on a per-share basis without regard to the E&amp;P of the </w:t>
      </w:r>
      <w:smartTag w:uri="http://www.bna.com/sgml2word/cite" w:element="cite.usc">
        <w:smartTagPr>
          <w:attr w:name="ref" w:val="USC\26\1291"/>
        </w:smartTagPr>
        <w:r>
          <w:t>§1291</w:t>
        </w:r>
      </w:smartTag>
      <w:r>
        <w:t xml:space="preserve"> Fund.</w:t>
      </w:r>
      <w:r>
        <w:rPr>
          <w:rStyle w:val="FootnoteReference"/>
        </w:rPr>
        <w:footnoteReference w:id="893"/>
      </w:r>
      <w:r>
        <w:t xml:space="preserve"> If the </w:t>
      </w:r>
      <w:smartTag w:uri="http://www.bna.com/sgml2word/cite" w:element="cite.usc">
        <w:smartTagPr>
          <w:attr w:name="ref" w:val="USC\26\1291"/>
        </w:smartTagPr>
        <w:r>
          <w:t>§1291</w:t>
        </w:r>
      </w:smartTag>
      <w:r>
        <w:t xml:space="preserve"> Fund makes more than one distribution during the current shareholder year, and there is a total excess distribution for the year, a ratable portion of each distribution is an excess distribution.</w:t>
      </w:r>
    </w:p>
    <w:p w14:paraId="73D22793" w14:textId="77777777" w:rsidR="00494B49" w:rsidRDefault="00494B49">
      <w:pPr>
        <w:pStyle w:val="BNormal"/>
      </w:pPr>
      <w:r>
        <w:t>The total excess distribution is the amount by which the total distribution for the current shareholder year, with certain adjustments, exceeds the “non-excess distribution.”</w:t>
      </w:r>
      <w:r>
        <w:rPr>
          <w:rStyle w:val="FootnoteReference"/>
        </w:rPr>
        <w:footnoteReference w:id="894"/>
      </w:r>
      <w:r>
        <w:t xml:space="preserve"> The non-excess distribution is defined as the portion of the total distribution that does not exceed 125% of the average of the distributions made with respect to the stock during the preceding three tax years included in the shareholder’s holding period.</w:t>
      </w:r>
      <w:r>
        <w:rPr>
          <w:rStyle w:val="FootnoteReference"/>
        </w:rPr>
        <w:footnoteReference w:id="895"/>
      </w:r>
      <w:r>
        <w:t xml:space="preserve"> For purposes of calculating the excess distribution, the portion of a prior year’s excess distribution that was not included in income (the portion subject to the deferred tax amount) is not considered a distribution made in a prior year.</w:t>
      </w:r>
      <w:r>
        <w:rPr>
          <w:rStyle w:val="FootnoteReference"/>
        </w:rPr>
        <w:footnoteReference w:id="896"/>
      </w:r>
    </w:p>
    <w:p w14:paraId="60452604" w14:textId="77777777" w:rsidR="00494B49" w:rsidRDefault="00494B49">
      <w:pPr>
        <w:pStyle w:val="BNormal"/>
      </w:pPr>
      <w:r>
        <w:t>The portion of the distribution (1) allocated to the current year and (2) allocable to years when the corporation was not a PFIC are included in the shareholder’s gross income for the year of the distribution.</w:t>
      </w:r>
      <w:r>
        <w:rPr>
          <w:rStyle w:val="FootnoteReference"/>
        </w:rPr>
        <w:footnoteReference w:id="897"/>
      </w:r>
      <w:r>
        <w:t xml:space="preserve"> The remainder of the distribution is not included in gross income, but the shareholder must pay a deferred tax amount with respect to that portion.</w:t>
      </w:r>
      <w:r>
        <w:rPr>
          <w:rStyle w:val="FootnoteReference"/>
        </w:rPr>
        <w:footnoteReference w:id="898"/>
      </w:r>
      <w:r>
        <w:t xml:space="preserve"> The remainder portion of the distribution described in the preceding sentence requires special attention for NIIT purposes, and will be the focus of the discussion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below.</w:t>
      </w:r>
    </w:p>
    <w:p w14:paraId="57D04BC8" w14:textId="77777777" w:rsidR="00494B49" w:rsidRDefault="00494B49">
      <w:pPr>
        <w:pStyle w:val="BHead3"/>
      </w:pPr>
      <w:r>
        <w:t>b. QEFs</w:t>
      </w:r>
    </w:p>
    <w:p w14:paraId="6CF819CF" w14:textId="77777777" w:rsidR="00494B49" w:rsidRDefault="00494B49">
      <w:pPr>
        <w:pStyle w:val="BNormal"/>
      </w:pPr>
      <w:r>
        <w:t xml:space="preserve">Taxation under the QEF regime is elective on the part of the United States person who owns stock in a PFIC. If a shareholder makes the </w:t>
      </w:r>
      <w:smartTag w:uri="http://www.bna.com/sgml2word/cite" w:element="cite.usc">
        <w:smartTagPr>
          <w:attr w:name="ref" w:val="USC\26\1295"/>
        </w:smartTagPr>
        <w:r>
          <w:t>§1295</w:t>
        </w:r>
      </w:smartTag>
      <w:r>
        <w:t xml:space="preserve"> election, and the PFIC agrees to annually supply certain information to the electing shareholder, the shareholder’s interest may be treated as an investment in a QEF. Once made, the election will apply to the shareholder’s current tax year and to all subsequent years unless revoked by the shareholder with the consent of the Secretary.</w:t>
      </w:r>
      <w:r>
        <w:rPr>
          <w:rStyle w:val="FootnoteReference"/>
        </w:rPr>
        <w:footnoteReference w:id="899"/>
      </w:r>
    </w:p>
    <w:p w14:paraId="05031875" w14:textId="77777777" w:rsidR="00494B49" w:rsidRDefault="00494B49">
      <w:pPr>
        <w:pStyle w:val="BNormal"/>
      </w:pPr>
      <w:r>
        <w:t>If a QEF election is in effect, the United States shareholder is treated as receiving an annual distribution of his or her pro rata share of the PFIC’s E&amp;P, classified into ordinary income</w:t>
      </w:r>
      <w:r>
        <w:rPr>
          <w:rStyle w:val="FootnoteReference"/>
        </w:rPr>
        <w:footnoteReference w:id="900"/>
      </w:r>
      <w:r>
        <w:t xml:space="preserve"> and </w:t>
      </w:r>
      <w:r>
        <w:lastRenderedPageBreak/>
        <w:t>net capital gain,</w:t>
      </w:r>
      <w:r>
        <w:rPr>
          <w:rStyle w:val="FootnoteReference"/>
        </w:rPr>
        <w:footnoteReference w:id="901"/>
      </w:r>
      <w:r>
        <w:t xml:space="preserve"> depending upon the underlying income of the PFIC.</w:t>
      </w:r>
      <w:r>
        <w:rPr>
          <w:rStyle w:val="FootnoteReference"/>
        </w:rPr>
        <w:footnoteReference w:id="902"/>
      </w:r>
      <w:r>
        <w:t xml:space="preserve"> The basis of the shareholder’s QEF stock is increased by the amount of ordinary income and capital gain included in income by reason of </w:t>
      </w:r>
      <w:smartTag w:uri="http://www.bna.com/sgml2word/cite" w:element="cite.usc">
        <w:smartTagPr>
          <w:attr w:name="ref" w:val="USC\26\1293(a)(1)"/>
        </w:smartTagPr>
        <w:r>
          <w:t>§1293(a)(1)</w:t>
        </w:r>
      </w:smartTag>
      <w:r>
        <w:t xml:space="preserve"> with respect to that stock.</w:t>
      </w:r>
      <w:r>
        <w:rPr>
          <w:rStyle w:val="FootnoteReference"/>
        </w:rPr>
        <w:footnoteReference w:id="903"/>
      </w:r>
      <w:r>
        <w:t xml:space="preserve"> The basis of the shareholder’s QEF stock is decreased by any amount distributed with respect to that stock that is excludible as previously taxed E&amp;P.</w:t>
      </w:r>
      <w:r>
        <w:rPr>
          <w:rStyle w:val="FootnoteReference"/>
        </w:rPr>
        <w:footnoteReference w:id="904"/>
      </w:r>
    </w:p>
    <w:p w14:paraId="62CDF687" w14:textId="77777777" w:rsidR="00494B49" w:rsidRDefault="00494B49">
      <w:pPr>
        <w:pStyle w:val="BHead3"/>
      </w:pPr>
      <w:r>
        <w:t>c. Mark-to-Market Funds</w:t>
      </w:r>
    </w:p>
    <w:p w14:paraId="12777176" w14:textId="77777777" w:rsidR="00494B49" w:rsidRDefault="00494B49">
      <w:pPr>
        <w:pStyle w:val="BNormal"/>
      </w:pPr>
      <w:r>
        <w:t>United States persons who own marketable stock</w:t>
      </w:r>
      <w:r>
        <w:rPr>
          <w:rStyle w:val="FootnoteReference"/>
        </w:rPr>
        <w:footnoteReference w:id="905"/>
      </w:r>
      <w:r>
        <w:t xml:space="preserve"> in a PFIC may elect to mark that stock to market annually pursuant to </w:t>
      </w:r>
      <w:smartTag w:uri="http://www.bna.com/sgml2word/cite" w:element="cite.usc">
        <w:smartTagPr>
          <w:attr w:name="ref" w:val="USC\26\1296"/>
        </w:smartTagPr>
        <w:r>
          <w:t>§1296</w:t>
        </w:r>
      </w:smartTag>
      <w:r>
        <w:t xml:space="preserve"> (a </w:t>
      </w:r>
      <w:smartTag w:uri="http://www.bna.com/sgml2word/cite" w:element="cite.usc">
        <w:smartTagPr>
          <w:attr w:name="ref" w:val="USC\26\1296"/>
        </w:smartTagPr>
        <w:r>
          <w:t>§1296</w:t>
        </w:r>
      </w:smartTag>
      <w:r>
        <w:t xml:space="preserve"> Election). United States persons making a </w:t>
      </w:r>
      <w:smartTag w:uri="http://www.bna.com/sgml2word/cite" w:element="cite.usc">
        <w:smartTagPr>
          <w:attr w:name="ref" w:val="USC\26\1296"/>
        </w:smartTagPr>
        <w:r>
          <w:t>§1296</w:t>
        </w:r>
      </w:smartTag>
      <w:r>
        <w:t xml:space="preserve"> Election with respect to PFIC stock (</w:t>
      </w:r>
      <w:smartTag w:uri="http://www.bna.com/sgml2word/cite" w:element="cite.usc">
        <w:smartTagPr>
          <w:attr w:name="ref" w:val="USC\26\1296"/>
        </w:smartTagPr>
        <w:r>
          <w:t>§1296</w:t>
        </w:r>
      </w:smartTag>
      <w:r>
        <w:t xml:space="preserve"> Stock) are not subject to the generally applicable interest charge regime of </w:t>
      </w:r>
      <w:smartTag w:uri="http://www.bna.com/sgml2word/cite" w:element="cite.usc">
        <w:smartTagPr>
          <w:attr w:name="ref" w:val="USC\26\1291"/>
        </w:smartTagPr>
        <w:r>
          <w:t>§1291</w:t>
        </w:r>
      </w:smartTag>
      <w:r>
        <w:t xml:space="preserve">. A United States person may make a </w:t>
      </w:r>
      <w:smartTag w:uri="http://www.bna.com/sgml2word/cite" w:element="cite.usc">
        <w:smartTagPr>
          <w:attr w:name="ref" w:val="USC\26\1296"/>
        </w:smartTagPr>
        <w:r>
          <w:t>§1296</w:t>
        </w:r>
      </w:smartTag>
      <w:r>
        <w:t xml:space="preserve"> Election by the due date (including extensions) of the United States person’s federal income tax return. The </w:t>
      </w:r>
      <w:smartTag w:uri="http://www.bna.com/sgml2word/cite" w:element="cite.usc">
        <w:smartTagPr>
          <w:attr w:name="ref" w:val="USC\26\1296"/>
        </w:smartTagPr>
        <w:r>
          <w:t>§1296</w:t>
        </w:r>
      </w:smartTag>
      <w:r>
        <w:t xml:space="preserve"> Election applies to the year for which it is made and to each succeeding year unless the election is terminated</w:t>
      </w:r>
      <w:r>
        <w:rPr>
          <w:rStyle w:val="FootnoteReference"/>
        </w:rPr>
        <w:footnoteReference w:id="906"/>
      </w:r>
      <w:r>
        <w:t xml:space="preserve"> or revoked.</w:t>
      </w:r>
      <w:r>
        <w:rPr>
          <w:rStyle w:val="FootnoteReference"/>
        </w:rPr>
        <w:footnoteReference w:id="907"/>
      </w:r>
    </w:p>
    <w:p w14:paraId="0B487C3C" w14:textId="77777777" w:rsidR="00494B49" w:rsidRDefault="00494B49">
      <w:pPr>
        <w:pStyle w:val="BNormal"/>
      </w:pPr>
      <w:r>
        <w:t>The mark-to-market regime operates as if the PFIC stock is sold at the end of each year, with any gain treated as ordinary income.</w:t>
      </w:r>
      <w:r>
        <w:rPr>
          <w:rStyle w:val="FootnoteReference"/>
        </w:rPr>
        <w:footnoteReference w:id="908"/>
      </w:r>
      <w:r>
        <w:t xml:space="preserve"> Additionally, the taxpayer will increase the adjusted basis of its </w:t>
      </w:r>
      <w:smartTag w:uri="http://www.bna.com/sgml2word/cite" w:element="cite.usc">
        <w:smartTagPr>
          <w:attr w:name="ref" w:val="USC\26\1296"/>
        </w:smartTagPr>
        <w:r>
          <w:t>§1296</w:t>
        </w:r>
      </w:smartTag>
      <w:r>
        <w:t xml:space="preserve"> Stock by the amount of mark-to-market gain recognized.</w:t>
      </w:r>
      <w:r>
        <w:rPr>
          <w:rStyle w:val="FootnoteReference"/>
        </w:rPr>
        <w:footnoteReference w:id="909"/>
      </w:r>
      <w:r>
        <w:t xml:space="preserve"> Conversely, if the fair market value is less than the stock’s adjusted basis, the taxpayer is entitled to an ordinary loss, but only up to the amount of prior year gain inclusions.</w:t>
      </w:r>
      <w:r>
        <w:rPr>
          <w:rStyle w:val="FootnoteReference"/>
        </w:rPr>
        <w:footnoteReference w:id="910"/>
      </w:r>
      <w:r>
        <w:t xml:space="preserve"> It logically follows that the adjusted basis of the taxpayer’s </w:t>
      </w:r>
      <w:smartTag w:uri="http://www.bna.com/sgml2word/cite" w:element="cite.usc">
        <w:smartTagPr>
          <w:attr w:name="ref" w:val="USC\26\1296"/>
        </w:smartTagPr>
        <w:r>
          <w:t>§1296</w:t>
        </w:r>
      </w:smartTag>
      <w:r>
        <w:t xml:space="preserve"> Stock is decreased by the amount of such deduction.</w:t>
      </w:r>
      <w:r>
        <w:rPr>
          <w:rStyle w:val="FootnoteReference"/>
        </w:rPr>
        <w:footnoteReference w:id="911"/>
      </w:r>
    </w:p>
    <w:p w14:paraId="76D2BE65" w14:textId="77777777" w:rsidR="00494B49" w:rsidRDefault="00494B49">
      <w:pPr>
        <w:pStyle w:val="BHead1"/>
      </w:pPr>
      <w:r>
        <w:t>B. Application of NIIT to §1296 Mark-to-Market Funds</w:t>
      </w:r>
    </w:p>
    <w:p w14:paraId="0DDF162A" w14:textId="77777777" w:rsidR="00494B49" w:rsidRDefault="00494B49">
      <w:pPr>
        <w:pStyle w:val="BNormal"/>
      </w:pPr>
      <w:r>
        <w:t xml:space="preserve">The net investment income tax (NIIT) rules for market-to-market PFICs are relatively straightforward. Reg. </w:t>
      </w:r>
      <w:smartTag w:uri="http://www.bna.com/sgml2word/cite" w:element="cite.cfr">
        <w:smartTagPr>
          <w:attr w:name="ref" w:val="cfr\26\1.1411-10(c)(2)(ii)"/>
        </w:smartTagPr>
        <w:r>
          <w:t>§1.1411-10(c)(2)(ii)</w:t>
        </w:r>
      </w:smartTag>
      <w:r>
        <w:t xml:space="preserve"> provides that amounts included in gross income under </w:t>
      </w:r>
      <w:smartTag w:uri="http://www.bna.com/sgml2word/cite" w:element="cite.usc">
        <w:smartTagPr>
          <w:attr w:name="ref" w:val="USC\26\1296(a)(1)"/>
        </w:smartTagPr>
        <w:r>
          <w:t>§1296(a)(1)</w:t>
        </w:r>
      </w:smartTag>
      <w:r>
        <w:t xml:space="preserve"> and, correspondingly, amounts allowable as deductions under </w:t>
      </w:r>
      <w:smartTag w:uri="http://www.bna.com/sgml2word/cite" w:element="cite.usc">
        <w:smartTagPr>
          <w:attr w:name="ref" w:val="USC\26\1296(a)(2)"/>
        </w:smartTagPr>
        <w:r>
          <w:t>§1296(a)(2)</w:t>
        </w:r>
      </w:smartTag>
      <w:r>
        <w:t xml:space="preserve"> are taken into account as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and </w:t>
      </w:r>
      <w:smartTag w:uri="http://www.bna.com/sgml2word/cite" w:element="cite.cfr">
        <w:smartTagPr>
          <w:attr w:name="ref" w:val="cfr\26\1.1411-4(d)"/>
        </w:smartTagPr>
        <w:r>
          <w:t>§1.1411-4(d)</w:t>
        </w:r>
      </w:smartTag>
      <w:r>
        <w:t xml:space="preserve"> in computing net gain.</w:t>
      </w:r>
      <w:r>
        <w:rPr>
          <w:rStyle w:val="FootnoteReference"/>
        </w:rPr>
        <w:footnoteReference w:id="912"/>
      </w:r>
    </w:p>
    <w:p w14:paraId="42620B45" w14:textId="77777777" w:rsidR="00494B49" w:rsidRDefault="00494B49">
      <w:pPr>
        <w:pStyle w:val="BNormal"/>
      </w:pPr>
      <w:r>
        <w:rPr>
          <w:i/>
        </w:rPr>
        <w:lastRenderedPageBreak/>
        <w:t>Comment:</w:t>
      </w:r>
      <w:r>
        <w:t xml:space="preserve"> In promulgating this rule, as a technical matter, the Treasury Department and the IRS considered the annual “mark” as a disposition for NIIT purposes. This treatment may seem intuitive, but a close reading of the statute reveals that </w:t>
      </w:r>
      <w:smartTag w:uri="http://www.bna.com/sgml2word/cite" w:element="cite.usc">
        <w:smartTagPr>
          <w:attr w:name="ref" w:val="USC\26\1296(a)"/>
        </w:smartTagPr>
        <w:r>
          <w:t>§1296(a)</w:t>
        </w:r>
      </w:smartTag>
      <w:r>
        <w:t xml:space="preserve"> does not actually “deem” a disposition event to occur. Therefore, without this provision within Reg. </w:t>
      </w:r>
      <w:smartTag w:uri="http://www.bna.com/sgml2word/cite" w:element="cite.cfr">
        <w:smartTagPr>
          <w:attr w:name="ref" w:val="cfr\26\1.1411-10(c)(2)(ii)"/>
        </w:smartTagPr>
        <w:r>
          <w:t>§1.1411-10(c)(2)(ii)</w:t>
        </w:r>
      </w:smartTag>
      <w:r>
        <w:t xml:space="preserve">, such amounts would not be a disposition within the meaning of Reg. </w:t>
      </w:r>
      <w:smartTag w:uri="http://www.bna.com/sgml2word/cite" w:element="cite.cfr">
        <w:smartTagPr>
          <w:attr w:name="ref" w:val="cfr\26\1.1411-4(d)(1)"/>
        </w:smartTagPr>
        <w:r>
          <w:t>§1.1411-4(d)(1)</w:t>
        </w:r>
      </w:smartTag>
      <w:r>
        <w:t xml:space="preserve">. </w:t>
      </w:r>
    </w:p>
    <w:p w14:paraId="465730E1" w14:textId="77777777" w:rsidR="00494B49" w:rsidRDefault="00494B49">
      <w:pPr>
        <w:pStyle w:val="BNormal"/>
      </w:pPr>
      <w:r>
        <w:t xml:space="preserve">Unlike the other PFIC regimes, there are no timing differences or modifications to modified adjusted gross income (MAGI) with which owners of market-to-market PFICs need to be concerned. If the amount is taken into account in computing taxable income by the shareholder under </w:t>
      </w:r>
      <w:smartTag w:uri="http://www.bna.com/sgml2word/cite" w:element="cite.usc">
        <w:smartTagPr>
          <w:attr w:name="ref" w:val="USC\26\1296(a)"/>
        </w:smartTagPr>
        <w:r>
          <w:t>§1296(a)</w:t>
        </w:r>
      </w:smartTag>
      <w:r>
        <w:t xml:space="preserve">, the same amount is included in </w:t>
      </w:r>
      <w:smartTag w:uri="http://www.bna.com/sgml2word/cite" w:element="cite.usc">
        <w:smartTagPr>
          <w:attr w:name="ref" w:val="USC\26\1411(c)"/>
        </w:smartTagPr>
        <w:r>
          <w:t>§1411(c)</w:t>
        </w:r>
      </w:smartTag>
      <w:r>
        <w:t xml:space="preserve"> net investment income in the same year.</w:t>
      </w:r>
    </w:p>
    <w:p w14:paraId="19FB0746" w14:textId="77777777" w:rsidR="00494B49" w:rsidRDefault="00494B49">
      <w:pPr>
        <w:pStyle w:val="BHead1"/>
      </w:pPr>
      <w:r>
        <w:t>C. Application of NIIT to §1291 Funds</w:t>
      </w:r>
    </w:p>
    <w:p w14:paraId="4E52D29C" w14:textId="77777777" w:rsidR="00494B49" w:rsidRDefault="00494B49">
      <w:pPr>
        <w:pStyle w:val="BHead2"/>
      </w:pPr>
      <w:r>
        <w:t>1. Net Investment Income Inclusion</w:t>
      </w:r>
    </w:p>
    <w:p w14:paraId="5A667DC4" w14:textId="77777777" w:rsidR="00494B49" w:rsidRDefault="00494B49">
      <w:pPr>
        <w:pStyle w:val="BNormal"/>
      </w:pPr>
      <w:r>
        <w:t xml:space="preserve">Reg. </w:t>
      </w:r>
      <w:smartTag w:uri="http://www.bna.com/sgml2word/cite" w:element="cite.cfr">
        <w:smartTagPr>
          <w:attr w:name="ref" w:val="CFR\26\1.1411-10(c)(1)(ii)"/>
        </w:smartTagPr>
        <w:r>
          <w:t>§1.1411-10(c)(1)(ii)</w:t>
        </w:r>
      </w:smartTag>
      <w:r>
        <w:t xml:space="preserve"> provides that any distribution of E&amp;P by a PFIC that constitutes a dividend within the meaning </w:t>
      </w:r>
      <w:smartTag w:uri="http://www.bna.com/sgml2word/cite" w:element="cite.usc">
        <w:smartTagPr>
          <w:attr w:name="ref" w:val="USC\26\316(a)"/>
        </w:smartTagPr>
        <w:r>
          <w:t>§316(a)</w:t>
        </w:r>
      </w:smartTag>
      <w:r>
        <w:t xml:space="preserve"> is treated as net investment income under </w:t>
      </w:r>
      <w:smartTag w:uri="http://www.bna.com/sgml2word/cite" w:element="cite.usc">
        <w:smartTagPr>
          <w:attr w:name="ref" w:val="USC\26\1411(c)(1)(A)(i)"/>
        </w:smartTagPr>
        <w:r>
          <w:t>§1411(c)(1)(A)(i)</w:t>
        </w:r>
      </w:smartTag>
      <w:r>
        <w:t xml:space="preserve"> as a dividend. Additionally, Reg. </w:t>
      </w:r>
      <w:smartTag w:uri="http://www.bna.com/sgml2word/cite" w:element="cite.cfr">
        <w:smartTagPr>
          <w:attr w:name="ref" w:val="cfr\26\1.1411-10(c)(2)(i)"/>
        </w:smartTagPr>
        <w:r>
          <w:t>§1.1411-10(c)(2)(i)</w:t>
        </w:r>
      </w:smartTag>
      <w:r>
        <w:t xml:space="preserve"> provides that gain from a disposition of PFIC stock is treated as net investment income under </w:t>
      </w:r>
      <w:smartTag w:uri="http://www.bna.com/sgml2word/cite" w:element="cite.usc">
        <w:smartTagPr>
          <w:attr w:name="ref" w:val="USC\26\1411(c)(1)(A)(iii)"/>
        </w:smartTagPr>
        <w:r>
          <w:t>§1411(c)(1)(A)(iii)</w:t>
        </w:r>
      </w:smartTag>
      <w:r>
        <w:t xml:space="preserve"> as net gain from the disposition of property. </w:t>
      </w:r>
    </w:p>
    <w:p w14:paraId="28F3B2E7" w14:textId="77777777" w:rsidR="00494B49" w:rsidRDefault="00494B49">
      <w:pPr>
        <w:pStyle w:val="BNormal"/>
      </w:pPr>
      <w:r>
        <w:rPr>
          <w:i/>
        </w:rPr>
        <w:t>Comment:</w:t>
      </w:r>
      <w:r>
        <w:t xml:space="preserve"> Based on the theoretical cornerstone operative principle embodied in Reg. </w:t>
      </w:r>
      <w:smartTag w:uri="http://www.bna.com/sgml2word/cite" w:element="cite.cfr">
        <w:smartTagPr>
          <w:attr w:name="ref" w:val="cfr\26\1.1411-1(a)"/>
        </w:smartTagPr>
        <w:r>
          <w:t>§1.1411-1(a)</w:t>
        </w:r>
      </w:smartTag>
      <w:r>
        <w:t xml:space="preserve">, which provides that the rules of Chapter 1 apply to the net investment income tax (NIIT) system unless stated otherwise, this is one of those situations in which the NIIT system departs from regular income tax principles. </w:t>
      </w:r>
    </w:p>
    <w:p w14:paraId="28231492" w14:textId="77777777" w:rsidR="00494B49" w:rsidRDefault="00494B49">
      <w:pPr>
        <w:pStyle w:val="BNormal"/>
      </w:pPr>
      <w:r>
        <w:t xml:space="preserve">At its core, the treatment of distributions from </w:t>
      </w:r>
      <w:smartTag w:uri="http://www.bna.com/sgml2word/cite" w:element="cite.usc">
        <w:smartTagPr>
          <w:attr w:name="ref" w:val="USC\26\1291"/>
        </w:smartTagPr>
        <w:r>
          <w:t>§1291</w:t>
        </w:r>
      </w:smartTag>
      <w:r>
        <w:t xml:space="preserve"> Funds is fair. A </w:t>
      </w:r>
      <w:smartTag w:uri="http://www.bna.com/sgml2word/cite" w:element="cite.usc">
        <w:smartTagPr>
          <w:attr w:name="ref" w:val="USC\26\1291"/>
        </w:smartTagPr>
        <w:r>
          <w:t>§1291</w:t>
        </w:r>
      </w:smartTag>
      <w:r>
        <w:t xml:space="preserve"> Fund is a corporation for federal income tax purposes, albeit one with special rules to curtail the offshore income tax deferral of passive income. The mechanism of excess deferrals, functionally similar to the throwback rules applicable to foreign trusts in Subchapter J, was necessary to isolate the untaxed prior year income in order to calculate a hypothetical tax and apply an underpayment interest rate to that tax. But, unlike the government’s inability to include the Subchapter J throwback distributions into the NIIT system, it was able to do so here.</w:t>
      </w:r>
      <w:r>
        <w:rPr>
          <w:rStyle w:val="FootnoteReference"/>
        </w:rPr>
        <w:footnoteReference w:id="913"/>
      </w:r>
      <w:r>
        <w:t xml:space="preserve"> The difference being that, outside of the complexity of </w:t>
      </w:r>
      <w:smartTag w:uri="http://www.bna.com/sgml2word/cite" w:element="cite.usc">
        <w:smartTagPr>
          <w:attr w:name="ref" w:val="USC\26\1291"/>
        </w:smartTagPr>
        <w:r>
          <w:t>§1291</w:t>
        </w:r>
      </w:smartTag>
      <w:r>
        <w:t xml:space="preserve">, a </w:t>
      </w:r>
      <w:smartTag w:uri="http://www.bna.com/sgml2word/cite" w:element="cite.usc">
        <w:smartTagPr>
          <w:attr w:name="ref" w:val="USC\26\1291"/>
        </w:smartTagPr>
        <w:r>
          <w:t>§1291</w:t>
        </w:r>
      </w:smartTag>
      <w:r>
        <w:t xml:space="preserve"> Fund is still a corporation for purposes of Subtitle A. As such, the </w:t>
      </w:r>
      <w:smartTag w:uri="http://www.bna.com/sgml2word/cite" w:element="cite.usc">
        <w:smartTagPr>
          <w:attr w:name="ref" w:val="USC\26\1291"/>
        </w:smartTagPr>
        <w:r>
          <w:t>§1291</w:t>
        </w:r>
      </w:smartTag>
      <w:r>
        <w:t xml:space="preserve"> rules usurp the regular tax system embodied in Chapter 1, but do not necessarily do so for the rest of the Code. </w:t>
      </w:r>
    </w:p>
    <w:p w14:paraId="64D8F7E8" w14:textId="77777777" w:rsidR="00494B49" w:rsidRDefault="00494B49">
      <w:pPr>
        <w:pStyle w:val="BHead2"/>
      </w:pPr>
      <w:r>
        <w:t xml:space="preserve">2. Required Adjustment to MAGI </w:t>
      </w:r>
    </w:p>
    <w:p w14:paraId="72AB7B6F" w14:textId="77777777" w:rsidR="00494B49" w:rsidRDefault="00494B49">
      <w:pPr>
        <w:pStyle w:val="BNormal"/>
      </w:pPr>
      <w:r>
        <w:t xml:space="preserve">For a taxpayer with excess distributions from a </w:t>
      </w:r>
      <w:smartTag w:uri="http://www.bna.com/sgml2word/cite" w:element="cite.usc">
        <w:smartTagPr>
          <w:attr w:name="ref" w:val="USC\26\1291"/>
        </w:smartTagPr>
        <w:r>
          <w:t>§1291</w:t>
        </w:r>
      </w:smartTag>
      <w:r>
        <w:t xml:space="preserve"> Fund that is not included in gross income for the year, MAGI must be increased by the amount of net investment income attributable to </w:t>
      </w:r>
      <w:smartTag w:uri="http://www.bna.com/sgml2word/cite" w:element="cite.usc">
        <w:smartTagPr>
          <w:attr w:name="ref" w:val="USC\26\1291"/>
        </w:smartTagPr>
        <w:r>
          <w:t>§1291</w:t>
        </w:r>
      </w:smartTag>
      <w:r>
        <w:t xml:space="preserve"> Funds that was not included in AGI.</w:t>
      </w:r>
      <w:r>
        <w:rPr>
          <w:rStyle w:val="FootnoteReference"/>
        </w:rPr>
        <w:footnoteReference w:id="914"/>
      </w:r>
      <w:r>
        <w:t xml:space="preserve"> More precisely, Reg. </w:t>
      </w:r>
      <w:smartTag w:uri="http://www.bna.com/sgml2word/cite" w:element="cite.cfr">
        <w:smartTagPr>
          <w:attr w:name="ref" w:val="cfr\26\1.1411-10(e)(1)(i)"/>
        </w:smartTagPr>
        <w:r>
          <w:t>§1.1411-10(e)(1)(i)</w:t>
        </w:r>
      </w:smartTag>
      <w:r>
        <w:t xml:space="preserve"> and </w:t>
      </w:r>
      <w:smartTag w:uri="http://www.bna.com/sgml2word/cite" w:element="cite.cfr">
        <w:smartTagPr>
          <w:attr w:name="ref" w:val="cfr\26\1.1411-10(e)(2)(i)"/>
        </w:smartTagPr>
        <w:r>
          <w:t>§1.1411-10(e)(2)(i)</w:t>
        </w:r>
      </w:smartTag>
      <w:r>
        <w:t xml:space="preserve"> provide that MAGI for NIIT purposes is increased by the amount of any excess distribution</w:t>
      </w:r>
      <w:r>
        <w:rPr>
          <w:rStyle w:val="FootnoteReference"/>
        </w:rPr>
        <w:footnoteReference w:id="915"/>
      </w:r>
      <w:r>
        <w:t xml:space="preserve"> to the extent the distribution is not included in income from Chapter 1 rules </w:t>
      </w:r>
      <w:r>
        <w:lastRenderedPageBreak/>
        <w:t xml:space="preserve">and constitutes either (1) a dividend under </w:t>
      </w:r>
      <w:smartTag w:uri="http://www.bna.com/sgml2word/cite" w:element="cite.usc">
        <w:smartTagPr>
          <w:attr w:name="ref" w:val="USC\26\316(a)"/>
        </w:smartTagPr>
        <w:r>
          <w:t>§316(a)</w:t>
        </w:r>
      </w:smartTag>
      <w:r>
        <w:t xml:space="preserve">, or (2) any gain treated as an excess distribution under </w:t>
      </w:r>
      <w:smartTag w:uri="http://www.bna.com/sgml2word/cite" w:element="cite.usc">
        <w:smartTagPr>
          <w:attr w:name="ref" w:val="USC\26\1291(a)(2)"/>
        </w:smartTagPr>
        <w:r>
          <w:t>§1291(a)(2)</w:t>
        </w:r>
      </w:smartTag>
      <w:r>
        <w:t>.</w:t>
      </w:r>
      <w:r>
        <w:rPr>
          <w:rStyle w:val="FootnoteReference"/>
        </w:rPr>
        <w:footnoteReference w:id="916"/>
      </w:r>
    </w:p>
    <w:p w14:paraId="37AB50B4" w14:textId="77777777" w:rsidR="00494B49" w:rsidRDefault="00494B49">
      <w:pPr>
        <w:pStyle w:val="BNormal"/>
      </w:pPr>
      <w:r>
        <w:rPr>
          <w:i/>
        </w:rPr>
        <w:t>Comment:</w:t>
      </w:r>
      <w:r>
        <w:t xml:space="preserve"> Creating the MAGI adjustment for excess distributions from </w:t>
      </w:r>
      <w:smartTag w:uri="http://www.bna.com/sgml2word/cite" w:element="cite.usc">
        <w:smartTagPr>
          <w:attr w:name="ref" w:val="USC\26\1291"/>
        </w:smartTagPr>
        <w:r>
          <w:t>§1291</w:t>
        </w:r>
      </w:smartTag>
      <w:r>
        <w:t xml:space="preserve"> Funds was a matter of computational necessity. Because the NIIT system is built on taxing the lesser of two tax bases, the computational system would be significantly impaired if only one of the tax bases took into account the excess distribution. Unlike the alternative minimum tax system, which when combined with the regular tax system imposes a tax on the higher of two tax bases, the need for excess distributions to be included in both bases would not have been as necessary if the NIIT were imposed on the greater of MAGI or net investment income. However, because the tax is imposed on the lesser of the two, the MAGI adjustment was necessary to ensure both bases would be in theoretical parity, at least with respect to the treatment of excess distributions.</w:t>
      </w:r>
    </w:p>
    <w:p w14:paraId="4243DB23" w14:textId="77777777" w:rsidR="00494B49" w:rsidRDefault="00494B49">
      <w:pPr>
        <w:pStyle w:val="BHead2"/>
      </w:pPr>
      <w:r>
        <w:t>3. Compliance Considerations for §1291 Funds</w:t>
      </w:r>
    </w:p>
    <w:p w14:paraId="403AAE13" w14:textId="77777777" w:rsidR="00494B49" w:rsidRDefault="00494B49">
      <w:pPr>
        <w:pStyle w:val="BNormal"/>
      </w:pPr>
      <w:r>
        <w:t xml:space="preserve">From a tax compliance perspective, the treatment of distributions from </w:t>
      </w:r>
      <w:smartTag w:uri="http://www.bna.com/sgml2word/cite" w:element="cite.usc">
        <w:smartTagPr>
          <w:attr w:name="ref" w:val="USC\26\1291"/>
        </w:smartTagPr>
        <w:r>
          <w:t>§1291</w:t>
        </w:r>
      </w:smartTag>
      <w:r>
        <w:t xml:space="preserve"> Funds is relatively straightforward. The distribution from a </w:t>
      </w:r>
      <w:smartTag w:uri="http://www.bna.com/sgml2word/cite" w:element="cite.usc">
        <w:smartTagPr>
          <w:attr w:name="ref" w:val="USC\26\1291"/>
        </w:smartTagPr>
        <w:r>
          <w:t>§1291</w:t>
        </w:r>
      </w:smartTag>
      <w:r>
        <w:t xml:space="preserve"> Fund is reported in Part V of Form </w:t>
      </w:r>
      <w:smartTag w:uri="http://www.bna.com/sgml2word/cite" w:element="cite.fed.form">
        <w:smartTagPr>
          <w:attr w:name="ref" w:val="irs\form8621"/>
        </w:smartTagPr>
        <w:r>
          <w:t>8621</w:t>
        </w:r>
      </w:smartTag>
      <w:r>
        <w:t xml:space="preserve">, </w:t>
      </w:r>
      <w:r>
        <w:rPr>
          <w:i/>
        </w:rPr>
        <w:t xml:space="preserve">Information Return by a Shareholder of a Passive Foreign Investment Company or Qualified Electing Fund. </w:t>
      </w:r>
      <w:r>
        <w:t xml:space="preserve">The amount included in net investment income is relatively easy to determine as it is also included in Part V of Form </w:t>
      </w:r>
      <w:smartTag w:uri="http://www.bna.com/sgml2word/cite" w:element="cite.fed.form">
        <w:smartTagPr>
          <w:attr w:name="ref" w:val="irs\form8621"/>
        </w:smartTagPr>
        <w:r>
          <w:t>8621</w:t>
        </w:r>
      </w:smartTag>
      <w:r>
        <w:t>.</w:t>
      </w:r>
      <w:r>
        <w:rPr>
          <w:rStyle w:val="FootnoteReference"/>
        </w:rPr>
        <w:footnoteReference w:id="917"/>
      </w:r>
      <w:r>
        <w:t xml:space="preserve"> The amount of the distribution that constitutes an excess distribution requires an upward adjustment to MAGI and also is reported under Part V of Form </w:t>
      </w:r>
      <w:smartTag w:uri="http://www.bna.com/sgml2word/cite" w:element="cite.fed.form">
        <w:smartTagPr>
          <w:attr w:name="ref" w:val="irs\form8621"/>
        </w:smartTagPr>
        <w:r>
          <w:t>8621</w:t>
        </w:r>
      </w:smartTag>
      <w:r>
        <w:t>.</w:t>
      </w:r>
    </w:p>
    <w:p w14:paraId="2634D902" w14:textId="77777777" w:rsidR="00494B49" w:rsidRDefault="00494B49">
      <w:pPr>
        <w:pStyle w:val="BNormal"/>
      </w:pPr>
      <w:r>
        <w:t xml:space="preserve">If the </w:t>
      </w:r>
      <w:smartTag w:uri="http://www.bna.com/sgml2word/cite" w:element="cite.usc">
        <w:smartTagPr>
          <w:attr w:name="ref" w:val="USC\26\1291"/>
        </w:smartTagPr>
        <w:r>
          <w:t>§1291</w:t>
        </w:r>
      </w:smartTag>
      <w:r>
        <w:t xml:space="preserve"> Fund is sold during the year, a portion of the gain could be considered an excess distribution.</w:t>
      </w:r>
      <w:r>
        <w:rPr>
          <w:rStyle w:val="FootnoteReference"/>
        </w:rPr>
        <w:footnoteReference w:id="918"/>
      </w:r>
      <w:r>
        <w:t xml:space="preserve"> The total gain is included in net investment income under </w:t>
      </w:r>
      <w:smartTag w:uri="http://www.bna.com/sgml2word/cite" w:element="cite.usc">
        <w:smartTagPr>
          <w:attr w:name="ref" w:val="USC\26\1411(c)(1)(A)(iii)"/>
        </w:smartTagPr>
        <w:r>
          <w:t>§1411(c)(1)(A)(iii)</w:t>
        </w:r>
      </w:smartTag>
      <w:r>
        <w:t>.</w:t>
      </w:r>
      <w:r>
        <w:rPr>
          <w:rStyle w:val="FootnoteReference"/>
        </w:rPr>
        <w:footnoteReference w:id="919"/>
      </w:r>
      <w:r>
        <w:t xml:space="preserve"> The amount of the distribution that constitutes an excess distribution requires an upward adjustment to MAGI and is reported under Part V of Form </w:t>
      </w:r>
      <w:smartTag w:uri="http://www.bna.com/sgml2word/cite" w:element="cite.fed.form">
        <w:smartTagPr>
          <w:attr w:name="ref" w:val="irs\form8621"/>
        </w:smartTagPr>
        <w:r>
          <w:t>8621</w:t>
        </w:r>
      </w:smartTag>
      <w:r>
        <w:t>.</w:t>
      </w:r>
    </w:p>
    <w:p w14:paraId="5475EDDA" w14:textId="77777777" w:rsidR="00494B49" w:rsidRDefault="00494B49">
      <w:pPr>
        <w:pStyle w:val="BHead1"/>
      </w:pPr>
      <w:r>
        <w:t>D. Application of NIIT to CFCs and QEFs Without a Reg. §1.1411-10(g) Election</w:t>
      </w:r>
    </w:p>
    <w:p w14:paraId="4B32B304" w14:textId="77777777" w:rsidR="00494B49" w:rsidRDefault="00494B49">
      <w:pPr>
        <w:pStyle w:val="BHead2"/>
      </w:pPr>
      <w:r>
        <w:t>1. Overview and Reasoning for Rules</w:t>
      </w:r>
    </w:p>
    <w:p w14:paraId="730A6CBA" w14:textId="77777777" w:rsidR="00494B49" w:rsidRDefault="00494B49">
      <w:pPr>
        <w:pStyle w:val="BNormal"/>
      </w:pPr>
      <w:r>
        <w:t>In the case of a CFC, under Subpart F of the Code, a United States shareholder</w:t>
      </w:r>
      <w:r>
        <w:rPr>
          <w:rStyle w:val="FootnoteReference"/>
        </w:rPr>
        <w:footnoteReference w:id="920"/>
      </w:r>
      <w:r>
        <w:t xml:space="preserve"> of a CFC is required to include certain amounts in income currently under </w:t>
      </w:r>
      <w:smartTag w:uri="http://www.bna.com/sgml2word/cite" w:element="cite.usc">
        <w:smartTagPr>
          <w:attr w:name="ref" w:val="USC\26\951(a)"/>
        </w:smartTagPr>
        <w:r>
          <w:t>§951(a)</w:t>
        </w:r>
      </w:smartTag>
      <w:r>
        <w:t xml:space="preserve"> (</w:t>
      </w:r>
      <w:smartTag w:uri="http://www.bna.com/sgml2word/cite" w:element="cite.usc">
        <w:smartTagPr>
          <w:attr w:name="ref" w:val="USC\26\951"/>
        </w:smartTagPr>
        <w:r>
          <w:t>§951</w:t>
        </w:r>
      </w:smartTag>
      <w:r>
        <w:t xml:space="preserve"> inclusions). </w:t>
      </w:r>
      <w:smartTag w:uri="http://www.bna.com/sgml2word/cite" w:element="cite.usc">
        <w:smartTagPr>
          <w:attr w:name="ref" w:val="USC\26\951"/>
        </w:smartTagPr>
        <w:r>
          <w:t>Section 951</w:t>
        </w:r>
      </w:smartTag>
      <w:r>
        <w:t xml:space="preserve"> inclusions are not treated as dividends unless expressly provided for in the Code,</w:t>
      </w:r>
      <w:r>
        <w:rPr>
          <w:rStyle w:val="FootnoteReference"/>
        </w:rPr>
        <w:footnoteReference w:id="921"/>
      </w:r>
      <w:r>
        <w:t xml:space="preserve"> and </w:t>
      </w:r>
      <w:r>
        <w:lastRenderedPageBreak/>
        <w:t xml:space="preserve">therefore are not within any of the categories of income items that comprise net investment income (unless the amount is derived from a trade or business to which the tax applies as provided in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a)(1)(ii)"/>
        </w:smartTagPr>
        <w:r>
          <w:t>§1.1411-4(a)(1)(ii)</w:t>
        </w:r>
      </w:smartTag>
      <w:r>
        <w:t>).</w:t>
      </w:r>
      <w:r>
        <w:rPr>
          <w:rStyle w:val="FootnoteReference"/>
        </w:rPr>
        <w:footnoteReference w:id="922"/>
      </w:r>
    </w:p>
    <w:p w14:paraId="71FA1853" w14:textId="77777777" w:rsidR="00494B49" w:rsidRDefault="00494B49">
      <w:pPr>
        <w:pStyle w:val="BNormal"/>
      </w:pPr>
      <w:r>
        <w:t xml:space="preserve">Similarly, a United States person owning shares in a PFIC is required to include amounts in income currently under </w:t>
      </w:r>
      <w:smartTag w:uri="http://www.bna.com/sgml2word/cite" w:element="cite.usc">
        <w:smartTagPr>
          <w:attr w:name="ref" w:val="USC\26\1293(a)"/>
        </w:smartTagPr>
        <w:r>
          <w:t>§1293(a)</w:t>
        </w:r>
      </w:smartTag>
      <w:r>
        <w:t xml:space="preserve"> (</w:t>
      </w:r>
      <w:smartTag w:uri="http://www.bna.com/sgml2word/cite" w:element="cite.usc">
        <w:smartTagPr>
          <w:attr w:name="ref" w:val="USC\26\1293"/>
        </w:smartTagPr>
        <w:r>
          <w:t>§1293</w:t>
        </w:r>
      </w:smartTag>
      <w:r>
        <w:t xml:space="preserve"> inclusions) if the person makes a QEF election under </w:t>
      </w:r>
      <w:smartTag w:uri="http://www.bna.com/sgml2word/cite" w:element="cite.usc">
        <w:smartTagPr>
          <w:attr w:name="ref" w:val="USC\26\1295"/>
        </w:smartTagPr>
        <w:r>
          <w:t>§1295</w:t>
        </w:r>
      </w:smartTag>
      <w:r>
        <w:t xml:space="preserve"> with respect to the PFIC. </w:t>
      </w:r>
      <w:smartTag w:uri="http://www.bna.com/sgml2word/cite" w:element="cite.usc">
        <w:smartTagPr>
          <w:attr w:name="ref" w:val="USC\26\1293"/>
        </w:smartTagPr>
        <w:r>
          <w:t>Section 1293</w:t>
        </w:r>
      </w:smartTag>
      <w:r>
        <w:t xml:space="preserve"> inclusions also are not treated as dividends unless expressly provided for in the Code and, therefore, their treatment is similar to that of </w:t>
      </w:r>
      <w:smartTag w:uri="http://www.bna.com/sgml2word/cite" w:element="cite.usc">
        <w:smartTagPr>
          <w:attr w:name="ref" w:val="USC\26\951"/>
        </w:smartTagPr>
        <w:r>
          <w:t>§951</w:t>
        </w:r>
      </w:smartTag>
      <w:r>
        <w:t xml:space="preserve"> inclusions for net investment income tax (NIIT) purposes.</w:t>
      </w:r>
    </w:p>
    <w:p w14:paraId="228412A1" w14:textId="77777777" w:rsidR="00494B49" w:rsidRDefault="00494B49">
      <w:pPr>
        <w:pStyle w:val="BNormal"/>
      </w:pPr>
      <w:r>
        <w:t xml:space="preserve">The 2013 Final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w:t>
      </w:r>
      <w:r>
        <w:rPr>
          <w:rStyle w:val="FootnoteReference"/>
        </w:rPr>
        <w:footnoteReference w:id="923"/>
      </w:r>
    </w:p>
    <w:p w14:paraId="3FCB624F" w14:textId="77777777" w:rsidR="00494B49" w:rsidRDefault="00494B49">
      <w:pPr>
        <w:pStyle w:val="BHead2"/>
      </w:pPr>
      <w:r>
        <w:t>2. Timing of Net Investment Income Inclusion</w:t>
      </w:r>
    </w:p>
    <w:p w14:paraId="788756E6" w14:textId="77777777" w:rsidR="00494B49" w:rsidRDefault="00494B49">
      <w:pPr>
        <w:pStyle w:val="BNormal"/>
      </w:pPr>
      <w:r>
        <w:t xml:space="preserve">The simplest way to explain the rules begins with the premise that CFCs and QEFs are corporations. The CFC and QEF income imputation rules depart from the general taxation rules applicable to shareholders. For those CFCs and QEFs not covered by a Reg. </w:t>
      </w:r>
      <w:smartTag w:uri="http://www.bna.com/sgml2word/cite" w:element="cite.cfr">
        <w:smartTagPr>
          <w:attr w:name="ref" w:val="cfr\26\1.1411-10(g)"/>
        </w:smartTagPr>
        <w:r>
          <w:t>§1.1411-10(g)</w:t>
        </w:r>
      </w:smartTag>
      <w:r>
        <w:t xml:space="preserve"> election (a “</w:t>
      </w:r>
      <w:smartTag w:uri="http://www.bna.com/sgml2word/cite" w:element="cite.cfr">
        <w:smartTagPr>
          <w:attr w:name="ref" w:val="cfr\26\1.1411-10(g)"/>
        </w:smartTagPr>
        <w:r>
          <w:t>10(g)</w:t>
        </w:r>
      </w:smartTag>
      <w:r>
        <w:t xml:space="preserve"> Election”), the NIIT rules follow the general rules of taxation for shareholders of corporations. However, the NIIT rules are extremely complex due to all of the remedial rules necessary to overcome the CFC or QEF regime. Distilled to their elemental parts, the rules can be summarized as follows: </w:t>
      </w:r>
    </w:p>
    <w:p w14:paraId="7B1DAC76" w14:textId="77777777" w:rsidR="00494B49" w:rsidRDefault="00494B49">
      <w:pPr>
        <w:pStyle w:val="BListitembul"/>
      </w:pPr>
      <w:r>
        <w:t>Net investment income includes cash distributed from the CFC or QEF to the extent it represents E&amp;P of the CFC or QEF earned after December 31, 2012.</w:t>
      </w:r>
      <w:r>
        <w:rPr>
          <w:rStyle w:val="FootnoteReference"/>
        </w:rPr>
        <w:footnoteReference w:id="924"/>
      </w:r>
      <w:r>
        <w:t xml:space="preserve"> With the </w:t>
      </w:r>
      <w:r>
        <w:lastRenderedPageBreak/>
        <w:t>exception of the December 31, 2012 cutoff, this is identical to the treatment of a distribution from any corporation, foreign or domestic, that is not subject to the CFC or PFIC regime.</w:t>
      </w:r>
      <w:r>
        <w:rPr>
          <w:rStyle w:val="FootnoteReference"/>
        </w:rPr>
        <w:footnoteReference w:id="925"/>
      </w:r>
    </w:p>
    <w:p w14:paraId="3C6E3543" w14:textId="77777777" w:rsidR="00494B49" w:rsidRDefault="00494B49">
      <w:pPr>
        <w:pStyle w:val="BListitembul"/>
      </w:pPr>
      <w:r>
        <w:t>Gain or loss is determined by the shareholder’s cost basis in the shares as if the entity was a traditional corporation. The income inclusions under §951 or §1293 that occur in tax years beginning after December 31, 2012 are disregarded, and basis reductions from distributions of previously taxed income earned in tax year after December 31, 2012 are likewise disregarded.</w:t>
      </w:r>
    </w:p>
    <w:p w14:paraId="6AFE11B2" w14:textId="77777777" w:rsidR="00494B49" w:rsidRDefault="00494B49">
      <w:pPr>
        <w:pStyle w:val="BListitembul"/>
      </w:pPr>
      <w:r>
        <w:t>Outside basis adjustments for CFCs or QEFs held through partnerships, S corporations, or common trust funds must be calculated consistently with the two preceding rules.</w:t>
      </w:r>
    </w:p>
    <w:p w14:paraId="2FF9C902" w14:textId="77777777" w:rsidR="00494B49" w:rsidRDefault="00494B49">
      <w:pPr>
        <w:pStyle w:val="BHead3"/>
      </w:pPr>
      <w:r>
        <w:t xml:space="preserve">a. Imputed Items Included in Gross Income but </w:t>
      </w:r>
      <w:r>
        <w:br/>
        <w:t>Excluded from Investment Income</w:t>
      </w:r>
    </w:p>
    <w:p w14:paraId="1CA12892" w14:textId="77777777" w:rsidR="00494B49" w:rsidRDefault="00494B49">
      <w:pPr>
        <w:pStyle w:val="BNormal"/>
      </w:pPr>
      <w:r>
        <w:t xml:space="preserve">Interestingly, the 2013 Final Regulations do not specifically state that net investment income excludes amounts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Although this is the default rule for CFCs and QEFs, two provisions within Reg. </w:t>
      </w:r>
      <w:smartTag w:uri="http://www.bna.com/sgml2word/cite" w:element="cite.cfr">
        <w:smartTagPr>
          <w:attr w:name="ref" w:val="cfr\26\1.1411-10"/>
        </w:smartTagPr>
        <w:r>
          <w:t>§1.1411-10</w:t>
        </w:r>
      </w:smartTag>
      <w:r>
        <w:t xml:space="preserve"> must be considered together to arrive at this conclusion.</w:t>
      </w:r>
    </w:p>
    <w:p w14:paraId="6D9E3085" w14:textId="77777777" w:rsidR="00494B49" w:rsidRDefault="00494B49">
      <w:pPr>
        <w:pStyle w:val="BNormal"/>
      </w:pPr>
      <w:r>
        <w:t xml:space="preserve">First, there is no mention of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being included in net investment income in Reg. </w:t>
      </w:r>
      <w:smartTag w:uri="http://www.bna.com/sgml2word/cite" w:element="cite.cfr">
        <w:smartTagPr>
          <w:attr w:name="ref" w:val="cfr\26\1.1411-10(c)"/>
        </w:smartTagPr>
        <w:r>
          <w:t>§1.1411-10(c)</w:t>
        </w:r>
      </w:smartTag>
      <w:r>
        <w:t xml:space="preserve">. Mechanically, Reg. </w:t>
      </w:r>
      <w:smartTag w:uri="http://www.bna.com/sgml2word/cite" w:element="cite.cfr">
        <w:smartTagPr>
          <w:attr w:name="ref" w:val="cfr\26\1.1411-10(c)(1)"/>
        </w:smartTagPr>
        <w:r>
          <w:t>§1.1411-10(c)(1)</w:t>
        </w:r>
      </w:smartTag>
      <w:r>
        <w:t xml:space="preserve"> only includes dividends and Reg. </w:t>
      </w:r>
      <w:smartTag w:uri="http://www.bna.com/sgml2word/cite" w:element="cite.cfr">
        <w:smartTagPr>
          <w:attr w:name="ref" w:val="cfr\26\1.1411-10(c)(1)(i)"/>
        </w:smartTagPr>
        <w:r>
          <w:t>§1.1411-10(c)(1)(i)</w:t>
        </w:r>
      </w:smartTag>
      <w:r>
        <w:t xml:space="preserve"> only applies to CFCs and QEFs that do not have a </w:t>
      </w:r>
      <w:smartTag w:uri="http://www.bna.com/sgml2word/cite" w:element="cite.cfr">
        <w:smartTagPr>
          <w:attr w:name="ref" w:val="cfr\26\1.1411-10(g)"/>
        </w:smartTagPr>
        <w:r>
          <w:t>10(g)</w:t>
        </w:r>
      </w:smartTag>
      <w:r>
        <w:t xml:space="preserve"> Election in effect. To the extent that a </w:t>
      </w:r>
      <w:smartTag w:uri="http://www.bna.com/sgml2word/cite" w:element="cite.cfr">
        <w:smartTagPr>
          <w:attr w:name="ref" w:val="cfr\26\1.1411-10(g)"/>
        </w:smartTagPr>
        <w:r>
          <w:t>10(g)</w:t>
        </w:r>
      </w:smartTag>
      <w:r>
        <w:t xml:space="preserve"> Election is in effect, Reg. </w:t>
      </w:r>
      <w:smartTag w:uri="http://www.bna.com/sgml2word/cite" w:element="cite.cfr">
        <w:smartTagPr>
          <w:attr w:name="ref" w:val="cfr\26\1.1411-10(c)(1)(i)"/>
        </w:smartTagPr>
        <w:r>
          <w:t>§1.1411-10(c)(1)(i)</w:t>
        </w:r>
      </w:smartTag>
      <w:r>
        <w:t xml:space="preserve"> simply does not apply.</w:t>
      </w:r>
      <w:r>
        <w:rPr>
          <w:rStyle w:val="FootnoteReference"/>
        </w:rPr>
        <w:footnoteReference w:id="926"/>
      </w:r>
      <w:r>
        <w:t xml:space="preserve"> It is only by reason of Reg. </w:t>
      </w:r>
      <w:smartTag w:uri="http://www.bna.com/sgml2word/cite" w:element="cite.cfr">
        <w:smartTagPr>
          <w:attr w:name="ref" w:val="cfr\26\1.1411-10(g)(1)"/>
        </w:smartTagPr>
        <w:r>
          <w:t>§1.1411-10(g)(1)</w:t>
        </w:r>
      </w:smartTag>
      <w:r>
        <w:t xml:space="preserve"> that the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would be included in net investment income. </w:t>
      </w:r>
    </w:p>
    <w:p w14:paraId="68B84318" w14:textId="77777777" w:rsidR="00494B49" w:rsidRDefault="00494B49">
      <w:pPr>
        <w:pStyle w:val="BNormal"/>
      </w:pPr>
      <w:r>
        <w:t xml:space="preserve">Second, a taxpayer’s MAGI is reduced by the amount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if there is no </w:t>
      </w:r>
      <w:smartTag w:uri="http://www.bna.com/sgml2word/cite" w:element="cite.cfr">
        <w:smartTagPr>
          <w:attr w:name="ref" w:val="cfr\26\1.1411-10(g)"/>
        </w:smartTagPr>
        <w:r>
          <w:t>10(g)</w:t>
        </w:r>
      </w:smartTag>
      <w:r>
        <w:t xml:space="preserve"> Election in effect.</w:t>
      </w:r>
      <w:r>
        <w:rPr>
          <w:rStyle w:val="FootnoteReference"/>
        </w:rPr>
        <w:footnoteReference w:id="927"/>
      </w:r>
      <w:r>
        <w:t xml:space="preserve"> Reg. </w:t>
      </w:r>
      <w:smartTag w:uri="http://www.bna.com/sgml2word/cite" w:element="cite.cfr">
        <w:smartTagPr>
          <w:attr w:name="ref" w:val="cfr\26\1.1411-10(e)"/>
        </w:smartTagPr>
        <w:r>
          <w:t>§1.1411-10(e)</w:t>
        </w:r>
      </w:smartTag>
      <w:r>
        <w:t xml:space="preserve"> is intended to ensure that the dual tax base nature of the NIIT system is preserved — when items of income are included in one base, but not included in the other, this imbalance will eventually reverse over time. If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were “naturally” includible in net investment income, there would have been no need for the MAGI reduction.</w:t>
      </w:r>
    </w:p>
    <w:p w14:paraId="7FF2D565" w14:textId="77777777" w:rsidR="00494B49" w:rsidRDefault="00494B49">
      <w:pPr>
        <w:pStyle w:val="BHead3"/>
      </w:pPr>
      <w:r>
        <w:t>b. Items Excluded from Gross Income but Included in Investment Income</w:t>
      </w:r>
    </w:p>
    <w:p w14:paraId="21F17031" w14:textId="77777777" w:rsidR="00494B49" w:rsidRDefault="00494B49">
      <w:pPr>
        <w:pStyle w:val="BNormal"/>
      </w:pPr>
      <w:r>
        <w:t xml:space="preserve">Net investment income includes, as a dividend under </w:t>
      </w:r>
      <w:smartTag w:uri="http://www.bna.com/sgml2word/cite" w:element="cite.usc">
        <w:smartTagPr>
          <w:attr w:name="ref" w:val="USC\26\1411(c)(1)(A)(i)"/>
        </w:smartTagPr>
        <w:r>
          <w:t>§1411(c)(1)(A)(i)</w:t>
        </w:r>
      </w:smartTag>
      <w:r>
        <w:t xml:space="preserve">, distributions of E&amp;P that were previously included in </w:t>
      </w:r>
      <w:smartTag w:uri="http://www.bna.com/sgml2word/cite" w:element="cite.usc">
        <w:smartTagPr>
          <w:attr w:name="ref" w:val="USC\26\61(a)"/>
        </w:smartTagPr>
        <w:r>
          <w:t>§61(a)</w:t>
        </w:r>
      </w:smartTag>
      <w:r>
        <w:t xml:space="preserve"> gross income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w:t>
      </w:r>
      <w:r>
        <w:rPr>
          <w:rStyle w:val="FootnoteReference"/>
        </w:rPr>
        <w:footnoteReference w:id="928"/>
      </w:r>
      <w:r>
        <w:t xml:space="preserve"> For regular tax purposes, these distributions would be excluded from </w:t>
      </w:r>
      <w:smartTag w:uri="http://www.bna.com/sgml2word/cite" w:element="cite.usc">
        <w:smartTagPr>
          <w:attr w:name="ref" w:val="USC\26\61(a)"/>
        </w:smartTagPr>
        <w:r>
          <w:t>§61(a)</w:t>
        </w:r>
      </w:smartTag>
      <w:r>
        <w:t xml:space="preserve"> gross income by reason of </w:t>
      </w:r>
      <w:smartTag w:uri="http://www.bna.com/sgml2word/cite" w:element="cite.usc">
        <w:smartTagPr>
          <w:attr w:name="ref" w:val="USC\26\959"/>
        </w:smartTagPr>
        <w:r>
          <w:t>§959</w:t>
        </w:r>
      </w:smartTag>
      <w:r>
        <w:t xml:space="preserve"> or </w:t>
      </w:r>
      <w:smartTag w:uri="http://www.bna.com/sgml2word/cite" w:element="cite.usc">
        <w:smartTagPr>
          <w:attr w:name="ref" w:val="USC\26\1293(c)"/>
        </w:smartTagPr>
        <w:r>
          <w:t>§1293(c)</w:t>
        </w:r>
      </w:smartTag>
      <w:r>
        <w:t>.</w:t>
      </w:r>
    </w:p>
    <w:p w14:paraId="4669BBE0" w14:textId="77777777" w:rsidR="00494B49" w:rsidRDefault="00494B49">
      <w:pPr>
        <w:pStyle w:val="BNormal"/>
      </w:pPr>
      <w:r>
        <w:lastRenderedPageBreak/>
        <w:t xml:space="preserve">For purposes of determining whether a distribution is attributable to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(and thus is treated as a dividend for </w:t>
      </w:r>
      <w:smartTag w:uri="http://www.bna.com/sgml2word/cite" w:element="cite.usc">
        <w:smartTagPr>
          <w:attr w:name="ref" w:val="USC\26\1411"/>
        </w:smartTagPr>
        <w:r>
          <w:t>§1411</w:t>
        </w:r>
      </w:smartTag>
      <w:r>
        <w:t xml:space="preserve"> purposes), the distribution will be considered attributable to any E&amp;P derived first from the current tax year and then from tax years beginning with the most recent prior tax year.</w:t>
      </w:r>
      <w:r>
        <w:rPr>
          <w:rStyle w:val="FootnoteReference"/>
        </w:rPr>
        <w:footnoteReference w:id="929"/>
      </w:r>
      <w:r>
        <w:t xml:space="preserve"> In the case of a distribution from a CFC, that determination is made without regard to whether the E&amp;P are described in </w:t>
      </w:r>
      <w:smartTag w:uri="http://www.bna.com/sgml2word/cite" w:element="cite.usc">
        <w:smartTagPr>
          <w:attr w:name="ref" w:val="USC\26\959(c)(1)"/>
        </w:smartTagPr>
        <w:r>
          <w:t>§959(c)(1)</w:t>
        </w:r>
      </w:smartTag>
      <w:r>
        <w:t xml:space="preserve"> or </w:t>
      </w:r>
      <w:smartTag w:uri="http://www.bna.com/sgml2word/cite" w:element="cite.usc">
        <w:smartTagPr>
          <w:attr w:name="ref" w:val="USC\26\959(c)(2)"/>
        </w:smartTagPr>
        <w:r>
          <w:t>§959(c)(2)</w:t>
        </w:r>
      </w:smartTag>
      <w:r>
        <w:t>.</w:t>
      </w:r>
      <w:r>
        <w:rPr>
          <w:rStyle w:val="FootnoteReference"/>
        </w:rPr>
        <w:footnoteReference w:id="930"/>
      </w:r>
    </w:p>
    <w:p w14:paraId="6159636E" w14:textId="77777777" w:rsidR="00494B49" w:rsidRDefault="00494B49">
      <w:pPr>
        <w:pStyle w:val="BHead3"/>
      </w:pPr>
      <w:r>
        <w:t>c. Resulting Basis Adjustments and Differences in Gains and Losses</w:t>
      </w:r>
    </w:p>
    <w:p w14:paraId="3D4851BF" w14:textId="77777777" w:rsidR="00494B49" w:rsidRDefault="00494B49">
      <w:pPr>
        <w:pStyle w:val="BNormal"/>
      </w:pPr>
      <w:r>
        <w:t>When developing the rules for CFCs and QEFs, the Treasury Department and the IRS determined that including an amount in income only for purposes of Chapter 1 or Chapter 2A required special coordinating rules to accurately and fairly calculate the NIIT. For example, because the rules governing previously taxed income under Chapter 1 require basis adjustments to the stock of the CFC or QEF, a United States person will be required to compute its tax basis in the stock (as well as its basis in intermediate entities through which it holds the CFC or QEF stock) differently for Chapter 1 and Chapter 2A purposes.</w:t>
      </w:r>
    </w:p>
    <w:p w14:paraId="1A74DD9D" w14:textId="77777777" w:rsidR="00494B49" w:rsidRDefault="00494B49">
      <w:pPr>
        <w:pStyle w:val="BHead2"/>
      </w:pPr>
      <w:r>
        <w:t>3. Required Adjustment to MAGI</w:t>
      </w:r>
    </w:p>
    <w:p w14:paraId="10667F9E" w14:textId="77777777" w:rsidR="00494B49" w:rsidRDefault="00494B49">
      <w:pPr>
        <w:pStyle w:val="BNormal"/>
      </w:pPr>
      <w:r>
        <w:t xml:space="preserve">Because the timing under Chapter 1 and Chapter 2A is different for including certain income from investments in CFCs and PFICs, the 2013 Final Regulations contain rules coordinating these provisions with the determination of the calculation of the NIIT, which is based, in part, on MAGI. Absent an election under Reg. </w:t>
      </w:r>
      <w:smartTag w:uri="http://www.bna.com/sgml2word/cite" w:element="cite.cfr">
        <w:smartTagPr>
          <w:attr w:name="ref" w:val="cfr\26\1.1411-10(g)"/>
        </w:smartTagPr>
        <w:r>
          <w:t>§1.1411-10(g)</w:t>
        </w:r>
      </w:smartTag>
      <w:r>
        <w:t xml:space="preserve"> (discussed below), the 2013 Final Regulations provide that an individual, estate or trust that owns stock in a CFC or a QEF must increase or decrease MAGI in certain circumstances.</w:t>
      </w:r>
    </w:p>
    <w:p w14:paraId="473A90FD" w14:textId="77777777" w:rsidR="00494B49" w:rsidRDefault="00494B49">
      <w:pPr>
        <w:pStyle w:val="BNormal"/>
      </w:pPr>
      <w:r>
        <w:t xml:space="preserve">Most simply, MAGI is decreased when an item attributable to a CFC or QEF is includible in a taxpayer’s gross income for regular tax purposes, but not included in net investment income. Conversely, MAGI is increased when an item attributable to a CFC or QEF is includible in a taxpayer’s gross income for regular tax purposes, but not included in net investment income. </w:t>
      </w:r>
    </w:p>
    <w:p w14:paraId="2CD9036B" w14:textId="77777777" w:rsidR="00494B49" w:rsidRDefault="00494B49">
      <w:pPr>
        <w:pStyle w:val="BHead3"/>
      </w:pPr>
      <w:r>
        <w:t>a. Situations That Require a Decrease to MAGI</w:t>
      </w:r>
    </w:p>
    <w:p w14:paraId="1C64DA9E" w14:textId="77777777" w:rsidR="00494B49" w:rsidRDefault="00494B49">
      <w:pPr>
        <w:pStyle w:val="BNormal"/>
      </w:pPr>
      <w:r>
        <w:t xml:space="preserve">Under Reg. </w:t>
      </w:r>
      <w:smartTag w:uri="http://www.bna.com/sgml2word/cite" w:element="cite.cfr">
        <w:smartTagPr>
          <w:attr w:name="ref" w:val="cfr\26\1.1411-10(e)(1)(iii)"/>
        </w:smartTagPr>
        <w:r>
          <w:t>§1.1411-10(e)(1)(iii)</w:t>
        </w:r>
      </w:smartTag>
      <w:r>
        <w:t xml:space="preserve"> (for individuals) and </w:t>
      </w:r>
      <w:smartTag w:uri="http://www.bna.com/sgml2word/cite" w:element="cite.cfr">
        <w:smartTagPr>
          <w:attr w:name="ref" w:val="cfr\26\1.1411-10(e)(2)(iii)"/>
        </w:smartTagPr>
        <w:r>
          <w:t>§1.1411-10(e)(2)(iii)</w:t>
        </w:r>
      </w:smartTag>
      <w:r>
        <w:t xml:space="preserve"> (for estates and trusts), MAGI is decreased by any amount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attributable to a CFC or QEF, respectively, with respect to which no </w:t>
      </w:r>
      <w:smartTag w:uri="http://www.bna.com/sgml2word/cite" w:element="cite.cfr">
        <w:smartTagPr>
          <w:attr w:name="ref" w:val="cfr\26\1.1411-10(g)"/>
        </w:smartTagPr>
        <w:r>
          <w:t>10(g)</w:t>
        </w:r>
      </w:smartTag>
      <w:r>
        <w:t xml:space="preserve"> Election is in effect.</w:t>
      </w:r>
      <w:r>
        <w:rPr>
          <w:rStyle w:val="FootnoteReference"/>
        </w:rPr>
        <w:footnoteReference w:id="931"/>
      </w:r>
      <w:r>
        <w:t xml:space="preserve"> The elimination of the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from the MAGI base is required to establish parity to both NIIT tax bases.</w:t>
      </w:r>
    </w:p>
    <w:p w14:paraId="6423A275" w14:textId="77777777" w:rsidR="00494B49" w:rsidRDefault="00494B49">
      <w:pPr>
        <w:pStyle w:val="BHead3"/>
      </w:pPr>
      <w:r>
        <w:t>b. Situations That Require an Increase to MAGI</w:t>
      </w:r>
    </w:p>
    <w:p w14:paraId="461C5226" w14:textId="77777777" w:rsidR="00494B49" w:rsidRDefault="00494B49">
      <w:pPr>
        <w:pStyle w:val="BNormal"/>
      </w:pPr>
      <w:r>
        <w:lastRenderedPageBreak/>
        <w:t xml:space="preserve">Under Reg. </w:t>
      </w:r>
      <w:smartTag w:uri="http://www.bna.com/sgml2word/cite" w:element="cite.cfr">
        <w:smartTagPr>
          <w:attr w:name="ref" w:val="cfr\26\1.1411-10(e)(1)(ii)"/>
        </w:smartTagPr>
        <w:r>
          <w:t>§1.1411-10(e)(1)(ii)</w:t>
        </w:r>
      </w:smartTag>
      <w:r>
        <w:t xml:space="preserve"> (for individuals) and </w:t>
      </w:r>
      <w:smartTag w:uri="http://www.bna.com/sgml2word/cite" w:element="cite.cfr">
        <w:smartTagPr>
          <w:attr w:name="ref" w:val="cfr\26\1.1411-10(e)(2)(ii)"/>
        </w:smartTagPr>
        <w:r>
          <w:t>§1.1411-10(e)(2)(ii)</w:t>
        </w:r>
      </w:smartTag>
      <w:r>
        <w:t xml:space="preserve"> (for estates and trusts), MAGI is increased by amounts that are not otherwise included in gross income for Chapter 1 purposes that are described in: </w:t>
      </w:r>
    </w:p>
    <w:p w14:paraId="47884802" w14:textId="77777777" w:rsidR="00494B49" w:rsidRDefault="00494B49">
      <w:pPr>
        <w:pStyle w:val="BListitembul"/>
      </w:pPr>
      <w:r>
        <w:t>Reg. §1.1411-10(c)(1)(ii) — these are amounts that represent distributions from QEFs and CFCs that are excluded from gross income under §1293(c) and §959(d), respectively, but are attributable to §951 inclusions or §1293 inclusions that were included in gross income in tax years beginning after December 31, 2012.</w:t>
      </w:r>
      <w:r>
        <w:rPr>
          <w:rStyle w:val="FootnoteReference"/>
        </w:rPr>
        <w:footnoteReference w:id="932"/>
      </w:r>
    </w:p>
    <w:p w14:paraId="523F4426" w14:textId="77777777" w:rsidR="00494B49" w:rsidRDefault="00494B49">
      <w:pPr>
        <w:pStyle w:val="BListitembul"/>
      </w:pPr>
      <w:r>
        <w:t xml:space="preserve">Reg. §1.1411-10(c)(4) — these are amounts of net investment income that are distributed to a beneficiary by an estate or trust to the extent that the estate’s or trust’s MAGI and distributable net income was increased by reason of Reg. §1.1411-10(f). </w:t>
      </w:r>
    </w:p>
    <w:p w14:paraId="60265453" w14:textId="77777777" w:rsidR="00494B49" w:rsidRDefault="00494B49">
      <w:pPr>
        <w:pStyle w:val="BNormal"/>
      </w:pPr>
      <w:r>
        <w:t xml:space="preserve">In both of these situations, the increase in MAGI is required because net investment income includes an item of income that is not included in MAGI. As a result, these provisions reverse, at least in part, the MAGI decrease that was required by Reg. </w:t>
      </w:r>
      <w:smartTag w:uri="http://www.bna.com/sgml2word/cite" w:element="cite.cfr">
        <w:smartTagPr>
          <w:attr w:name="ref" w:val="cfr\26\1.1411-10(e)(1)(iii)"/>
        </w:smartTagPr>
        <w:r>
          <w:t>§1.1411-10(e)(1)(iii)</w:t>
        </w:r>
      </w:smartTag>
      <w:r>
        <w:t xml:space="preserve"> (for individuals) or </w:t>
      </w:r>
      <w:smartTag w:uri="http://www.bna.com/sgml2word/cite" w:element="cite.cfr">
        <w:smartTagPr>
          <w:attr w:name="ref" w:val="cfr\26\1.1411-10(e)(2)(iii)"/>
        </w:smartTagPr>
        <w:r>
          <w:t>§1.1411-10(e)(2)(iii)</w:t>
        </w:r>
      </w:smartTag>
      <w:r>
        <w:t xml:space="preserve"> (for estates and trusts) discussed in the previous section. </w:t>
      </w:r>
    </w:p>
    <w:p w14:paraId="397DCAEC" w14:textId="77777777" w:rsidR="00494B49" w:rsidRDefault="00494B49">
      <w:pPr>
        <w:pStyle w:val="BHead3"/>
      </w:pPr>
      <w:r>
        <w:t xml:space="preserve">c. Situations That May Result in an Increase or </w:t>
      </w:r>
      <w:r>
        <w:br/>
        <w:t>Decrease in MAGI</w:t>
      </w:r>
    </w:p>
    <w:p w14:paraId="29DE8040" w14:textId="77777777" w:rsidR="00494B49" w:rsidRDefault="00494B49">
      <w:pPr>
        <w:pStyle w:val="BNormal"/>
      </w:pPr>
      <w:r>
        <w:t xml:space="preserve">There are two situations in which MAGI may be increased or decreased, depending on the circumstances. </w:t>
      </w:r>
    </w:p>
    <w:p w14:paraId="57EAD9C9" w14:textId="77777777" w:rsidR="00494B49" w:rsidRDefault="00494B49">
      <w:pPr>
        <w:pStyle w:val="BNormal"/>
      </w:pPr>
      <w:r>
        <w:t>First, MAGI is adjusted to take into account the amount of gain or loss attributable to a disposition of stock of a CFC or QEF for NIIT purposes, which may differ from the amount of gain or loss calculated for Chapter 1 purposes.</w:t>
      </w:r>
      <w:r>
        <w:rPr>
          <w:rStyle w:val="FootnoteReference"/>
        </w:rPr>
        <w:footnoteReference w:id="933"/>
      </w:r>
      <w:r>
        <w:t xml:space="preserve"> Recall that, for NIIT purposes, a taxpayer’s basis of a CFC or QEF with no </w:t>
      </w:r>
      <w:smartTag w:uri="http://www.bna.com/sgml2word/cite" w:element="cite.cfr">
        <w:smartTagPr>
          <w:attr w:name="ref" w:val="cfr\26\1.1411-10(g)"/>
        </w:smartTagPr>
        <w:r>
          <w:t>10(g)</w:t>
        </w:r>
      </w:smartTag>
      <w:r>
        <w:t xml:space="preserve"> Election in effect is determined without taking into account basis increases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with respect to amounts included in gross income for Chapter 1 purposes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in tax years beginning after December 31, 2012.</w:t>
      </w:r>
      <w:r>
        <w:rPr>
          <w:rStyle w:val="FootnoteReference"/>
        </w:rPr>
        <w:footnoteReference w:id="934"/>
      </w:r>
      <w:r>
        <w:t xml:space="preserve"> In addition, gain or loss is determined without taking into account basis decreases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to the extent the decreases are attributable to a distribution of E&amp;P that is treated as a dividend for Chapter 2A purposes.</w:t>
      </w:r>
      <w:r>
        <w:rPr>
          <w:rStyle w:val="FootnoteReference"/>
        </w:rPr>
        <w:footnoteReference w:id="935"/>
      </w:r>
    </w:p>
    <w:p w14:paraId="67B1D93F" w14:textId="77777777" w:rsidR="00494B49" w:rsidRDefault="00494B49">
      <w:pPr>
        <w:pStyle w:val="BNormal"/>
      </w:pPr>
      <w:r>
        <w:t>It is important to note that the MAGI adjustments (either positive or negative) attributable to basis differences are not limited to basis differences in CFC and QEFs. A MAGI adjustment can also result from a disposition of an interest in partnership, common trust fund or S corporation that owns an interest in a CFC or QEF directly or indirectly for which a 10(g) Election is not in effect.</w:t>
      </w:r>
      <w:r>
        <w:rPr>
          <w:rStyle w:val="FootnoteReference"/>
        </w:rPr>
        <w:footnoteReference w:id="936"/>
      </w:r>
    </w:p>
    <w:p w14:paraId="2CE82EF0" w14:textId="77777777" w:rsidR="00494B49" w:rsidRDefault="00494B49" w:rsidP="007865AF">
      <w:pPr>
        <w:pStyle w:val="BHead2"/>
        <w:keepNext/>
        <w:keepLines/>
        <w:ind w:left="720"/>
      </w:pPr>
      <w:r>
        <w:lastRenderedPageBreak/>
        <w:t>4. Example</w:t>
      </w:r>
    </w:p>
    <w:p w14:paraId="625D79FD" w14:textId="77777777" w:rsidR="00494B49" w:rsidRDefault="00494B49" w:rsidP="007865AF">
      <w:pPr>
        <w:pStyle w:val="BNormal"/>
        <w:keepNext/>
        <w:keepLines/>
        <w:spacing w:before="240" w:after="120"/>
        <w:ind w:left="720"/>
      </w:pPr>
      <w:r>
        <w:t xml:space="preserve">The following example is taken, in part, from Reg. </w:t>
      </w:r>
      <w:smartTag w:uri="http://www.bna.com/sgml2word/cite" w:element="cite.cfr">
        <w:smartTagPr>
          <w:attr w:name="ref" w:val="cfr\26\1.1411-10(h)"/>
        </w:smartTagPr>
        <w:r>
          <w:t>§1.1411-10(h)</w:t>
        </w:r>
      </w:smartTag>
      <w:r>
        <w:t xml:space="preserve"> with some additional commentary as needed. In each example the individuals, the foreign corporation (FC), the QEF (QEF), and the partnership (PRS) use a calendar tax year, unless otherwise indicated. </w:t>
      </w:r>
    </w:p>
    <w:p w14:paraId="371DBFB8" w14:textId="77777777" w:rsidR="00494B49" w:rsidRDefault="00494B49">
      <w:pPr>
        <w:pStyle w:val="BExamplepara"/>
      </w:pPr>
      <w:r>
        <w:rPr>
          <w:rStyle w:val="BExamplehead"/>
          <w:rFonts w:eastAsiaTheme="minorHAnsi"/>
          <w:i/>
        </w:rPr>
        <w:t>Example:</w:t>
      </w:r>
      <w:r>
        <w:t xml:space="preserve"> Assume A is the sole shareholder of FC, a CFC. There is no </w:t>
      </w:r>
      <w:smartTag w:uri="http://www.bna.com/sgml2word/cite" w:element="cite.cfr">
        <w:smartTagPr>
          <w:attr w:name="ref" w:val="cfr\26\1.1411-10(g)"/>
        </w:smartTagPr>
        <w:r>
          <w:t>10(g)</w:t>
        </w:r>
      </w:smartTag>
      <w:r>
        <w:t xml:space="preserve"> Election in place for FC. In 2012, A includes $40,000 in gross income for Chapter 1 purposes under </w:t>
      </w:r>
      <w:smartTag w:uri="http://www.bna.com/sgml2word/cite" w:element="cite.usc">
        <w:smartTagPr>
          <w:attr w:name="ref" w:val="usc\26\951(a)(1)(A)"/>
        </w:smartTagPr>
        <w:r>
          <w:t>§951(a)(1)(A)</w:t>
        </w:r>
      </w:smartTag>
      <w:r>
        <w:t xml:space="preserve"> with respect to FC. On December 31, 2012, A’s basis in the stock of FC for Chapter 1 purposes is $500,000, which includes an increase to basis under </w:t>
      </w:r>
      <w:smartTag w:uri="http://www.bna.com/sgml2word/cite" w:element="cite.usc">
        <w:smartTagPr>
          <w:attr w:name="ref" w:val="usc\26\961(a)"/>
        </w:smartTagPr>
        <w:r>
          <w:t>§961(a)</w:t>
        </w:r>
      </w:smartTag>
      <w:r>
        <w:t xml:space="preserve"> of $40,000. The amount of FC’s E&amp;P described in </w:t>
      </w:r>
      <w:smartTag w:uri="http://www.bna.com/sgml2word/cite" w:element="cite.usc">
        <w:smartTagPr>
          <w:attr w:name="ref" w:val="USC\26\959(c)(2)"/>
        </w:smartTagPr>
        <w:r>
          <w:t>§959(c)(2)</w:t>
        </w:r>
      </w:smartTag>
      <w:r>
        <w:t xml:space="preserve"> is $40,000; the amount of FC’s E&amp;P described in </w:t>
      </w:r>
      <w:smartTag w:uri="http://www.bna.com/sgml2word/cite" w:element="cite.usc">
        <w:smartTagPr>
          <w:attr w:name="ref" w:val="USC\26\959(c)(3)"/>
        </w:smartTagPr>
        <w:r>
          <w:t>§959(c)(3)</w:t>
        </w:r>
      </w:smartTag>
      <w:r>
        <w:t xml:space="preserve"> is $20,000; and FC does not have any E&amp;P described in </w:t>
      </w:r>
      <w:smartTag w:uri="http://www.bna.com/sgml2word/cite" w:element="cite.usc">
        <w:smartTagPr>
          <w:attr w:name="ref" w:val="USC\26\959(c)(1)"/>
        </w:smartTagPr>
        <w:r>
          <w:t>§959(c)(1)</w:t>
        </w:r>
      </w:smartTag>
      <w:r>
        <w:t xml:space="preserve">. During 2013, A does not include any amounts in income under </w:t>
      </w:r>
      <w:smartTag w:uri="http://www.bna.com/sgml2word/cite" w:element="cite.usc">
        <w:smartTagPr>
          <w:attr w:name="ref" w:val="USC\26\951(a)"/>
        </w:smartTagPr>
        <w:r>
          <w:t>§951(a)</w:t>
        </w:r>
      </w:smartTag>
      <w:r>
        <w:t xml:space="preserve"> with respect to FC; A does not receive any distributions from FC; and there is no change in the amount of FC’s E&amp;P. In 2014, A includes $10,000 in gross income for Chapter 1 purposes under </w:t>
      </w:r>
      <w:smartTag w:uri="http://www.bna.com/sgml2word/cite" w:element="cite.usc">
        <w:smartTagPr>
          <w:attr w:name="ref" w:val="usc\26\951(a)(1)(A)"/>
        </w:smartTagPr>
        <w:r>
          <w:t>§951(a)(1)(A)</w:t>
        </w:r>
      </w:smartTag>
      <w:r>
        <w:t xml:space="preserve"> with respect to FC. As a result, A’s basis in the stock of FC for Chapter 1 purposes increases by $10,000 to $510,000 pursuant to </w:t>
      </w:r>
      <w:smartTag w:uri="http://www.bna.com/sgml2word/cite" w:element="cite.usc">
        <w:smartTagPr>
          <w:attr w:name="ref" w:val="usc\26\961(a)"/>
        </w:smartTagPr>
        <w:r>
          <w:t>§961(a)</w:t>
        </w:r>
      </w:smartTag>
      <w:r>
        <w:t xml:space="preserve">. During 2015, FC distributes $30,000 to A, which is not treated as a dividend for purposes of Chapter 1 under </w:t>
      </w:r>
      <w:smartTag w:uri="http://www.bna.com/sgml2word/cite" w:element="cite.usc">
        <w:smartTagPr>
          <w:attr w:name="ref" w:val="USC\26\959(d)"/>
        </w:smartTagPr>
        <w:r>
          <w:t>§959(d)</w:t>
        </w:r>
      </w:smartTag>
      <w:r>
        <w:t xml:space="preserve">. As a result, A’s basis in the stock of FC for Chapter 1 purposes is decreased by $30,000 to $480,000, pursuant to </w:t>
      </w:r>
      <w:smartTag w:uri="http://www.bna.com/sgml2word/cite" w:element="cite.usc">
        <w:smartTagPr>
          <w:attr w:name="ref" w:val="usc\26\961(b)"/>
        </w:smartTagPr>
        <w:r>
          <w:t>§961(b)</w:t>
        </w:r>
      </w:smartTag>
      <w:r>
        <w:t xml:space="preserve">. </w:t>
      </w:r>
    </w:p>
    <w:p w14:paraId="0B50C366" w14:textId="77777777" w:rsidR="00494B49" w:rsidRDefault="00494B49" w:rsidP="007865AF">
      <w:pPr>
        <w:pStyle w:val="BExamplepara"/>
      </w:pPr>
      <w:r>
        <w:t xml:space="preserve">The comparative treatment between regular income tax and NIIT is shown on the following table: </w:t>
      </w:r>
    </w:p>
    <w:p w14:paraId="3464D375"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2233"/>
        <w:gridCol w:w="2087"/>
        <w:gridCol w:w="2135"/>
        <w:gridCol w:w="1423"/>
        <w:gridCol w:w="1472"/>
      </w:tblGrid>
      <w:tr w:rsidR="00494B49" w14:paraId="661FE16F" w14:textId="77777777">
        <w:trPr>
          <w:gridAfter w:val="2"/>
          <w:wAfter w:w="4032" w:type="dxa"/>
        </w:trPr>
        <w:tc>
          <w:tcPr>
            <w:tcW w:w="3360" w:type="dxa"/>
          </w:tcPr>
          <w:p w14:paraId="1B10FA36" w14:textId="77777777" w:rsidR="00494B49" w:rsidRDefault="00494B49"/>
        </w:tc>
        <w:tc>
          <w:tcPr>
            <w:tcW w:w="3360" w:type="dxa"/>
          </w:tcPr>
          <w:p w14:paraId="755BA0C3" w14:textId="77777777" w:rsidR="00494B49" w:rsidRDefault="00494B49">
            <w:r>
              <w:t>Regular tax</w:t>
            </w:r>
          </w:p>
        </w:tc>
        <w:tc>
          <w:tcPr>
            <w:tcW w:w="3360" w:type="dxa"/>
          </w:tcPr>
          <w:p w14:paraId="57334D0D" w14:textId="77777777" w:rsidR="00494B49" w:rsidRDefault="00494B49">
            <w:r>
              <w:t>NIIT</w:t>
            </w:r>
          </w:p>
        </w:tc>
      </w:tr>
      <w:tr w:rsidR="00494B49" w14:paraId="24FC46DD" w14:textId="77777777">
        <w:tc>
          <w:tcPr>
            <w:tcW w:w="2016" w:type="dxa"/>
          </w:tcPr>
          <w:p w14:paraId="701846DF" w14:textId="77777777" w:rsidR="00494B49" w:rsidRDefault="00494B49"/>
        </w:tc>
        <w:tc>
          <w:tcPr>
            <w:tcW w:w="2016" w:type="dxa"/>
          </w:tcPr>
          <w:p w14:paraId="6E63DA43" w14:textId="77777777" w:rsidR="00494B49" w:rsidRDefault="00494B49">
            <w:r>
              <w:t>Income</w:t>
            </w:r>
          </w:p>
        </w:tc>
        <w:tc>
          <w:tcPr>
            <w:tcW w:w="2016" w:type="dxa"/>
          </w:tcPr>
          <w:p w14:paraId="07B922EC" w14:textId="77777777" w:rsidR="00494B49" w:rsidRDefault="00494B49">
            <w:r>
              <w:t>Stock basis</w:t>
            </w:r>
          </w:p>
        </w:tc>
        <w:tc>
          <w:tcPr>
            <w:tcW w:w="2016" w:type="dxa"/>
          </w:tcPr>
          <w:p w14:paraId="647D5E78" w14:textId="77777777" w:rsidR="00494B49" w:rsidRDefault="00494B49">
            <w:r>
              <w:t xml:space="preserve">Income </w:t>
            </w:r>
          </w:p>
        </w:tc>
        <w:tc>
          <w:tcPr>
            <w:tcW w:w="2016" w:type="dxa"/>
          </w:tcPr>
          <w:p w14:paraId="389E1E46" w14:textId="77777777" w:rsidR="00494B49" w:rsidRDefault="00494B49">
            <w:r>
              <w:t>Stock basis</w:t>
            </w:r>
          </w:p>
        </w:tc>
      </w:tr>
      <w:tr w:rsidR="00494B49" w14:paraId="18C2836D" w14:textId="77777777">
        <w:tc>
          <w:tcPr>
            <w:tcW w:w="2016" w:type="dxa"/>
          </w:tcPr>
          <w:p w14:paraId="7D37412E" w14:textId="77777777" w:rsidR="00494B49" w:rsidRDefault="00494B49">
            <w:r>
              <w:t>1/1/2012 Stock basis</w:t>
            </w:r>
          </w:p>
        </w:tc>
        <w:tc>
          <w:tcPr>
            <w:tcW w:w="2016" w:type="dxa"/>
          </w:tcPr>
          <w:p w14:paraId="4BCC8B0E" w14:textId="77777777" w:rsidR="00494B49" w:rsidRDefault="00494B49"/>
        </w:tc>
        <w:tc>
          <w:tcPr>
            <w:tcW w:w="2016" w:type="dxa"/>
          </w:tcPr>
          <w:p w14:paraId="00FF6FFB" w14:textId="77777777" w:rsidR="00494B49" w:rsidRDefault="00494B49">
            <w:r>
              <w:t>$460,000</w:t>
            </w:r>
          </w:p>
        </w:tc>
        <w:tc>
          <w:tcPr>
            <w:tcW w:w="2016" w:type="dxa"/>
          </w:tcPr>
          <w:p w14:paraId="6277A621" w14:textId="77777777" w:rsidR="00494B49" w:rsidRDefault="00494B49"/>
        </w:tc>
        <w:tc>
          <w:tcPr>
            <w:tcW w:w="2016" w:type="dxa"/>
          </w:tcPr>
          <w:p w14:paraId="232D37CD" w14:textId="77777777" w:rsidR="00494B49" w:rsidRDefault="00494B49">
            <w:r>
              <w:t>$460,000</w:t>
            </w:r>
          </w:p>
        </w:tc>
      </w:tr>
      <w:tr w:rsidR="00494B49" w14:paraId="60CD10DF" w14:textId="77777777">
        <w:tc>
          <w:tcPr>
            <w:tcW w:w="2016" w:type="dxa"/>
          </w:tcPr>
          <w:p w14:paraId="793898CD" w14:textId="77777777" w:rsidR="00494B49" w:rsidRDefault="00494B49">
            <w:r>
              <w:t>2012 Inclusion</w:t>
            </w:r>
          </w:p>
        </w:tc>
        <w:tc>
          <w:tcPr>
            <w:tcW w:w="2016" w:type="dxa"/>
          </w:tcPr>
          <w:p w14:paraId="0B4AF71F" w14:textId="77777777" w:rsidR="00494B49" w:rsidRDefault="00494B49">
            <w:r>
              <w:t>$40,000</w:t>
            </w:r>
          </w:p>
        </w:tc>
        <w:tc>
          <w:tcPr>
            <w:tcW w:w="2016" w:type="dxa"/>
          </w:tcPr>
          <w:p w14:paraId="55F72379" w14:textId="77777777" w:rsidR="00494B49" w:rsidRDefault="00494B49">
            <w:r>
              <w:t>+$40,000</w:t>
            </w:r>
          </w:p>
        </w:tc>
        <w:tc>
          <w:tcPr>
            <w:tcW w:w="2016" w:type="dxa"/>
          </w:tcPr>
          <w:p w14:paraId="0518B02D" w14:textId="77777777" w:rsidR="00494B49" w:rsidRDefault="00494B49">
            <w:r>
              <w:t>N/A</w:t>
            </w:r>
          </w:p>
        </w:tc>
        <w:tc>
          <w:tcPr>
            <w:tcW w:w="2016" w:type="dxa"/>
          </w:tcPr>
          <w:p w14:paraId="1F2B724F" w14:textId="77777777" w:rsidR="00494B49" w:rsidRDefault="00494B49">
            <w:r>
              <w:t>+$40,000</w:t>
            </w:r>
          </w:p>
        </w:tc>
      </w:tr>
      <w:tr w:rsidR="00494B49" w14:paraId="01A7EBCD" w14:textId="77777777">
        <w:tc>
          <w:tcPr>
            <w:tcW w:w="2016" w:type="dxa"/>
          </w:tcPr>
          <w:p w14:paraId="360D227D" w14:textId="77777777" w:rsidR="00494B49" w:rsidRDefault="00494B49">
            <w:r>
              <w:t>2013 Activity</w:t>
            </w:r>
          </w:p>
        </w:tc>
        <w:tc>
          <w:tcPr>
            <w:tcW w:w="2016" w:type="dxa"/>
          </w:tcPr>
          <w:p w14:paraId="30F0E955" w14:textId="77777777" w:rsidR="00494B49" w:rsidRDefault="00494B49">
            <w:r>
              <w:t>None</w:t>
            </w:r>
          </w:p>
        </w:tc>
        <w:tc>
          <w:tcPr>
            <w:tcW w:w="2016" w:type="dxa"/>
          </w:tcPr>
          <w:p w14:paraId="25342624" w14:textId="77777777" w:rsidR="00494B49" w:rsidRDefault="00494B49">
            <w:r>
              <w:t>None</w:t>
            </w:r>
          </w:p>
        </w:tc>
        <w:tc>
          <w:tcPr>
            <w:tcW w:w="2016" w:type="dxa"/>
          </w:tcPr>
          <w:p w14:paraId="5CA7F8C3" w14:textId="77777777" w:rsidR="00494B49" w:rsidRDefault="00494B49">
            <w:r>
              <w:t>None</w:t>
            </w:r>
          </w:p>
        </w:tc>
        <w:tc>
          <w:tcPr>
            <w:tcW w:w="2016" w:type="dxa"/>
          </w:tcPr>
          <w:p w14:paraId="32FF27D5" w14:textId="77777777" w:rsidR="00494B49" w:rsidRDefault="00494B49">
            <w:r>
              <w:t>None</w:t>
            </w:r>
          </w:p>
        </w:tc>
      </w:tr>
      <w:tr w:rsidR="00494B49" w14:paraId="11FA3BAA" w14:textId="77777777">
        <w:tc>
          <w:tcPr>
            <w:tcW w:w="2016" w:type="dxa"/>
          </w:tcPr>
          <w:p w14:paraId="220DCDA6" w14:textId="77777777" w:rsidR="00494B49" w:rsidRDefault="00494B49">
            <w:r>
              <w:t>2014 Inclusion</w:t>
            </w:r>
          </w:p>
        </w:tc>
        <w:tc>
          <w:tcPr>
            <w:tcW w:w="2016" w:type="dxa"/>
          </w:tcPr>
          <w:p w14:paraId="0697194C" w14:textId="77777777" w:rsidR="00494B49" w:rsidRDefault="00494B49">
            <w:r>
              <w:t>$10,000</w:t>
            </w:r>
          </w:p>
        </w:tc>
        <w:tc>
          <w:tcPr>
            <w:tcW w:w="2016" w:type="dxa"/>
          </w:tcPr>
          <w:p w14:paraId="6DB23C3B" w14:textId="77777777" w:rsidR="00494B49" w:rsidRDefault="00494B49">
            <w:r>
              <w:t>+$10,000</w:t>
            </w:r>
          </w:p>
        </w:tc>
        <w:tc>
          <w:tcPr>
            <w:tcW w:w="2016" w:type="dxa"/>
          </w:tcPr>
          <w:p w14:paraId="69BD8DCB" w14:textId="77777777" w:rsidR="00494B49" w:rsidRDefault="00494B49">
            <w:r>
              <w:t>None</w:t>
            </w:r>
          </w:p>
        </w:tc>
        <w:tc>
          <w:tcPr>
            <w:tcW w:w="2016" w:type="dxa"/>
          </w:tcPr>
          <w:p w14:paraId="27F58BA0" w14:textId="77777777" w:rsidR="00494B49" w:rsidRDefault="00494B49">
            <w:r>
              <w:t>None</w:t>
            </w:r>
          </w:p>
        </w:tc>
      </w:tr>
      <w:tr w:rsidR="00494B49" w14:paraId="38CB6268" w14:textId="77777777">
        <w:tc>
          <w:tcPr>
            <w:tcW w:w="2016" w:type="dxa"/>
          </w:tcPr>
          <w:p w14:paraId="47CFA79F" w14:textId="77777777" w:rsidR="00494B49" w:rsidRDefault="00494B49">
            <w:r>
              <w:t>2015 Distribution</w:t>
            </w:r>
          </w:p>
        </w:tc>
        <w:tc>
          <w:tcPr>
            <w:tcW w:w="2016" w:type="dxa"/>
          </w:tcPr>
          <w:p w14:paraId="045E67D1" w14:textId="77777777" w:rsidR="00494B49" w:rsidRDefault="00494B49"/>
        </w:tc>
        <w:tc>
          <w:tcPr>
            <w:tcW w:w="2016" w:type="dxa"/>
          </w:tcPr>
          <w:p w14:paraId="34C1635D" w14:textId="77777777" w:rsidR="00494B49" w:rsidRDefault="00494B49">
            <w:r>
              <w:t>−$30,000</w:t>
            </w:r>
          </w:p>
        </w:tc>
        <w:tc>
          <w:tcPr>
            <w:tcW w:w="2016" w:type="dxa"/>
          </w:tcPr>
          <w:p w14:paraId="7A0DC797" w14:textId="77777777" w:rsidR="00494B49" w:rsidRDefault="00494B49">
            <w:r>
              <w:t>$10,000</w:t>
            </w:r>
          </w:p>
        </w:tc>
        <w:tc>
          <w:tcPr>
            <w:tcW w:w="2016" w:type="dxa"/>
          </w:tcPr>
          <w:p w14:paraId="7DAEDFC4" w14:textId="77777777" w:rsidR="00494B49" w:rsidRDefault="00494B49">
            <w:r>
              <w:t>−$20,000</w:t>
            </w:r>
          </w:p>
        </w:tc>
      </w:tr>
      <w:tr w:rsidR="00494B49" w14:paraId="46AB07B7" w14:textId="77777777">
        <w:tc>
          <w:tcPr>
            <w:tcW w:w="2016" w:type="dxa"/>
          </w:tcPr>
          <w:p w14:paraId="6D8B0187" w14:textId="77777777" w:rsidR="00494B49" w:rsidRDefault="00494B49">
            <w:r>
              <w:t>12/31/2015 Stock basis</w:t>
            </w:r>
          </w:p>
        </w:tc>
        <w:tc>
          <w:tcPr>
            <w:tcW w:w="2016" w:type="dxa"/>
          </w:tcPr>
          <w:p w14:paraId="08C67868" w14:textId="77777777" w:rsidR="00494B49" w:rsidRDefault="00494B49"/>
        </w:tc>
        <w:tc>
          <w:tcPr>
            <w:tcW w:w="2016" w:type="dxa"/>
          </w:tcPr>
          <w:p w14:paraId="4105D1AC" w14:textId="77777777" w:rsidR="00494B49" w:rsidRDefault="00494B49">
            <w:r>
              <w:t>$480,000</w:t>
            </w:r>
          </w:p>
        </w:tc>
        <w:tc>
          <w:tcPr>
            <w:tcW w:w="2016" w:type="dxa"/>
          </w:tcPr>
          <w:p w14:paraId="17498D8D" w14:textId="77777777" w:rsidR="00494B49" w:rsidRDefault="00494B49"/>
        </w:tc>
        <w:tc>
          <w:tcPr>
            <w:tcW w:w="2016" w:type="dxa"/>
          </w:tcPr>
          <w:p w14:paraId="7BC81A6F" w14:textId="77777777" w:rsidR="00494B49" w:rsidRDefault="00494B49">
            <w:r>
              <w:t>$480,000</w:t>
            </w:r>
          </w:p>
        </w:tc>
      </w:tr>
    </w:tbl>
    <w:p w14:paraId="2A53C6D5" w14:textId="77777777" w:rsidR="00494B49" w:rsidRDefault="00494B49">
      <w:pPr>
        <w:pStyle w:val="BNormal"/>
      </w:pPr>
    </w:p>
    <w:p w14:paraId="6AFF9A90" w14:textId="77777777" w:rsidR="00494B49" w:rsidRDefault="00494B49">
      <w:pPr>
        <w:pStyle w:val="BExamplepara"/>
      </w:pPr>
      <w:r>
        <w:t xml:space="preserve">In this case, A includes $10,000 of the distribution of previously taxed E&amp;P as a dividend for purposes of determining A’s net investment income because $10,000 of the $30,000 distribution is attributable to amounts that A included in gross income for Chapter 1 purposes under </w:t>
      </w:r>
      <w:smartTag w:uri="http://www.bna.com/sgml2word/cite" w:element="cite.usc">
        <w:smartTagPr>
          <w:attr w:name="ref" w:val="USC\26\951(a)"/>
        </w:smartTagPr>
        <w:r>
          <w:t>§951(a)</w:t>
        </w:r>
      </w:smartTag>
      <w:r>
        <w:t xml:space="preserve"> in a tax year that began after December 31, 2012.</w:t>
      </w:r>
      <w:r>
        <w:rPr>
          <w:rStyle w:val="FootnoteReference"/>
        </w:rPr>
        <w:footnoteReference w:id="937"/>
      </w:r>
      <w:r>
        <w:t xml:space="preserve"> A’s adjusted basis is not decreased by the $10,000 that is treated as a dividend for NIIT purposes, and thus, A’s adjusted basis in FC for NIIT is decreased under </w:t>
      </w:r>
      <w:smartTag w:uri="http://www.bna.com/sgml2word/cite" w:element="cite.usc">
        <w:smartTagPr>
          <w:attr w:name="ref" w:val="USC\26\961"/>
        </w:smartTagPr>
        <w:r>
          <w:t>§961</w:t>
        </w:r>
      </w:smartTag>
      <w:r>
        <w:t xml:space="preserve"> only by $20,000 to $480,000.</w:t>
      </w:r>
      <w:r>
        <w:rPr>
          <w:rStyle w:val="FootnoteReference"/>
        </w:rPr>
        <w:footnoteReference w:id="938"/>
      </w:r>
    </w:p>
    <w:p w14:paraId="6AD98790" w14:textId="77777777" w:rsidR="00494B49" w:rsidRDefault="00494B49">
      <w:pPr>
        <w:pStyle w:val="BNormal"/>
      </w:pPr>
      <w:r>
        <w:t xml:space="preserve">The 2013 Final Regulations contain five additional examples — each building off the general premise illustrated in the example above. Examples 4–6 use facts similar to the above example </w:t>
      </w:r>
      <w:r>
        <w:lastRenderedPageBreak/>
        <w:t xml:space="preserve">but apply them in the context of a partnership holding a QEF. The point of these three examples is to illustrate that when a partnership does not have a </w:t>
      </w:r>
      <w:smartTag w:uri="http://www.bna.com/sgml2word/cite" w:element="cite.cfr">
        <w:smartTagPr>
          <w:attr w:name="ref" w:val="cfr\26\1.1411-10(g)"/>
        </w:smartTagPr>
        <w:r>
          <w:t>10(g)</w:t>
        </w:r>
      </w:smartTag>
      <w:r>
        <w:t xml:space="preserve"> Election in effect, the partner’s distributive share of partnership income for NIIT purposes will differ from regular tax in each year, which will have a corresponding effect on the partner’s basis in the partnership for NIIT purposes. The same concepts would apply to S corporations and their shareholders, and common trust funds and their participants.</w:t>
      </w:r>
    </w:p>
    <w:p w14:paraId="363285E4" w14:textId="77777777" w:rsidR="00494B49" w:rsidRDefault="00494B49">
      <w:pPr>
        <w:pStyle w:val="BHead1"/>
      </w:pPr>
      <w:r>
        <w:t>E. The 10(g) Election</w:t>
      </w:r>
    </w:p>
    <w:p w14:paraId="4B4748EE" w14:textId="77777777" w:rsidR="00494B49" w:rsidRDefault="00494B49">
      <w:pPr>
        <w:pStyle w:val="BHead2"/>
      </w:pPr>
      <w:r>
        <w:t xml:space="preserve">1. Consequences of Election </w:t>
      </w:r>
    </w:p>
    <w:p w14:paraId="08C5A8C8" w14:textId="77777777" w:rsidR="00494B49" w:rsidRDefault="00494B49">
      <w:pPr>
        <w:pStyle w:val="BNormal"/>
      </w:pPr>
      <w:r>
        <w:t xml:space="preserve">If a </w:t>
      </w:r>
      <w:smartTag w:uri="http://www.bna.com/sgml2word/cite" w:element="cite.cfr">
        <w:smartTagPr>
          <w:attr w:name="ref" w:val="cfr\26\1.1411-10(g)"/>
        </w:smartTagPr>
        <w:r>
          <w:t>10(g)</w:t>
        </w:r>
      </w:smartTag>
      <w:r>
        <w:t xml:space="preserve"> Election is made with respect to a CFC or QEF,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the CFC or QEF in tax years beginning with the tax year for which the election is made are treated as net investment income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w:t>
      </w:r>
      <w:r>
        <w:rPr>
          <w:rStyle w:val="FootnoteReference"/>
        </w:rPr>
        <w:footnoteReference w:id="939"/>
      </w:r>
      <w:r>
        <w:t xml:space="preserve"> Additionally, amounts included in gross income under </w:t>
      </w:r>
      <w:smartTag w:uri="http://www.bna.com/sgml2word/cite" w:element="cite.usc">
        <w:smartTagPr>
          <w:attr w:name="ref" w:val="USC\26\1293(a)(1)(B)"/>
        </w:smartTagPr>
        <w:r>
          <w:t>§1293(a)(1)(B)</w:t>
        </w:r>
      </w:smartTag>
      <w:r>
        <w:t xml:space="preserve"> with respect to the QEF in tax years beginning with the tax year for which the election is made are taken into account in calculating net gain attributable to the disposition of property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940"/>
      </w:r>
    </w:p>
    <w:p w14:paraId="21E8BDBA" w14:textId="77777777" w:rsidR="00494B49" w:rsidRDefault="00494B49">
      <w:pPr>
        <w:pStyle w:val="BNormal"/>
      </w:pPr>
      <w:r>
        <w:t xml:space="preserve">To say it more simply, the ordinary income inclusions from CFCs and QEFs are treated as dividends for net investment income purposes in the year they are included in taxable income for regular income tax purposes. Again, more simply, the long-term capital gains attributable to QEFs are long-term capital gain for net investment income purposes in the year they are taxable for regular income tax purposes. Although explicitly stated in Reg. </w:t>
      </w:r>
      <w:smartTag w:uri="http://www.bna.com/sgml2word/cite" w:element="cite.cfr">
        <w:smartTagPr>
          <w:attr w:name="ref" w:val="cfr\26\1.1411-10(g)(1)"/>
        </w:smartTagPr>
        <w:r>
          <w:t>§1.1411-10(g)(1)</w:t>
        </w:r>
      </w:smartTag>
      <w:r>
        <w:t xml:space="preserve">, the tax basis adjustments required by Reg. </w:t>
      </w:r>
      <w:smartTag w:uri="http://www.bna.com/sgml2word/cite" w:element="cite.cfr">
        <w:smartTagPr>
          <w:attr w:name="ref" w:val="cfr\26\1.1411-10(d)"/>
        </w:smartTagPr>
        <w:r>
          <w:t>§1.1411-10(d)</w:t>
        </w:r>
      </w:smartTag>
      <w:r>
        <w:t xml:space="preserve"> and MAGI adjustments required by Reg. </w:t>
      </w:r>
      <w:smartTag w:uri="http://www.bna.com/sgml2word/cite" w:element="cite.cfr">
        <w:smartTagPr>
          <w:attr w:name="ref" w:val="cfr\26\1.1411-10(e)"/>
        </w:smartTagPr>
        <w:r>
          <w:t>§1.1411-10(e)</w:t>
        </w:r>
      </w:smartTag>
      <w:r>
        <w:t xml:space="preserve"> are eliminated.</w:t>
      </w:r>
      <w:r>
        <w:rPr>
          <w:rStyle w:val="FootnoteReference"/>
        </w:rPr>
        <w:footnoteReference w:id="941"/>
      </w:r>
      <w:r>
        <w:t xml:space="preserve"> The basis for determining gain or loss upon a disposition of a CFC or QEF will be the same for net investment income tax (NIIT) purposes as it is for regular tax purposes.</w:t>
      </w:r>
    </w:p>
    <w:p w14:paraId="78C33D77" w14:textId="77777777" w:rsidR="00494B49" w:rsidRDefault="00494B49">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942"/>
      </w:r>
      <w:r>
        <w:t xml:space="preserve"> The portion of the GILTI inclusion amount of a United States shareholder treated as being with respect to each CFC of the United States shareholder for the U.S. shareholder inclusion year is zero in the case of a tested loss CFC, and in the case of a tested income CFC, it is the portion of the GILTI inclusion </w:t>
      </w:r>
      <w:r>
        <w:lastRenderedPageBreak/>
        <w:t>amount of the United States shareholder which bears the same ratio to the inclusion amount as the United States shareholder's pro rata share of the tested income of the tested income CFC for the U.S. shareholder inclusion year bears to the aggregate amount of the United States shareholder's pro rata share of the tested income of each tested income CFC for the U.S. shareholder inclusion year.</w:t>
      </w:r>
    </w:p>
    <w:p w14:paraId="751A0792" w14:textId="77777777" w:rsidR="00494B49" w:rsidRDefault="00494B49">
      <w:pPr>
        <w:pStyle w:val="BNormal"/>
      </w:pPr>
      <w:r>
        <w:t xml:space="preserve">Thus, for example, a U.S. shareholder that has made an election pursuant to Reg. §1.1411-10(g) with respect to a CFC to treat amounts included in gross income under </w:t>
      </w:r>
      <w:smartTag w:uri="http://www.bna.com/sgml2word/cite" w:element="cite.usc">
        <w:smartTagPr>
          <w:attr w:name="ref" w:val="usc\26\951(a)(1)(A)"/>
        </w:smartTagPr>
        <w:r>
          <w:t>§951(a)(1)(A)</w:t>
        </w:r>
      </w:smartTag>
      <w:r>
        <w:t xml:space="preserve"> as net investment income and to apply the basis adjustment rules of </w:t>
      </w:r>
      <w:smartTag w:uri="http://www.bna.com/sgml2word/cite" w:element="cite.usc">
        <w:smartTagPr>
          <w:attr w:name="ref" w:val="usc\26\961(a)"/>
        </w:smartTagPr>
        <w:r>
          <w:t>§961(a)</w:t>
        </w:r>
      </w:smartTag>
      <w:r>
        <w:t xml:space="preserve"> and </w:t>
      </w:r>
      <w:smartTag w:uri="http://www.bna.com/sgml2word/cite" w:element="cite.usc">
        <w:smartTagPr>
          <w:attr w:name="ref" w:val="usc\26\961(b)"/>
        </w:smartTagPr>
        <w:r>
          <w:t>§961(b)</w:t>
        </w:r>
      </w:smartTag>
      <w:r>
        <w:t xml:space="preserve"> with respect to those amounts for </w:t>
      </w:r>
      <w:smartTag w:uri="http://www.bna.com/sgml2word/cite" w:element="cite.usc">
        <w:smartTagPr>
          <w:attr w:name="ref" w:val="USC\26\1411"/>
        </w:smartTagPr>
        <w:r>
          <w:t>§1411</w:t>
        </w:r>
      </w:smartTag>
      <w:r>
        <w:t xml:space="preserve"> purposes should also treat the portion of the GILTI inclusion amount treated as being with respect to the CFC as net investment income. GILTI is discussed in detail in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02A16A4C" w14:textId="77777777" w:rsidR="00494B49" w:rsidRDefault="00494B49">
      <w:pPr>
        <w:pStyle w:val="BHead2"/>
      </w:pPr>
      <w:r>
        <w:t xml:space="preserve">2. Election Requirements </w:t>
      </w:r>
    </w:p>
    <w:p w14:paraId="05779BA3" w14:textId="77777777" w:rsidR="00494B49" w:rsidRDefault="00494B49">
      <w:pPr>
        <w:pStyle w:val="BNormal"/>
      </w:pPr>
      <w:r>
        <w:t xml:space="preserve">Reg. </w:t>
      </w:r>
      <w:smartTag w:uri="http://www.bna.com/sgml2word/cite" w:element="cite.cfr">
        <w:smartTagPr>
          <w:attr w:name="ref" w:val="cfr\26\1.1411-10(g)(3)"/>
        </w:smartTagPr>
        <w:r>
          <w:t>§1.1411-10(g)(3)</w:t>
        </w:r>
      </w:smartTag>
      <w:r>
        <w:t xml:space="preserve"> provides that an individual, estate, trust, domestic partnership, S corporation, or common trust fund may make a 10(g) Election with respect to each CFC or QEF that it holds directly or indirectly through one or more entities, each of which is foreign.</w:t>
      </w:r>
      <w:r>
        <w:rPr>
          <w:rStyle w:val="FootnoteReference"/>
        </w:rPr>
        <w:footnoteReference w:id="943"/>
      </w:r>
      <w:r>
        <w:t xml:space="preserve"> In addition, an individual, estate, trust, domestic partnership, S corporation, or common trust fund may make a </w:t>
      </w:r>
      <w:smartTag w:uri="http://www.bna.com/sgml2word/cite" w:element="cite.cfr">
        <w:smartTagPr>
          <w:attr w:name="ref" w:val="cfr\26\1.1411-10(g)"/>
        </w:smartTagPr>
        <w:r>
          <w:t>10(g)</w:t>
        </w:r>
      </w:smartTag>
      <w:r>
        <w:t xml:space="preserve"> Election with respect to a CFC or QEF that it holds indirectly through a domestic partnership, S corporation, estate, trust, or common trust fund if the domestic partnership, S corporation, estate, trust, or common trust fund does not make the election. The election, if made, for an estate or trust must be made by the fiduciary of that estate or trust.</w:t>
      </w:r>
    </w:p>
    <w:p w14:paraId="589A6E45" w14:textId="77777777" w:rsidR="00494B49" w:rsidRDefault="00494B49">
      <w:pPr>
        <w:pStyle w:val="BNormal"/>
      </w:pPr>
      <w:r>
        <w:t xml:space="preserve">The 10(g) Election generally will be made by individuals, estates, and trusts on </w:t>
      </w:r>
      <w:smartTag w:uri="http://www.bna.com/sgml2word/cite" w:element="cite.fed.form">
        <w:smartTagPr>
          <w:attr w:name="ref" w:val="irs\form8960"/>
        </w:smartTagPr>
        <w:r>
          <w:t>Form 8960</w:t>
        </w:r>
      </w:smartTag>
      <w:r>
        <w:t>,</w:t>
      </w:r>
      <w:r>
        <w:rPr>
          <w:i/>
        </w:rPr>
        <w:t xml:space="preserve"> Net Investment Income Tax — Individuals, Estates, and Trusts</w:t>
      </w:r>
      <w:r>
        <w:t xml:space="preserve">. Domestic partnerships, S corporations, and common trust funds will make the election on attachments to their relevant partnership or income tax returns. More precisely, Reg. </w:t>
      </w:r>
      <w:smartTag w:uri="http://www.bna.com/sgml2word/cite" w:element="cite.cfr">
        <w:smartTagPr>
          <w:attr w:name="ref" w:val="cfr\26\1.1411-10(g)(4)(iv)"/>
        </w:smartTagPr>
        <w:r>
          <w:t>§1.1411-10(g)(4)(iv)</w:t>
        </w:r>
      </w:smartTag>
      <w:r>
        <w:t xml:space="preserve"> provides that the </w:t>
      </w:r>
      <w:smartTag w:uri="http://www.bna.com/sgml2word/cite" w:element="cite.cfr">
        <w:smartTagPr>
          <w:attr w:name="ref" w:val="cfr\26\1.1411-10(g)"/>
        </w:smartTagPr>
        <w:r>
          <w:t>10(g)</w:t>
        </w:r>
      </w:smartTag>
      <w:r>
        <w:t xml:space="preserve"> Election “must be made in the manner prescribed by forms, instructions, or in other guidance on the individual’s, estate’s, trust’s, domestic partnership’s, S corporation’s, or common trust fund’s original or amended return for the tax year for which the election is made.” This provision defers the mechanics of making the election to the IRS so that it can improve the process if it believes that there is a more efficient way to comply with the rules.</w:t>
      </w:r>
    </w:p>
    <w:p w14:paraId="3785246D" w14:textId="77777777" w:rsidR="00494B49" w:rsidRDefault="00494B49">
      <w:pPr>
        <w:pStyle w:val="BHead2"/>
      </w:pPr>
      <w:r>
        <w:t>3. Elections by Individuals, Estates and Trusts</w:t>
      </w:r>
    </w:p>
    <w:p w14:paraId="09D32C36" w14:textId="77777777" w:rsidR="00494B49" w:rsidRDefault="00494B49">
      <w:pPr>
        <w:pStyle w:val="BHead3"/>
      </w:pPr>
      <w:r>
        <w:t xml:space="preserve">a. Timing of Election </w:t>
      </w:r>
    </w:p>
    <w:p w14:paraId="0553D974" w14:textId="77777777" w:rsidR="00494B49" w:rsidRDefault="00494B49">
      <w:pPr>
        <w:pStyle w:val="BNormal"/>
      </w:pPr>
      <w:r>
        <w:t xml:space="preserve">In order for a </w:t>
      </w:r>
      <w:smartTag w:uri="http://www.bna.com/sgml2word/cite" w:element="cite.cfr">
        <w:smartTagPr>
          <w:attr w:name="ref" w:val="cfr\26\1.1411-10(g)"/>
        </w:smartTagPr>
        <w:r>
          <w:t>10(g)</w:t>
        </w:r>
      </w:smartTag>
      <w:r>
        <w:t xml:space="preserve"> Election made by an individual, estate, or trust (other than a CRT) with respect to a CFC or QEF to be effective, the election must be made no later than the first tax year beginning after December 31, 2013, during which the individual, estate, or trust: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r>
        <w:rPr>
          <w:rStyle w:val="FootnoteReference"/>
        </w:rPr>
        <w:footnoteReference w:id="944"/>
      </w:r>
      <w:r>
        <w:t xml:space="preserve"> In addition, an individual, </w:t>
      </w:r>
      <w:r>
        <w:lastRenderedPageBreak/>
        <w:t xml:space="preserve">estate, or trust was allowed to make a </w:t>
      </w:r>
      <w:smartTag w:uri="http://www.bna.com/sgml2word/cite" w:element="cite.cfr">
        <w:smartTagPr>
          <w:attr w:name="ref" w:val="cfr\26\1.1411-10(g)"/>
        </w:smartTagPr>
        <w:r>
          <w:t>10(g)</w:t>
        </w:r>
      </w:smartTag>
      <w:r>
        <w:t xml:space="preserve"> Election for a tax year that began before January 1, 2014.</w:t>
      </w:r>
      <w:r>
        <w:rPr>
          <w:rStyle w:val="FootnoteReference"/>
        </w:rPr>
        <w:footnoteReference w:id="945"/>
      </w:r>
    </w:p>
    <w:p w14:paraId="7CC9F5B4" w14:textId="77777777" w:rsidR="00494B49" w:rsidRDefault="00494B49">
      <w:pPr>
        <w:pStyle w:val="BNormal"/>
      </w:pPr>
      <w:r>
        <w:rPr>
          <w:i/>
        </w:rPr>
        <w:t>Comment:</w:t>
      </w:r>
      <w:r>
        <w:t xml:space="preserve"> The phrase “the election must be made no later than the first taxable year beginning after December 31, 2013” provides the last year in which a </w:t>
      </w:r>
      <w:smartTag w:uri="http://www.bna.com/sgml2word/cite" w:element="cite.cfr">
        <w:smartTagPr>
          <w:attr w:name="ref" w:val="cfr\26\1.1411-10(g)"/>
        </w:smartTagPr>
        <w:r>
          <w:t>10(g)</w:t>
        </w:r>
      </w:smartTag>
      <w:r>
        <w:t xml:space="preserve"> Election can be made. In other words, it does not prohibit an individual, estate, or trust (other than a CRT) from making a </w:t>
      </w:r>
      <w:smartTag w:uri="http://www.bna.com/sgml2word/cite" w:element="cite.cfr">
        <w:smartTagPr>
          <w:attr w:name="ref" w:val="cfr\26\1.1411-10(g)"/>
        </w:smartTagPr>
        <w:r>
          <w:t>10(g)</w:t>
        </w:r>
      </w:smartTag>
      <w:r>
        <w:t xml:space="preserve"> Election with respect to a CFC or QEF earlier than the year that the taxpayer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p>
    <w:p w14:paraId="6AE3EDEE" w14:textId="77777777" w:rsidR="00494B49" w:rsidRDefault="00494B49">
      <w:pPr>
        <w:pStyle w:val="BNormal"/>
      </w:pPr>
      <w:r>
        <w:t xml:space="preserve">For example, assume individual A acquires an interest in a CFC in Year One and the taxpayer does not include an amount in gross income under </w:t>
      </w:r>
      <w:smartTag w:uri="http://www.bna.com/sgml2word/cite" w:element="cite.usc">
        <w:smartTagPr>
          <w:attr w:name="ref" w:val="USC\26\951(a)"/>
        </w:smartTagPr>
        <w:r>
          <w:t>§951(a)</w:t>
        </w:r>
      </w:smartTag>
      <w:r>
        <w:t xml:space="preserve"> for that year. The individual is still able to make a </w:t>
      </w:r>
      <w:smartTag w:uri="http://www.bna.com/sgml2word/cite" w:element="cite.cfr">
        <w:smartTagPr>
          <w:attr w:name="ref" w:val="cfr\26\1.1411-10(g)"/>
        </w:smartTagPr>
        <w:r>
          <w:t>10(g)</w:t>
        </w:r>
      </w:smartTag>
      <w:r>
        <w:t xml:space="preserve"> Election with respect to that CFC. Similarly, assume individual B owns a QEF that generates $200,000 of </w:t>
      </w:r>
      <w:smartTag w:uri="http://www.bna.com/sgml2word/cite" w:element="cite.usc">
        <w:smartTagPr>
          <w:attr w:name="ref" w:val="USC\26\1293"/>
        </w:smartTagPr>
        <w:r>
          <w:t>§1293</w:t>
        </w:r>
      </w:smartTag>
      <w:r>
        <w:t xml:space="preserve"> inclusion amounts in Year One. However, the individual has a net operating loss carryforward into Year One which cause his AGI to be less than zero. Although individual B will not be subject to the NIIT in Year One (because his MAGI is less than the threshold), individual B can still make a </w:t>
      </w:r>
      <w:smartTag w:uri="http://www.bna.com/sgml2word/cite" w:element="cite.cfr">
        <w:smartTagPr>
          <w:attr w:name="ref" w:val="cfr\26\1.1411-10(g)"/>
        </w:smartTagPr>
        <w:r>
          <w:t>10(g)</w:t>
        </w:r>
      </w:smartTag>
      <w:r>
        <w:t xml:space="preserve"> Election for the QEF.</w:t>
      </w:r>
    </w:p>
    <w:p w14:paraId="452BA0E6" w14:textId="77777777" w:rsidR="00494B49" w:rsidRDefault="00494B49">
      <w:pPr>
        <w:pStyle w:val="BHead3"/>
      </w:pPr>
      <w:r>
        <w:t xml:space="preserve">b. Tax Compliance </w:t>
      </w:r>
    </w:p>
    <w:p w14:paraId="35C85E83" w14:textId="77777777" w:rsidR="00494B49" w:rsidRDefault="00494B49">
      <w:pPr>
        <w:pStyle w:val="BNormal"/>
      </w:pPr>
      <w:r>
        <w:t xml:space="preserve">For individuals, estates, and trusts (other than CRTs) intending to make a </w:t>
      </w:r>
      <w:smartTag w:uri="http://www.bna.com/sgml2word/cite" w:element="cite.cfr">
        <w:smartTagPr>
          <w:attr w:name="ref" w:val="cfr\26\1.1411-10(g)"/>
        </w:smartTagPr>
        <w:r>
          <w:t>10(g)</w:t>
        </w:r>
      </w:smartTag>
      <w:r>
        <w:t xml:space="preserve"> Election, the taxpayer must do two things. First, the taxpayer must check the box for “Regulations </w:t>
      </w:r>
      <w:smartTag w:uri="http://www.bna.com/sgml2word/cite" w:element="cite.cfr">
        <w:smartTagPr>
          <w:attr w:name="ref" w:val="cfr\26\1.1411-10(g)"/>
        </w:smartTagPr>
        <w:r>
          <w:t>section 1.1411-10(g)</w:t>
        </w:r>
      </w:smartTag>
      <w:r>
        <w:t xml:space="preserve"> election” on the Form </w:t>
      </w:r>
      <w:smartTag w:uri="http://www.bna.com/sgml2word/cite" w:element="cite.fed.form">
        <w:smartTagPr>
          <w:attr w:name="ref" w:val="irs\form8960"/>
        </w:smartTagPr>
        <w:r>
          <w:t>8960</w:t>
        </w:r>
      </w:smartTag>
      <w:r>
        <w:t xml:space="preserve"> filed with the original or amended return. Second, the taxpayer must attach a statement to the return that includes (1) the electing taxpayer’s name and taxpayer identification number; and (2) the following information for each CFC or PFIC for which an election is made: (i) the name of the CFC or QEF, and (ii) either the EIN of the CFC or QEF, or, if the CFC or QEF does not have an EIN, the reference ID number of the CFC or QEF. </w:t>
      </w:r>
    </w:p>
    <w:p w14:paraId="62DEA1F4" w14:textId="77777777" w:rsidR="00494B49" w:rsidRDefault="00494B49">
      <w:pPr>
        <w:pStyle w:val="BNormal"/>
      </w:pPr>
      <w:r>
        <w:rPr>
          <w:i/>
        </w:rPr>
        <w:t>Comment:</w:t>
      </w:r>
      <w:r>
        <w:t xml:space="preserve"> Interestingly, the </w:t>
      </w:r>
      <w:hyperlink r:id="rId20" w:history="1">
        <w:r>
          <w:rPr>
            <w:rStyle w:val="Hyperlink"/>
          </w:rPr>
          <w:t>Instructions for Form 8960</w:t>
        </w:r>
      </w:hyperlink>
      <w:r>
        <w:t xml:space="preserve"> state not only that the </w:t>
      </w:r>
      <w:smartTag w:uri="http://www.bna.com/sgml2word/cite" w:element="cite.cfr">
        <w:smartTagPr>
          <w:attr w:name="ref" w:val="cfr\26\1.1411-10(g)"/>
        </w:smartTagPr>
        <w:r>
          <w:t>10(g)</w:t>
        </w:r>
      </w:smartTag>
      <w:r>
        <w:t xml:space="preserve"> Election statement includes CFCs and QEFs that are subject to the </w:t>
      </w:r>
      <w:smartTag w:uri="http://www.bna.com/sgml2word/cite" w:element="cite.cfr">
        <w:smartTagPr>
          <w:attr w:name="ref" w:val="cfr\26\1.1411-10(g)"/>
        </w:smartTagPr>
        <w:r>
          <w:t>10(g)</w:t>
        </w:r>
      </w:smartTag>
      <w:r>
        <w:t xml:space="preserve"> Election in the current year, but also that the statement includes all CFCs and QEFs covered by a </w:t>
      </w:r>
      <w:smartTag w:uri="http://www.bna.com/sgml2word/cite" w:element="cite.cfr">
        <w:smartTagPr>
          <w:attr w:name="ref" w:val="cfr\26\1.1411-10(g)"/>
        </w:smartTagPr>
        <w:r>
          <w:t>10(g)</w:t>
        </w:r>
      </w:smartTag>
      <w:r>
        <w:t xml:space="preserve"> Election made in prior years. In other words, the </w:t>
      </w:r>
      <w:hyperlink r:id="rId21" w:history="1">
        <w:r>
          <w:rPr>
            <w:rStyle w:val="Hyperlink"/>
          </w:rPr>
          <w:t>Instructions for Form 8960</w:t>
        </w:r>
      </w:hyperlink>
      <w:r>
        <w:t xml:space="preserve"> require taxpayers to list all CFCs and QEFs that are covered by a </w:t>
      </w:r>
      <w:smartTag w:uri="http://www.bna.com/sgml2word/cite" w:element="cite.cfr">
        <w:smartTagPr>
          <w:attr w:name="ref" w:val="cfr\26\1.1411-10(g)"/>
        </w:smartTagPr>
        <w:r>
          <w:t>10(g)</w:t>
        </w:r>
      </w:smartTag>
      <w:r>
        <w:t xml:space="preserve"> Election — regardless of when the election was made. From a technical standpoint, the regulations do not require a taxpayer to list all CFCs and QEFs covered by a </w:t>
      </w:r>
      <w:smartTag w:uri="http://www.bna.com/sgml2word/cite" w:element="cite.cfr">
        <w:smartTagPr>
          <w:attr w:name="ref" w:val="cfr\26\1.1411-10(g)"/>
        </w:smartTagPr>
        <w:r>
          <w:t>10(g)</w:t>
        </w:r>
      </w:smartTag>
      <w:r>
        <w:t xml:space="preserve"> Election. Therefore, the failure to list a CFC or QEF on a current year </w:t>
      </w:r>
      <w:smartTag w:uri="http://www.bna.com/sgml2word/cite" w:element="cite.fed.form">
        <w:smartTagPr>
          <w:attr w:name="ref" w:val="irs\form8960"/>
        </w:smartTagPr>
        <w:r>
          <w:t>Form 8960</w:t>
        </w:r>
      </w:smartTag>
      <w:r>
        <w:t xml:space="preserve"> that was covered by a valid </w:t>
      </w:r>
      <w:smartTag w:uri="http://www.bna.com/sgml2word/cite" w:element="cite.cfr">
        <w:smartTagPr>
          <w:attr w:name="ref" w:val="cfr\26\1.1411-10(g)"/>
        </w:smartTagPr>
        <w:r>
          <w:t>10(g)</w:t>
        </w:r>
      </w:smartTag>
      <w:r>
        <w:t xml:space="preserve"> Election made on a previous tax year’s return should not invalidate the prior election. Because the valid prior </w:t>
      </w:r>
      <w:smartTag w:uri="http://www.bna.com/sgml2word/cite" w:element="cite.cfr">
        <w:smartTagPr>
          <w:attr w:name="ref" w:val="cfr\26\1.1411-10(g)"/>
        </w:smartTagPr>
        <w:r>
          <w:t>10(g)</w:t>
        </w:r>
      </w:smartTag>
      <w:r>
        <w:t xml:space="preserve"> Election is only revocable with the consent of the IRS (i.e., via a private letter ruling), the omission of that particular CFC or QEF on the later </w:t>
      </w:r>
      <w:smartTag w:uri="http://www.bna.com/sgml2word/cite" w:element="cite.fed.form">
        <w:smartTagPr>
          <w:attr w:name="ref" w:val="irs\form8960"/>
        </w:smartTagPr>
        <w:r>
          <w:t>Form 8960</w:t>
        </w:r>
      </w:smartTag>
      <w:r>
        <w:t xml:space="preserve"> should have no consequences.</w:t>
      </w:r>
    </w:p>
    <w:p w14:paraId="11F7E9BB" w14:textId="77777777" w:rsidR="00494B49" w:rsidRDefault="00494B49">
      <w:pPr>
        <w:pStyle w:val="BNormal"/>
      </w:pPr>
      <w:r>
        <w:t xml:space="preserve">Because the taxpayer has the burden of proving that an election was made with respect to a CFC or QEF, the taxpayer must retain in its permanent records evidence that the </w:t>
      </w:r>
      <w:smartTag w:uri="http://www.bna.com/sgml2word/cite" w:element="cite.cfr">
        <w:smartTagPr>
          <w:attr w:name="ref" w:val="cfr\26\1.1411-10(g)"/>
        </w:smartTagPr>
        <w:r>
          <w:t>10(g)</w:t>
        </w:r>
      </w:smartTag>
      <w:r>
        <w:t xml:space="preserve"> Election was properly made. Because the election applies to all shares owned at the time of the election or acquired afterward, the election must be retained (and accessible) until the later of (i) the taxpayer’s death or termination (in the case of an estate or trust) or (ii) the termination of the CFC or QEF. In theory, even if the taxpayer sells the CFC or QEF, there remains a possibility </w:t>
      </w:r>
      <w:r>
        <w:lastRenderedPageBreak/>
        <w:t xml:space="preserve">that the taxpayer could directly or indirectly reacquire shares of the same CFC or QEF in the future. </w:t>
      </w:r>
    </w:p>
    <w:p w14:paraId="6ECE6779" w14:textId="77777777" w:rsidR="00494B49" w:rsidRDefault="00494B49">
      <w:pPr>
        <w:pStyle w:val="BNormal"/>
      </w:pPr>
      <w:r>
        <w:t xml:space="preserve">Therefore, even though the IRS had no legal support for requiring taxpayer to list all CFCs and QEFs covered by the election made in the current and all preceding tax years, there is no downside to following the guidance. In fact, listing the CFCs and QEFs covered by </w:t>
      </w:r>
      <w:smartTag w:uri="http://www.bna.com/sgml2word/cite" w:element="cite.cfr">
        <w:smartTagPr>
          <w:attr w:name="ref" w:val="cfr\26\1.1411-10(g)"/>
        </w:smartTagPr>
        <w:r>
          <w:t>10(g)</w:t>
        </w:r>
      </w:smartTag>
      <w:r>
        <w:t xml:space="preserve"> Election annually (i.e., simply rolling forward the list each year) may be easier than keeping an up-to-date list in a permanent file.</w:t>
      </w:r>
    </w:p>
    <w:p w14:paraId="7F64842A" w14:textId="77777777" w:rsidR="00494B49" w:rsidRDefault="00494B49">
      <w:pPr>
        <w:pStyle w:val="BHead3"/>
      </w:pPr>
      <w:r>
        <w:t>c. Special Rules for Charitable Remainder Trusts</w:t>
      </w:r>
    </w:p>
    <w:p w14:paraId="4E2F3F29" w14:textId="77777777" w:rsidR="00494B49" w:rsidRDefault="00494B49">
      <w:pPr>
        <w:pStyle w:val="BNormal"/>
      </w:pPr>
      <w:r>
        <w:t xml:space="preserve">To be effective, a </w:t>
      </w:r>
      <w:smartTag w:uri="http://www.bna.com/sgml2word/cite" w:element="cite.cfr">
        <w:smartTagPr>
          <w:attr w:name="ref" w:val="cfr\26\1.1411-10(g)"/>
        </w:smartTagPr>
        <w:r>
          <w:t>10(g)</w:t>
        </w:r>
      </w:smartTag>
      <w:r>
        <w:t xml:space="preserve"> Election made by charitable remainder trust (CRT) with respect to a CFC or QEF must be made no later than the first tax year beginning after December 31, 2013, during which the CRT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w:t>
      </w:r>
      <w:r>
        <w:rPr>
          <w:rStyle w:val="FootnoteReference"/>
        </w:rPr>
        <w:footnoteReference w:id="946"/>
      </w:r>
      <w:r>
        <w:t xml:space="preserve"> The rule for CRTs is slightly different from the rule for non-CRT trusts. Because CRTs are not subject to the tax (and arguably do not have an AGI), the last year the CRT can make the election is the year it allocated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t>
      </w:r>
    </w:p>
    <w:p w14:paraId="0596E423" w14:textId="77777777" w:rsidR="00494B49" w:rsidRDefault="00494B49">
      <w:pPr>
        <w:pStyle w:val="BHead2"/>
      </w:pPr>
      <w:r>
        <w:t>4. Elections by Domestic Partnerships, S Corporations, or Common Trust Funds</w:t>
      </w:r>
    </w:p>
    <w:p w14:paraId="08BAB6D6" w14:textId="77777777" w:rsidR="00494B49" w:rsidRDefault="00494B49">
      <w:pPr>
        <w:pStyle w:val="BNormal"/>
      </w:pPr>
      <w:r>
        <w:t xml:space="preserve">The 2013 Final Regulations allow a domestic partnership, S corporation or common trust fund to make a </w:t>
      </w:r>
      <w:smartTag w:uri="http://www.bna.com/sgml2word/cite" w:element="cite.cfr">
        <w:smartTagPr>
          <w:attr w:name="ref" w:val="cfr\26\1.1411-10(g)"/>
        </w:smartTagPr>
        <w:r>
          <w:t>10(g)</w:t>
        </w:r>
      </w:smartTag>
      <w:r>
        <w:t xml:space="preserve"> election (in contrast to a NIIT-paying partner or shareholder having to make the election). </w:t>
      </w:r>
    </w:p>
    <w:p w14:paraId="7E04D1FB" w14:textId="77777777" w:rsidR="00494B49" w:rsidRDefault="00494B49">
      <w:pPr>
        <w:pStyle w:val="BHead3"/>
      </w:pPr>
      <w:r>
        <w:t xml:space="preserve">a. Timing of Election </w:t>
      </w:r>
    </w:p>
    <w:p w14:paraId="19F88AC3" w14:textId="77777777" w:rsidR="00494B49" w:rsidRDefault="00494B49">
      <w:pPr>
        <w:pStyle w:val="BNormal"/>
      </w:pPr>
      <w:r>
        <w:t xml:space="preserve">Reg. </w:t>
      </w:r>
      <w:smartTag w:uri="http://www.bna.com/sgml2word/cite" w:element="cite.cfr">
        <w:smartTagPr>
          <w:attr w:name="ref" w:val="cfr\26\1.1411-10(g)(4)(ii)"/>
        </w:smartTagPr>
        <w:r>
          <w:t>§1.1411-10(g)(4)(ii)</w:t>
        </w:r>
      </w:smartTag>
      <w:r>
        <w:t xml:space="preserve"> provides that the </w:t>
      </w:r>
      <w:smartTag w:uri="http://www.bna.com/sgml2word/cite" w:element="cite.cfr">
        <w:smartTagPr>
          <w:attr w:name="ref" w:val="cfr\26\1.1411-10(g)"/>
        </w:smartTagPr>
        <w:r>
          <w:t>10(g)</w:t>
        </w:r>
      </w:smartTag>
      <w:r>
        <w:t xml:space="preserve"> Election must be made by a domestic partnership, S corporation or common trust fund no later than the first tax year beginning after December 31, 2013, during which the domestic partnership, S corporation or common trust fund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w:t>
      </w:r>
      <w:r>
        <w:rPr>
          <w:rStyle w:val="FootnoteReference"/>
        </w:rPr>
        <w:footnoteReference w:id="947"/>
      </w:r>
    </w:p>
    <w:p w14:paraId="6EF028FD" w14:textId="77777777" w:rsidR="00494B49" w:rsidRDefault="00494B49">
      <w:pPr>
        <w:pStyle w:val="BNormal"/>
      </w:pPr>
      <w:r>
        <w:rPr>
          <w:i/>
        </w:rPr>
        <w:t>Comment:</w:t>
      </w:r>
      <w:r>
        <w:t xml:space="preserve"> There are two noteworthy aspects of this rule. First, the rule establishes the last year in which a domestic partnership, S corporation, or common trust fund can make the </w:t>
      </w:r>
      <w:smartTag w:uri="http://www.bna.com/sgml2word/cite" w:element="cite.cfr">
        <w:smartTagPr>
          <w:attr w:name="ref" w:val="cfr\26\1.1411-10(g)"/>
        </w:smartTagPr>
        <w:r>
          <w:t>10(g)</w:t>
        </w:r>
      </w:smartTag>
      <w:r>
        <w:t xml:space="preserve"> Election. It does not forbid the entity from making a </w:t>
      </w:r>
      <w:smartTag w:uri="http://www.bna.com/sgml2word/cite" w:element="cite.cfr">
        <w:smartTagPr>
          <w:attr w:name="ref" w:val="cfr\26\1.1411-10(g)"/>
        </w:smartTagPr>
        <w:r>
          <w:t>10(g)</w:t>
        </w:r>
      </w:smartTag>
      <w:r>
        <w:t xml:space="preserve"> Election with respect a particular CFC or QEF in an earlier year (with the exception of tax years that began before January 1, 2014, discussed below). Second, although the regulations provide two threshold requirements to establish the last tax year that the domestic partnership, S corporation or common trust fund can make the election — as a practical matter, there is only one requirement. The first requirement (the first year the domestic partnership, S corporation or common trust fund has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is generally “knowable” by the domestic partnership, S corporation, or common trust fund. It is very unlikely that the domestic partnership, S corporation, or common trust fund will know “when it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Because reliable information concerning the second requirement, especially in </w:t>
      </w:r>
      <w:r>
        <w:lastRenderedPageBreak/>
        <w:t xml:space="preserve">tiered passthrough entity structures, is virtually impossible to obtain, most domestic partnerships, S corporations, or common trust funds should make the election in a tax year no later than its first year with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w:t>
      </w:r>
    </w:p>
    <w:p w14:paraId="0E615D10" w14:textId="77777777" w:rsidR="00494B49" w:rsidRDefault="00494B49">
      <w:pPr>
        <w:pStyle w:val="BHead3"/>
      </w:pPr>
      <w:r>
        <w:t xml:space="preserve">b. Tax Compliance </w:t>
      </w:r>
    </w:p>
    <w:p w14:paraId="483BD8B2" w14:textId="77777777" w:rsidR="00494B49" w:rsidRDefault="00494B49">
      <w:pPr>
        <w:pStyle w:val="BNormal"/>
      </w:pPr>
      <w:r>
        <w:t xml:space="preserve">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require the partnership, S corporation or common trust fund to attach a statement to the return.</w:t>
      </w:r>
      <w:r>
        <w:rPr>
          <w:rStyle w:val="FootnoteReference"/>
        </w:rPr>
        <w:footnoteReference w:id="948"/>
      </w:r>
      <w:r>
        <w:t xml:space="preserve"> Sometime in the future, a checkbox might be added to the </w:t>
      </w:r>
      <w:smartTag w:uri="http://www.bna.com/sgml2word/cite" w:element="cite.fed.form">
        <w:smartTagPr>
          <w:attr w:name="ref" w:val="irs\form1065"/>
        </w:smartTagPr>
        <w:r>
          <w:t>Form 1065</w:t>
        </w:r>
      </w:smartTag>
      <w:r>
        <w:t xml:space="preserve"> and </w:t>
      </w:r>
      <w:smartTag w:uri="http://www.bna.com/sgml2word/cite" w:element="cite.fed.form">
        <w:smartTagPr>
          <w:attr w:name="ref" w:val="irs\form1120S"/>
        </w:smartTagPr>
        <w:r>
          <w:t>Form 1120S</w:t>
        </w:r>
      </w:smartTag>
      <w:r>
        <w:t xml:space="preserve"> to indicate that a </w:t>
      </w:r>
      <w:smartTag w:uri="http://www.bna.com/sgml2word/cite" w:element="cite.cfr">
        <w:smartTagPr>
          <w:attr w:name="ref" w:val="cfr\26\1.1411-10(g)"/>
        </w:smartTagPr>
        <w:r>
          <w:t>10(g)</w:t>
        </w:r>
      </w:smartTag>
      <w:r>
        <w:t xml:space="preserve"> Election is being included with the return. </w:t>
      </w:r>
    </w:p>
    <w:p w14:paraId="3AF5131C" w14:textId="77777777" w:rsidR="00494B49" w:rsidRDefault="00494B49">
      <w:pPr>
        <w:pStyle w:val="BHead3"/>
      </w:pPr>
      <w:r>
        <w:t>c. Special Rules Applicable to 2013 Taxable Year</w:t>
      </w:r>
    </w:p>
    <w:p w14:paraId="66EAE8F8" w14:textId="77777777" w:rsidR="00494B49" w:rsidRDefault="00494B49">
      <w:pPr>
        <w:pStyle w:val="BNormal"/>
      </w:pPr>
      <w:r>
        <w:t xml:space="preserve">A domestic partnership, S corporation or common trust fund was allowed to make a </w:t>
      </w:r>
      <w:smartTag w:uri="http://www.bna.com/sgml2word/cite" w:element="cite.cfr">
        <w:smartTagPr>
          <w:attr w:name="ref" w:val="cfr\26\1.1411-10(g)"/>
        </w:smartTagPr>
        <w:r>
          <w:t>10(g)</w:t>
        </w:r>
      </w:smartTag>
      <w:r>
        <w:t xml:space="preserve"> Election for a tax year that began before January 1, 2014, provided that all of its partners, shareholders, or participants, as the case may be, consented to the election.</w:t>
      </w:r>
      <w:r>
        <w:rPr>
          <w:rStyle w:val="FootnoteReference"/>
        </w:rPr>
        <w:footnoteReference w:id="949"/>
      </w:r>
      <w:r>
        <w:t xml:space="preserve"> In the case of a partner, shareholder, or participant that is a partnership, S corporation, or common trust fund, all of the partners, shareholders, and participants also must consent to the election.</w:t>
      </w:r>
      <w:r>
        <w:rPr>
          <w:rStyle w:val="FootnoteReference"/>
        </w:rPr>
        <w:footnoteReference w:id="950"/>
      </w:r>
    </w:p>
    <w:p w14:paraId="5CF85D17" w14:textId="77777777" w:rsidR="00494B49" w:rsidRDefault="00494B49">
      <w:pPr>
        <w:pStyle w:val="BNormal"/>
      </w:pPr>
      <w:r>
        <w:rPr>
          <w:i/>
        </w:rPr>
        <w:t>Comment:</w:t>
      </w:r>
      <w:r>
        <w:t xml:space="preserve"> This one-year-only provision was not a request by taxpayers; it was inserted into the 2013 Final Regulations unilaterally by the Treasury Department and the IRS. It was added as a protective measure for partners, shareholders, and participants that were owners of entities that were granted the ability to make the election by the 2013 Final Regulations. Under the 2012 Proposed Regulations, these entities were not able to make the election, but when they were given the ability to do so late in 2013, their making of the </w:t>
      </w:r>
      <w:smartTag w:uri="http://www.bna.com/sgml2word/cite" w:element="cite.cfr">
        <w:smartTagPr>
          <w:attr w:name="ref" w:val="cfr\26\1.1411-10(g)"/>
        </w:smartTagPr>
        <w:r>
          <w:t>10(g)</w:t>
        </w:r>
      </w:smartTag>
      <w:r>
        <w:t xml:space="preserve"> Election would accelerate net investment income for their owners. The owners may not have intended to make the 10(g) Election (i.e., consciously choosing the net investment income deferral and basis adjustments) and could have perceived the loss of such ability to control their own NIIT treatment as having something taken from them at the last minute. If a partner, shareholder and participant knew that they were turning control over the entity to make the election, they could have “voted with their feet” by withdrawing from the entity. Alternatively, the taxpayer could have avoided investing in the entity at the onset. </w:t>
      </w:r>
    </w:p>
    <w:p w14:paraId="3F1823E1" w14:textId="77777777" w:rsidR="00494B49" w:rsidRDefault="00494B49">
      <w:pPr>
        <w:pStyle w:val="BNormal"/>
      </w:pPr>
      <w:r>
        <w:t>The troublesome aspect of this arguably well-intentioned rule was the Treasury Department and the IRS did not elaborate on what “consent” meant. As a result of the ambiguity, three views developed: (1) affirmative consent was required by all the partners, shareholders, and participants;</w:t>
      </w:r>
      <w:r>
        <w:rPr>
          <w:rStyle w:val="FootnoteReference"/>
        </w:rPr>
        <w:footnoteReference w:id="951"/>
      </w:r>
      <w:r>
        <w:t xml:space="preserve"> (2) consent was accomplished by negative consent;</w:t>
      </w:r>
      <w:r>
        <w:rPr>
          <w:rStyle w:val="FootnoteReference"/>
        </w:rPr>
        <w:footnoteReference w:id="952"/>
      </w:r>
      <w:r>
        <w:t xml:space="preserve"> and (3) general tax rules and most organizational documents authorized the managing member, general partner, executive or trustee to make all elections on behalf of the entity that were not specifically reserved for the </w:t>
      </w:r>
      <w:r>
        <w:lastRenderedPageBreak/>
        <w:t xml:space="preserve">partners, shareholders and participants — therefore, the partners, shareholders, and participants would make a blanket consent to all entity-level elections when they became owners. </w:t>
      </w:r>
    </w:p>
    <w:p w14:paraId="1C25577E" w14:textId="77777777" w:rsidR="00494B49" w:rsidRDefault="00494B49">
      <w:pPr>
        <w:pStyle w:val="BNormal"/>
      </w:pPr>
      <w:r>
        <w:t xml:space="preserve">For the 2013 tax year, domestic partnerships, S corporations and common trust funds ultimately determined whether or not they had owner consent based on one of the three theories above. If they did have owner consent, it was advisable that their partners, shareholders, and participants make “protective” elections if they were in doubt about the effectiveness of their ability to obtain consent. In other circumstances, the entity would note to the owners that the entity was not making the election but was preparing the Schedules K-1 as if each owner would be making the election because the entity would do so on its 2014 return. An owner who did not want to make the election would have to contact the entity to get detail behind the Schedule K-1 in order to deconstruct it. </w:t>
      </w:r>
    </w:p>
    <w:p w14:paraId="5F9A2DB3" w14:textId="77777777" w:rsidR="00494B49" w:rsidRDefault="00494B49">
      <w:pPr>
        <w:pStyle w:val="BHead2"/>
      </w:pPr>
      <w:r>
        <w:t xml:space="preserve">5. Protective ‘Blanket 10(g) Elections’ </w:t>
      </w:r>
    </w:p>
    <w:p w14:paraId="38D81D52" w14:textId="77777777" w:rsidR="00494B49" w:rsidRDefault="00494B49">
      <w:pPr>
        <w:pStyle w:val="BNormal"/>
      </w:pPr>
      <w:r>
        <w:t xml:space="preserve">Because the </w:t>
      </w:r>
      <w:smartTag w:uri="http://www.bna.com/sgml2word/cite" w:element="cite.cfr">
        <w:smartTagPr>
          <w:attr w:name="ref" w:val="cfr\26\1.1411-10(g)"/>
        </w:smartTagPr>
        <w:r>
          <w:t>10(g)</w:t>
        </w:r>
      </w:smartTag>
      <w:r>
        <w:t xml:space="preserve"> Elections can be made for both directly and indirectly held CFCs and QEFs, the electing taxpayer — regardless of whether it is an individual, estate, trust, domestic partnership, S corporation, or common trust fund — needs to have certain information about the CFC or QEF in order to make the elections. Unless the electing taxpayer owns the CFC or QEF directly, the taxpayer must depend on another entity to provide the necessary information. </w:t>
      </w:r>
    </w:p>
    <w:p w14:paraId="55E99ED7" w14:textId="77777777" w:rsidR="00494B49" w:rsidRDefault="00494B49">
      <w:pPr>
        <w:pStyle w:val="BNormal"/>
      </w:pPr>
      <w:r>
        <w:t xml:space="preserve">In many cases, the electing taxpayer is an indirect owner of the CFC or QEF and is dependent on the direct owner to communicate the information. If the direct owner does not provide the taxpayer with information, how can the taxpayer comply with the election requirements? In the case of ownership interests in foreign partnerships that may own CFCs or QEFs, the foreign partnership might simply report the amount of gain or loss and ordinary income in aggregate amounts. The domestic partner would have no way to determine if that ordinary income or gain is attributable to a CFC or QEF, or to a dozen CFCs or QEFs. </w:t>
      </w:r>
    </w:p>
    <w:p w14:paraId="7E7F85F4" w14:textId="77777777" w:rsidR="00494B49" w:rsidRDefault="00494B49">
      <w:pPr>
        <w:pStyle w:val="BNormal"/>
      </w:pPr>
      <w:r>
        <w:t>As a solution to the information sharing deficiency, some taxpayers are choosing to make protective or blanket elections.</w:t>
      </w:r>
      <w:r>
        <w:rPr>
          <w:rStyle w:val="FootnoteReference"/>
        </w:rPr>
        <w:footnoteReference w:id="953"/>
      </w:r>
      <w:r>
        <w:t xml:space="preserve"> In essence, the protective election attempts to cover all CFCs and QEFs indirectly owned by the taxpayer that are not otherwise covered by a </w:t>
      </w:r>
      <w:smartTag w:uri="http://www.bna.com/sgml2word/cite" w:element="cite.cfr">
        <w:smartTagPr>
          <w:attr w:name="ref" w:val="cfr\26\1.1411-10(g)"/>
        </w:smartTagPr>
        <w:r>
          <w:t>10(g)</w:t>
        </w:r>
      </w:smartTag>
      <w:r>
        <w:t xml:space="preserve"> Election made by the direct owner. </w:t>
      </w:r>
    </w:p>
    <w:p w14:paraId="7D42D866" w14:textId="77777777" w:rsidR="00494B49" w:rsidRDefault="00494B49">
      <w:pPr>
        <w:pStyle w:val="BNormal"/>
      </w:pPr>
      <w:r>
        <w:t xml:space="preserve">Unless and until the IRS issues guidance on this methodology, the effectiveness of the strategy is unknown. At the end of the day, making the </w:t>
      </w:r>
      <w:smartTag w:uri="http://www.bna.com/sgml2word/cite" w:element="cite.cfr">
        <w:smartTagPr>
          <w:attr w:name="ref" w:val="cfr\26\1.1411-10(g)"/>
        </w:smartTagPr>
        <w:r>
          <w:t>10(g)</w:t>
        </w:r>
      </w:smartTag>
      <w:r>
        <w:t xml:space="preserve"> Election is an election to simplify compliance and accelerate net investment income into the current year. As a result, it seems that the IRS would have little reason to invalidate the elections because this would increase net investment income deferral and make the taxpayer subject to the intolerable parallel basis tracking rules that they were trying to avoid in the first place. In other words, no one wins if the blanket election is invalidated. </w:t>
      </w:r>
    </w:p>
    <w:p w14:paraId="0874BD84" w14:textId="77777777" w:rsidR="00494B49" w:rsidRDefault="00494B49">
      <w:pPr>
        <w:pStyle w:val="BNormal"/>
      </w:pPr>
      <w:r>
        <w:t xml:space="preserve">However, because the blanket election is being made for an unknown population, there are some collateral consequences that need to be considered. First, because the CFCs and QEFs covered by the election are unknown, it is possible that the taxpayer may directly acquire an interest in the CFC or QEF at a later date. It would then, theoretically, have already elected for the CFC or QEF to be covered by the </w:t>
      </w:r>
      <w:smartTag w:uri="http://www.bna.com/sgml2word/cite" w:element="cite.cfr">
        <w:smartTagPr>
          <w:attr w:name="ref" w:val="cfr\26\1.1411-10(g)"/>
        </w:smartTagPr>
        <w:r>
          <w:t>10(g)</w:t>
        </w:r>
      </w:smartTag>
      <w:r>
        <w:t xml:space="preserve"> Election — but it could not prove it. Second, a blanket election only covers CFCs and QEFs that are owned in the current year. The taxpayer may unknowingly </w:t>
      </w:r>
      <w:r>
        <w:lastRenderedPageBreak/>
        <w:t xml:space="preserve">acquire indirect interests in other CFCs and QEFs in the subsequent year(s). As a result of these two collateral items, a taxpayer who makes a blanket election in any given year will need to continually make the blanket election every year thereafter — regardless of whether new </w:t>
      </w:r>
      <w:smartTag w:uri="http://www.bna.com/sgml2word/cite" w:element="cite.cfr">
        <w:smartTagPr>
          <w:attr w:name="ref" w:val="cfr\26\1.1411-10(g)"/>
        </w:smartTagPr>
        <w:r>
          <w:t>10(g)</w:t>
        </w:r>
      </w:smartTag>
      <w:r>
        <w:t xml:space="preserve"> Elections are being made for newly acquired CFCs or QEFs that the taxpayer knows about — because the election will always be needed to cover the unknown. Additionally, the taxpayer will always have to make </w:t>
      </w:r>
      <w:smartTag w:uri="http://www.bna.com/sgml2word/cite" w:element="cite.cfr">
        <w:smartTagPr>
          <w:attr w:name="ref" w:val="cfr\26\1.1411-10(g)"/>
        </w:smartTagPr>
        <w:r>
          <w:t>10(g)</w:t>
        </w:r>
      </w:smartTag>
      <w:r>
        <w:t xml:space="preserve"> Elections for newly acquired direct or indirect CFCs or QEFs because they should not rely on the viability of a prior year blanket election covering the newly acquired CFC or QEF. </w:t>
      </w:r>
    </w:p>
    <w:p w14:paraId="01971932" w14:textId="77777777" w:rsidR="00494B49" w:rsidRDefault="00494B49">
      <w:pPr>
        <w:pStyle w:val="BHead2"/>
      </w:pPr>
      <w:r>
        <w:t>6. Intentionally Not Making the 10(g) Election</w:t>
      </w:r>
    </w:p>
    <w:p w14:paraId="1CAE3509" w14:textId="77777777" w:rsidR="00494B49" w:rsidRDefault="00494B49">
      <w:pPr>
        <w:pStyle w:val="BNormal"/>
      </w:pPr>
      <w:r>
        <w:t xml:space="preserve">As a practical matter, virtually all taxpayers will make the </w:t>
      </w:r>
      <w:smartTag w:uri="http://www.bna.com/sgml2word/cite" w:element="cite.cfr">
        <w:smartTagPr>
          <w:attr w:name="ref" w:val="cfr\26\1.1411-10(g)"/>
        </w:smartTagPr>
        <w:r>
          <w:t>10(g)</w:t>
        </w:r>
      </w:smartTag>
      <w:r>
        <w:t xml:space="preserve"> Election. The amount of recordkeeping and separate basis tracking necessary to defer a 3.8% tax is unlikely worthwhile under a cost/benefit analysis. However, if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are large enough, it may be realistic for recordkeeping and separate basis tracking to defer the tax. As an added benefit, if the NIIT is ever repealed, the deferral may turn into a permanent exclusion. </w:t>
      </w:r>
    </w:p>
    <w:p w14:paraId="623551A4" w14:textId="77777777" w:rsidR="00494B49" w:rsidRDefault="00494B49">
      <w:pPr>
        <w:pStyle w:val="BNormal"/>
      </w:pPr>
      <w:r>
        <w:t xml:space="preserve">However, it is not just the size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that will make this a viable option. Taxpayers need to take into account (a) the anticipated cash flow from the CFC or QEF, and (b) whether the CFC or QEF is held in an estate, trust, partnership, S corporation or common trust fund.</w:t>
      </w:r>
    </w:p>
    <w:p w14:paraId="3289EED6" w14:textId="77777777" w:rsidR="00494B49" w:rsidRDefault="00494B49">
      <w:pPr>
        <w:pStyle w:val="BNormal"/>
      </w:pPr>
      <w:r>
        <w:t xml:space="preserve">For this to be a viable idea, all three elements must align. The amount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on a per-entity basis, must be a notable large number. Generally, one might find it reasonable to set this threshold amount at some anticipated annual inclusion amount greater than $100,000. Second, the taxpayer must be able to handle the phantom income on its return without cash distributions. Once cash distributions are made, they would be included in net investment income and, thus, the value of the deferral is lost. Third, the outside basis adjustments for CFCs or QEFs held by partnerships, S corporations, or common trust funds are complicated and may not be fully appreciated.</w:t>
      </w:r>
      <w:r>
        <w:rPr>
          <w:rStyle w:val="FootnoteReference"/>
        </w:rPr>
        <w:footnoteReference w:id="954"/>
      </w:r>
      <w:r>
        <w:t xml:space="preserve"> The adjustments to an estate’s or trust’s distributable net income may produce unusual results and the special CFC/QEF rules for charitable remainder trusts are extremely complicated. </w:t>
      </w:r>
    </w:p>
    <w:p w14:paraId="709C5943" w14:textId="77777777" w:rsidR="00494B49" w:rsidRDefault="00494B49">
      <w:pPr>
        <w:pStyle w:val="BNormal"/>
      </w:pPr>
      <w:r>
        <w:t xml:space="preserve">In some cases, investors in hedge funds may find it more tax advantageous to invest in a fund through their fund’s offshore investment fund, traditionally used by tax-exempts and foreign investors. In this case, the offshore feeder fund would be a CFC or PFIC. If the offshore fund was a PFIC, the domestic investor would make a QEF election. Regardless of whether the offshore fund was a CFC or QEF, the investor would intentionally not make the </w:t>
      </w:r>
      <w:smartTag w:uri="http://www.bna.com/sgml2word/cite" w:element="cite.cfr">
        <w:smartTagPr>
          <w:attr w:name="ref" w:val="cfr\26\1.1411-10(g)"/>
        </w:smartTagPr>
        <w:r>
          <w:t>10(g)</w:t>
        </w:r>
      </w:smartTag>
      <w:r>
        <w:t xml:space="preserve"> Election. There are benefits and burdens with this strategy, and although it may be beneficial from a NIIT </w:t>
      </w:r>
      <w:r>
        <w:lastRenderedPageBreak/>
        <w:t>perspective, it may not be the most income tax efficient for regular income tax purposes. Thus, the viability of such a strategy is heavily dependent on the anticipated tax characteristics of the underlying fund.</w:t>
      </w:r>
    </w:p>
    <w:p w14:paraId="39195128" w14:textId="77777777" w:rsidR="00494B49" w:rsidRDefault="00494B49">
      <w:pPr>
        <w:pStyle w:val="BHead1"/>
      </w:pPr>
      <w:r>
        <w:t xml:space="preserve">F. Special Consideration for Estates and Trusts </w:t>
      </w:r>
    </w:p>
    <w:p w14:paraId="1B4B4213" w14:textId="77777777" w:rsidR="00494B49" w:rsidRDefault="00494B49">
      <w:pPr>
        <w:pStyle w:val="BNormal"/>
      </w:pPr>
      <w:r>
        <w:t xml:space="preserve">Although the net investment income tax (NIIT) treatment of excess distributions from </w:t>
      </w:r>
      <w:smartTag w:uri="http://www.bna.com/sgml2word/cite" w:element="cite.usc">
        <w:smartTagPr>
          <w:attr w:name="ref" w:val="USC\26\1291"/>
        </w:smartTagPr>
        <w:r>
          <w:t>§1291</w:t>
        </w:r>
      </w:smartTag>
      <w:r>
        <w:t xml:space="preserve"> Funds and CFCs and QEFs without a Reg. </w:t>
      </w:r>
      <w:smartTag w:uri="http://www.bna.com/sgml2word/cite" w:element="cite.cfr">
        <w:smartTagPr>
          <w:attr w:name="ref" w:val="cfr\26\1.1411-10(g)"/>
        </w:smartTagPr>
        <w:r>
          <w:t>§1.1411-10(g)</w:t>
        </w:r>
      </w:smartTag>
      <w:r>
        <w:t xml:space="preserve"> Election (nonelecting CFCs and QEFs) deviates from the treatment for regular income tax purposes, special consideration must be given to the treatment of these distributions for estates, trusts and their beneficiaries. As a general rule, an estate or trust computes net investment income in the same manner as an individual.</w:t>
      </w:r>
      <w:r>
        <w:rPr>
          <w:rStyle w:val="FootnoteReference"/>
        </w:rPr>
        <w:footnoteReference w:id="955"/>
      </w:r>
      <w:r>
        <w:t xml:space="preserve"> The treatment of </w:t>
      </w:r>
      <w:smartTag w:uri="http://www.bna.com/sgml2word/cite" w:element="cite.usc">
        <w:smartTagPr>
          <w:attr w:name="ref" w:val="USC\26\1291"/>
        </w:smartTagPr>
        <w:r>
          <w:t>§1291</w:t>
        </w:r>
      </w:smartTag>
      <w:r>
        <w:t xml:space="preserve"> Funds and nonelecting CFCs and QEFs is no different — the distribution is treated as net investment income and the estate or trust must also increase its MAGI. But because estates and trusts are taxed on undistributed net investment income, the regulations also deviate from regular tax purposes in calculating undistributed net investment income when an estate or trust has excess distributions of distributions from nonelecting CFCs and QEFs.</w:t>
      </w:r>
    </w:p>
    <w:p w14:paraId="3132A4E0" w14:textId="77777777" w:rsidR="00494B49" w:rsidRDefault="00494B49">
      <w:pPr>
        <w:pStyle w:val="BNormal"/>
      </w:pPr>
      <w:r>
        <w:t xml:space="preserve">Reg. </w:t>
      </w:r>
      <w:smartTag w:uri="http://www.bna.com/sgml2word/cite" w:element="cite.cfr">
        <w:smartTagPr>
          <w:attr w:name="ref" w:val="cfr\26\1.1411-10(f)"/>
        </w:smartTagPr>
        <w:r>
          <w:t>§1.1411-10(f)</w:t>
        </w:r>
      </w:smartTag>
      <w:r>
        <w:t xml:space="preserve"> provides that all of the items described in Reg. </w:t>
      </w:r>
      <w:smartTag w:uri="http://www.bna.com/sgml2word/cite" w:element="cite.cfr">
        <w:smartTagPr>
          <w:attr w:name="ref" w:val="cfr\26\1.1411-10(c)"/>
        </w:smartTagPr>
        <w:r>
          <w:t>§1.1411-10(c)</w:t>
        </w:r>
      </w:smartTag>
      <w:r>
        <w:t xml:space="preserve"> are included in the net investment income of an estate or trust or its beneficiaries. The first part of Reg. </w:t>
      </w:r>
      <w:smartTag w:uri="http://www.bna.com/sgml2word/cite" w:element="cite.cfr">
        <w:smartTagPr>
          <w:attr w:name="ref" w:val="cfr\26\1.1411-10(f)"/>
        </w:smartTagPr>
        <w:r>
          <w:t>§1.1411-10(f)</w:t>
        </w:r>
      </w:smartTag>
      <w:r>
        <w:t xml:space="preserve"> ensures that these amounts are included in net investment income of the estate/trust or the beneficiary, but not both.</w:t>
      </w:r>
    </w:p>
    <w:p w14:paraId="7EEBF445" w14:textId="77777777" w:rsidR="00494B49" w:rsidRDefault="00494B49">
      <w:pPr>
        <w:pStyle w:val="BNormal"/>
      </w:pPr>
      <w:r>
        <w:t xml:space="preserve">The second sentence of Reg. </w:t>
      </w:r>
      <w:smartTag w:uri="http://www.bna.com/sgml2word/cite" w:element="cite.cfr">
        <w:smartTagPr>
          <w:attr w:name="ref" w:val="cfr\26\1.1411-10(f)"/>
        </w:smartTagPr>
        <w:r>
          <w:t>§1.1411-10(f)</w:t>
        </w:r>
      </w:smartTag>
      <w:r>
        <w:t xml:space="preserve"> states that the amounts described in Reg. </w:t>
      </w:r>
      <w:smartTag w:uri="http://www.bna.com/sgml2word/cite" w:element="cite.cfr">
        <w:smartTagPr>
          <w:attr w:name="ref" w:val="cfr\26\1.1411-10(e)(2)(i)"/>
        </w:smartTagPr>
        <w:r>
          <w:t>§1.1411-10(e)(2)(i)</w:t>
        </w:r>
      </w:smartTag>
      <w:r>
        <w:t>–</w:t>
      </w:r>
      <w:smartTag w:uri="http://www.bna.com/sgml2word/cite" w:element="cite.cfr">
        <w:smartTagPr>
          <w:attr w:name="ref" w:val="cfr\26\1.1411-10(e)(2)(iv)"/>
        </w:smartTagPr>
        <w:r>
          <w:t>§1.1411-10(e)(2)(iv)</w:t>
        </w:r>
      </w:smartTag>
      <w:r>
        <w:t>, regardless of whether the estate or trust receives those amounts directly or indirectly through another estate or trust, increase or decrease, as applicable, the estate’s or trust’s distributable net income. The purpose of this sentence is to allow the estate or trust to include the amount of the excess distribution that is not considered gross income (or taxable income) for regular tax purposes as income eligible for distribution to its beneficiaries.</w:t>
      </w:r>
    </w:p>
    <w:p w14:paraId="3D070589" w14:textId="77777777" w:rsidR="00494B49" w:rsidRDefault="00494B49">
      <w:pPr>
        <w:pStyle w:val="BNormal"/>
      </w:pPr>
      <w:r>
        <w:t xml:space="preserve">The last sentence of Reg. </w:t>
      </w:r>
      <w:smartTag w:uri="http://www.bna.com/sgml2word/cite" w:element="cite.cfr">
        <w:smartTagPr>
          <w:attr w:name="ref" w:val="cfr\26\1.1411-10(f)"/>
        </w:smartTagPr>
        <w:r>
          <w:t>§1.1411-10(f)</w:t>
        </w:r>
      </w:smartTag>
      <w:r>
        <w:t xml:space="preserve"> states that the estate or trust, or the beneficiaries thereof,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w:t>
      </w:r>
    </w:p>
    <w:p w14:paraId="516C2605" w14:textId="77777777" w:rsidR="00494B49" w:rsidRDefault="00494B49">
      <w:pPr>
        <w:pStyle w:val="BNormal"/>
      </w:pPr>
      <w:r>
        <w:t xml:space="preserve">For further discussion of the treatment of estates, trusts and their beneficiaries when an estate or trust holds </w:t>
      </w:r>
      <w:smartTag w:uri="http://www.bna.com/sgml2word/cite" w:element="cite.usc">
        <w:smartTagPr>
          <w:attr w:name="ref" w:val="USC\26\1291"/>
        </w:smartTagPr>
        <w:r>
          <w:t>§1291</w:t>
        </w:r>
      </w:smartTag>
      <w:r>
        <w:t xml:space="preserve"> Funds and nonelecting CFCs and QEFs,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3CFB7212" w14:textId="77777777" w:rsidR="00494B49" w:rsidRDefault="00494B49">
      <w:pPr>
        <w:pStyle w:val="BHead1"/>
      </w:pPr>
      <w:r>
        <w:t>G. Application of §965 Transition Tax to a Taxpayer Subject to NIIT</w:t>
      </w:r>
    </w:p>
    <w:p w14:paraId="1553F7BB" w14:textId="77777777" w:rsidR="00494B49" w:rsidRDefault="00494B49">
      <w:pPr>
        <w:pStyle w:val="BHead2"/>
      </w:pPr>
      <w:r>
        <w:t>1. Overview of §965</w:t>
      </w:r>
    </w:p>
    <w:p w14:paraId="51537695" w14:textId="77777777" w:rsidR="00494B49" w:rsidRDefault="00494B49">
      <w:pPr>
        <w:pStyle w:val="BNormal"/>
      </w:pPr>
      <w:smartTag w:uri="http://www.bna.com/sgml2word/cite" w:element="cite.usc">
        <w:smartTagPr>
          <w:attr w:name="ref" w:val="usc\26\965"/>
        </w:smartTagPr>
        <w:r>
          <w:t>Section 965</w:t>
        </w:r>
      </w:smartTag>
      <w:r>
        <w:t xml:space="preserve"> generally requires that, for the last taxable year beginning before January 1, 2018, any U.S. shareholder of a deferred foreign income corporation (DFIC) must include in income its pro rata share of the accumulated post-1986 deferred foreign income of the corporation.</w:t>
      </w:r>
      <w:r>
        <w:rPr>
          <w:rStyle w:val="FootnoteReference"/>
        </w:rPr>
        <w:footnoteReference w:id="956"/>
      </w:r>
      <w:r>
        <w:t xml:space="preserve"> A DFIC is, with respect to any U.S. shareholder, any specified foreign corporation (SFC) of such </w:t>
      </w:r>
      <w:r>
        <w:lastRenderedPageBreak/>
        <w:t xml:space="preserve">U.S. shareholder that, as of the relevant measuring date, has accumulated post-1986 deferred foreign income greater than zero. For purposes of this provision, a SFC is any foreign corporation that has at least one U.S. shareholder. It excludes PFICs that are not also CFCs. A portion of that pro rata share of foreign earnings is deductible under </w:t>
      </w:r>
      <w:smartTag w:uri="http://www.bna.com/sgml2word/cite" w:element="cite.usc">
        <w:smartTagPr>
          <w:attr w:name="ref" w:val="usc\26\965(c)"/>
        </w:smartTagPr>
        <w:r>
          <w:t>§965(c)</w:t>
        </w:r>
      </w:smartTag>
      <w:r>
        <w:t>; the amount of the deductible portion depends upon whether the deferred earnings are held in cash or other assets. The deduction results in a reduced rate of tax with respect to income from the required inclusion of pre-effective-date earnings. A corresponding portion of the credit for foreign taxes is disallowed, thus limiting the credit to the taxable portion of the included income. The increased tax liability generally may be paid over an eight-year period.</w:t>
      </w:r>
    </w:p>
    <w:p w14:paraId="09F90E12" w14:textId="77777777" w:rsidR="00494B49" w:rsidRDefault="00494B49">
      <w:pPr>
        <w:pStyle w:val="BNormal"/>
      </w:pPr>
      <w:r>
        <w:rPr>
          <w:i/>
        </w:rPr>
        <w:t>Note</w:t>
      </w:r>
      <w:r>
        <w:t xml:space="preserve">: When discussing the application of </w:t>
      </w:r>
      <w:smartTag w:uri="http://www.bna.com/sgml2word/cite" w:element="cite.usc">
        <w:smartTagPr>
          <w:attr w:name="ref" w:val="usc\26\965(a)"/>
        </w:smartTagPr>
        <w:r>
          <w:t>§965(a)</w:t>
        </w:r>
      </w:smartTag>
      <w:r>
        <w:t xml:space="preserve"> and </w:t>
      </w:r>
      <w:smartTag w:uri="http://www.bna.com/sgml2word/cite" w:element="cite.usc">
        <w:smartTagPr>
          <w:attr w:name="ref" w:val="usc\26\965(c)"/>
        </w:smartTagPr>
        <w:r>
          <w:t>§965(c)</w:t>
        </w:r>
      </w:smartTag>
      <w:r>
        <w:t xml:space="preserve"> below for net investment income tax (NIIT) purposes, assume that a taxpayer has $100 of </w:t>
      </w:r>
      <w:smartTag w:uri="http://www.bna.com/sgml2word/cite" w:element="cite.usc">
        <w:smartTagPr>
          <w:attr w:name="ref" w:val="usc\26\965(a)"/>
        </w:smartTagPr>
        <w:r>
          <w:t>§965(a)</w:t>
        </w:r>
      </w:smartTag>
      <w:r>
        <w:t xml:space="preserve"> income that will, in turn, generate a $55 deduction under </w:t>
      </w:r>
      <w:smartTag w:uri="http://www.bna.com/sgml2word/cite" w:element="cite.usc">
        <w:smartTagPr>
          <w:attr w:name="ref" w:val="usc\26\965(c)"/>
        </w:smartTagPr>
        <w:r>
          <w:t>§965(c)</w:t>
        </w:r>
      </w:smartTag>
      <w:r>
        <w:t xml:space="preserve"> with a net amount of $45 appearing on the Other Income line on Schedule 1 of Form 1040.</w:t>
      </w:r>
    </w:p>
    <w:p w14:paraId="329D7725" w14:textId="77777777" w:rsidR="00494B49" w:rsidRDefault="00494B49">
      <w:pPr>
        <w:pStyle w:val="BHead2"/>
      </w:pPr>
      <w:r>
        <w:t>2. Treatment of the §965(a) Inclusion</w:t>
      </w:r>
    </w:p>
    <w:p w14:paraId="5DF09F88" w14:textId="77777777" w:rsidR="00494B49" w:rsidRDefault="00494B49">
      <w:pPr>
        <w:pStyle w:val="BNormal"/>
      </w:pPr>
      <w:r>
        <w:t xml:space="preserve">Under </w:t>
      </w:r>
      <w:smartTag w:uri="http://www.bna.com/sgml2word/cite" w:element="cite.usc">
        <w:smartTagPr>
          <w:attr w:name="ref" w:val="usc\26\965(a)"/>
        </w:smartTagPr>
        <w:r>
          <w:t>§965(a)</w:t>
        </w:r>
      </w:smartTag>
      <w:r>
        <w:t>, if a corporation is a DFIC, it is required to include accumulated post-1986 deferred foreign income in its subpart F income for its last taxable year beginning before January 1, 2018 (the inclusion year). The required amount to be included is the greater of the accumulated post-1986 deferred foreign income of the DFIC determined as of November 2, 2017, or December 31, 2017.</w:t>
      </w:r>
    </w:p>
    <w:p w14:paraId="7324FD1E" w14:textId="77777777" w:rsidR="00494B49" w:rsidRDefault="00494B49">
      <w:pPr>
        <w:pStyle w:val="BNormal"/>
      </w:pPr>
      <w:r>
        <w:rPr>
          <w:i/>
        </w:rPr>
        <w:t>Comment</w:t>
      </w:r>
      <w:r>
        <w:t xml:space="preserve">: Because </w:t>
      </w:r>
      <w:smartTag w:uri="http://www.bna.com/sgml2word/cite" w:element="cite.usc">
        <w:smartTagPr>
          <w:attr w:name="ref" w:val="usc\26\965"/>
        </w:smartTagPr>
        <w:r>
          <w:t>§965</w:t>
        </w:r>
      </w:smartTag>
      <w:r>
        <w:t xml:space="preserve"> treats the inclusion as subpart F income, and absent an election under Reg. </w:t>
      </w:r>
      <w:smartTag w:uri="http://www.bna.com/sgml2word/cite" w:element="cite.cfr">
        <w:smartTagPr>
          <w:attr w:name="ref" w:val="cfr\26\1.1411-10(g)"/>
        </w:smartTagPr>
        <w:r>
          <w:t>§1.1411-10(g)</w:t>
        </w:r>
      </w:smartTag>
      <w:r>
        <w:t xml:space="preserve"> to affirmatively include the deemed </w:t>
      </w:r>
      <w:smartTag w:uri="http://www.bna.com/sgml2word/cite" w:element="cite.usc">
        <w:smartTagPr>
          <w:attr w:name="ref" w:val="USC\26\951(a)"/>
        </w:smartTagPr>
        <w:r>
          <w:t>§951(a)</w:t>
        </w:r>
      </w:smartTag>
      <w:r>
        <w:t xml:space="preserve"> inclusion into NII, taxpayers will have a deferral of the NII inclusion. In the case where a CFC never had any subpart F inclusions, there would not have been a need to make the election in the past. This situation would also apply to SFCs because, intuitively, they are not CFCs. Thus, there would have been no need to make a Reg. </w:t>
      </w:r>
      <w:smartTag w:uri="http://www.bna.com/sgml2word/cite" w:element="cite.cfr">
        <w:smartTagPr>
          <w:attr w:name="ref" w:val="cfr\26\1.1411-10(g)"/>
        </w:smartTagPr>
        <w:r>
          <w:t>§1.1411-10(g)</w:t>
        </w:r>
      </w:smartTag>
      <w:r>
        <w:t xml:space="preserve"> Election for SFCs because there was never any post-2012 subpart F income. However, if there were subpart F inclusions for a CFC with a </w:t>
      </w:r>
      <w:smartTag w:uri="http://www.bna.com/sgml2word/cite" w:element="cite.usc">
        <w:smartTagPr>
          <w:attr w:name="ref" w:val="usc\26\965(a)"/>
        </w:smartTagPr>
        <w:r>
          <w:t>§965(a)</w:t>
        </w:r>
      </w:smartTag>
      <w:r>
        <w:t xml:space="preserve"> inclusion between 2013 and 2016 (before the enactment of </w:t>
      </w:r>
      <w:smartTag w:uri="http://www.bna.com/sgml2word/cite" w:element="cite.usc">
        <w:smartTagPr>
          <w:attr w:name="ref" w:val="usc\26\965"/>
        </w:smartTagPr>
        <w:r>
          <w:t>§965</w:t>
        </w:r>
      </w:smartTag>
      <w:r>
        <w:t xml:space="preserve">), then a Reg. </w:t>
      </w:r>
      <w:smartTag w:uri="http://www.bna.com/sgml2word/cite" w:element="cite.cfr">
        <w:smartTagPr>
          <w:attr w:name="ref" w:val="cfr\26\1.1411-10(g)"/>
        </w:smartTagPr>
        <w:r>
          <w:t>§1.1411-10(g)</w:t>
        </w:r>
      </w:smartTag>
      <w:r>
        <w:t xml:space="preserve"> Election may have already been made.</w:t>
      </w:r>
    </w:p>
    <w:p w14:paraId="6D0F6A7F" w14:textId="77777777" w:rsidR="00494B49" w:rsidRDefault="00494B49">
      <w:pPr>
        <w:pStyle w:val="BHead2"/>
      </w:pPr>
      <w:r>
        <w:t>3. Treatment of the §965(c) Deduction</w:t>
      </w:r>
    </w:p>
    <w:p w14:paraId="03757B0F" w14:textId="77777777" w:rsidR="00494B49" w:rsidRDefault="00494B49">
      <w:pPr>
        <w:pStyle w:val="BNormal"/>
      </w:pPr>
      <w:r>
        <w:t xml:space="preserve">U.S. shareholders of a DFIC, which is subject to subpart F income inclusion under </w:t>
      </w:r>
      <w:smartTag w:uri="http://www.bna.com/sgml2word/cite" w:element="cite.usc">
        <w:smartTagPr>
          <w:attr w:name="ref" w:val="usc\26\965(a)"/>
        </w:smartTagPr>
        <w:r>
          <w:t>§965(a)</w:t>
        </w:r>
      </w:smartTag>
      <w:r>
        <w:t xml:space="preserve">, are taxed on their pro rata shares of such income and may deduct certain amounts under </w:t>
      </w:r>
      <w:smartTag w:uri="http://www.bna.com/sgml2word/cite" w:element="cite.usc">
        <w:smartTagPr>
          <w:attr w:name="ref" w:val="usc\26\965(c)"/>
        </w:smartTagPr>
        <w:r>
          <w:t>§965(c)</w:t>
        </w:r>
      </w:smartTag>
      <w:r>
        <w:t>.</w:t>
      </w:r>
    </w:p>
    <w:p w14:paraId="4CFE97BC" w14:textId="77777777" w:rsidR="00494B49" w:rsidRDefault="00494B49">
      <w:pPr>
        <w:pStyle w:val="BNormal"/>
      </w:pPr>
      <w:smartTag w:uri="http://www.bna.com/sgml2word/cite" w:element="cite.agency.doc">
        <w:smartTagPr>
          <w:attr w:name="ref" w:val="IRS\Notice\2018-26"/>
        </w:smartTagPr>
        <w:r>
          <w:t>Notice 2018-26</w:t>
        </w:r>
      </w:smartTag>
      <w:r>
        <w:t xml:space="preserve"> stated that the Treasury Department and the IRS intends to issue guidance that the </w:t>
      </w:r>
      <w:smartTag w:uri="http://www.bna.com/sgml2word/cite" w:element="cite.usc">
        <w:smartTagPr>
          <w:attr w:name="ref" w:val="usc\26\965(c)"/>
        </w:smartTagPr>
        <w:r>
          <w:t>§965(c)</w:t>
        </w:r>
      </w:smartTag>
      <w:r>
        <w:t xml:space="preserve"> amount is not an itemized deduction.</w:t>
      </w:r>
      <w:r>
        <w:rPr>
          <w:rStyle w:val="FootnoteReference"/>
        </w:rPr>
        <w:footnoteReference w:id="957"/>
      </w:r>
      <w:r>
        <w:t xml:space="preserve"> However, taxpayers must then determine whether the amount is deductible for NIIT purposes. Recall from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above, Reg. </w:t>
      </w:r>
      <w:smartTag w:uri="http://www.bna.com/sgml2word/cite" w:element="cite.cfr">
        <w:smartTagPr>
          <w:attr w:name="ref" w:val="cfr\26\1.1411-4(f)"/>
        </w:smartTagPr>
        <w:r>
          <w:t>§1.1411-4(f)</w:t>
        </w:r>
      </w:smartTag>
      <w:r>
        <w:t xml:space="preserve"> pulls in deductions in two ways, specific identification of particular deductions and cross reference to aggregators. Because the </w:t>
      </w:r>
      <w:smartTag w:uri="http://www.bna.com/sgml2word/cite" w:element="cite.usc">
        <w:smartTagPr>
          <w:attr w:name="ref" w:val="usc\26\965(c)"/>
        </w:smartTagPr>
        <w:r>
          <w:t>§965(c)</w:t>
        </w:r>
      </w:smartTag>
      <w:r>
        <w:t xml:space="preserve"> deduction was not in existence when the NIIT regulations were issued, it is not a specifically identified deduction. Therefore, in order to be deduction, it must call into one of the cross references to aggregators.</w:t>
      </w:r>
    </w:p>
    <w:p w14:paraId="5E0FE45B" w14:textId="77777777" w:rsidR="00494B49" w:rsidRDefault="00494B49">
      <w:pPr>
        <w:pStyle w:val="BNormal"/>
      </w:pPr>
      <w:r>
        <w:lastRenderedPageBreak/>
        <w:t xml:space="preserve">NIIT allows deductions described in </w:t>
      </w:r>
      <w:smartTag w:uri="http://www.bna.com/sgml2word/cite" w:element="cite.usc">
        <w:smartTagPr>
          <w:attr w:name="ref" w:val="USC\26\62(a)(1)"/>
        </w:smartTagPr>
        <w:r>
          <w:t>§62(a)(1)</w:t>
        </w:r>
      </w:smartTag>
      <w:r>
        <w:t>,</w:t>
      </w:r>
      <w:r>
        <w:rPr>
          <w:rStyle w:val="FootnoteReference"/>
        </w:rPr>
        <w:footnoteReference w:id="958"/>
      </w:r>
      <w:r>
        <w:t xml:space="preserve"> </w:t>
      </w:r>
      <w:smartTag w:uri="http://www.bna.com/sgml2word/cite" w:element="cite.usc">
        <w:smartTagPr>
          <w:attr w:name="ref" w:val="USC\26\62(a)(4)"/>
        </w:smartTagPr>
        <w:r>
          <w:t>§62(a)(4)</w:t>
        </w:r>
      </w:smartTag>
      <w:r>
        <w:t>,</w:t>
      </w:r>
      <w:r>
        <w:rPr>
          <w:rStyle w:val="FootnoteReference"/>
        </w:rPr>
        <w:footnoteReference w:id="959"/>
      </w:r>
      <w:r>
        <w:t xml:space="preserve"> and </w:t>
      </w:r>
      <w:smartTag w:uri="http://www.bna.com/sgml2word/cite" w:element="cite.usc">
        <w:smartTagPr>
          <w:attr w:name="ref" w:val="USC\26\163(d)(4)(C)"/>
        </w:smartTagPr>
        <w:r>
          <w:t>§163(d)(4)(C)</w:t>
        </w:r>
      </w:smartTag>
      <w:r>
        <w:t>.</w:t>
      </w:r>
      <w:r>
        <w:rPr>
          <w:rStyle w:val="FootnoteReference"/>
        </w:rPr>
        <w:footnoteReference w:id="960"/>
      </w:r>
      <w:r>
        <w:t xml:space="preserve"> These provisions are aggregators of deductions allowed by other parts of the Code. So if the IRS determines that the </w:t>
      </w:r>
      <w:smartTag w:uri="http://www.bna.com/sgml2word/cite" w:element="cite.usc">
        <w:smartTagPr>
          <w:attr w:name="ref" w:val="usc\26\965(c)"/>
        </w:smartTagPr>
        <w:r>
          <w:t>§965(c)</w:t>
        </w:r>
      </w:smartTag>
      <w:r>
        <w:t xml:space="preserve"> deduction is one of those, then it will be deductible for NIIT. If they are silent – but summarily including the </w:t>
      </w:r>
      <w:smartTag w:uri="http://www.bna.com/sgml2word/cite" w:element="cite.usc">
        <w:smartTagPr>
          <w:attr w:name="ref" w:val="usc\26\965(c)"/>
        </w:smartTagPr>
        <w:r>
          <w:t>§965(c)</w:t>
        </w:r>
      </w:smartTag>
      <w:r>
        <w:t xml:space="preserve"> deduction in AGI – then we need to unpack the aggregators.</w:t>
      </w:r>
    </w:p>
    <w:p w14:paraId="22B867D4" w14:textId="77777777" w:rsidR="00494B49" w:rsidRDefault="00494B49">
      <w:pPr>
        <w:pStyle w:val="BNormal"/>
      </w:pPr>
      <w:r>
        <w:t xml:space="preserve">The deemed </w:t>
      </w:r>
      <w:smartTag w:uri="http://www.bna.com/sgml2word/cite" w:element="cite.usc">
        <w:smartTagPr>
          <w:attr w:name="ref" w:val="USC\26\951(a)"/>
        </w:smartTagPr>
        <w:r>
          <w:t>§951(a)</w:t>
        </w:r>
      </w:smartTag>
      <w:r>
        <w:t xml:space="preserve"> inclusion by reason on </w:t>
      </w:r>
      <w:smartTag w:uri="http://www.bna.com/sgml2word/cite" w:element="cite.usc">
        <w:smartTagPr>
          <w:attr w:name="ref" w:val="usc\26\965(a)"/>
        </w:smartTagPr>
        <w:r>
          <w:t>§965(a)</w:t>
        </w:r>
      </w:smartTag>
      <w:r>
        <w:t xml:space="preserve"> should be </w:t>
      </w:r>
      <w:smartTag w:uri="http://www.bna.com/sgml2word/cite" w:element="cite.usc">
        <w:smartTagPr>
          <w:attr w:name="ref" w:val="USC\26\163(d)"/>
        </w:smartTagPr>
        <w:r>
          <w:t>§163(d)</w:t>
        </w:r>
      </w:smartTag>
      <w:r>
        <w:t xml:space="preserve"> investment income because Reg. </w:t>
      </w:r>
      <w:smartTag w:uri="http://www.bna.com/sgml2word/cite" w:element="cite.cfr">
        <w:smartTagPr>
          <w:attr w:name="ref" w:val="cfr\26\1.469-2T(c)(3)(i)"/>
        </w:smartTagPr>
        <w:r>
          <w:t>§1.469-2T(c)(3)(i)</w:t>
        </w:r>
      </w:smartTag>
      <w:r>
        <w:t xml:space="preserve"> lists CFCs. Therefore, the </w:t>
      </w:r>
      <w:smartTag w:uri="http://www.bna.com/sgml2word/cite" w:element="cite.usc">
        <w:smartTagPr>
          <w:attr w:name="ref" w:val="usc\26\965(a)"/>
        </w:smartTagPr>
        <w:r>
          <w:t>§965(a)</w:t>
        </w:r>
      </w:smartTag>
      <w:r>
        <w:t xml:space="preserve"> inclusion would be an increase in the </w:t>
      </w:r>
      <w:smartTag w:uri="http://www.bna.com/sgml2word/cite" w:element="cite.usc">
        <w:smartTagPr>
          <w:attr w:name="ref" w:val="USC\26\163(d)"/>
        </w:smartTagPr>
        <w:r>
          <w:t>§163(d)</w:t>
        </w:r>
      </w:smartTag>
      <w:r>
        <w:t xml:space="preserve"> limit and the </w:t>
      </w:r>
      <w:smartTag w:uri="http://www.bna.com/sgml2word/cite" w:element="cite.usc">
        <w:smartTagPr>
          <w:attr w:name="ref" w:val="usc\26\965(c)"/>
        </w:smartTagPr>
        <w:r>
          <w:t>§965(c)</w:t>
        </w:r>
      </w:smartTag>
      <w:r>
        <w:t xml:space="preserve"> deduction would, logically, be </w:t>
      </w:r>
      <w:smartTag w:uri="http://www.bna.com/sgml2word/cite" w:element="cite.usc">
        <w:smartTagPr>
          <w:attr w:name="ref" w:val="USC\26\163(d)(4)(C)"/>
        </w:smartTagPr>
        <w:r>
          <w:t>§163(d)(4)(C)</w:t>
        </w:r>
      </w:smartTag>
      <w:r>
        <w:t xml:space="preserve">, and thus reduce investment income. Because amounts included in </w:t>
      </w:r>
      <w:smartTag w:uri="http://www.bna.com/sgml2word/cite" w:element="cite.usc">
        <w:smartTagPr>
          <w:attr w:name="ref" w:val="USC\26\163(d)(4)(C)"/>
        </w:smartTagPr>
        <w:r>
          <w:t>§163(d)(4)(C)</w:t>
        </w:r>
      </w:smartTag>
      <w:r>
        <w:t xml:space="preserve"> are deductible in computing NII under Reg. </w:t>
      </w:r>
      <w:smartTag w:uri="http://www.bna.com/sgml2word/cite" w:element="cite.cfr">
        <w:smartTagPr>
          <w:attr w:name="ref" w:val="cfr\26\1.1411-4(f)(3)(ii)"/>
        </w:smartTagPr>
        <w:r>
          <w:t>§1.1411-4(f)(3)(ii)</w:t>
        </w:r>
      </w:smartTag>
      <w:r>
        <w:t>,</w:t>
      </w:r>
      <w:r>
        <w:rPr>
          <w:rStyle w:val="FootnoteReference"/>
        </w:rPr>
        <w:footnoteReference w:id="961"/>
      </w:r>
      <w:r>
        <w:t xml:space="preserve"> it is reasonable to conclude that the deduction allowed by </w:t>
      </w:r>
      <w:smartTag w:uri="http://www.bna.com/sgml2word/cite" w:element="cite.usc">
        <w:smartTagPr>
          <w:attr w:name="ref" w:val="usc\26\965(c)"/>
        </w:smartTagPr>
        <w:r>
          <w:t>§965(c)</w:t>
        </w:r>
      </w:smartTag>
      <w:r>
        <w:t xml:space="preserve"> should be deductible for NII purposes. </w:t>
      </w:r>
    </w:p>
    <w:p w14:paraId="1773F1A8" w14:textId="77777777" w:rsidR="00494B49" w:rsidRDefault="00494B49">
      <w:pPr>
        <w:pStyle w:val="BHead2"/>
      </w:pPr>
      <w:r>
        <w:t>4. NIIT Treatment of Installments Payable Over Eight Years (§965(h))</w:t>
      </w:r>
    </w:p>
    <w:p w14:paraId="560A7200" w14:textId="77777777" w:rsidR="00494B49" w:rsidRDefault="00494B49">
      <w:pPr>
        <w:pStyle w:val="BNormal"/>
      </w:pPr>
      <w:r>
        <w:t xml:space="preserve">The amount of tax that is eligible for deferral under </w:t>
      </w:r>
      <w:smartTag w:uri="http://www.bna.com/sgml2word/cite" w:element="cite.usc">
        <w:smartTagPr>
          <w:attr w:name="ref" w:val="usc\26\965(h)(6)(A)"/>
        </w:smartTagPr>
        <w:r>
          <w:t>§965(h)(6)(A)</w:t>
        </w:r>
      </w:smartTag>
      <w:r>
        <w:t xml:space="preserve"> is, generally, a “with and without” calculation. Specifically, </w:t>
      </w:r>
      <w:smartTag w:uri="http://www.bna.com/sgml2word/cite" w:element="cite.usc">
        <w:smartTagPr>
          <w:attr w:name="ref" w:val="usc\26\965(h)(6)(A)"/>
        </w:smartTagPr>
        <w:r>
          <w:t>§965(h)(6)(A)</w:t>
        </w:r>
      </w:smartTag>
      <w:r>
        <w:t xml:space="preserve"> provides that the net tax liability under this section with respect to any U.S. shareholder is the excess (if any) of: (i) such taxpayer's net income tax for the taxable year in which an amount is included in the gross income of such U.S. shareholder under </w:t>
      </w:r>
      <w:smartTag w:uri="http://www.bna.com/sgml2word/cite" w:element="cite.usc">
        <w:smartTagPr>
          <w:attr w:name="ref" w:val="usc\26\951(a)(1)"/>
        </w:smartTagPr>
        <w:r>
          <w:t>§951(a)(1)</w:t>
        </w:r>
      </w:smartTag>
      <w:r>
        <w:t xml:space="preserve"> by reason of this section [the “with”], over (ii) such taxpayer's net income tax for such taxable year determined: (I) without regard to this section, and (II) without regard to any income or deduction properly attributable to a dividend received by such U.S. shareholder from any DFIC [the “without”].</w:t>
      </w:r>
    </w:p>
    <w:p w14:paraId="69C45E23" w14:textId="77777777" w:rsidR="00494B49" w:rsidRDefault="00494B49">
      <w:pPr>
        <w:pStyle w:val="BNormal"/>
      </w:pPr>
      <w:r>
        <w:t xml:space="preserve">Section </w:t>
      </w:r>
      <w:smartTag w:uri="http://www.bna.com/sgml2word/cite" w:element="cite.usc">
        <w:smartTagPr>
          <w:attr w:name="ref" w:val="usc\26\965(h)(6)(B)"/>
        </w:smartTagPr>
        <w:r>
          <w:t>965(h)(6)(B)</w:t>
        </w:r>
      </w:smartTag>
      <w:r>
        <w:t xml:space="preserve"> provides that the term "net income tax" means the regular tax liability reduced by the credits allowed under subparts A, B, and D of part IV of subchapter A. Under </w:t>
      </w:r>
      <w:smartTag w:uri="http://www.bna.com/sgml2word/cite" w:element="cite.usc">
        <w:smartTagPr>
          <w:attr w:name="ref" w:val="usc\26\26(b)(1)"/>
        </w:smartTagPr>
        <w:r>
          <w:t>§26(b)(1)</w:t>
        </w:r>
      </w:smartTag>
      <w:r>
        <w:t>, which is found in subpart A of part IV of subchapter A, provides that the term “regular tax liability,” for purposes of part IV of subchapter A, means the tax imposed by this chapter for the taxable year.</w:t>
      </w:r>
    </w:p>
    <w:p w14:paraId="2D5C5363" w14:textId="77777777" w:rsidR="00494B49" w:rsidRDefault="00494B49">
      <w:pPr>
        <w:pStyle w:val="BNormal"/>
      </w:pPr>
      <w:r>
        <w:t xml:space="preserve">Because NIIT is in Chapter 2A of the Code, after government intervention, it is unlikely that the installment deferral mechanism in </w:t>
      </w:r>
      <w:smartTag w:uri="http://www.bna.com/sgml2word/cite" w:element="cite.usc">
        <w:smartTagPr>
          <w:attr w:name="ref" w:val="usc\26\965(h)"/>
        </w:smartTagPr>
        <w:r>
          <w:t>§965(h)</w:t>
        </w:r>
      </w:smartTag>
      <w:r>
        <w:t xml:space="preserve"> is broad enough to cover the NIIT. As a result, in the event of any income inclusion, either by reason of a Reg. </w:t>
      </w:r>
      <w:smartTag w:uri="http://www.bna.com/sgml2word/cite" w:element="cite.cfr">
        <w:smartTagPr>
          <w:attr w:name="ref" w:val="cfr\26\1.1411-10(g)"/>
        </w:smartTagPr>
        <w:r>
          <w:t>§1.1411-10(g)</w:t>
        </w:r>
      </w:smartTag>
      <w:r>
        <w:t xml:space="preserve"> Election or by reason of a previously taxed income distribution from an entity without a Reg. </w:t>
      </w:r>
      <w:smartTag w:uri="http://www.bna.com/sgml2word/cite" w:element="cite.cfr">
        <w:smartTagPr>
          <w:attr w:name="ref" w:val="cfr\26\1.1411-10(g)"/>
        </w:smartTagPr>
        <w:r>
          <w:t>§1.1411-10(g)</w:t>
        </w:r>
      </w:smartTag>
      <w:r>
        <w:t xml:space="preserve"> Election, the NIIT liability is unlikely able to be deferred.</w:t>
      </w:r>
    </w:p>
    <w:p w14:paraId="49F7BB4E" w14:textId="77777777" w:rsidR="00494B49" w:rsidRDefault="00494B49">
      <w:pPr>
        <w:pStyle w:val="BCommentpara"/>
      </w:pPr>
      <w:r>
        <w:rPr>
          <w:rStyle w:val="BCommenthead"/>
        </w:rPr>
        <w:t xml:space="preserve">Note: </w:t>
      </w:r>
      <w:r>
        <w:t xml:space="preserve">The IRS addressed various aspects of </w:t>
      </w:r>
      <w:smartTag w:uri="http://www.bna.com/sgml2word/cite" w:element="cite.usc">
        <w:smartTagPr>
          <w:attr w:name="ref" w:val="usc\26\965(h)"/>
        </w:smartTagPr>
        <w:r>
          <w:t>§965(h)</w:t>
        </w:r>
      </w:smartTag>
      <w:r>
        <w:t xml:space="preserve"> in a series of Q&amp;A posted on its website. Question 14 of the Q&amp;As addresses whether taxpayers making an election under </w:t>
      </w:r>
      <w:smartTag w:uri="http://www.bna.com/sgml2word/cite" w:element="cite.usc">
        <w:smartTagPr>
          <w:attr w:name="ref" w:val="usc\26\965(h)"/>
        </w:smartTagPr>
        <w:r>
          <w:t>§965(h)</w:t>
        </w:r>
      </w:smartTag>
      <w:r>
        <w:t xml:space="preserve"> could receive refunds of any 2017 payments or estimated tax payments that exceeded the sum of their 2017 net income tax liability described under </w:t>
      </w:r>
      <w:smartTag w:uri="http://www.bna.com/sgml2word/cite" w:element="cite.usc">
        <w:smartTagPr>
          <w:attr w:name="ref" w:val="usc\26\965(h)"/>
        </w:smartTagPr>
        <w:r>
          <w:t>§965(h)(6)(A)(ii)</w:t>
        </w:r>
      </w:smartTag>
      <w:r>
        <w:t xml:space="preserve">, which is the taxpayer’s net income tax liability determined without regard to </w:t>
      </w:r>
      <w:smartTag w:uri="http://www.bna.com/sgml2word/cite" w:element="cite.usc">
        <w:smartTagPr>
          <w:attr w:name="ref" w:val="usc\26\965(h)"/>
        </w:smartTagPr>
        <w:r>
          <w:t>§965</w:t>
        </w:r>
      </w:smartTag>
      <w:r>
        <w:t xml:space="preserve">, plus the taxpayer’s first annual installment pursuant to an election under </w:t>
      </w:r>
      <w:smartTag w:uri="http://www.bna.com/sgml2word/cite" w:element="cite.usc">
        <w:smartTagPr>
          <w:attr w:name="ref" w:val="usc\26\965(h)"/>
        </w:smartTagPr>
        <w:r>
          <w:t>§965(h)</w:t>
        </w:r>
      </w:smartTag>
      <w:r>
        <w:t xml:space="preserve"> due in 2018. Answer 14 provides that taxpayers are not eligible for a refund of this amount unless and until the amount of payments exceeds the entire unpaid 2017 </w:t>
      </w:r>
      <w:r>
        <w:lastRenderedPageBreak/>
        <w:t xml:space="preserve">income tax liability, including all amounts to be paid in installments under </w:t>
      </w:r>
      <w:smartTag w:uri="http://www.bna.com/sgml2word/cite" w:element="cite.usc">
        <w:smartTagPr>
          <w:attr w:name="ref" w:val="usc\26\965(h)"/>
        </w:smartTagPr>
        <w:r>
          <w:t>§965(h)</w:t>
        </w:r>
      </w:smartTag>
      <w:r>
        <w:t xml:space="preserve"> in subsequent years. Answer 14 further provides that any excess amount paid would instead be applied to the “next successive annual installment (due in 2019), and to the extent such excess exceeds the amount of that installment due, then to the next such successive annual installment (due in 2020), etc.”</w:t>
      </w:r>
    </w:p>
    <w:p w14:paraId="3FD97DF9" w14:textId="77777777" w:rsidR="00494B49" w:rsidRDefault="00494B49">
      <w:pPr>
        <w:pStyle w:val="BNormal"/>
      </w:pPr>
      <w:r>
        <w:t xml:space="preserve">In </w:t>
      </w:r>
      <w:smartTag w:uri="http://www.bna.com/sgml2word/cite" w:element="cite.agency.doc">
        <w:smartTagPr>
          <w:attr w:name="ref" w:val="irs\PMTA\2018-16"/>
        </w:smartTagPr>
        <w:r>
          <w:t>PMTA 2018-16</w:t>
        </w:r>
      </w:smartTag>
      <w:r>
        <w:t>, the IRS Chief Counsel addressed whether taxpayers could obtain a refund of or apply as a credit to their next year’s estimated tax liability any amount that exceeded the amount currently due. The IRS Chief Counsel also addressed whether the IRS's offset refund bypass procedures described in IRM 21.4.6.5.7.1 applied.</w:t>
      </w:r>
    </w:p>
    <w:p w14:paraId="15C27CBF" w14:textId="77777777" w:rsidR="00494B49" w:rsidRDefault="00494B49">
      <w:pPr>
        <w:pStyle w:val="BNormal"/>
      </w:pPr>
      <w:r>
        <w:t xml:space="preserve">The IRS Chief Counsel concluded that an overpayment under </w:t>
      </w:r>
      <w:smartTag w:uri="http://www.bna.com/sgml2word/cite" w:element="cite.usc">
        <w:smartTagPr>
          <w:attr w:name="ref" w:val="usc\26\6402(a)"/>
        </w:smartTagPr>
        <w:r>
          <w:t>§6402(a)</w:t>
        </w:r>
      </w:smartTag>
      <w:r>
        <w:t xml:space="preserve"> does not exist with respect to a 2017 income tax liability unless and until the entire liability is fully paid, including any amount of that liability that is subject to an election to pay that income tax liability in installments under </w:t>
      </w:r>
      <w:smartTag w:uri="http://www.bna.com/sgml2word/cite" w:element="cite.usc">
        <w:smartTagPr>
          <w:attr w:name="ref" w:val="usc\26\965(h)"/>
        </w:smartTagPr>
        <w:r>
          <w:t>§965(h)</w:t>
        </w:r>
      </w:smartTag>
      <w:r>
        <w:t xml:space="preserve">. Absent an overpayment of the entire tax liability for the 2017 tax period, the IRS cannot issue a credit or refund under </w:t>
      </w:r>
      <w:smartTag w:uri="http://www.bna.com/sgml2word/cite" w:element="cite.usc">
        <w:smartTagPr>
          <w:attr w:name="ref" w:val="usc\26\6402(a)"/>
        </w:smartTagPr>
        <w:r>
          <w:t>§6402(a)</w:t>
        </w:r>
      </w:smartTag>
      <w:r>
        <w:t xml:space="preserve"> with respect to the 2017 tax period.</w:t>
      </w:r>
    </w:p>
    <w:p w14:paraId="61386335" w14:textId="77777777" w:rsidR="00494B49" w:rsidRDefault="00494B49">
      <w:pPr>
        <w:pStyle w:val="BNormal"/>
      </w:pPr>
      <w:r>
        <w:t xml:space="preserve">Addressing the offset refund bypass procedures, the Chief Counsel noted that taxpayers who made elections under </w:t>
      </w:r>
      <w:smartTag w:uri="http://www.bna.com/sgml2word/cite" w:element="cite.usc">
        <w:smartTagPr>
          <w:attr w:name="ref" w:val="usc\26\965(h)"/>
        </w:smartTagPr>
        <w:r>
          <w:t>§965(h)</w:t>
        </w:r>
      </w:smartTag>
      <w:r>
        <w:t xml:space="preserve"> to pay in installments, and who made estimated tax payments with respect to their 2017 income tax liability before Congress enacted the amendments to </w:t>
      </w:r>
      <w:smartTag w:uri="http://www.bna.com/sgml2word/cite" w:element="cite.usc">
        <w:smartTagPr>
          <w:attr w:name="ref" w:val="usc\26\965(h)"/>
        </w:smartTagPr>
        <w:r>
          <w:t>§965</w:t>
        </w:r>
      </w:smartTag>
      <w:r>
        <w:t xml:space="preserve">, may have remitted more than the sum of the portion of their 2017 income tax liability not subject to payment in installments and their first installment payment of their </w:t>
      </w:r>
      <w:smartTag w:uri="http://www.bna.com/sgml2word/cite" w:element="cite.usc">
        <w:smartTagPr>
          <w:attr w:name="ref" w:val="usc\26\965(h)"/>
        </w:smartTagPr>
        <w:r>
          <w:t>§965(h)</w:t>
        </w:r>
      </w:smartTag>
      <w:r>
        <w:t xml:space="preserve"> net tax liability. A taxpayer’s </w:t>
      </w:r>
      <w:smartTag w:uri="http://www.bna.com/sgml2word/cite" w:element="cite.usc">
        <w:smartTagPr>
          <w:attr w:name="ref" w:val="usc\26\965(h)"/>
        </w:smartTagPr>
        <w:r>
          <w:t>§965(h)</w:t>
        </w:r>
      </w:smartTag>
      <w:r>
        <w:t xml:space="preserve"> election to defer payment of the net tax liability under </w:t>
      </w:r>
      <w:smartTag w:uri="http://www.bna.com/sgml2word/cite" w:element="cite.usc">
        <w:smartTagPr>
          <w:attr w:name="ref" w:val="usc\26\965(h)(6)"/>
        </w:smartTagPr>
        <w:r>
          <w:t>§965(h)(6)</w:t>
        </w:r>
      </w:smartTag>
      <w:r>
        <w:t xml:space="preserve"> makes that liability a tax payable in installments. In the case of a tax payable in installments, </w:t>
      </w:r>
      <w:smartTag w:uri="http://www.bna.com/sgml2word/cite" w:element="cite.usc">
        <w:smartTagPr>
          <w:attr w:name="ref" w:val="usc\26\6403"/>
        </w:smartTagPr>
        <w:r>
          <w:t>§6403</w:t>
        </w:r>
      </w:smartTag>
      <w:r>
        <w:t xml:space="preserve"> provides that any amount paid in excess of the correct amount of the installment must be credited against the unpaid installments, if any. </w:t>
      </w:r>
      <w:smartTag w:uri="http://www.bna.com/sgml2word/cite" w:element="cite.usc">
        <w:smartTagPr>
          <w:attr w:name="ref" w:val="usc\26\6403"/>
        </w:smartTagPr>
        <w:r>
          <w:t>Section 6403</w:t>
        </w:r>
      </w:smartTag>
      <w:r>
        <w:t xml:space="preserve"> does not set out the order in which the excess payments are to be applied to the remaining installments due. The IRS explained that it will apply any excess amount to the next successive annual installment due in 2019, and to the extent such excess exceeds the amount of that installment due, then to the next such successive annual installment until the excess amount has been fully applied. </w:t>
      </w:r>
      <w:smartTag w:uri="http://www.bna.com/sgml2word/cite" w:element="cite.usc">
        <w:smartTagPr>
          <w:attr w:name="ref" w:val="usc\26\6403"/>
        </w:smartTagPr>
        <w:r>
          <w:t>Section 6403</w:t>
        </w:r>
      </w:smartTag>
      <w:r>
        <w:t xml:space="preserve"> does not allow the IRS to refund any excess installment payment to the taxpayer before there being an overpayment of the entire liability as provided in </w:t>
      </w:r>
      <w:smartTag w:uri="http://www.bna.com/sgml2word/cite" w:element="cite.usc">
        <w:smartTagPr>
          <w:attr w:name="ref" w:val="usc\26\6402"/>
        </w:smartTagPr>
        <w:r>
          <w:t>§6402</w:t>
        </w:r>
      </w:smartTag>
      <w:r>
        <w:t xml:space="preserve">. The IRS Chief Counsel concluded that, because there is no overpayment under </w:t>
      </w:r>
      <w:smartTag w:uri="http://www.bna.com/sgml2word/cite" w:element="cite.usc">
        <w:smartTagPr>
          <w:attr w:name="ref" w:val="usc\26\6402"/>
        </w:smartTagPr>
        <w:r>
          <w:t>§6402</w:t>
        </w:r>
      </w:smartTag>
      <w:r>
        <w:t xml:space="preserve"> until the entire 2017 tax liability is paid, including all of the installments of the deferred payment, the offset refund bypass procedures do not apply.</w:t>
      </w:r>
    </w:p>
    <w:p w14:paraId="4B42CE75" w14:textId="77777777" w:rsidR="00494B49" w:rsidRDefault="00494B49">
      <w:pPr>
        <w:pStyle w:val="BHead1"/>
      </w:pPr>
      <w:r>
        <w:t>H. NIIT Treatment of Taxpayers Making a §962 Election</w:t>
      </w:r>
    </w:p>
    <w:p w14:paraId="5CF72F0D" w14:textId="77777777" w:rsidR="00494B49" w:rsidRDefault="00494B49">
      <w:pPr>
        <w:pStyle w:val="BNormal"/>
      </w:pPr>
      <w:r>
        <w:t xml:space="preserve">There are no rules in the </w:t>
      </w:r>
      <w:smartTag w:uri="http://www.bna.com/sgml2word/cite" w:element="cite.usc">
        <w:smartTagPr>
          <w:attr w:name="ref" w:val="USC\26\1411"/>
        </w:smartTagPr>
        <w:r>
          <w:t>§1411</w:t>
        </w:r>
      </w:smartTag>
      <w:r>
        <w:t xml:space="preserve"> regulations addressing the NIIT consequences of taxpayers making a </w:t>
      </w:r>
      <w:smartTag w:uri="http://www.bna.com/sgml2word/cite" w:element="cite.usc">
        <w:smartTagPr>
          <w:attr w:name="ref" w:val="usc\26\962"/>
        </w:smartTagPr>
        <w:r>
          <w:t>§962</w:t>
        </w:r>
      </w:smartTag>
      <w:r>
        <w:t xml:space="preserve"> election. During the drafting process, it was believed that taxpayers making the </w:t>
      </w:r>
      <w:smartTag w:uri="http://www.bna.com/sgml2word/cite" w:element="cite.usc">
        <w:smartTagPr>
          <w:attr w:name="ref" w:val="usc\26\962"/>
        </w:smartTagPr>
        <w:r>
          <w:t>§962</w:t>
        </w:r>
      </w:smartTag>
      <w:r>
        <w:t xml:space="preserve"> election were so exceptionally rare that no special rules were necessary.</w:t>
      </w:r>
      <w:r>
        <w:rPr>
          <w:rStyle w:val="FootnoteReference"/>
        </w:rPr>
        <w:footnoteReference w:id="962"/>
      </w:r>
      <w:r>
        <w:t xml:space="preserve"> The rarity of the election changed when the TCJA created the global intangible low-taxed income (GILTI) regime. For a more detailed discussion of </w:t>
      </w:r>
      <w:smartTag w:uri="http://www.bna.com/sgml2word/cite" w:element="cite.usc">
        <w:smartTagPr>
          <w:attr w:name="ref" w:val="usc\26\962"/>
        </w:smartTagPr>
        <w:r>
          <w:t>§962</w:t>
        </w:r>
      </w:smartTag>
      <w:r>
        <w:t xml:space="preserve"> elections, see </w:t>
      </w:r>
      <w:smartTag w:uri="http://www.bna.com/sgml2word/cite" w:element="cite.bna.reference">
        <w:smartTagPr>
          <w:attr w:name="bna.id.ref" w:val="tm\6040"/>
        </w:smartTagPr>
        <w:r>
          <w:t>6040 T.M.</w:t>
        </w:r>
      </w:smartTag>
      <w:r>
        <w:t xml:space="preserve">, </w:t>
      </w:r>
      <w:r>
        <w:rPr>
          <w:i/>
        </w:rPr>
        <w:t>Indirect Foreign Tax Credits</w:t>
      </w:r>
      <w:r>
        <w:t xml:space="preserve"> (Foreign Income Series), and </w:t>
      </w:r>
      <w:smartTag w:uri="http://www.bna.com/sgml2word/cite" w:element="cite.bna.reference">
        <w:smartTagPr>
          <w:attr w:name="bna.id.ref" w:val="TM\6200"/>
        </w:smartTagPr>
        <w:r>
          <w:t>6200 T.M.</w:t>
        </w:r>
      </w:smartTag>
      <w:r>
        <w:t xml:space="preserve">, </w:t>
      </w:r>
      <w:r>
        <w:rPr>
          <w:i/>
        </w:rPr>
        <w:t>CFCs - General Overview</w:t>
      </w:r>
      <w:r>
        <w:t xml:space="preserve"> (Foreign Income Series).</w:t>
      </w:r>
    </w:p>
    <w:p w14:paraId="11D4E9AE" w14:textId="77777777" w:rsidR="00494B49" w:rsidRDefault="00494B49">
      <w:pPr>
        <w:pStyle w:val="BNormal"/>
      </w:pPr>
      <w:r>
        <w:lastRenderedPageBreak/>
        <w:t xml:space="preserve">Generally, a </w:t>
      </w:r>
      <w:smartTag w:uri="http://www.bna.com/sgml2word/cite" w:element="cite.usc">
        <w:smartTagPr>
          <w:attr w:name="ref" w:val="usc\26\962"/>
        </w:smartTagPr>
        <w:r>
          <w:t>§962</w:t>
        </w:r>
      </w:smartTag>
      <w:r>
        <w:t xml:space="preserve"> election is an annual election that may be made by a U.S. individual or trust to be taxed in the manner of a domestic corporation with respect to items of subpart F and GILTI. The election is only available to individuals and trusts that are considered U.S. shareholders within the meaning of </w:t>
      </w:r>
      <w:smartTag w:uri="http://www.bna.com/sgml2word/cite" w:element="cite.usc">
        <w:smartTagPr>
          <w:attr w:name="ref" w:val="usc\26\951(b)"/>
        </w:smartTagPr>
        <w:r>
          <w:t>§951(b)</w:t>
        </w:r>
      </w:smartTag>
      <w:r>
        <w:t>.</w:t>
      </w:r>
      <w:r>
        <w:rPr>
          <w:rStyle w:val="FootnoteReference"/>
        </w:rPr>
        <w:footnoteReference w:id="963"/>
      </w:r>
    </w:p>
    <w:p w14:paraId="30157787" w14:textId="77777777" w:rsidR="00494B49" w:rsidRDefault="00494B49">
      <w:pPr>
        <w:pStyle w:val="BNormal"/>
      </w:pPr>
      <w:smartTag w:uri="http://www.bna.com/sgml2word/cite" w:element="cite.usc">
        <w:smartTagPr>
          <w:attr w:name="ref" w:val="usc\26\962(a)"/>
        </w:smartTagPr>
        <w:r>
          <w:t>Section 962(a)</w:t>
        </w:r>
      </w:smartTag>
      <w:r>
        <w:t xml:space="preserve"> provides that the tax imposed on items included in the electing U.S. shareholder’s gross income under </w:t>
      </w:r>
      <w:smartTag w:uri="http://www.bna.com/sgml2word/cite" w:element="cite.usc">
        <w:smartTagPr>
          <w:attr w:name="ref" w:val="USC\26\951(a)"/>
        </w:smartTagPr>
        <w:r>
          <w:t>§951(a)</w:t>
        </w:r>
      </w:smartTag>
      <w:r>
        <w:t xml:space="preserve"> is subject to tax under </w:t>
      </w:r>
      <w:smartTag w:uri="http://www.bna.com/sgml2word/cite" w:element="cite.usc">
        <w:smartTagPr>
          <w:attr w:name="ref" w:val="usc\26\11"/>
        </w:smartTagPr>
        <w:r>
          <w:t>§11</w:t>
        </w:r>
      </w:smartTag>
      <w:r>
        <w:t xml:space="preserve">, “in lieu of the tax determined under </w:t>
      </w:r>
      <w:smartTag w:uri="http://www.bna.com/sgml2word/cite" w:element="cite.usc">
        <w:smartTagPr>
          <w:attr w:name="ref" w:val="USC\26\1"/>
        </w:smartTagPr>
        <w:r>
          <w:t>sections 1</w:t>
        </w:r>
      </w:smartTag>
      <w:r>
        <w:t xml:space="preserve"> and </w:t>
      </w:r>
      <w:smartTag w:uri="http://www.bna.com/sgml2word/cite" w:element="cite.usc">
        <w:smartTagPr>
          <w:attr w:name="ref" w:val="usc\26\55"/>
        </w:smartTagPr>
        <w:r>
          <w:t>55</w:t>
        </w:r>
      </w:smartTag>
      <w:r>
        <w:t xml:space="preserve">.” Additionally, the statute provides that the electing shareholder is eligible to claim credit for deemed paid foreign income taxes allocable to such subpart F income inclusions. </w:t>
      </w:r>
      <w:smartTag w:uri="http://www.bna.com/sgml2word/cite" w:element="cite.usc">
        <w:smartTagPr>
          <w:attr w:name="ref" w:val="usc\26\951A(f)(1)(A)"/>
        </w:smartTagPr>
        <w:r>
          <w:t>Section 951A(f)(1)(A)</w:t>
        </w:r>
      </w:smartTag>
      <w:r>
        <w:t xml:space="preserve"> extends the reach of a </w:t>
      </w:r>
      <w:smartTag w:uri="http://www.bna.com/sgml2word/cite" w:element="cite.usc">
        <w:smartTagPr>
          <w:attr w:name="ref" w:val="usc\26\962"/>
        </w:smartTagPr>
        <w:r>
          <w:t>§962</w:t>
        </w:r>
      </w:smartTag>
      <w:r>
        <w:t xml:space="preserve"> election to the GILTI regime.</w:t>
      </w:r>
    </w:p>
    <w:p w14:paraId="42973C2D" w14:textId="77777777" w:rsidR="00494B49" w:rsidRDefault="00494B49">
      <w:pPr>
        <w:pStyle w:val="BNormal"/>
      </w:pPr>
      <w:r>
        <w:t xml:space="preserve">In exchange for these benefits, the electing shareholder must adjust U.S. tax attributes that typically arise from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w:t>
      </w:r>
      <w:smartTag w:uri="http://www.bna.com/sgml2word/cite" w:element="cite.usc">
        <w:smartTagPr>
          <w:attr w:name="ref" w:val="usc\26\962(d)"/>
        </w:smartTagPr>
        <w:r>
          <w:t>Section 962(d)</w:t>
        </w:r>
      </w:smartTag>
      <w:r>
        <w:t xml:space="preserve"> provides that notwithstanding the ordinary operation of </w:t>
      </w:r>
      <w:smartTag w:uri="http://www.bna.com/sgml2word/cite" w:element="cite.usc">
        <w:smartTagPr>
          <w:attr w:name="ref" w:val="USC\26\959"/>
        </w:smartTagPr>
        <w:r>
          <w:t>§959</w:t>
        </w:r>
      </w:smartTag>
      <w:r>
        <w:t xml:space="preserve"> to exclude distributions of a U.S. shareholder’s balance of previously taxed earnings and profits (PTEP), distributions of PTEP in excess of the amount of U.S. federal income tax paid with respect to the U.S. shareholder’s CFC income inclusions subject to a </w:t>
      </w:r>
      <w:smartTag w:uri="http://www.bna.com/sgml2word/cite" w:element="cite.usc">
        <w:smartTagPr>
          <w:attr w:name="ref" w:val="usc\26\962"/>
        </w:smartTagPr>
        <w:r>
          <w:t>§962</w:t>
        </w:r>
      </w:smartTag>
      <w:r>
        <w:t xml:space="preserve"> election are nonetheless included in gross income by the U.S. shareholder. </w:t>
      </w:r>
      <w:smartTag w:uri="http://www.bna.com/sgml2word/cite" w:element="cite.usc">
        <w:smartTagPr>
          <w:attr w:name="ref" w:val="usc\26\961(a)"/>
        </w:smartTagPr>
        <w:r>
          <w:t>Section 961(a)</w:t>
        </w:r>
      </w:smartTag>
      <w:r>
        <w:t xml:space="preserve"> provides a corresponding limitation to the U.S. tax basis adjustments that would typically be made with respect to a U.S. shareholder's subpart F and GILTI inclusions, similarly limiting these adjustments to only federal tax paid with respect to the electing shareholder’s inclusions.</w:t>
      </w:r>
    </w:p>
    <w:p w14:paraId="3EEC64C9" w14:textId="77777777" w:rsidR="00494B49" w:rsidRDefault="00494B49">
      <w:pPr>
        <w:pStyle w:val="BNormal"/>
      </w:pPr>
      <w:r>
        <w:t>Given the growing popularity of the election following TCJA, the 2021 Form 1040 instructions added a note that reads:</w:t>
      </w:r>
    </w:p>
    <w:p w14:paraId="0DE35614" w14:textId="77777777" w:rsidR="00494B49" w:rsidRDefault="00494B49">
      <w:pPr>
        <w:pStyle w:val="BQuotelong"/>
      </w:pPr>
      <w:r>
        <w:t xml:space="preserve">If you made a </w:t>
      </w:r>
      <w:smartTag w:uri="http://www.bna.com/sgml2word/cite" w:element="cite.usc">
        <w:smartTagPr>
          <w:attr w:name="ref" w:val="usc\26\962"/>
        </w:smartTagPr>
        <w:r>
          <w:t>section 962</w:t>
        </w:r>
      </w:smartTag>
      <w:r>
        <w:t xml:space="preserve"> election and have an income inclusion under </w:t>
      </w:r>
      <w:smartTag w:uri="http://www.bna.com/sgml2word/cite" w:element="cite.usc">
        <w:smartTagPr>
          <w:attr w:name="ref" w:val="USC\26\951"/>
        </w:smartTagPr>
        <w:r>
          <w:t>section 951</w:t>
        </w:r>
      </w:smartTag>
      <w:r>
        <w:t xml:space="preserve"> or </w:t>
      </w:r>
      <w:smartTag w:uri="http://www.bna.com/sgml2word/cite" w:element="cite.usc">
        <w:smartTagPr>
          <w:attr w:name="ref" w:val="usc\26\951A"/>
        </w:smartTagPr>
        <w:r>
          <w:t>[section] 951A</w:t>
        </w:r>
      </w:smartTag>
      <w:r>
        <w:t xml:space="preserve">, do not report that income on line 8m or 8n, as applicable. Instead, report the tax with respect to the </w:t>
      </w:r>
      <w:smartTag w:uri="http://www.bna.com/sgml2word/cite" w:element="cite.usc">
        <w:smartTagPr>
          <w:attr w:name="ref" w:val="usc\26\962"/>
        </w:smartTagPr>
        <w:r>
          <w:t>section 962</w:t>
        </w:r>
      </w:smartTag>
      <w:r>
        <w:t xml:space="preserve"> election on the appropriate line on Form 1040 or 1040-SR, and attach a statement showing how you figured the tax that includes the gross amounts of </w:t>
      </w:r>
      <w:smartTag w:uri="http://www.bna.com/sgml2word/cite" w:element="cite.usc">
        <w:smartTagPr>
          <w:attr w:name="ref" w:val="USC\26\951"/>
        </w:smartTagPr>
        <w:r>
          <w:t>section 951</w:t>
        </w:r>
      </w:smartTag>
      <w:r>
        <w:t xml:space="preserve"> and </w:t>
      </w:r>
      <w:smartTag w:uri="http://www.bna.com/sgml2word/cite" w:element="cite.usc">
        <w:smartTagPr>
          <w:attr w:name="ref" w:val="usc\26\951A"/>
        </w:smartTagPr>
        <w:r>
          <w:t>section 951A</w:t>
        </w:r>
      </w:smartTag>
      <w:r>
        <w:t xml:space="preserve"> income.</w:t>
      </w:r>
      <w:r>
        <w:rPr>
          <w:rStyle w:val="FootnoteReference"/>
        </w:rPr>
        <w:footnoteReference w:id="964"/>
      </w:r>
    </w:p>
    <w:p w14:paraId="6569F5AF" w14:textId="77777777" w:rsidR="00494B49" w:rsidRDefault="00494B49">
      <w:pPr>
        <w:pStyle w:val="BNormal"/>
      </w:pPr>
      <w:r>
        <w:t xml:space="preserve">In order the understand why there are no rules in the NIIT regime for </w:t>
      </w:r>
      <w:smartTag w:uri="http://www.bna.com/sgml2word/cite" w:element="cite.usc">
        <w:smartTagPr>
          <w:attr w:name="ref" w:val="usc\26\962"/>
        </w:smartTagPr>
        <w:r>
          <w:t>§962</w:t>
        </w:r>
      </w:smartTag>
      <w:r>
        <w:t xml:space="preserve"> elections, a simple example of how a </w:t>
      </w:r>
      <w:smartTag w:uri="http://www.bna.com/sgml2word/cite" w:element="cite.usc">
        <w:smartTagPr>
          <w:attr w:name="ref" w:val="usc\26\962"/>
        </w:smartTagPr>
        <w:r>
          <w:t>§962</w:t>
        </w:r>
      </w:smartTag>
      <w:r>
        <w:t xml:space="preserve"> election works is necessary.</w:t>
      </w:r>
    </w:p>
    <w:p w14:paraId="2D033229" w14:textId="77777777" w:rsidR="00494B49" w:rsidRDefault="00494B49">
      <w:pPr>
        <w:pStyle w:val="BExamplepara"/>
      </w:pPr>
      <w:r>
        <w:rPr>
          <w:rStyle w:val="BExamplehead"/>
          <w:rFonts w:eastAsiaTheme="minorHAnsi"/>
          <w:i/>
        </w:rPr>
        <w:t xml:space="preserve">Example: </w:t>
      </w:r>
      <w:r>
        <w:t xml:space="preserve">Assume Individual A has $100,000 of </w:t>
      </w:r>
      <w:smartTag w:uri="http://www.bna.com/sgml2word/cite" w:element="cite.usc">
        <w:smartTagPr>
          <w:attr w:name="ref" w:val="USC\26\951(a)"/>
        </w:smartTagPr>
        <w:r>
          <w:t>§951(a)</w:t>
        </w:r>
      </w:smartTag>
      <w:r>
        <w:t xml:space="preserve"> inclusion in Year 1. Assume there is $5,000 of deemed paid foreign income taxes allocable to such inclusion. In year 2, there is a distribution of $75,000.</w:t>
      </w:r>
    </w:p>
    <w:p w14:paraId="6EA824D6" w14:textId="77777777" w:rsidR="00494B49" w:rsidRDefault="00494B49">
      <w:pPr>
        <w:pStyle w:val="BExamplepara"/>
      </w:pPr>
      <w:r>
        <w:t xml:space="preserve">In Year 1, Individual A does not include the $100,000 inclusion in gross income (nor adjusted gross income or taxable income) according to the 2021 Form 1040 instructions. The $100,000 is subject to corporate tax at the rate in effect in Year 1 (assume 21% in 2022). However, the inclusion must be grossed up under </w:t>
      </w:r>
      <w:smartTag w:uri="http://www.bna.com/sgml2word/cite" w:element="cite.usc">
        <w:smartTagPr>
          <w:attr w:name="ref" w:val="usc\26\78"/>
        </w:smartTagPr>
        <w:r>
          <w:t>§78</w:t>
        </w:r>
      </w:smartTag>
      <w:r>
        <w:t xml:space="preserve"> by the $5,000 of foreign taxes paid. Thus, the corporate tax is 21% of $105,000, or $22,050. The corporate tax of $22,050 </w:t>
      </w:r>
      <w:r>
        <w:lastRenderedPageBreak/>
        <w:t>is reduced by the $5,000 of deemed paid foreign income taxes allocable to such inclusion. Individual A will increase his total federal income tax (Form 1040) by $82,950. To the extent that Individual A receives a distribution, $82,950 will be considered a dividend ($100,000 inclusion less the amount of tax paid for the election year).</w:t>
      </w:r>
    </w:p>
    <w:p w14:paraId="439A0CB2" w14:textId="77777777" w:rsidR="00494B49" w:rsidRDefault="00494B49">
      <w:pPr>
        <w:pStyle w:val="BExamplepara"/>
      </w:pPr>
      <w:r>
        <w:t xml:space="preserve">In Year 2, Individual A receives a $75,000 distribution. As a consequence of the </w:t>
      </w:r>
      <w:smartTag w:uri="http://www.bna.com/sgml2word/cite" w:element="cite.usc">
        <w:smartTagPr>
          <w:attr w:name="ref" w:val="usc\26\962"/>
        </w:smartTagPr>
        <w:r>
          <w:t>§962</w:t>
        </w:r>
      </w:smartTag>
      <w:r>
        <w:t xml:space="preserve"> election in Year 1, the entire $75,000 will be considered a taxable dividend. The $75,000 will be reported on Individual A’s Form 1040, Schedule B as a dividend (and therefore will be included in adjusted gross income and taxable income).</w:t>
      </w:r>
      <w:r>
        <w:rPr>
          <w:rStyle w:val="FootnoteReference"/>
        </w:rPr>
        <w:footnoteReference w:id="965"/>
      </w:r>
    </w:p>
    <w:p w14:paraId="07E5D253" w14:textId="77777777" w:rsidR="00494B49" w:rsidRDefault="00494B49">
      <w:pPr>
        <w:pStyle w:val="BCommentpara"/>
      </w:pPr>
      <w:r>
        <w:rPr>
          <w:rStyle w:val="BCommenthead"/>
        </w:rPr>
        <w:t xml:space="preserve">Note: </w:t>
      </w:r>
      <w:r>
        <w:t xml:space="preserve">The construct is largely the same for a GILTI inclusion under </w:t>
      </w:r>
      <w:smartTag w:uri="http://www.bna.com/sgml2word/cite" w:element="cite.usc">
        <w:smartTagPr>
          <w:attr w:name="ref" w:val="usc\26\951A"/>
        </w:smartTagPr>
        <w:r>
          <w:t>§951A</w:t>
        </w:r>
      </w:smartTag>
      <w:r>
        <w:t xml:space="preserve"> except that it would generate a deduction under </w:t>
      </w:r>
      <w:smartTag w:uri="http://www.bna.com/sgml2word/cite" w:element="cite.usc">
        <w:smartTagPr>
          <w:attr w:name="ref" w:val="usc\26\250"/>
        </w:smartTagPr>
        <w:r>
          <w:t>§250</w:t>
        </w:r>
      </w:smartTag>
      <w:r>
        <w:t xml:space="preserve"> when calculating the corporate tax in Year 1.</w:t>
      </w:r>
    </w:p>
    <w:p w14:paraId="16C25C79" w14:textId="77777777" w:rsidR="00494B49" w:rsidRDefault="00494B49">
      <w:pPr>
        <w:pStyle w:val="BNormal"/>
      </w:pPr>
      <w:r>
        <w:t xml:space="preserve">As noted above, for NIIT purposes, no special rules are needed. When the </w:t>
      </w:r>
      <w:smartTag w:uri="http://www.bna.com/sgml2word/cite" w:element="cite.usc">
        <w:smartTagPr>
          <w:attr w:name="ref" w:val="usc\26\962"/>
        </w:smartTagPr>
        <w:r>
          <w:t>§962</w:t>
        </w:r>
      </w:smartTag>
      <w:r>
        <w:t xml:space="preserve"> election is made,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ceases to be gross income for the individual/estate/trust. As a result, whether or not the taxpayer made a </w:t>
      </w:r>
      <w:smartTag w:uri="http://www.bna.com/sgml2word/cite" w:element="cite.cfr">
        <w:smartTagPr>
          <w:attr w:name="ref" w:val="cfr\26\1.1411-10(g)"/>
        </w:smartTagPr>
        <w:r>
          <w:t>10(g)</w:t>
        </w:r>
      </w:smartTag>
      <w:r>
        <w:t xml:space="preserve"> Election for the CFC becomes irrelevant.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the taxpayer's AGI and therefore is not included in the taxpayer’s MAGI.</w:t>
      </w:r>
      <w:r>
        <w:rPr>
          <w:rStyle w:val="FootnoteReference"/>
        </w:rPr>
        <w:footnoteReference w:id="966"/>
      </w:r>
      <w:r>
        <w:t xml:space="preserve"> Again,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net investment income because it is “excluded income” (within the meaning of Reg. </w:t>
      </w:r>
      <w:smartTag w:uri="http://www.bna.com/sgml2word/cite" w:element="cite.cfr">
        <w:smartTagPr>
          <w:attr w:name="ref" w:val="cfr\26\1.1411-1(d)"/>
        </w:smartTagPr>
        <w:r>
          <w:t>§1.1411-1(d)</w:t>
        </w:r>
      </w:smartTag>
      <w:r>
        <w:t>).</w:t>
      </w:r>
      <w:r>
        <w:rPr>
          <w:rStyle w:val="FootnoteReference"/>
        </w:rPr>
        <w:footnoteReference w:id="967"/>
      </w:r>
    </w:p>
    <w:p w14:paraId="396248C7" w14:textId="77777777" w:rsidR="00494B49" w:rsidRDefault="00494B49">
      <w:pPr>
        <w:pStyle w:val="BNormal"/>
      </w:pPr>
      <w:r>
        <w:t xml:space="preserve">When the distribution occurs that carries out the amount relating to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that amount then becomes gross dividend income. That dividend income, without any rule in Reg. </w:t>
      </w:r>
      <w:smartTag w:uri="http://www.bna.com/sgml2word/cite" w:element="cite.cfr">
        <w:smartTagPr>
          <w:attr w:name="ref" w:val="cfr\26\1.1411-10"/>
        </w:smartTagPr>
        <w:r>
          <w:t>§1.1411-10</w:t>
        </w:r>
      </w:smartTag>
      <w:r>
        <w:t xml:space="preserve">, is included in MAGI because it is included in AGI. Thus, no modifications in Reg. </w:t>
      </w:r>
      <w:smartTag w:uri="http://www.bna.com/sgml2word/cite" w:element="cite.cfr">
        <w:smartTagPr>
          <w:attr w:name="ref" w:val="cfr\26\1.1411-10"/>
        </w:smartTagPr>
        <w:r>
          <w:t>§1.1411-10</w:t>
        </w:r>
      </w:smartTag>
      <w:r>
        <w:t xml:space="preserve"> are needed.</w:t>
      </w:r>
    </w:p>
    <w:p w14:paraId="0A8EC453" w14:textId="77777777" w:rsidR="00494B49" w:rsidRDefault="00494B49">
      <w:pPr>
        <w:pStyle w:val="BNormal"/>
      </w:pPr>
      <w:r>
        <w:t xml:space="preserve">Similarly, the distribution, deemed to be a dividend for chapter 1 purposes, is now automatically included in NII by reason of </w:t>
      </w:r>
      <w:smartTag w:uri="http://www.bna.com/sgml2word/cite" w:element="cite.usc">
        <w:smartTagPr>
          <w:attr w:name="ref" w:val="USC\26\1411(c)(1)(A)(i)"/>
        </w:smartTagPr>
        <w:r>
          <w:t>§1411(c)(1)(A)(i)</w:t>
        </w:r>
      </w:smartTag>
      <w:r>
        <w:t xml:space="preserve"> by reason of the definition of a dividend in Reg. </w:t>
      </w:r>
      <w:smartTag w:uri="http://www.bna.com/sgml2word/cite" w:element="cite.cfr">
        <w:smartTagPr>
          <w:attr w:name="ref" w:val="cfr\26\1.1411-1(d)"/>
        </w:smartTagPr>
        <w:r>
          <w:t>§1.1411-1(d)</w:t>
        </w:r>
      </w:smartTag>
      <w:r>
        <w:t xml:space="preserve">. Thus, no modifications in Reg. </w:t>
      </w:r>
      <w:smartTag w:uri="http://www.bna.com/sgml2word/cite" w:element="cite.cfr">
        <w:smartTagPr>
          <w:attr w:name="ref" w:val="cfr\26\1.1411-10"/>
        </w:smartTagPr>
        <w:r>
          <w:t>§1.1411-10</w:t>
        </w:r>
      </w:smartTag>
      <w:r>
        <w:t xml:space="preserve"> are needed.</w:t>
      </w:r>
    </w:p>
    <w:p w14:paraId="220E6950" w14:textId="77777777" w:rsidR="00494B49" w:rsidRDefault="00494B49">
      <w:pPr>
        <w:pStyle w:val="BChapterName"/>
      </w:pPr>
      <w:r>
        <w:t>VIII. Application to Individuals</w:t>
      </w:r>
    </w:p>
    <w:p w14:paraId="1DEAEEA4" w14:textId="77777777" w:rsidR="00494B49" w:rsidRDefault="00494B49">
      <w:pPr>
        <w:pStyle w:val="BNormal"/>
      </w:pPr>
      <w:r>
        <w:t xml:space="preserve">In the case of an individual, </w:t>
      </w:r>
      <w:smartTag w:uri="http://www.bna.com/sgml2word/cite" w:element="cite.usc">
        <w:smartTagPr>
          <w:attr w:name="ref" w:val="USC\26\1411(a)(1)"/>
        </w:smartTagPr>
        <w:r>
          <w:t>§1411(a)(1)</w:t>
        </w:r>
      </w:smartTag>
      <w:r>
        <w:t xml:space="preserve"> imposes a tax (in addition to any other tax imposed by Subtitle A) for each tax year equal to 3.8% of the lesser of (A) the individual’s net investment income for the tax year, or (B) the excess (if any) of (i) the individual’s modified adjusted gross income for the tax year, over (ii) the threshold amount. Unlike self-employment taxes, the NIIT is not deductible in computing any tax imposed by Subtitle A of the Code.</w:t>
      </w:r>
      <w:r>
        <w:rPr>
          <w:rStyle w:val="FootnoteReference"/>
        </w:rPr>
        <w:footnoteReference w:id="968"/>
      </w:r>
    </w:p>
    <w:p w14:paraId="58D1D57B" w14:textId="77777777" w:rsidR="00494B49" w:rsidRDefault="00494B49">
      <w:pPr>
        <w:pStyle w:val="BNormal"/>
      </w:pPr>
      <w:r>
        <w:lastRenderedPageBreak/>
        <w:t xml:space="preserve">Amounts collected under </w:t>
      </w:r>
      <w:smartTag w:uri="http://www.bna.com/sgml2word/cite" w:element="cite.usc">
        <w:smartTagPr>
          <w:attr w:name="ref" w:val="USC\26\1411"/>
        </w:smartTagPr>
        <w:r>
          <w:t>§1411</w:t>
        </w:r>
      </w:smartTag>
      <w:r>
        <w:t xml:space="preserve"> are not designated for the Medicare Trust Fund.</w:t>
      </w:r>
      <w:r>
        <w:rPr>
          <w:rStyle w:val="FootnoteReference"/>
        </w:rPr>
        <w:footnoteReference w:id="969"/>
      </w:r>
      <w:r>
        <w:t xml:space="preserve"> Therefore, if a taxpayer is an individual who is exempt from Medicare taxes, the taxpayer may still be subject to the NIIT if the taxpayer has net investment income and also has modified adjusted gross income over the applicable thresholds. Furthermore, because the revenue is not allocated to the Medicare Trust Fund, the NIIT is not a tax covered by Totalization Agreements with foreign countries.</w:t>
      </w:r>
      <w:r>
        <w:rPr>
          <w:rStyle w:val="FootnoteReference"/>
        </w:rPr>
        <w:footnoteReference w:id="970"/>
      </w:r>
    </w:p>
    <w:p w14:paraId="04F7A99A" w14:textId="77777777" w:rsidR="00494B49" w:rsidRDefault="00494B49">
      <w:pPr>
        <w:pStyle w:val="BHead1"/>
      </w:pPr>
      <w:r>
        <w:t>A. Modified Adjusted Gross Income</w:t>
      </w:r>
    </w:p>
    <w:p w14:paraId="2C322B39" w14:textId="77777777" w:rsidR="00494B49" w:rsidRDefault="00494B49">
      <w:pPr>
        <w:pStyle w:val="BNormal"/>
      </w:pPr>
      <w:r>
        <w:t xml:space="preserve">For NIIT purposes, modified adjusted gross income (MAGI) is equal to adjusted gross income (AGI) increased by the excess of (1) amounts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for amounts described in </w:t>
      </w:r>
      <w:smartTag w:uri="http://www.bna.com/sgml2word/cite" w:element="cite.usc">
        <w:smartTagPr>
          <w:attr w:name="ref" w:val="USC\26\911(a)(1)"/>
        </w:smartTagPr>
        <w:r>
          <w:t>§911(a)(1)</w:t>
        </w:r>
      </w:smartTag>
      <w:r>
        <w:t>.</w:t>
      </w:r>
      <w:r>
        <w:rPr>
          <w:rStyle w:val="FootnoteReference"/>
        </w:rPr>
        <w:footnoteReference w:id="971"/>
      </w:r>
      <w:r>
        <w:t xml:space="preserve"> Taxpayers with income from controlled foreign corporations (CFCs) and passive foreign investment companies (PFICs) may have additional adjustments to their AGI.</w:t>
      </w:r>
      <w:r>
        <w:rPr>
          <w:rStyle w:val="FootnoteReference"/>
        </w:rPr>
        <w:footnoteReference w:id="972"/>
      </w:r>
    </w:p>
    <w:p w14:paraId="1BB0FEFA" w14:textId="77777777" w:rsidR="00494B49" w:rsidRDefault="00494B49">
      <w:pPr>
        <w:pStyle w:val="BHead1"/>
      </w:pPr>
      <w:r>
        <w:t>B. Threshold Amounts</w:t>
      </w:r>
    </w:p>
    <w:p w14:paraId="70328B6B" w14:textId="77777777" w:rsidR="00494B49" w:rsidRDefault="00494B49" w:rsidP="007865AF">
      <w:pPr>
        <w:pStyle w:val="BNormal"/>
      </w:pPr>
      <w:smartTag w:uri="http://www.bna.com/sgml2word/cite" w:element="cite.usc">
        <w:smartTagPr>
          <w:attr w:name="ref" w:val="USC\26\1411(b)"/>
        </w:smartTagPr>
        <w:r>
          <w:t>Section 1411(b)</w:t>
        </w:r>
      </w:smartTag>
      <w:r>
        <w:t xml:space="preserve"> provides the following threshold amounts (which are not adjusted for inflation):</w:t>
      </w:r>
    </w:p>
    <w:p w14:paraId="5E1B7677" w14:textId="77777777" w:rsidR="00494B49" w:rsidRDefault="00494B49" w:rsidP="007865AF">
      <w:pPr>
        <w:pStyle w:val="BNormal"/>
      </w:pPr>
    </w:p>
    <w:tbl>
      <w:tblPr>
        <w:tblStyle w:val="TableGrid"/>
        <w:tblW w:w="0" w:type="auto"/>
        <w:tblLook w:val="04A0" w:firstRow="1" w:lastRow="0" w:firstColumn="1" w:lastColumn="0" w:noHBand="0" w:noVBand="1"/>
      </w:tblPr>
      <w:tblGrid>
        <w:gridCol w:w="4676"/>
        <w:gridCol w:w="4674"/>
      </w:tblGrid>
      <w:tr w:rsidR="00494B49" w14:paraId="33A11C52" w14:textId="77777777">
        <w:tc>
          <w:tcPr>
            <w:tcW w:w="5040" w:type="dxa"/>
          </w:tcPr>
          <w:p w14:paraId="5E9C90F7" w14:textId="77777777" w:rsidR="00494B49" w:rsidRDefault="00494B49">
            <w:r>
              <w:t xml:space="preserve"> </w:t>
            </w:r>
            <w:r>
              <w:rPr>
                <w:b/>
              </w:rPr>
              <w:t>Filing Status</w:t>
            </w:r>
          </w:p>
        </w:tc>
        <w:tc>
          <w:tcPr>
            <w:tcW w:w="5040" w:type="dxa"/>
          </w:tcPr>
          <w:p w14:paraId="3772367D" w14:textId="77777777" w:rsidR="00494B49" w:rsidRDefault="00494B49">
            <w:r>
              <w:t xml:space="preserve"> </w:t>
            </w:r>
            <w:r>
              <w:rPr>
                <w:b/>
              </w:rPr>
              <w:t>Threshold Amount</w:t>
            </w:r>
          </w:p>
        </w:tc>
      </w:tr>
      <w:tr w:rsidR="00494B49" w14:paraId="14E55DCE" w14:textId="77777777">
        <w:tc>
          <w:tcPr>
            <w:tcW w:w="5040" w:type="dxa"/>
          </w:tcPr>
          <w:p w14:paraId="46C8577F" w14:textId="77777777" w:rsidR="00494B49" w:rsidRDefault="00494B49">
            <w:r>
              <w:t>Married filing jointly</w:t>
            </w:r>
          </w:p>
        </w:tc>
        <w:tc>
          <w:tcPr>
            <w:tcW w:w="5040" w:type="dxa"/>
          </w:tcPr>
          <w:p w14:paraId="0ED17796" w14:textId="77777777" w:rsidR="00494B49" w:rsidRDefault="00494B49">
            <w:r>
              <w:t>$250,000</w:t>
            </w:r>
          </w:p>
        </w:tc>
      </w:tr>
      <w:tr w:rsidR="00494B49" w14:paraId="31A75A3C" w14:textId="77777777">
        <w:tc>
          <w:tcPr>
            <w:tcW w:w="5040" w:type="dxa"/>
          </w:tcPr>
          <w:p w14:paraId="3E4C7709" w14:textId="77777777" w:rsidR="00494B49" w:rsidRDefault="00494B49">
            <w:r>
              <w:t>Married filing separately</w:t>
            </w:r>
          </w:p>
        </w:tc>
        <w:tc>
          <w:tcPr>
            <w:tcW w:w="5040" w:type="dxa"/>
          </w:tcPr>
          <w:p w14:paraId="167F6DE3" w14:textId="77777777" w:rsidR="00494B49" w:rsidRDefault="00494B49">
            <w:r>
              <w:t>$125,000</w:t>
            </w:r>
          </w:p>
        </w:tc>
      </w:tr>
      <w:tr w:rsidR="00494B49" w14:paraId="2147F187" w14:textId="77777777">
        <w:tc>
          <w:tcPr>
            <w:tcW w:w="5040" w:type="dxa"/>
          </w:tcPr>
          <w:p w14:paraId="7C3D6F2F" w14:textId="77777777" w:rsidR="00494B49" w:rsidRDefault="00494B49">
            <w:r>
              <w:t>Single</w:t>
            </w:r>
          </w:p>
        </w:tc>
        <w:tc>
          <w:tcPr>
            <w:tcW w:w="5040" w:type="dxa"/>
          </w:tcPr>
          <w:p w14:paraId="5BDF518A" w14:textId="77777777" w:rsidR="00494B49" w:rsidRDefault="00494B49">
            <w:r>
              <w:t>$200,000</w:t>
            </w:r>
          </w:p>
        </w:tc>
      </w:tr>
      <w:tr w:rsidR="00494B49" w14:paraId="317C2323" w14:textId="77777777">
        <w:tc>
          <w:tcPr>
            <w:tcW w:w="5040" w:type="dxa"/>
          </w:tcPr>
          <w:p w14:paraId="60098C14" w14:textId="77777777" w:rsidR="00494B49" w:rsidRDefault="00494B49">
            <w:r>
              <w:t>Head of household (with qualifying person)</w:t>
            </w:r>
          </w:p>
        </w:tc>
        <w:tc>
          <w:tcPr>
            <w:tcW w:w="5040" w:type="dxa"/>
          </w:tcPr>
          <w:p w14:paraId="694FB268" w14:textId="77777777" w:rsidR="00494B49" w:rsidRDefault="00494B49">
            <w:r>
              <w:t>$200,000</w:t>
            </w:r>
          </w:p>
        </w:tc>
      </w:tr>
      <w:tr w:rsidR="00494B49" w14:paraId="7686BD75" w14:textId="77777777">
        <w:tc>
          <w:tcPr>
            <w:tcW w:w="5040" w:type="dxa"/>
          </w:tcPr>
          <w:p w14:paraId="025CCA03" w14:textId="77777777" w:rsidR="00494B49" w:rsidRDefault="00494B49">
            <w:r>
              <w:t>Surviving spouse with dependent child</w:t>
            </w:r>
          </w:p>
        </w:tc>
        <w:tc>
          <w:tcPr>
            <w:tcW w:w="5040" w:type="dxa"/>
          </w:tcPr>
          <w:p w14:paraId="3CBE95D4" w14:textId="77777777" w:rsidR="00494B49" w:rsidRDefault="00494B49">
            <w:r>
              <w:t>$250,000</w:t>
            </w:r>
          </w:p>
        </w:tc>
      </w:tr>
    </w:tbl>
    <w:p w14:paraId="2A1F2160" w14:textId="77777777" w:rsidR="00494B49" w:rsidRDefault="00494B49">
      <w:pPr>
        <w:pStyle w:val="BNormal"/>
      </w:pPr>
    </w:p>
    <w:p w14:paraId="07501AB3" w14:textId="77777777" w:rsidR="00494B49" w:rsidRDefault="00494B49">
      <w:pPr>
        <w:pStyle w:val="BNormal"/>
      </w:pPr>
      <w:r>
        <w:rPr>
          <w:i/>
        </w:rPr>
        <w:t>Comment:</w:t>
      </w:r>
      <w:r>
        <w:t xml:space="preserve"> It is important to note that </w:t>
      </w:r>
      <w:smartTag w:uri="http://www.bna.com/sgml2word/cite" w:element="cite.usc">
        <w:smartTagPr>
          <w:attr w:name="ref" w:val="USC\26\1411"/>
        </w:smartTagPr>
        <w:r>
          <w:t>§1411</w:t>
        </w:r>
      </w:smartTag>
      <w:r>
        <w:t>’s sister provision, the 0.9% additional Medicare tax, has similar threshold amounts. However, for purposes of the 0.9% additional Medicare tax, the threshold amount for a surviving spouse with dependent child is only $200,000.</w:t>
      </w:r>
      <w:r>
        <w:rPr>
          <w:rStyle w:val="FootnoteReference"/>
        </w:rPr>
        <w:footnoteReference w:id="973"/>
      </w:r>
    </w:p>
    <w:p w14:paraId="271CE8B2" w14:textId="77777777" w:rsidR="00494B49" w:rsidRDefault="00494B49">
      <w:pPr>
        <w:pStyle w:val="BNormal"/>
      </w:pPr>
      <w:r>
        <w:t>The threshold amount is generally not prorated in the case of a short tax year of an individual.</w:t>
      </w:r>
      <w:r>
        <w:rPr>
          <w:rStyle w:val="FootnoteReference"/>
        </w:rPr>
        <w:footnoteReference w:id="974"/>
      </w:r>
      <w:r>
        <w:t xml:space="preserve"> However, the regulations provide a special rule in the case of an individual who has a short tax year resulting from a change of annual accounting period.</w:t>
      </w:r>
      <w:r>
        <w:rPr>
          <w:rStyle w:val="FootnoteReference"/>
        </w:rPr>
        <w:footnoteReference w:id="975"/>
      </w:r>
      <w:r>
        <w:t xml:space="preserve"> Reg. </w:t>
      </w:r>
      <w:smartTag w:uri="http://www.bna.com/sgml2word/cite" w:element="cite.cfr">
        <w:smartTagPr>
          <w:attr w:name="ref" w:val="cfr\26\1.1411-2(d)(2)(ii)"/>
        </w:smartTagPr>
        <w:r>
          <w:t>§1.1411-2(d)(2)(ii)</w:t>
        </w:r>
      </w:smartTag>
      <w:r>
        <w:t xml:space="preserve"> provides </w:t>
      </w:r>
      <w:r>
        <w:lastRenderedPageBreak/>
        <w:t xml:space="preserve">that an individual taxpayer who has a short period resulting from a change of annual accounting period reduces the applicable threshold amount to an amount that bears the same ratio to the full threshold amount described above as the number of months in the short period bears to 12. </w:t>
      </w:r>
    </w:p>
    <w:p w14:paraId="1B17B9D3" w14:textId="77777777" w:rsidR="00494B49" w:rsidRDefault="00494B49">
      <w:pPr>
        <w:pStyle w:val="BHead1"/>
      </w:pPr>
      <w:r>
        <w:t>C. Special Rules Applicable to Individuals</w:t>
      </w:r>
    </w:p>
    <w:p w14:paraId="7840A03A" w14:textId="77777777" w:rsidR="00494B49" w:rsidRDefault="00494B49">
      <w:pPr>
        <w:pStyle w:val="BHead2"/>
      </w:pPr>
      <w:r>
        <w:t>1. Application to Nonresident Aliens</w:t>
      </w:r>
    </w:p>
    <w:p w14:paraId="624FC356" w14:textId="77777777" w:rsidR="00494B49" w:rsidRDefault="00494B49">
      <w:pPr>
        <w:pStyle w:val="BNormal"/>
      </w:pPr>
      <w:smartTag w:uri="http://www.bna.com/sgml2word/cite" w:element="cite.usc">
        <w:smartTagPr>
          <w:attr w:name="ref" w:val="USC\26\1411(e)(1)"/>
        </w:smartTagPr>
        <w:r>
          <w:t>Section 1411(e)(1)</w:t>
        </w:r>
      </w:smartTag>
      <w:r>
        <w:t xml:space="preserve"> provides that nonresident aliens (NRAs) are not subject to the tax imposed by </w:t>
      </w:r>
      <w:smartTag w:uri="http://www.bna.com/sgml2word/cite" w:element="cite.usc">
        <w:smartTagPr>
          <w:attr w:name="ref" w:val="USC\26\1411"/>
        </w:smartTagPr>
        <w:r>
          <w:t>§1411</w:t>
        </w:r>
      </w:smartTag>
      <w:r>
        <w:t>.</w:t>
      </w:r>
      <w:r>
        <w:rPr>
          <w:rStyle w:val="FootnoteReference"/>
        </w:rPr>
        <w:footnoteReference w:id="976"/>
      </w:r>
      <w:r>
        <w:t xml:space="preserve"> Even if the NRA has effectively connected income or FDAP income that would constitute net investment income if the NRA was subject to the tax, the income is not subject to additional withholding (in the case of FDAP) or subject to tax if the NRA files a Form </w:t>
      </w:r>
      <w:smartTag w:uri="http://www.bna.com/sgml2word/cite" w:element="cite.fed.form">
        <w:smartTagPr>
          <w:attr w:name="ref" w:val="irs\form1040-NR"/>
        </w:smartTagPr>
        <w:r>
          <w:t>1040-NR</w:t>
        </w:r>
      </w:smartTag>
      <w:r>
        <w:t>.</w:t>
      </w:r>
    </w:p>
    <w:p w14:paraId="2905943C" w14:textId="77777777" w:rsidR="00494B49" w:rsidRDefault="00494B49">
      <w:pPr>
        <w:pStyle w:val="BNormal"/>
      </w:pPr>
      <w:r>
        <w:t>A dual resident taxpayer</w:t>
      </w:r>
      <w:r>
        <w:rPr>
          <w:rStyle w:val="FootnoteReference"/>
        </w:rPr>
        <w:footnoteReference w:id="977"/>
      </w:r>
      <w:r>
        <w:t xml:space="preserve"> who determines that he or she is a resident of a foreign country for treaty purposes pursuant to an income tax treaty between the United States and the foreign country and who claims treaty benefits as a nonresident of the United States will be treated as an NRA of the United States for purposes of </w:t>
      </w:r>
      <w:smartTag w:uri="http://www.bna.com/sgml2word/cite" w:element="cite.usc">
        <w:smartTagPr>
          <w:attr w:name="ref" w:val="USC\26\1411"/>
        </w:smartTagPr>
        <w:r>
          <w:t>§1411</w:t>
        </w:r>
      </w:smartTag>
      <w:r>
        <w:t>.</w:t>
      </w:r>
      <w:r>
        <w:rPr>
          <w:rStyle w:val="FootnoteReference"/>
        </w:rPr>
        <w:footnoteReference w:id="978"/>
      </w:r>
      <w:r>
        <w:t xml:space="preserve"> Therefore, dual resident taxpayers are not subject to </w:t>
      </w:r>
      <w:smartTag w:uri="http://www.bna.com/sgml2word/cite" w:element="cite.usc">
        <w:smartTagPr>
          <w:attr w:name="ref" w:val="USC\26\1411"/>
        </w:smartTagPr>
        <w:r>
          <w:t>§1411</w:t>
        </w:r>
      </w:smartTag>
      <w:r>
        <w:t xml:space="preserve">. </w:t>
      </w:r>
    </w:p>
    <w:p w14:paraId="56147B0B" w14:textId="77777777" w:rsidR="00494B49" w:rsidRDefault="00494B49">
      <w:pPr>
        <w:pStyle w:val="BHead3"/>
      </w:pPr>
      <w:r>
        <w:t>a. Nonresidents Aliens Married to U.S. Residents or Citizens</w:t>
      </w:r>
    </w:p>
    <w:p w14:paraId="6AC12624" w14:textId="77777777" w:rsidR="00494B49" w:rsidRDefault="00494B49">
      <w:pPr>
        <w:pStyle w:val="BNormal"/>
      </w:pPr>
      <w:smartTag w:uri="http://www.bna.com/sgml2word/cite" w:element="cite.usc">
        <w:smartTagPr>
          <w:attr w:name="ref" w:val="USC\26\6013(a)"/>
        </w:smartTagPr>
        <w:r>
          <w:t>Section 6013(a)</w:t>
        </w:r>
      </w:smartTag>
      <w:r>
        <w:t xml:space="preserve"> provides that married taxpayers may not file a joint return if either spouse is an NRA at any time during a tax year. </w:t>
      </w:r>
      <w:smartTag w:uri="http://www.bna.com/sgml2word/cite" w:element="cite.usc">
        <w:smartTagPr>
          <w:attr w:name="ref" w:val="USC\26\6013(g)"/>
        </w:smartTagPr>
        <w:r>
          <w:t>Section 6013(g)</w:t>
        </w:r>
      </w:smartTag>
      <w:r>
        <w:t xml:space="preserve"> and </w:t>
      </w:r>
      <w:smartTag w:uri="http://www.bna.com/sgml2word/cite" w:element="cite.usc">
        <w:smartTagPr>
          <w:attr w:name="ref" w:val="USC\26\6013(h)"/>
        </w:smartTagPr>
        <w:r>
          <w:t>§6013(h)</w:t>
        </w:r>
      </w:smartTag>
      <w:r>
        <w:t xml:space="preserve">, however, generally permit an NRA individual married to a citizen or resident of the United States to elect to be treated as a resident of the United States for purposes of Chapter 1 and Chapter 24 of the Code. If an NRA is married to a U.S. citizen or resident and has made, or is planning to make, an election under </w:t>
      </w:r>
      <w:smartTag w:uri="http://www.bna.com/sgml2word/cite" w:element="cite.usc">
        <w:smartTagPr>
          <w:attr w:name="ref" w:val="USC\26\6013(g)"/>
        </w:smartTagPr>
        <w:r>
          <w:t>§6013(g)</w:t>
        </w:r>
      </w:smartTag>
      <w:r>
        <w:t xml:space="preserve"> or </w:t>
      </w:r>
      <w:smartTag w:uri="http://www.bna.com/sgml2word/cite" w:element="cite.usc">
        <w:smartTagPr>
          <w:attr w:name="ref" w:val="USC\26\6013(h)"/>
        </w:smartTagPr>
        <w:r>
          <w:t>§6013(h)</w:t>
        </w:r>
      </w:smartTag>
      <w:r>
        <w:t xml:space="preserve"> to be treated as a resident alien for purposes of filing as married filing jointly, the final </w:t>
      </w:r>
      <w:smartTag w:uri="http://www.bna.com/sgml2word/cite" w:element="cite.usc">
        <w:smartTagPr>
          <w:attr w:name="ref" w:val="USC\26\1411"/>
        </w:smartTagPr>
        <w:r>
          <w:t>§1411</w:t>
        </w:r>
      </w:smartTag>
      <w:r>
        <w:t xml:space="preserve"> regulations provide special rules and a corresponding </w:t>
      </w:r>
      <w:smartTag w:uri="http://www.bna.com/sgml2word/cite" w:element="cite.usc">
        <w:smartTagPr>
          <w:attr w:name="ref" w:val="USC\26\6013(g)"/>
        </w:smartTagPr>
        <w:r>
          <w:t>§6013(g)</w:t>
        </w:r>
      </w:smartTag>
      <w:r>
        <w:t>/</w:t>
      </w:r>
      <w:smartTag w:uri="http://www.bna.com/sgml2word/cite" w:element="cite.usc">
        <w:smartTagPr>
          <w:attr w:name="ref" w:val="USC\26\6013(h)"/>
        </w:smartTagPr>
        <w:r>
          <w:t>§6013(h)</w:t>
        </w:r>
      </w:smartTag>
      <w:r>
        <w:t xml:space="preserve"> election for NIIT purposes. Reg. </w:t>
      </w:r>
      <w:smartTag w:uri="http://www.bna.com/sgml2word/cite" w:element="cite.cfr">
        <w:smartTagPr>
          <w:attr w:name="ref" w:val="cfr\26\1.1411-2(a)(2)(i)(A)"/>
        </w:smartTagPr>
        <w:r>
          <w:t>§1.1411-2(a)(2)(i)(A)</w:t>
        </w:r>
      </w:smartTag>
      <w:r>
        <w:t xml:space="preserve"> provides that in the case of a U.S. citizen or resident who is married (as defined in </w:t>
      </w:r>
      <w:smartTag w:uri="http://www.bna.com/sgml2word/cite" w:element="cite.usc">
        <w:smartTagPr>
          <w:attr w:name="ref" w:val="USC\26\7703"/>
        </w:smartTagPr>
        <w:r>
          <w:t>§7703</w:t>
        </w:r>
      </w:smartTag>
      <w:r>
        <w:t>) to an NRA individual, the spouses will be treated as married filing separately for NIIT purposes.</w:t>
      </w:r>
      <w:r>
        <w:rPr>
          <w:rStyle w:val="FootnoteReference"/>
        </w:rPr>
        <w:footnoteReference w:id="979"/>
      </w:r>
    </w:p>
    <w:p w14:paraId="0EE1286B" w14:textId="77777777" w:rsidR="00494B49" w:rsidRDefault="00494B49">
      <w:pPr>
        <w:pStyle w:val="BHead4"/>
      </w:pPr>
      <w:r>
        <w:t>(1) Section 6013(h) Election</w:t>
      </w:r>
    </w:p>
    <w:p w14:paraId="6ED85594" w14:textId="77777777" w:rsidR="00494B49" w:rsidRDefault="00494B49">
      <w:pPr>
        <w:pStyle w:val="BNormal"/>
      </w:pPr>
      <w:smartTag w:uri="http://www.bna.com/sgml2word/cite" w:element="cite.usc">
        <w:smartTagPr>
          <w:attr w:name="ref" w:val="USC\26\6013(h)"/>
        </w:smartTagPr>
        <w:r>
          <w:t>Section 6013(h)</w:t>
        </w:r>
      </w:smartTag>
      <w:r>
        <w:t xml:space="preserve"> allows a dual-status individual who is an NRA at the beginning of any tax year but is a U.S. resident at the close of the tax year, and who is married to a United States citizen or resident, to make a joint election with his or her spouse to be treated as a U.S. resident for purposes of Chapters 1 and 24 of the Code for the tax year. Reg. </w:t>
      </w:r>
      <w:smartTag w:uri="http://www.bna.com/sgml2word/cite" w:element="cite.cfr">
        <w:smartTagPr>
          <w:attr w:name="ref" w:val="cfr\26\1.1411-2(a)(2)(iv)(B)"/>
        </w:smartTagPr>
        <w:r>
          <w:t>§1.1411-2(a)(2)(iv)(B)</w:t>
        </w:r>
      </w:smartTag>
      <w:r>
        <w:t xml:space="preserve"> provides that a dual-status individual who makes a </w:t>
      </w:r>
      <w:smartTag w:uri="http://www.bna.com/sgml2word/cite" w:element="cite.usc">
        <w:smartTagPr>
          <w:attr w:name="ref" w:val="USC\26\6013(h)"/>
        </w:smartTagPr>
        <w:r>
          <w:t>§6013(h)</w:t>
        </w:r>
      </w:smartTag>
      <w:r>
        <w:t xml:space="preserve"> election with his or her spouse for purposes of Chapters 1 and 24 may also make a </w:t>
      </w:r>
      <w:smartTag w:uri="http://www.bna.com/sgml2word/cite" w:element="cite.usc">
        <w:smartTagPr>
          <w:attr w:name="ref" w:val="USC\26\6013(h)"/>
        </w:smartTagPr>
        <w:r>
          <w:t>§6013(h)</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h)"/>
        </w:smartTagPr>
        <w:r>
          <w:t>§6013(h)</w:t>
        </w:r>
      </w:smartTag>
      <w:r>
        <w:t xml:space="preserve"> election is made: </w:t>
      </w:r>
    </w:p>
    <w:p w14:paraId="7C57FE41" w14:textId="77777777" w:rsidR="00494B49" w:rsidRDefault="00494B49">
      <w:pPr>
        <w:pStyle w:val="BListitembul"/>
      </w:pPr>
      <w:r>
        <w:t>The combined income of the U.S. citizen or resident spouse and the dual-status spouse is included in the calculation of MAGI and net investment income;</w:t>
      </w:r>
      <w:r>
        <w:rPr>
          <w:rStyle w:val="FootnoteReference"/>
        </w:rPr>
        <w:footnoteReference w:id="980"/>
      </w:r>
    </w:p>
    <w:p w14:paraId="56C20E9B" w14:textId="77777777" w:rsidR="00494B49" w:rsidRDefault="00494B49">
      <w:pPr>
        <w:pStyle w:val="BListitembul"/>
      </w:pPr>
      <w:r>
        <w:lastRenderedPageBreak/>
        <w:t>The couple is entitled to the $250,000 threshold amount in §1411(b)(1) for taxpayers filing a joint return;</w:t>
      </w:r>
      <w:r>
        <w:rPr>
          <w:rStyle w:val="FootnoteReference"/>
        </w:rPr>
        <w:footnoteReference w:id="981"/>
      </w:r>
      <w:r>
        <w:t xml:space="preserve"> and </w:t>
      </w:r>
    </w:p>
    <w:p w14:paraId="6DB7280C" w14:textId="77777777" w:rsidR="00494B49" w:rsidRDefault="00494B49">
      <w:pPr>
        <w:pStyle w:val="BListitembul"/>
      </w:pPr>
      <w:r>
        <w:t>The election is governed by the rules of §6013(h)(2) and the regulations thereunder.</w:t>
      </w:r>
      <w:r>
        <w:rPr>
          <w:rStyle w:val="FootnoteReference"/>
        </w:rPr>
        <w:footnoteReference w:id="982"/>
      </w:r>
    </w:p>
    <w:p w14:paraId="26884919" w14:textId="77777777" w:rsidR="00494B49" w:rsidRDefault="00494B49">
      <w:pPr>
        <w:pStyle w:val="BNormal"/>
      </w:pPr>
      <w:r>
        <w:t>The election must be made in the manner prescribed by forms, instructions, or in other guidance on an original or amended return for the applicable tax year.</w:t>
      </w:r>
      <w:r>
        <w:rPr>
          <w:rStyle w:val="FootnoteReference"/>
        </w:rPr>
        <w:footnoteReference w:id="983"/>
      </w:r>
      <w:r>
        <w:t xml:space="preserve"> Taxpayers may make a late election under Reg. </w:t>
      </w:r>
      <w:smartTag w:uri="http://www.bna.com/sgml2word/cite" w:element="cite.cfr">
        <w:smartTagPr>
          <w:attr w:name="ref" w:val="cfr\26\1.1411-2(a)(2)(iv)(B)"/>
        </w:smartTagPr>
        <w:r>
          <w:t>§1.1411-2(a)(2)(iv)(B)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84"/>
      </w:r>
      <w:r>
        <w:t> </w:t>
      </w:r>
    </w:p>
    <w:p w14:paraId="55691DEC" w14:textId="77777777" w:rsidR="00494B49" w:rsidRDefault="00494B49">
      <w:pPr>
        <w:pStyle w:val="BHead4"/>
      </w:pPr>
      <w:r>
        <w:t>(2) Section 6013(g) Election</w:t>
      </w:r>
    </w:p>
    <w:p w14:paraId="3CADB868" w14:textId="77777777" w:rsidR="00494B49" w:rsidRDefault="00494B49">
      <w:pPr>
        <w:pStyle w:val="BNormal"/>
      </w:pPr>
      <w:smartTag w:uri="http://www.bna.com/sgml2word/cite" w:element="cite.usc">
        <w:smartTagPr>
          <w:attr w:name="ref" w:val="USC\26\6013(g)"/>
        </w:smartTagPr>
        <w:r>
          <w:t>Section 6013(g)</w:t>
        </w:r>
      </w:smartTag>
      <w:r>
        <w:t xml:space="preserve"> allows a dual-status individual who is an NRA at the close of any tax year and is married to a U.S. citizen or resident, to make a joint election with his or her spouse to be treated as a U.S. resident for purposes of Chapters 1 and 24 of the Code for the tax year.</w:t>
      </w:r>
      <w:r>
        <w:rPr>
          <w:rStyle w:val="FootnoteReference"/>
        </w:rPr>
        <w:footnoteReference w:id="985"/>
      </w:r>
      <w:r>
        <w:t xml:space="preserve"> Reg. </w:t>
      </w:r>
      <w:smartTag w:uri="http://www.bna.com/sgml2word/cite" w:element="cite.cfr">
        <w:smartTagPr>
          <w:attr w:name="ref" w:val="cfr\26\1.1411-2(a)(2)(iii)(B)"/>
        </w:smartTagPr>
        <w:r>
          <w:t>§1.1411-2(a)(2)(iii)(B)</w:t>
        </w:r>
      </w:smartTag>
      <w:r>
        <w:t xml:space="preserve"> provides that a dual-status individual who makes a </w:t>
      </w:r>
      <w:smartTag w:uri="http://www.bna.com/sgml2word/cite" w:element="cite.usc">
        <w:smartTagPr>
          <w:attr w:name="ref" w:val="USC\26\6013(g)"/>
        </w:smartTagPr>
        <w:r>
          <w:t>§6013(g)</w:t>
        </w:r>
      </w:smartTag>
      <w:r>
        <w:t xml:space="preserve"> election with his or her spouse for purposes of Chapters 1 and 24 may also make a </w:t>
      </w:r>
      <w:smartTag w:uri="http://www.bna.com/sgml2word/cite" w:element="cite.usc">
        <w:smartTagPr>
          <w:attr w:name="ref" w:val="USC\26\6013(g)"/>
        </w:smartTagPr>
        <w:r>
          <w:t>§6013(g)</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g)"/>
        </w:smartTagPr>
        <w:r>
          <w:t>§6013(g)</w:t>
        </w:r>
      </w:smartTag>
      <w:r>
        <w:t xml:space="preserve"> election is made: </w:t>
      </w:r>
    </w:p>
    <w:p w14:paraId="6F88472B" w14:textId="77777777" w:rsidR="00494B49" w:rsidRDefault="00494B49">
      <w:pPr>
        <w:pStyle w:val="BListitembul"/>
      </w:pPr>
      <w:r>
        <w:t>The combined income of the U.S. citizen or resident spouse and the dual-status spouse is included in the calculation of MAGI and net investment income;</w:t>
      </w:r>
      <w:r>
        <w:rPr>
          <w:rStyle w:val="FootnoteReference"/>
        </w:rPr>
        <w:footnoteReference w:id="986"/>
      </w:r>
    </w:p>
    <w:p w14:paraId="5A1F3135" w14:textId="77777777" w:rsidR="00494B49" w:rsidRDefault="00494B49">
      <w:pPr>
        <w:pStyle w:val="BListitembul"/>
      </w:pPr>
      <w:r>
        <w:t>The couple is entitled to the $250,000 threshold amount in §1411(b)(1) for taxpayers filing a joint return;</w:t>
      </w:r>
      <w:r>
        <w:rPr>
          <w:rStyle w:val="FootnoteReference"/>
        </w:rPr>
        <w:footnoteReference w:id="987"/>
      </w:r>
      <w:r>
        <w:t xml:space="preserve"> and </w:t>
      </w:r>
    </w:p>
    <w:p w14:paraId="79AFB05E" w14:textId="77777777" w:rsidR="00494B49" w:rsidRDefault="00494B49">
      <w:pPr>
        <w:pStyle w:val="BListitembul"/>
      </w:pPr>
      <w:r>
        <w:t>The election is governed by the rules of §6013(g)(2)–§6013(g)(6) and the regulations thereunder.</w:t>
      </w:r>
      <w:r>
        <w:rPr>
          <w:rStyle w:val="FootnoteReference"/>
        </w:rPr>
        <w:footnoteReference w:id="988"/>
      </w:r>
    </w:p>
    <w:p w14:paraId="640DF87D" w14:textId="77777777" w:rsidR="00494B49" w:rsidRDefault="00494B49">
      <w:pPr>
        <w:pStyle w:val="BNormal"/>
      </w:pPr>
      <w:r>
        <w:t xml:space="preserve">Taxpayers must make the election for the first tax year beginning after December 31, 2013, in which the U.S. taxpayer is subject to tax under </w:t>
      </w:r>
      <w:smartTag w:uri="http://www.bna.com/sgml2word/cite" w:element="cite.usc">
        <w:smartTagPr>
          <w:attr w:name="ref" w:val="USC\26\1411"/>
        </w:smartTagPr>
        <w:r>
          <w:t>§1411</w:t>
        </w:r>
      </w:smartTag>
      <w:r>
        <w:t xml:space="preserve">. However, under Reg. </w:t>
      </w:r>
      <w:smartTag w:uri="http://www.bna.com/sgml2word/cite" w:element="cite.cfr">
        <w:smartTagPr>
          <w:attr w:name="ref" w:val="cfr\26\1.1411-2(e)"/>
        </w:smartTagPr>
        <w:r>
          <w:t>§1.1411-2(e)</w:t>
        </w:r>
      </w:smartTag>
      <w:r>
        <w:t>, U.S. taxpayers were allowed to make the election on their 2013 tax returns.</w:t>
      </w:r>
      <w:r>
        <w:rPr>
          <w:rStyle w:val="FootnoteReference"/>
        </w:rPr>
        <w:footnoteReference w:id="989"/>
      </w:r>
      <w:r>
        <w:t xml:space="preserve"> The determination of whether the U.S. taxpayer is subject to tax under </w:t>
      </w:r>
      <w:smartTag w:uri="http://www.bna.com/sgml2word/cite" w:element="cite.usc">
        <w:smartTagPr>
          <w:attr w:name="ref" w:val="USC\26\1411"/>
        </w:smartTagPr>
        <w:r>
          <w:t>§1411</w:t>
        </w:r>
      </w:smartTag>
      <w:r>
        <w:t xml:space="preserve"> is made without regard to the effect of </w:t>
      </w:r>
      <w:r>
        <w:lastRenderedPageBreak/>
        <w:t xml:space="preserve">the </w:t>
      </w:r>
      <w:smartTag w:uri="http://www.bna.com/sgml2word/cite" w:element="cite.usc">
        <w:smartTagPr>
          <w:attr w:name="ref" w:val="USC\26\6013(g)"/>
        </w:smartTagPr>
        <w:r>
          <w:t>§6013(g)</w:t>
        </w:r>
      </w:smartTag>
      <w:r>
        <w:t xml:space="preserve"> election.</w:t>
      </w:r>
      <w:r>
        <w:rPr>
          <w:rStyle w:val="FootnoteReference"/>
        </w:rPr>
        <w:footnoteReference w:id="990"/>
      </w:r>
      <w:r>
        <w:t xml:space="preserve"> The election must be made in the manner prescribed by forms, instructions, or in other guidance on an original or amended return for the tax year for which the election is made.</w:t>
      </w:r>
      <w:r>
        <w:rPr>
          <w:rStyle w:val="FootnoteReference"/>
        </w:rPr>
        <w:footnoteReference w:id="991"/>
      </w:r>
      <w:r>
        <w:t xml:space="preserve"> Taxpayers may make a late election under Reg. </w:t>
      </w:r>
      <w:smartTag w:uri="http://www.bna.com/sgml2word/cite" w:element="cite.cfr">
        <w:smartTagPr>
          <w:attr w:name="ref" w:val="cfr\26\1.1411-2(a)(2)(iii)(B)"/>
        </w:smartTagPr>
        <w:r>
          <w:t>§1.1411-2(a)(2)(iii)(B)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92"/>
      </w:r>
    </w:p>
    <w:p w14:paraId="0702B472" w14:textId="77777777" w:rsidR="00494B49" w:rsidRDefault="00494B49">
      <w:pPr>
        <w:pStyle w:val="BNormal"/>
      </w:pPr>
      <w:r>
        <w:t xml:space="preserve">Due to the multi-year nature of the </w:t>
      </w:r>
      <w:smartTag w:uri="http://www.bna.com/sgml2word/cite" w:element="cite.usc">
        <w:smartTagPr>
          <w:attr w:name="ref" w:val="USC\26\6013(g)"/>
        </w:smartTagPr>
        <w:r>
          <w:t>§6013(g)</w:t>
        </w:r>
      </w:smartTag>
      <w:r>
        <w:t xml:space="preserve"> election for regular income tax purposes, the regulations provide special rules for amended returns. Because the election must be made in the first year that the taxpayer is subject to </w:t>
      </w:r>
      <w:smartTag w:uri="http://www.bna.com/sgml2word/cite" w:element="cite.usc">
        <w:smartTagPr>
          <w:attr w:name="ref" w:val="USC\26\1411"/>
        </w:smartTagPr>
        <w:r>
          <w:t>§1411</w:t>
        </w:r>
      </w:smartTag>
      <w:r>
        <w:t xml:space="preserve"> and is effectively permanent (unless revoked or terminated in conjunction with the </w:t>
      </w:r>
      <w:smartTag w:uri="http://www.bna.com/sgml2word/cite" w:element="cite.usc">
        <w:smartTagPr>
          <w:attr w:name="ref" w:val="USC\26\6013(g)"/>
        </w:smartTagPr>
        <w:r>
          <w:t>§6013(g)</w:t>
        </w:r>
      </w:smartTag>
      <w:r>
        <w:t xml:space="preserve"> election for regular tax purposes under </w:t>
      </w:r>
      <w:smartTag w:uri="http://www.bna.com/sgml2word/cite" w:element="cite.usc">
        <w:smartTagPr>
          <w:attr w:name="ref" w:val="USC\26\6013(g)(2)"/>
        </w:smartTagPr>
        <w:r>
          <w:t>§6013(g)(2)</w:t>
        </w:r>
      </w:smartTag>
      <w:r>
        <w:t>–</w:t>
      </w:r>
      <w:smartTag w:uri="http://www.bna.com/sgml2word/cite" w:element="cite.usc">
        <w:smartTagPr>
          <w:attr w:name="ref" w:val="USC\26\6013(g)(6)"/>
        </w:smartTagPr>
        <w:r>
          <w:t>§6013(g)(6)</w:t>
        </w:r>
      </w:smartTag>
      <w:r>
        <w:t xml:space="preserve">), the regulations provide special procedural rules for filing amended returns in order to assert that the U.S. taxpayer is not subject to </w:t>
      </w:r>
      <w:smartTag w:uri="http://www.bna.com/sgml2word/cite" w:element="cite.usc">
        <w:smartTagPr>
          <w:attr w:name="ref" w:val="USC\26\1411"/>
        </w:smartTagPr>
        <w:r>
          <w:t>§1411</w:t>
        </w:r>
      </w:smartTag>
      <w:r>
        <w:rPr>
          <w:rStyle w:val="FootnoteReference"/>
        </w:rPr>
        <w:footnoteReference w:id="993"/>
      </w:r>
      <w:r>
        <w:t xml:space="preserve"> in that year. Reg. </w:t>
      </w:r>
      <w:smartTag w:uri="http://www.bna.com/sgml2word/cite" w:element="cite.cfr">
        <w:smartTagPr>
          <w:attr w:name="ref" w:val="cfr\26\1.1411-2(a)(2)(iii)(B)(3)"/>
        </w:smartTagPr>
        <w:r>
          <w:t>§1.1411-2(a)(2)(iii)(B)(3)</w:t>
        </w:r>
      </w:smartTag>
      <w:r>
        <w:t xml:space="preserve"> provides that if a taxpayer makes an election and subsequently determines that it did not meet the criteria for making the election (with one exception), the original election will have no effect for that year and all future years.</w:t>
      </w:r>
      <w:r>
        <w:rPr>
          <w:rStyle w:val="FootnoteReference"/>
        </w:rPr>
        <w:footnoteReference w:id="994"/>
      </w:r>
      <w:r>
        <w:t xml:space="preserve"> This rule does not apply, however, if the taxpayer files an amended return to claim a net operating loss carryback, and applying the NOL carryback causes the taxpayer to fail to meet the eligibility criteria in the election year (because, for example, the taxpayer’s MAGI falls below the threshold amount). In this case, the election remains effective.</w:t>
      </w:r>
      <w:r>
        <w:rPr>
          <w:rStyle w:val="FootnoteReference"/>
        </w:rPr>
        <w:footnoteReference w:id="995"/>
      </w:r>
    </w:p>
    <w:p w14:paraId="0DD13583" w14:textId="77777777" w:rsidR="00494B49" w:rsidRDefault="00494B49">
      <w:pPr>
        <w:pStyle w:val="BNormal"/>
      </w:pPr>
      <w:r>
        <w:t xml:space="preserve">If a taxpayer has made an election, and that election is later determined to be an “ineffective election pursuant to the rules in Reg. </w:t>
      </w:r>
      <w:smartTag w:uri="http://www.bna.com/sgml2word/cite" w:element="cite.cfr">
        <w:smartTagPr>
          <w:attr w:name="ref" w:val="cfr\26\1.1411-2(a)(2)(iii)(B)(3)"/>
        </w:smartTagPr>
        <w:r>
          <w:t>§1.1411-2(a)(2)(iii)(B)(3)</w:t>
        </w:r>
      </w:smartTag>
      <w:r>
        <w:t>, the regulations require the taxpayer to make appropriate adjustments to properly reflect the ineffective election.</w:t>
      </w:r>
      <w:r>
        <w:rPr>
          <w:rStyle w:val="FootnoteReference"/>
        </w:rPr>
        <w:footnoteReference w:id="996"/>
      </w:r>
      <w:r>
        <w:t xml:space="preserve"> However, the regulations also provide that if a taxpayer meets the criteria for the same election in a subsequent year, the taxpayer is deemed to treat the original election as being made in that subsequent year unless the taxpayer files (or amends) the return for that subsequent year to report the taxpayer’s net investment income tax without the original election.</w:t>
      </w:r>
      <w:r>
        <w:rPr>
          <w:rStyle w:val="FootnoteReference"/>
        </w:rPr>
        <w:footnoteReference w:id="997"/>
      </w:r>
      <w:r>
        <w:t xml:space="preserve"> </w:t>
      </w:r>
    </w:p>
    <w:p w14:paraId="2DFE89A1" w14:textId="77777777" w:rsidR="00494B49" w:rsidRDefault="00494B49" w:rsidP="007865AF">
      <w:pPr>
        <w:pStyle w:val="BExamplepara"/>
      </w:pPr>
      <w:r>
        <w:rPr>
          <w:rStyle w:val="BExamplehead"/>
          <w:rFonts w:eastAsiaTheme="minorHAnsi"/>
          <w:i/>
        </w:rPr>
        <w:lastRenderedPageBreak/>
        <w:t>Example:</w:t>
      </w:r>
      <w:r>
        <w:t xml:space="preserve"> To illustrate the consequences of the rules in Reg. </w:t>
      </w:r>
      <w:smartTag w:uri="http://www.bna.com/sgml2word/cite" w:element="cite.cfr">
        <w:smartTagPr>
          <w:attr w:name="ref" w:val="cfr\26\1.1411-2(a)(2)(iii)(B)(3)"/>
        </w:smartTagPr>
        <w:r>
          <w:t>§1.1411-2(a)(2)(iii)(B)(3)</w:t>
        </w:r>
      </w:smartTag>
      <w:r>
        <w:t xml:space="preserve">, consider Couple A and Couple B, both of which made a </w:t>
      </w:r>
      <w:smartTag w:uri="http://www.bna.com/sgml2word/cite" w:element="cite.usc">
        <w:smartTagPr>
          <w:attr w:name="ref" w:val="USC\26\6013(g)"/>
        </w:smartTagPr>
        <w:r>
          <w:t>§6013(g)</w:t>
        </w:r>
      </w:smartTag>
      <w:r>
        <w:t xml:space="preserve"> election in 20x1 for regular tax purposes and </w:t>
      </w:r>
      <w:smartTag w:uri="http://www.bna.com/sgml2word/cite" w:element="cite.usc">
        <w:smartTagPr>
          <w:attr w:name="ref" w:val="USC\26\1411"/>
        </w:smartTagPr>
        <w:r>
          <w:t>§1411</w:t>
        </w:r>
      </w:smartTag>
      <w:r>
        <w:t xml:space="preserve"> purposes: </w:t>
      </w:r>
    </w:p>
    <w:p w14:paraId="18F2B152"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1583"/>
        <w:gridCol w:w="1524"/>
        <w:gridCol w:w="1464"/>
        <w:gridCol w:w="1524"/>
        <w:gridCol w:w="1065"/>
        <w:gridCol w:w="1125"/>
        <w:gridCol w:w="1065"/>
      </w:tblGrid>
      <w:tr w:rsidR="00494B49" w14:paraId="3700C623" w14:textId="77777777">
        <w:trPr>
          <w:gridAfter w:val="3"/>
          <w:wAfter w:w="4320" w:type="dxa"/>
        </w:trPr>
        <w:tc>
          <w:tcPr>
            <w:tcW w:w="2520" w:type="dxa"/>
          </w:tcPr>
          <w:p w14:paraId="3189435F" w14:textId="77777777" w:rsidR="00494B49" w:rsidRDefault="00494B49"/>
        </w:tc>
        <w:tc>
          <w:tcPr>
            <w:tcW w:w="2520" w:type="dxa"/>
          </w:tcPr>
          <w:p w14:paraId="79EA7045" w14:textId="77777777" w:rsidR="00494B49" w:rsidRDefault="00494B49">
            <w:r>
              <w:t>Tax Year 20x1</w:t>
            </w:r>
          </w:p>
        </w:tc>
        <w:tc>
          <w:tcPr>
            <w:tcW w:w="2520" w:type="dxa"/>
          </w:tcPr>
          <w:p w14:paraId="31E20253" w14:textId="77777777" w:rsidR="00494B49" w:rsidRDefault="00494B49">
            <w:r>
              <w:t>Tax Year 20x2</w:t>
            </w:r>
          </w:p>
        </w:tc>
        <w:tc>
          <w:tcPr>
            <w:tcW w:w="2520" w:type="dxa"/>
          </w:tcPr>
          <w:p w14:paraId="467FFC59" w14:textId="77777777" w:rsidR="00494B49" w:rsidRDefault="00494B49">
            <w:r>
              <w:t>Tax Year 20x3</w:t>
            </w:r>
          </w:p>
        </w:tc>
      </w:tr>
      <w:tr w:rsidR="00494B49" w14:paraId="0D8EC465" w14:textId="77777777">
        <w:tc>
          <w:tcPr>
            <w:tcW w:w="1440" w:type="dxa"/>
          </w:tcPr>
          <w:p w14:paraId="33BE0475" w14:textId="77777777" w:rsidR="00494B49" w:rsidRDefault="00494B49"/>
        </w:tc>
        <w:tc>
          <w:tcPr>
            <w:tcW w:w="1440" w:type="dxa"/>
          </w:tcPr>
          <w:p w14:paraId="1BBDCAE2" w14:textId="77777777" w:rsidR="00494B49" w:rsidRDefault="00494B49">
            <w:r>
              <w:t>MAGI</w:t>
            </w:r>
          </w:p>
        </w:tc>
        <w:tc>
          <w:tcPr>
            <w:tcW w:w="1440" w:type="dxa"/>
          </w:tcPr>
          <w:p w14:paraId="5B1CF36D" w14:textId="77777777" w:rsidR="00494B49" w:rsidRDefault="00494B49">
            <w:r>
              <w:t>NII</w:t>
            </w:r>
          </w:p>
        </w:tc>
        <w:tc>
          <w:tcPr>
            <w:tcW w:w="1440" w:type="dxa"/>
          </w:tcPr>
          <w:p w14:paraId="00B386B3" w14:textId="77777777" w:rsidR="00494B49" w:rsidRDefault="00494B49">
            <w:r>
              <w:t>MAGI</w:t>
            </w:r>
          </w:p>
        </w:tc>
        <w:tc>
          <w:tcPr>
            <w:tcW w:w="1440" w:type="dxa"/>
          </w:tcPr>
          <w:p w14:paraId="02433C4D" w14:textId="77777777" w:rsidR="00494B49" w:rsidRDefault="00494B49">
            <w:r>
              <w:t>NII</w:t>
            </w:r>
          </w:p>
        </w:tc>
        <w:tc>
          <w:tcPr>
            <w:tcW w:w="1440" w:type="dxa"/>
          </w:tcPr>
          <w:p w14:paraId="686CFD16" w14:textId="77777777" w:rsidR="00494B49" w:rsidRDefault="00494B49">
            <w:r>
              <w:t>MAGI</w:t>
            </w:r>
          </w:p>
        </w:tc>
        <w:tc>
          <w:tcPr>
            <w:tcW w:w="1440" w:type="dxa"/>
          </w:tcPr>
          <w:p w14:paraId="3836134A" w14:textId="77777777" w:rsidR="00494B49" w:rsidRDefault="00494B49">
            <w:r>
              <w:t>NII</w:t>
            </w:r>
          </w:p>
        </w:tc>
      </w:tr>
      <w:tr w:rsidR="00494B49" w14:paraId="5398CFCE" w14:textId="77777777">
        <w:tc>
          <w:tcPr>
            <w:tcW w:w="1440" w:type="dxa"/>
          </w:tcPr>
          <w:p w14:paraId="3911073F" w14:textId="77777777" w:rsidR="00494B49" w:rsidRDefault="00494B49">
            <w:r>
              <w:t>Couple A</w:t>
            </w:r>
          </w:p>
        </w:tc>
        <w:tc>
          <w:tcPr>
            <w:tcW w:w="1440" w:type="dxa"/>
          </w:tcPr>
          <w:p w14:paraId="5D4FCA56" w14:textId="77777777" w:rsidR="00494B49" w:rsidRDefault="00494B49"/>
        </w:tc>
        <w:tc>
          <w:tcPr>
            <w:tcW w:w="1440" w:type="dxa"/>
          </w:tcPr>
          <w:p w14:paraId="591225E6" w14:textId="77777777" w:rsidR="00494B49" w:rsidRDefault="00494B49"/>
        </w:tc>
        <w:tc>
          <w:tcPr>
            <w:tcW w:w="1440" w:type="dxa"/>
          </w:tcPr>
          <w:p w14:paraId="2844CE89" w14:textId="77777777" w:rsidR="00494B49" w:rsidRDefault="00494B49"/>
        </w:tc>
        <w:tc>
          <w:tcPr>
            <w:tcW w:w="1440" w:type="dxa"/>
          </w:tcPr>
          <w:p w14:paraId="72B41969" w14:textId="77777777" w:rsidR="00494B49" w:rsidRDefault="00494B49"/>
        </w:tc>
        <w:tc>
          <w:tcPr>
            <w:tcW w:w="1440" w:type="dxa"/>
          </w:tcPr>
          <w:p w14:paraId="023FC177" w14:textId="77777777" w:rsidR="00494B49" w:rsidRDefault="00494B49"/>
        </w:tc>
        <w:tc>
          <w:tcPr>
            <w:tcW w:w="1440" w:type="dxa"/>
          </w:tcPr>
          <w:p w14:paraId="62EDB07E" w14:textId="77777777" w:rsidR="00494B49" w:rsidRDefault="00494B49"/>
        </w:tc>
      </w:tr>
      <w:tr w:rsidR="00494B49" w14:paraId="7984F9C6" w14:textId="77777777">
        <w:tc>
          <w:tcPr>
            <w:tcW w:w="1440" w:type="dxa"/>
          </w:tcPr>
          <w:p w14:paraId="2868F03F" w14:textId="77777777" w:rsidR="00494B49" w:rsidRDefault="00494B49">
            <w:r>
              <w:t>U.S. Spouse</w:t>
            </w:r>
          </w:p>
        </w:tc>
        <w:tc>
          <w:tcPr>
            <w:tcW w:w="1440" w:type="dxa"/>
          </w:tcPr>
          <w:p w14:paraId="5CD575A1" w14:textId="77777777" w:rsidR="00494B49" w:rsidRDefault="00494B49">
            <w:r>
              <w:t>$130,000</w:t>
            </w:r>
          </w:p>
        </w:tc>
        <w:tc>
          <w:tcPr>
            <w:tcW w:w="1440" w:type="dxa"/>
          </w:tcPr>
          <w:p w14:paraId="040E8C0A" w14:textId="77777777" w:rsidR="00494B49" w:rsidRDefault="00494B49">
            <w:r>
              <w:t>$12,000</w:t>
            </w:r>
          </w:p>
        </w:tc>
        <w:tc>
          <w:tcPr>
            <w:tcW w:w="1440" w:type="dxa"/>
          </w:tcPr>
          <w:p w14:paraId="3D1F1A59" w14:textId="77777777" w:rsidR="00494B49" w:rsidRDefault="00494B49">
            <w:r>
              <w:t>$123,000</w:t>
            </w:r>
          </w:p>
        </w:tc>
        <w:tc>
          <w:tcPr>
            <w:tcW w:w="1440" w:type="dxa"/>
          </w:tcPr>
          <w:p w14:paraId="6D42A371" w14:textId="77777777" w:rsidR="00494B49" w:rsidRDefault="00494B49">
            <w:r>
              <w:t>$9,000</w:t>
            </w:r>
          </w:p>
        </w:tc>
        <w:tc>
          <w:tcPr>
            <w:tcW w:w="1440" w:type="dxa"/>
          </w:tcPr>
          <w:p w14:paraId="30852175" w14:textId="77777777" w:rsidR="00494B49" w:rsidRDefault="00494B49">
            <w:r>
              <w:t>$155,000</w:t>
            </w:r>
          </w:p>
        </w:tc>
        <w:tc>
          <w:tcPr>
            <w:tcW w:w="1440" w:type="dxa"/>
          </w:tcPr>
          <w:p w14:paraId="7E6165A2" w14:textId="77777777" w:rsidR="00494B49" w:rsidRDefault="00494B49">
            <w:r>
              <w:t>$15,000</w:t>
            </w:r>
          </w:p>
        </w:tc>
      </w:tr>
      <w:tr w:rsidR="00494B49" w14:paraId="04C7977D" w14:textId="77777777">
        <w:tc>
          <w:tcPr>
            <w:tcW w:w="1440" w:type="dxa"/>
          </w:tcPr>
          <w:p w14:paraId="7D6F1FEE" w14:textId="77777777" w:rsidR="00494B49" w:rsidRDefault="00494B49">
            <w:r>
              <w:t>NRA Spouse</w:t>
            </w:r>
          </w:p>
        </w:tc>
        <w:tc>
          <w:tcPr>
            <w:tcW w:w="1440" w:type="dxa"/>
          </w:tcPr>
          <w:p w14:paraId="2B28E92B" w14:textId="77777777" w:rsidR="00494B49" w:rsidRDefault="00494B49">
            <w:r>
              <w:t>$40,000</w:t>
            </w:r>
          </w:p>
        </w:tc>
        <w:tc>
          <w:tcPr>
            <w:tcW w:w="1440" w:type="dxa"/>
          </w:tcPr>
          <w:p w14:paraId="5B85EC43" w14:textId="77777777" w:rsidR="00494B49" w:rsidRDefault="00494B49">
            <w:r>
              <w:t>$1,000</w:t>
            </w:r>
          </w:p>
        </w:tc>
        <w:tc>
          <w:tcPr>
            <w:tcW w:w="1440" w:type="dxa"/>
          </w:tcPr>
          <w:p w14:paraId="3BC5B7C8" w14:textId="77777777" w:rsidR="00494B49" w:rsidRDefault="00494B49">
            <w:r>
              <w:t>$60,000</w:t>
            </w:r>
          </w:p>
        </w:tc>
        <w:tc>
          <w:tcPr>
            <w:tcW w:w="1440" w:type="dxa"/>
          </w:tcPr>
          <w:p w14:paraId="2B284DA6" w14:textId="77777777" w:rsidR="00494B49" w:rsidRDefault="00494B49">
            <w:r>
              <w:t>$800</w:t>
            </w:r>
          </w:p>
        </w:tc>
        <w:tc>
          <w:tcPr>
            <w:tcW w:w="1440" w:type="dxa"/>
          </w:tcPr>
          <w:p w14:paraId="4437928D" w14:textId="77777777" w:rsidR="00494B49" w:rsidRDefault="00494B49">
            <w:r>
              <w:t>$100,000</w:t>
            </w:r>
          </w:p>
        </w:tc>
        <w:tc>
          <w:tcPr>
            <w:tcW w:w="1440" w:type="dxa"/>
          </w:tcPr>
          <w:p w14:paraId="22FDFC5F" w14:textId="77777777" w:rsidR="00494B49" w:rsidRDefault="00494B49">
            <w:r>
              <w:t>$1,500</w:t>
            </w:r>
          </w:p>
        </w:tc>
      </w:tr>
      <w:tr w:rsidR="00494B49" w14:paraId="6CF8E27D" w14:textId="77777777">
        <w:tc>
          <w:tcPr>
            <w:tcW w:w="1440" w:type="dxa"/>
          </w:tcPr>
          <w:p w14:paraId="780B5B1E" w14:textId="77777777" w:rsidR="00494B49" w:rsidRDefault="00494B49">
            <w:r>
              <w:t>Combined</w:t>
            </w:r>
          </w:p>
        </w:tc>
        <w:tc>
          <w:tcPr>
            <w:tcW w:w="1440" w:type="dxa"/>
          </w:tcPr>
          <w:p w14:paraId="66B37D64" w14:textId="77777777" w:rsidR="00494B49" w:rsidRDefault="00494B49">
            <w:r>
              <w:t>$170,000</w:t>
            </w:r>
          </w:p>
        </w:tc>
        <w:tc>
          <w:tcPr>
            <w:tcW w:w="1440" w:type="dxa"/>
          </w:tcPr>
          <w:p w14:paraId="0EDE49F6" w14:textId="77777777" w:rsidR="00494B49" w:rsidRDefault="00494B49">
            <w:r>
              <w:t>$13,000</w:t>
            </w:r>
          </w:p>
        </w:tc>
        <w:tc>
          <w:tcPr>
            <w:tcW w:w="1440" w:type="dxa"/>
          </w:tcPr>
          <w:p w14:paraId="00C813AD" w14:textId="77777777" w:rsidR="00494B49" w:rsidRDefault="00494B49">
            <w:r>
              <w:t>$183,000</w:t>
            </w:r>
          </w:p>
        </w:tc>
        <w:tc>
          <w:tcPr>
            <w:tcW w:w="1440" w:type="dxa"/>
          </w:tcPr>
          <w:p w14:paraId="16A774E5" w14:textId="77777777" w:rsidR="00494B49" w:rsidRDefault="00494B49">
            <w:r>
              <w:t>$9,800</w:t>
            </w:r>
          </w:p>
        </w:tc>
        <w:tc>
          <w:tcPr>
            <w:tcW w:w="1440" w:type="dxa"/>
          </w:tcPr>
          <w:p w14:paraId="313C2CA4" w14:textId="77777777" w:rsidR="00494B49" w:rsidRDefault="00494B49">
            <w:r>
              <w:t>$255,000</w:t>
            </w:r>
          </w:p>
        </w:tc>
        <w:tc>
          <w:tcPr>
            <w:tcW w:w="1440" w:type="dxa"/>
          </w:tcPr>
          <w:p w14:paraId="6C895E70" w14:textId="77777777" w:rsidR="00494B49" w:rsidRDefault="00494B49">
            <w:r>
              <w:t>$16,500</w:t>
            </w:r>
          </w:p>
        </w:tc>
      </w:tr>
      <w:tr w:rsidR="00494B49" w14:paraId="49FB690A" w14:textId="77777777">
        <w:tc>
          <w:tcPr>
            <w:tcW w:w="1440" w:type="dxa"/>
          </w:tcPr>
          <w:p w14:paraId="2315B7F1" w14:textId="77777777" w:rsidR="00494B49" w:rsidRDefault="00494B49"/>
        </w:tc>
        <w:tc>
          <w:tcPr>
            <w:tcW w:w="1440" w:type="dxa"/>
          </w:tcPr>
          <w:p w14:paraId="133E6CFF" w14:textId="77777777" w:rsidR="00494B49" w:rsidRDefault="00494B49"/>
        </w:tc>
        <w:tc>
          <w:tcPr>
            <w:tcW w:w="1440" w:type="dxa"/>
          </w:tcPr>
          <w:p w14:paraId="5CE8414F" w14:textId="77777777" w:rsidR="00494B49" w:rsidRDefault="00494B49"/>
        </w:tc>
        <w:tc>
          <w:tcPr>
            <w:tcW w:w="1440" w:type="dxa"/>
          </w:tcPr>
          <w:p w14:paraId="551E6943" w14:textId="77777777" w:rsidR="00494B49" w:rsidRDefault="00494B49"/>
        </w:tc>
        <w:tc>
          <w:tcPr>
            <w:tcW w:w="1440" w:type="dxa"/>
          </w:tcPr>
          <w:p w14:paraId="0AB908F5" w14:textId="77777777" w:rsidR="00494B49" w:rsidRDefault="00494B49"/>
        </w:tc>
        <w:tc>
          <w:tcPr>
            <w:tcW w:w="1440" w:type="dxa"/>
          </w:tcPr>
          <w:p w14:paraId="77995BC5" w14:textId="77777777" w:rsidR="00494B49" w:rsidRDefault="00494B49"/>
        </w:tc>
        <w:tc>
          <w:tcPr>
            <w:tcW w:w="1440" w:type="dxa"/>
          </w:tcPr>
          <w:p w14:paraId="51627A51" w14:textId="77777777" w:rsidR="00494B49" w:rsidRDefault="00494B49"/>
        </w:tc>
      </w:tr>
      <w:tr w:rsidR="00494B49" w14:paraId="63FE9C6C" w14:textId="77777777">
        <w:tc>
          <w:tcPr>
            <w:tcW w:w="1440" w:type="dxa"/>
          </w:tcPr>
          <w:p w14:paraId="4CF988E3" w14:textId="77777777" w:rsidR="00494B49" w:rsidRDefault="00494B49">
            <w:r>
              <w:t>Couple B</w:t>
            </w:r>
          </w:p>
        </w:tc>
        <w:tc>
          <w:tcPr>
            <w:tcW w:w="1440" w:type="dxa"/>
          </w:tcPr>
          <w:p w14:paraId="1C0547A8" w14:textId="77777777" w:rsidR="00494B49" w:rsidRDefault="00494B49"/>
        </w:tc>
        <w:tc>
          <w:tcPr>
            <w:tcW w:w="1440" w:type="dxa"/>
          </w:tcPr>
          <w:p w14:paraId="119AADAF" w14:textId="77777777" w:rsidR="00494B49" w:rsidRDefault="00494B49"/>
        </w:tc>
        <w:tc>
          <w:tcPr>
            <w:tcW w:w="1440" w:type="dxa"/>
          </w:tcPr>
          <w:p w14:paraId="7605C825" w14:textId="77777777" w:rsidR="00494B49" w:rsidRDefault="00494B49"/>
        </w:tc>
        <w:tc>
          <w:tcPr>
            <w:tcW w:w="1440" w:type="dxa"/>
          </w:tcPr>
          <w:p w14:paraId="56DC2EC6" w14:textId="77777777" w:rsidR="00494B49" w:rsidRDefault="00494B49"/>
        </w:tc>
        <w:tc>
          <w:tcPr>
            <w:tcW w:w="1440" w:type="dxa"/>
          </w:tcPr>
          <w:p w14:paraId="57FB3B2B" w14:textId="77777777" w:rsidR="00494B49" w:rsidRDefault="00494B49"/>
        </w:tc>
        <w:tc>
          <w:tcPr>
            <w:tcW w:w="1440" w:type="dxa"/>
          </w:tcPr>
          <w:p w14:paraId="5C19C745" w14:textId="77777777" w:rsidR="00494B49" w:rsidRDefault="00494B49"/>
        </w:tc>
      </w:tr>
      <w:tr w:rsidR="00494B49" w14:paraId="02C80598" w14:textId="77777777">
        <w:tc>
          <w:tcPr>
            <w:tcW w:w="1440" w:type="dxa"/>
          </w:tcPr>
          <w:p w14:paraId="39C3CCD4" w14:textId="77777777" w:rsidR="00494B49" w:rsidRDefault="00494B49">
            <w:r>
              <w:t>U.S. Spouse</w:t>
            </w:r>
          </w:p>
        </w:tc>
        <w:tc>
          <w:tcPr>
            <w:tcW w:w="1440" w:type="dxa"/>
          </w:tcPr>
          <w:p w14:paraId="2795A294" w14:textId="77777777" w:rsidR="00494B49" w:rsidRDefault="00494B49">
            <w:r>
              <w:t>$130,000</w:t>
            </w:r>
          </w:p>
        </w:tc>
        <w:tc>
          <w:tcPr>
            <w:tcW w:w="1440" w:type="dxa"/>
          </w:tcPr>
          <w:p w14:paraId="328ADF22" w14:textId="77777777" w:rsidR="00494B49" w:rsidRDefault="00494B49">
            <w:r>
              <w:t>$12,000</w:t>
            </w:r>
          </w:p>
        </w:tc>
        <w:tc>
          <w:tcPr>
            <w:tcW w:w="1440" w:type="dxa"/>
          </w:tcPr>
          <w:p w14:paraId="149EED40" w14:textId="77777777" w:rsidR="00494B49" w:rsidRDefault="00494B49">
            <w:r>
              <w:t>$135,000</w:t>
            </w:r>
          </w:p>
        </w:tc>
        <w:tc>
          <w:tcPr>
            <w:tcW w:w="1440" w:type="dxa"/>
          </w:tcPr>
          <w:p w14:paraId="3000782F" w14:textId="77777777" w:rsidR="00494B49" w:rsidRDefault="00494B49">
            <w:r>
              <w:t>$25,000</w:t>
            </w:r>
          </w:p>
        </w:tc>
        <w:tc>
          <w:tcPr>
            <w:tcW w:w="1440" w:type="dxa"/>
          </w:tcPr>
          <w:p w14:paraId="1D0F64F0" w14:textId="77777777" w:rsidR="00494B49" w:rsidRDefault="00494B49">
            <w:r>
              <w:t>$150,000</w:t>
            </w:r>
          </w:p>
        </w:tc>
        <w:tc>
          <w:tcPr>
            <w:tcW w:w="1440" w:type="dxa"/>
          </w:tcPr>
          <w:p w14:paraId="72A01810" w14:textId="77777777" w:rsidR="00494B49" w:rsidRDefault="00494B49">
            <w:r>
              <w:t>$11,000</w:t>
            </w:r>
          </w:p>
        </w:tc>
      </w:tr>
      <w:tr w:rsidR="00494B49" w14:paraId="0A024C0D" w14:textId="77777777">
        <w:tc>
          <w:tcPr>
            <w:tcW w:w="1440" w:type="dxa"/>
          </w:tcPr>
          <w:p w14:paraId="4E8B3B5C" w14:textId="77777777" w:rsidR="00494B49" w:rsidRDefault="00494B49">
            <w:r>
              <w:t>NRA Spouse</w:t>
            </w:r>
          </w:p>
        </w:tc>
        <w:tc>
          <w:tcPr>
            <w:tcW w:w="1440" w:type="dxa"/>
          </w:tcPr>
          <w:p w14:paraId="4E711988" w14:textId="77777777" w:rsidR="00494B49" w:rsidRDefault="00494B49">
            <w:r>
              <w:t>$40,000</w:t>
            </w:r>
          </w:p>
        </w:tc>
        <w:tc>
          <w:tcPr>
            <w:tcW w:w="1440" w:type="dxa"/>
          </w:tcPr>
          <w:p w14:paraId="63ED5078" w14:textId="77777777" w:rsidR="00494B49" w:rsidRDefault="00494B49">
            <w:r>
              <w:t>$1,000</w:t>
            </w:r>
          </w:p>
        </w:tc>
        <w:tc>
          <w:tcPr>
            <w:tcW w:w="1440" w:type="dxa"/>
          </w:tcPr>
          <w:p w14:paraId="2234F22C" w14:textId="77777777" w:rsidR="00494B49" w:rsidRDefault="00494B49">
            <w:r>
              <w:t>$150,000</w:t>
            </w:r>
          </w:p>
        </w:tc>
        <w:tc>
          <w:tcPr>
            <w:tcW w:w="1440" w:type="dxa"/>
          </w:tcPr>
          <w:p w14:paraId="643B4F02" w14:textId="77777777" w:rsidR="00494B49" w:rsidRDefault="00494B49">
            <w:r>
              <w:t>$60,000</w:t>
            </w:r>
          </w:p>
        </w:tc>
        <w:tc>
          <w:tcPr>
            <w:tcW w:w="1440" w:type="dxa"/>
          </w:tcPr>
          <w:p w14:paraId="5252F570" w14:textId="77777777" w:rsidR="00494B49" w:rsidRDefault="00494B49">
            <w:r>
              <w:t>$80,000</w:t>
            </w:r>
          </w:p>
        </w:tc>
        <w:tc>
          <w:tcPr>
            <w:tcW w:w="1440" w:type="dxa"/>
          </w:tcPr>
          <w:p w14:paraId="539EB13D" w14:textId="77777777" w:rsidR="00494B49" w:rsidRDefault="00494B49">
            <w:r>
              <w:t>$1,000</w:t>
            </w:r>
          </w:p>
        </w:tc>
      </w:tr>
      <w:tr w:rsidR="00494B49" w14:paraId="10D88099" w14:textId="77777777">
        <w:tc>
          <w:tcPr>
            <w:tcW w:w="1440" w:type="dxa"/>
          </w:tcPr>
          <w:p w14:paraId="152C4EDD" w14:textId="77777777" w:rsidR="00494B49" w:rsidRDefault="00494B49">
            <w:r>
              <w:t>Combined</w:t>
            </w:r>
          </w:p>
        </w:tc>
        <w:tc>
          <w:tcPr>
            <w:tcW w:w="1440" w:type="dxa"/>
          </w:tcPr>
          <w:p w14:paraId="5FDA3A57" w14:textId="77777777" w:rsidR="00494B49" w:rsidRDefault="00494B49">
            <w:r>
              <w:t>$170,000</w:t>
            </w:r>
          </w:p>
        </w:tc>
        <w:tc>
          <w:tcPr>
            <w:tcW w:w="1440" w:type="dxa"/>
          </w:tcPr>
          <w:p w14:paraId="51FD1570" w14:textId="77777777" w:rsidR="00494B49" w:rsidRDefault="00494B49">
            <w:r>
              <w:t>$13,000</w:t>
            </w:r>
          </w:p>
        </w:tc>
        <w:tc>
          <w:tcPr>
            <w:tcW w:w="1440" w:type="dxa"/>
          </w:tcPr>
          <w:p w14:paraId="752C50DC" w14:textId="77777777" w:rsidR="00494B49" w:rsidRDefault="00494B49">
            <w:r>
              <w:t>$285,000</w:t>
            </w:r>
          </w:p>
        </w:tc>
        <w:tc>
          <w:tcPr>
            <w:tcW w:w="1440" w:type="dxa"/>
          </w:tcPr>
          <w:p w14:paraId="40270CB2" w14:textId="77777777" w:rsidR="00494B49" w:rsidRDefault="00494B49">
            <w:r>
              <w:t>$85,500</w:t>
            </w:r>
          </w:p>
        </w:tc>
        <w:tc>
          <w:tcPr>
            <w:tcW w:w="1440" w:type="dxa"/>
          </w:tcPr>
          <w:p w14:paraId="351EDD69" w14:textId="77777777" w:rsidR="00494B49" w:rsidRDefault="00494B49">
            <w:r>
              <w:t>$230,000</w:t>
            </w:r>
          </w:p>
        </w:tc>
        <w:tc>
          <w:tcPr>
            <w:tcW w:w="1440" w:type="dxa"/>
          </w:tcPr>
          <w:p w14:paraId="7C20C953" w14:textId="77777777" w:rsidR="00494B49" w:rsidRDefault="00494B49">
            <w:r>
              <w:t>$12,000</w:t>
            </w:r>
          </w:p>
        </w:tc>
      </w:tr>
    </w:tbl>
    <w:p w14:paraId="5CCA2268" w14:textId="77777777" w:rsidR="00494B49" w:rsidRDefault="00494B49">
      <w:pPr>
        <w:pStyle w:val="BNormal"/>
      </w:pPr>
    </w:p>
    <w:p w14:paraId="5196CBCB" w14:textId="77777777" w:rsidR="00494B49" w:rsidRDefault="00494B49" w:rsidP="007865AF">
      <w:pPr>
        <w:pStyle w:val="BExamplepara"/>
      </w:pPr>
      <w:r>
        <w:t xml:space="preserve">In 20x3, Couple A and B both file amended returns for 20x1 because the U.S. spouse over-reported income by $7,000. As a consequence of the 20x1amended return, the table now shows: </w:t>
      </w:r>
    </w:p>
    <w:p w14:paraId="211506AF"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1582"/>
        <w:gridCol w:w="1526"/>
        <w:gridCol w:w="1463"/>
        <w:gridCol w:w="1524"/>
        <w:gridCol w:w="1065"/>
        <w:gridCol w:w="1125"/>
        <w:gridCol w:w="1065"/>
      </w:tblGrid>
      <w:tr w:rsidR="00494B49" w14:paraId="0C52AD41" w14:textId="77777777">
        <w:trPr>
          <w:gridAfter w:val="3"/>
          <w:wAfter w:w="4320" w:type="dxa"/>
        </w:trPr>
        <w:tc>
          <w:tcPr>
            <w:tcW w:w="2520" w:type="dxa"/>
          </w:tcPr>
          <w:p w14:paraId="3EAE3C8B" w14:textId="77777777" w:rsidR="00494B49" w:rsidRDefault="00494B49"/>
        </w:tc>
        <w:tc>
          <w:tcPr>
            <w:tcW w:w="2520" w:type="dxa"/>
          </w:tcPr>
          <w:p w14:paraId="3D557996" w14:textId="77777777" w:rsidR="00494B49" w:rsidRDefault="00494B49">
            <w:r>
              <w:t>Tax Year 20x1</w:t>
            </w:r>
          </w:p>
        </w:tc>
        <w:tc>
          <w:tcPr>
            <w:tcW w:w="2520" w:type="dxa"/>
          </w:tcPr>
          <w:p w14:paraId="13264836" w14:textId="77777777" w:rsidR="00494B49" w:rsidRDefault="00494B49">
            <w:r>
              <w:t>Tax Year 20x2</w:t>
            </w:r>
          </w:p>
        </w:tc>
        <w:tc>
          <w:tcPr>
            <w:tcW w:w="2520" w:type="dxa"/>
          </w:tcPr>
          <w:p w14:paraId="3EACF57E" w14:textId="77777777" w:rsidR="00494B49" w:rsidRDefault="00494B49">
            <w:r>
              <w:t>Tax Year 20x3</w:t>
            </w:r>
          </w:p>
        </w:tc>
      </w:tr>
      <w:tr w:rsidR="00494B49" w14:paraId="1068D69C" w14:textId="77777777">
        <w:tc>
          <w:tcPr>
            <w:tcW w:w="1440" w:type="dxa"/>
          </w:tcPr>
          <w:p w14:paraId="5ACD5F38" w14:textId="77777777" w:rsidR="00494B49" w:rsidRDefault="00494B49"/>
        </w:tc>
        <w:tc>
          <w:tcPr>
            <w:tcW w:w="1440" w:type="dxa"/>
          </w:tcPr>
          <w:p w14:paraId="13CAC18F" w14:textId="77777777" w:rsidR="00494B49" w:rsidRDefault="00494B49">
            <w:r>
              <w:t>MAGI</w:t>
            </w:r>
          </w:p>
        </w:tc>
        <w:tc>
          <w:tcPr>
            <w:tcW w:w="1440" w:type="dxa"/>
          </w:tcPr>
          <w:p w14:paraId="64705919" w14:textId="77777777" w:rsidR="00494B49" w:rsidRDefault="00494B49">
            <w:r>
              <w:t>NII</w:t>
            </w:r>
          </w:p>
        </w:tc>
        <w:tc>
          <w:tcPr>
            <w:tcW w:w="1440" w:type="dxa"/>
          </w:tcPr>
          <w:p w14:paraId="4516FF3B" w14:textId="77777777" w:rsidR="00494B49" w:rsidRDefault="00494B49">
            <w:r>
              <w:t>MAGI</w:t>
            </w:r>
          </w:p>
        </w:tc>
        <w:tc>
          <w:tcPr>
            <w:tcW w:w="1440" w:type="dxa"/>
          </w:tcPr>
          <w:p w14:paraId="1E4A4A89" w14:textId="77777777" w:rsidR="00494B49" w:rsidRDefault="00494B49">
            <w:r>
              <w:t>NII</w:t>
            </w:r>
          </w:p>
        </w:tc>
        <w:tc>
          <w:tcPr>
            <w:tcW w:w="1440" w:type="dxa"/>
          </w:tcPr>
          <w:p w14:paraId="231A23EA" w14:textId="77777777" w:rsidR="00494B49" w:rsidRDefault="00494B49">
            <w:r>
              <w:t>MAGI</w:t>
            </w:r>
          </w:p>
        </w:tc>
        <w:tc>
          <w:tcPr>
            <w:tcW w:w="1440" w:type="dxa"/>
          </w:tcPr>
          <w:p w14:paraId="3CE0A00D" w14:textId="77777777" w:rsidR="00494B49" w:rsidRDefault="00494B49">
            <w:r>
              <w:t>NII</w:t>
            </w:r>
          </w:p>
        </w:tc>
      </w:tr>
      <w:tr w:rsidR="00494B49" w14:paraId="15174469" w14:textId="77777777">
        <w:tc>
          <w:tcPr>
            <w:tcW w:w="1440" w:type="dxa"/>
          </w:tcPr>
          <w:p w14:paraId="20FDE7E1" w14:textId="77777777" w:rsidR="00494B49" w:rsidRDefault="00494B49">
            <w:r>
              <w:t>Couple A</w:t>
            </w:r>
          </w:p>
        </w:tc>
        <w:tc>
          <w:tcPr>
            <w:tcW w:w="1440" w:type="dxa"/>
          </w:tcPr>
          <w:p w14:paraId="47B567F9" w14:textId="77777777" w:rsidR="00494B49" w:rsidRDefault="00494B49"/>
        </w:tc>
        <w:tc>
          <w:tcPr>
            <w:tcW w:w="1440" w:type="dxa"/>
          </w:tcPr>
          <w:p w14:paraId="15628F01" w14:textId="77777777" w:rsidR="00494B49" w:rsidRDefault="00494B49"/>
        </w:tc>
        <w:tc>
          <w:tcPr>
            <w:tcW w:w="1440" w:type="dxa"/>
          </w:tcPr>
          <w:p w14:paraId="0114E126" w14:textId="77777777" w:rsidR="00494B49" w:rsidRDefault="00494B49"/>
        </w:tc>
        <w:tc>
          <w:tcPr>
            <w:tcW w:w="1440" w:type="dxa"/>
          </w:tcPr>
          <w:p w14:paraId="190E22BC" w14:textId="77777777" w:rsidR="00494B49" w:rsidRDefault="00494B49"/>
        </w:tc>
        <w:tc>
          <w:tcPr>
            <w:tcW w:w="1440" w:type="dxa"/>
          </w:tcPr>
          <w:p w14:paraId="4E57350E" w14:textId="77777777" w:rsidR="00494B49" w:rsidRDefault="00494B49"/>
        </w:tc>
        <w:tc>
          <w:tcPr>
            <w:tcW w:w="1440" w:type="dxa"/>
          </w:tcPr>
          <w:p w14:paraId="029B2641" w14:textId="77777777" w:rsidR="00494B49" w:rsidRDefault="00494B49"/>
        </w:tc>
      </w:tr>
      <w:tr w:rsidR="00494B49" w14:paraId="628A04F4" w14:textId="77777777">
        <w:tc>
          <w:tcPr>
            <w:tcW w:w="1440" w:type="dxa"/>
          </w:tcPr>
          <w:p w14:paraId="38A83DD9" w14:textId="77777777" w:rsidR="00494B49" w:rsidRDefault="00494B49">
            <w:r>
              <w:t>U.S. Spouse</w:t>
            </w:r>
          </w:p>
        </w:tc>
        <w:tc>
          <w:tcPr>
            <w:tcW w:w="1440" w:type="dxa"/>
          </w:tcPr>
          <w:p w14:paraId="2959862D" w14:textId="77777777" w:rsidR="00494B49" w:rsidRDefault="00494B49">
            <w:r>
              <w:t xml:space="preserve"> </w:t>
            </w:r>
            <w:r>
              <w:rPr>
                <w:b/>
              </w:rPr>
              <w:t>$123,000</w:t>
            </w:r>
          </w:p>
        </w:tc>
        <w:tc>
          <w:tcPr>
            <w:tcW w:w="1440" w:type="dxa"/>
          </w:tcPr>
          <w:p w14:paraId="6A7D25BE" w14:textId="77777777" w:rsidR="00494B49" w:rsidRDefault="00494B49">
            <w:r>
              <w:t>$12,000</w:t>
            </w:r>
          </w:p>
        </w:tc>
        <w:tc>
          <w:tcPr>
            <w:tcW w:w="1440" w:type="dxa"/>
          </w:tcPr>
          <w:p w14:paraId="5E1DC91B" w14:textId="77777777" w:rsidR="00494B49" w:rsidRDefault="00494B49">
            <w:r>
              <w:t>$123,000</w:t>
            </w:r>
          </w:p>
        </w:tc>
        <w:tc>
          <w:tcPr>
            <w:tcW w:w="1440" w:type="dxa"/>
          </w:tcPr>
          <w:p w14:paraId="37B8FDE8" w14:textId="77777777" w:rsidR="00494B49" w:rsidRDefault="00494B49">
            <w:r>
              <w:t>$9,000</w:t>
            </w:r>
          </w:p>
        </w:tc>
        <w:tc>
          <w:tcPr>
            <w:tcW w:w="1440" w:type="dxa"/>
          </w:tcPr>
          <w:p w14:paraId="4EF172BD" w14:textId="77777777" w:rsidR="00494B49" w:rsidRDefault="00494B49">
            <w:r>
              <w:t>$155,000</w:t>
            </w:r>
          </w:p>
        </w:tc>
        <w:tc>
          <w:tcPr>
            <w:tcW w:w="1440" w:type="dxa"/>
          </w:tcPr>
          <w:p w14:paraId="1FCBA51D" w14:textId="77777777" w:rsidR="00494B49" w:rsidRDefault="00494B49">
            <w:r>
              <w:t>$15,000</w:t>
            </w:r>
          </w:p>
        </w:tc>
      </w:tr>
      <w:tr w:rsidR="00494B49" w14:paraId="3DCF91E2" w14:textId="77777777">
        <w:tc>
          <w:tcPr>
            <w:tcW w:w="1440" w:type="dxa"/>
          </w:tcPr>
          <w:p w14:paraId="63ECE00D" w14:textId="77777777" w:rsidR="00494B49" w:rsidRDefault="00494B49">
            <w:r>
              <w:t>NRA Spouse</w:t>
            </w:r>
          </w:p>
        </w:tc>
        <w:tc>
          <w:tcPr>
            <w:tcW w:w="1440" w:type="dxa"/>
          </w:tcPr>
          <w:p w14:paraId="115C43A5" w14:textId="77777777" w:rsidR="00494B49" w:rsidRDefault="00494B49">
            <w:r>
              <w:t>$40,000</w:t>
            </w:r>
          </w:p>
        </w:tc>
        <w:tc>
          <w:tcPr>
            <w:tcW w:w="1440" w:type="dxa"/>
          </w:tcPr>
          <w:p w14:paraId="1B9BBA28" w14:textId="77777777" w:rsidR="00494B49" w:rsidRDefault="00494B49">
            <w:r>
              <w:t>$1,000</w:t>
            </w:r>
          </w:p>
        </w:tc>
        <w:tc>
          <w:tcPr>
            <w:tcW w:w="1440" w:type="dxa"/>
          </w:tcPr>
          <w:p w14:paraId="40414043" w14:textId="77777777" w:rsidR="00494B49" w:rsidRDefault="00494B49">
            <w:r>
              <w:t>$60,000</w:t>
            </w:r>
          </w:p>
        </w:tc>
        <w:tc>
          <w:tcPr>
            <w:tcW w:w="1440" w:type="dxa"/>
          </w:tcPr>
          <w:p w14:paraId="224B18DE" w14:textId="77777777" w:rsidR="00494B49" w:rsidRDefault="00494B49">
            <w:r>
              <w:t>$800</w:t>
            </w:r>
          </w:p>
        </w:tc>
        <w:tc>
          <w:tcPr>
            <w:tcW w:w="1440" w:type="dxa"/>
          </w:tcPr>
          <w:p w14:paraId="3605BDE9" w14:textId="77777777" w:rsidR="00494B49" w:rsidRDefault="00494B49">
            <w:r>
              <w:t>$100,000</w:t>
            </w:r>
          </w:p>
        </w:tc>
        <w:tc>
          <w:tcPr>
            <w:tcW w:w="1440" w:type="dxa"/>
          </w:tcPr>
          <w:p w14:paraId="15537581" w14:textId="77777777" w:rsidR="00494B49" w:rsidRDefault="00494B49">
            <w:r>
              <w:t>$1,500</w:t>
            </w:r>
          </w:p>
        </w:tc>
      </w:tr>
      <w:tr w:rsidR="00494B49" w14:paraId="0E5B314C" w14:textId="77777777">
        <w:tc>
          <w:tcPr>
            <w:tcW w:w="1440" w:type="dxa"/>
          </w:tcPr>
          <w:p w14:paraId="5F1C5188" w14:textId="77777777" w:rsidR="00494B49" w:rsidRDefault="00494B49">
            <w:r>
              <w:t>Combined</w:t>
            </w:r>
          </w:p>
        </w:tc>
        <w:tc>
          <w:tcPr>
            <w:tcW w:w="1440" w:type="dxa"/>
          </w:tcPr>
          <w:p w14:paraId="5C70C4B7" w14:textId="77777777" w:rsidR="00494B49" w:rsidRDefault="00494B49">
            <w:r>
              <w:t>$163,000</w:t>
            </w:r>
          </w:p>
        </w:tc>
        <w:tc>
          <w:tcPr>
            <w:tcW w:w="1440" w:type="dxa"/>
          </w:tcPr>
          <w:p w14:paraId="6D37996A" w14:textId="77777777" w:rsidR="00494B49" w:rsidRDefault="00494B49">
            <w:r>
              <w:t>$13,000</w:t>
            </w:r>
          </w:p>
        </w:tc>
        <w:tc>
          <w:tcPr>
            <w:tcW w:w="1440" w:type="dxa"/>
          </w:tcPr>
          <w:p w14:paraId="090557CB" w14:textId="77777777" w:rsidR="00494B49" w:rsidRDefault="00494B49">
            <w:r>
              <w:t>$183,000</w:t>
            </w:r>
          </w:p>
        </w:tc>
        <w:tc>
          <w:tcPr>
            <w:tcW w:w="1440" w:type="dxa"/>
          </w:tcPr>
          <w:p w14:paraId="2D05C9F5" w14:textId="77777777" w:rsidR="00494B49" w:rsidRDefault="00494B49">
            <w:r>
              <w:t>$9,800</w:t>
            </w:r>
          </w:p>
        </w:tc>
        <w:tc>
          <w:tcPr>
            <w:tcW w:w="1440" w:type="dxa"/>
          </w:tcPr>
          <w:p w14:paraId="52219338" w14:textId="77777777" w:rsidR="00494B49" w:rsidRDefault="00494B49">
            <w:r>
              <w:t>$255,000</w:t>
            </w:r>
          </w:p>
        </w:tc>
        <w:tc>
          <w:tcPr>
            <w:tcW w:w="1440" w:type="dxa"/>
          </w:tcPr>
          <w:p w14:paraId="6D19B5AA" w14:textId="77777777" w:rsidR="00494B49" w:rsidRDefault="00494B49">
            <w:r>
              <w:t>$16,500</w:t>
            </w:r>
          </w:p>
        </w:tc>
      </w:tr>
      <w:tr w:rsidR="00494B49" w14:paraId="07FFF711" w14:textId="77777777">
        <w:tc>
          <w:tcPr>
            <w:tcW w:w="1440" w:type="dxa"/>
          </w:tcPr>
          <w:p w14:paraId="5B7EF1DF" w14:textId="77777777" w:rsidR="00494B49" w:rsidRDefault="00494B49"/>
        </w:tc>
        <w:tc>
          <w:tcPr>
            <w:tcW w:w="1440" w:type="dxa"/>
          </w:tcPr>
          <w:p w14:paraId="3011D9DF" w14:textId="77777777" w:rsidR="00494B49" w:rsidRDefault="00494B49"/>
        </w:tc>
        <w:tc>
          <w:tcPr>
            <w:tcW w:w="1440" w:type="dxa"/>
          </w:tcPr>
          <w:p w14:paraId="37DFFC08" w14:textId="77777777" w:rsidR="00494B49" w:rsidRDefault="00494B49"/>
        </w:tc>
        <w:tc>
          <w:tcPr>
            <w:tcW w:w="1440" w:type="dxa"/>
          </w:tcPr>
          <w:p w14:paraId="26D48557" w14:textId="77777777" w:rsidR="00494B49" w:rsidRDefault="00494B49"/>
        </w:tc>
        <w:tc>
          <w:tcPr>
            <w:tcW w:w="1440" w:type="dxa"/>
          </w:tcPr>
          <w:p w14:paraId="420C2A8E" w14:textId="77777777" w:rsidR="00494B49" w:rsidRDefault="00494B49"/>
        </w:tc>
        <w:tc>
          <w:tcPr>
            <w:tcW w:w="1440" w:type="dxa"/>
          </w:tcPr>
          <w:p w14:paraId="67C95C28" w14:textId="77777777" w:rsidR="00494B49" w:rsidRDefault="00494B49"/>
        </w:tc>
        <w:tc>
          <w:tcPr>
            <w:tcW w:w="1440" w:type="dxa"/>
          </w:tcPr>
          <w:p w14:paraId="32E14AD1" w14:textId="77777777" w:rsidR="00494B49" w:rsidRDefault="00494B49"/>
        </w:tc>
      </w:tr>
      <w:tr w:rsidR="00494B49" w14:paraId="23C3163B" w14:textId="77777777">
        <w:tc>
          <w:tcPr>
            <w:tcW w:w="1440" w:type="dxa"/>
          </w:tcPr>
          <w:p w14:paraId="01B5F111" w14:textId="77777777" w:rsidR="00494B49" w:rsidRDefault="00494B49">
            <w:r>
              <w:t>Couple B</w:t>
            </w:r>
          </w:p>
        </w:tc>
        <w:tc>
          <w:tcPr>
            <w:tcW w:w="1440" w:type="dxa"/>
          </w:tcPr>
          <w:p w14:paraId="3BEDBAE5" w14:textId="77777777" w:rsidR="00494B49" w:rsidRDefault="00494B49"/>
        </w:tc>
        <w:tc>
          <w:tcPr>
            <w:tcW w:w="1440" w:type="dxa"/>
          </w:tcPr>
          <w:p w14:paraId="2A27B2FE" w14:textId="77777777" w:rsidR="00494B49" w:rsidRDefault="00494B49"/>
        </w:tc>
        <w:tc>
          <w:tcPr>
            <w:tcW w:w="1440" w:type="dxa"/>
          </w:tcPr>
          <w:p w14:paraId="500A95E9" w14:textId="77777777" w:rsidR="00494B49" w:rsidRDefault="00494B49"/>
        </w:tc>
        <w:tc>
          <w:tcPr>
            <w:tcW w:w="1440" w:type="dxa"/>
          </w:tcPr>
          <w:p w14:paraId="4125EB1A" w14:textId="77777777" w:rsidR="00494B49" w:rsidRDefault="00494B49"/>
        </w:tc>
        <w:tc>
          <w:tcPr>
            <w:tcW w:w="1440" w:type="dxa"/>
          </w:tcPr>
          <w:p w14:paraId="66B92E04" w14:textId="77777777" w:rsidR="00494B49" w:rsidRDefault="00494B49"/>
        </w:tc>
        <w:tc>
          <w:tcPr>
            <w:tcW w:w="1440" w:type="dxa"/>
          </w:tcPr>
          <w:p w14:paraId="69274D08" w14:textId="77777777" w:rsidR="00494B49" w:rsidRDefault="00494B49"/>
        </w:tc>
      </w:tr>
      <w:tr w:rsidR="00494B49" w14:paraId="7A59BF28" w14:textId="77777777">
        <w:tc>
          <w:tcPr>
            <w:tcW w:w="1440" w:type="dxa"/>
          </w:tcPr>
          <w:p w14:paraId="0E38A59C" w14:textId="77777777" w:rsidR="00494B49" w:rsidRDefault="00494B49">
            <w:r>
              <w:t>U.S. Spouse</w:t>
            </w:r>
          </w:p>
        </w:tc>
        <w:tc>
          <w:tcPr>
            <w:tcW w:w="1440" w:type="dxa"/>
          </w:tcPr>
          <w:p w14:paraId="2E3612C9" w14:textId="77777777" w:rsidR="00494B49" w:rsidRDefault="00494B49">
            <w:r>
              <w:t xml:space="preserve"> </w:t>
            </w:r>
            <w:r>
              <w:rPr>
                <w:b/>
              </w:rPr>
              <w:t>$123,000</w:t>
            </w:r>
          </w:p>
        </w:tc>
        <w:tc>
          <w:tcPr>
            <w:tcW w:w="1440" w:type="dxa"/>
          </w:tcPr>
          <w:p w14:paraId="6B7B7CF0" w14:textId="77777777" w:rsidR="00494B49" w:rsidRDefault="00494B49">
            <w:r>
              <w:t>$12,000</w:t>
            </w:r>
          </w:p>
        </w:tc>
        <w:tc>
          <w:tcPr>
            <w:tcW w:w="1440" w:type="dxa"/>
          </w:tcPr>
          <w:p w14:paraId="7B74EDCF" w14:textId="77777777" w:rsidR="00494B49" w:rsidRDefault="00494B49">
            <w:r>
              <w:t>$135,000</w:t>
            </w:r>
          </w:p>
        </w:tc>
        <w:tc>
          <w:tcPr>
            <w:tcW w:w="1440" w:type="dxa"/>
          </w:tcPr>
          <w:p w14:paraId="4FD40A52" w14:textId="77777777" w:rsidR="00494B49" w:rsidRDefault="00494B49">
            <w:r>
              <w:t>$25,000</w:t>
            </w:r>
          </w:p>
        </w:tc>
        <w:tc>
          <w:tcPr>
            <w:tcW w:w="1440" w:type="dxa"/>
          </w:tcPr>
          <w:p w14:paraId="149CC9D4" w14:textId="77777777" w:rsidR="00494B49" w:rsidRDefault="00494B49">
            <w:r>
              <w:t>$150,000</w:t>
            </w:r>
          </w:p>
        </w:tc>
        <w:tc>
          <w:tcPr>
            <w:tcW w:w="1440" w:type="dxa"/>
          </w:tcPr>
          <w:p w14:paraId="5DF77BEB" w14:textId="77777777" w:rsidR="00494B49" w:rsidRDefault="00494B49">
            <w:r>
              <w:t>$11,000</w:t>
            </w:r>
          </w:p>
        </w:tc>
      </w:tr>
      <w:tr w:rsidR="00494B49" w14:paraId="225E8517" w14:textId="77777777">
        <w:tc>
          <w:tcPr>
            <w:tcW w:w="1440" w:type="dxa"/>
          </w:tcPr>
          <w:p w14:paraId="60076B19" w14:textId="77777777" w:rsidR="00494B49" w:rsidRDefault="00494B49">
            <w:r>
              <w:t>NRA Spouse</w:t>
            </w:r>
          </w:p>
        </w:tc>
        <w:tc>
          <w:tcPr>
            <w:tcW w:w="1440" w:type="dxa"/>
          </w:tcPr>
          <w:p w14:paraId="17A48ACE" w14:textId="77777777" w:rsidR="00494B49" w:rsidRDefault="00494B49">
            <w:r>
              <w:t>$40,000</w:t>
            </w:r>
          </w:p>
        </w:tc>
        <w:tc>
          <w:tcPr>
            <w:tcW w:w="1440" w:type="dxa"/>
          </w:tcPr>
          <w:p w14:paraId="1E6DC9D2" w14:textId="77777777" w:rsidR="00494B49" w:rsidRDefault="00494B49">
            <w:r>
              <w:t>$1,000</w:t>
            </w:r>
          </w:p>
        </w:tc>
        <w:tc>
          <w:tcPr>
            <w:tcW w:w="1440" w:type="dxa"/>
          </w:tcPr>
          <w:p w14:paraId="74E42D9D" w14:textId="77777777" w:rsidR="00494B49" w:rsidRDefault="00494B49">
            <w:r>
              <w:t>$150,000</w:t>
            </w:r>
          </w:p>
        </w:tc>
        <w:tc>
          <w:tcPr>
            <w:tcW w:w="1440" w:type="dxa"/>
          </w:tcPr>
          <w:p w14:paraId="70B6E64E" w14:textId="77777777" w:rsidR="00494B49" w:rsidRDefault="00494B49">
            <w:r>
              <w:t>$60,000</w:t>
            </w:r>
          </w:p>
        </w:tc>
        <w:tc>
          <w:tcPr>
            <w:tcW w:w="1440" w:type="dxa"/>
          </w:tcPr>
          <w:p w14:paraId="33AE2B5C" w14:textId="77777777" w:rsidR="00494B49" w:rsidRDefault="00494B49">
            <w:r>
              <w:t>$80,000</w:t>
            </w:r>
          </w:p>
        </w:tc>
        <w:tc>
          <w:tcPr>
            <w:tcW w:w="1440" w:type="dxa"/>
          </w:tcPr>
          <w:p w14:paraId="3BC226FD" w14:textId="77777777" w:rsidR="00494B49" w:rsidRDefault="00494B49">
            <w:r>
              <w:t>$1,000</w:t>
            </w:r>
          </w:p>
        </w:tc>
      </w:tr>
      <w:tr w:rsidR="00494B49" w14:paraId="1B31243C" w14:textId="77777777">
        <w:tc>
          <w:tcPr>
            <w:tcW w:w="1440" w:type="dxa"/>
          </w:tcPr>
          <w:p w14:paraId="1F247A48" w14:textId="77777777" w:rsidR="00494B49" w:rsidRDefault="00494B49">
            <w:r>
              <w:t>Combined</w:t>
            </w:r>
          </w:p>
        </w:tc>
        <w:tc>
          <w:tcPr>
            <w:tcW w:w="1440" w:type="dxa"/>
          </w:tcPr>
          <w:p w14:paraId="5573D51A" w14:textId="77777777" w:rsidR="00494B49" w:rsidRDefault="00494B49">
            <w:r>
              <w:t>$163,000</w:t>
            </w:r>
          </w:p>
        </w:tc>
        <w:tc>
          <w:tcPr>
            <w:tcW w:w="1440" w:type="dxa"/>
          </w:tcPr>
          <w:p w14:paraId="57C32215" w14:textId="77777777" w:rsidR="00494B49" w:rsidRDefault="00494B49">
            <w:r>
              <w:t>$13,000</w:t>
            </w:r>
          </w:p>
        </w:tc>
        <w:tc>
          <w:tcPr>
            <w:tcW w:w="1440" w:type="dxa"/>
          </w:tcPr>
          <w:p w14:paraId="73FF5F16" w14:textId="77777777" w:rsidR="00494B49" w:rsidRDefault="00494B49">
            <w:r>
              <w:t>$285,000</w:t>
            </w:r>
          </w:p>
        </w:tc>
        <w:tc>
          <w:tcPr>
            <w:tcW w:w="1440" w:type="dxa"/>
          </w:tcPr>
          <w:p w14:paraId="26EFB891" w14:textId="77777777" w:rsidR="00494B49" w:rsidRDefault="00494B49">
            <w:r>
              <w:t>$85,500</w:t>
            </w:r>
          </w:p>
        </w:tc>
        <w:tc>
          <w:tcPr>
            <w:tcW w:w="1440" w:type="dxa"/>
          </w:tcPr>
          <w:p w14:paraId="558869F7" w14:textId="77777777" w:rsidR="00494B49" w:rsidRDefault="00494B49">
            <w:r>
              <w:t>$230,000</w:t>
            </w:r>
          </w:p>
        </w:tc>
        <w:tc>
          <w:tcPr>
            <w:tcW w:w="1440" w:type="dxa"/>
          </w:tcPr>
          <w:p w14:paraId="6D561A05" w14:textId="77777777" w:rsidR="00494B49" w:rsidRDefault="00494B49">
            <w:r>
              <w:t>$12,000</w:t>
            </w:r>
          </w:p>
        </w:tc>
      </w:tr>
    </w:tbl>
    <w:p w14:paraId="4747D35C" w14:textId="77777777" w:rsidR="00494B49" w:rsidRDefault="00494B49">
      <w:pPr>
        <w:pStyle w:val="BNormal"/>
      </w:pPr>
    </w:p>
    <w:p w14:paraId="298447CA" w14:textId="77777777" w:rsidR="00494B49" w:rsidRDefault="00494B49">
      <w:pPr>
        <w:pStyle w:val="BExamplepara"/>
      </w:pPr>
      <w:r>
        <w:t xml:space="preserve">Due to the 20x1 amended return (filed in 20x3), the 20x1 election that both Couple A and Couple B made pursuant to Reg. </w:t>
      </w:r>
      <w:smartTag w:uri="http://www.bna.com/sgml2word/cite" w:element="cite.cfr">
        <w:smartTagPr>
          <w:attr w:name="ref" w:val="cfr\26\1.1411-2(a)(2)(iii)(B)"/>
        </w:smartTagPr>
        <w:r>
          <w:t>§1.1411-2(a)(2)(iii)(B)</w:t>
        </w:r>
      </w:smartTag>
      <w:r>
        <w:t xml:space="preserve"> is ineffective in 20x1 because U.S. spouse no longer met the eligibility criteria; note that eligibility is determined without regard to the effect of the election. After the amended return, the U.S. spouse’s MAGI ($123,000) is under the married filing separately threshold of $125,000. Although the Reg. </w:t>
      </w:r>
      <w:smartTag w:uri="http://www.bna.com/sgml2word/cite" w:element="cite.cfr">
        <w:smartTagPr>
          <w:attr w:name="ref" w:val="cfr\26\1.1411-2(a)(2)(iii)(B)"/>
        </w:smartTagPr>
        <w:r>
          <w:t>§1.1411-2(a)(2)(iii)(B)</w:t>
        </w:r>
      </w:smartTag>
      <w:r>
        <w:t xml:space="preserve"> election in 20x1 resulted in a zero tax liability for Couple A and Couple B, the amended return also resulted in a zero tax liability (but for a different reason).</w:t>
      </w:r>
    </w:p>
    <w:p w14:paraId="52C2E247" w14:textId="77777777" w:rsidR="00494B49" w:rsidRDefault="00494B49">
      <w:pPr>
        <w:pStyle w:val="BExamplepara"/>
      </w:pPr>
      <w:r>
        <w:rPr>
          <w:rStyle w:val="BExamplehead"/>
          <w:rFonts w:eastAsiaTheme="minorHAnsi"/>
          <w:i/>
        </w:rPr>
        <w:t>Couple A</w:t>
      </w:r>
      <w:r>
        <w:t xml:space="preserve">: In 20x2, the U.S. Spouse in Couple A is not subject to </w:t>
      </w:r>
      <w:smartTag w:uri="http://www.bna.com/sgml2word/cite" w:element="cite.usc">
        <w:smartTagPr>
          <w:attr w:name="ref" w:val="USC\26\1411"/>
        </w:smartTagPr>
        <w:r>
          <w:t>§1411</w:t>
        </w:r>
      </w:smartTag>
      <w:r>
        <w:t xml:space="preserve"> because that spouse’s MAGI does not exceed the $125,000 threshold for married filing separately. Because Couple A was not subject to </w:t>
      </w:r>
      <w:smartTag w:uri="http://www.bna.com/sgml2word/cite" w:element="cite.usc">
        <w:smartTagPr>
          <w:attr w:name="ref" w:val="USC\26\1411"/>
        </w:smartTagPr>
        <w:r>
          <w:t>§1411</w:t>
        </w:r>
      </w:smartTag>
      <w:r>
        <w:t xml:space="preserve"> in 20x2 with the Reg. </w:t>
      </w:r>
      <w:smartTag w:uri="http://www.bna.com/sgml2word/cite" w:element="cite.cfr">
        <w:smartTagPr>
          <w:attr w:name="ref" w:val="cfr\26\1.1411-2(a)(2)(iii)(B)"/>
        </w:smartTagPr>
        <w:r>
          <w:t>§1.1411-2(a)(2)(iii)(B)</w:t>
        </w:r>
      </w:smartTag>
      <w:r>
        <w:t xml:space="preserve"> election in place, Couple A does not need to amend its 20x2 return. </w:t>
      </w:r>
    </w:p>
    <w:p w14:paraId="196FAC17" w14:textId="77777777" w:rsidR="00494B49" w:rsidRDefault="00494B49">
      <w:pPr>
        <w:pStyle w:val="BExamplepara"/>
      </w:pPr>
      <w:r>
        <w:rPr>
          <w:rStyle w:val="BExamplehead"/>
          <w:rFonts w:eastAsiaTheme="minorHAnsi"/>
          <w:i/>
        </w:rPr>
        <w:t>Couple B</w:t>
      </w:r>
      <w:r>
        <w:t xml:space="preserve">: In 20x2, the U.S. Spouse in Couple B is subject to </w:t>
      </w:r>
      <w:smartTag w:uri="http://www.bna.com/sgml2word/cite" w:element="cite.usc">
        <w:smartTagPr>
          <w:attr w:name="ref" w:val="USC\26\1411"/>
        </w:smartTagPr>
        <w:r>
          <w:t>§1411</w:t>
        </w:r>
      </w:smartTag>
      <w:r>
        <w:t xml:space="preserve"> because that spouse’s MAGI is greater than the $125,000 threshold (by $10,000) and, therefore, the U.S. spouse </w:t>
      </w:r>
      <w:r>
        <w:lastRenderedPageBreak/>
        <w:t xml:space="preserve">has net investment income of $9,000. The U.S. Spouse would have a </w:t>
      </w:r>
      <w:smartTag w:uri="http://www.bna.com/sgml2word/cite" w:element="cite.usc">
        <w:smartTagPr>
          <w:attr w:name="ref" w:val="USC\26\1411"/>
        </w:smartTagPr>
        <w:r>
          <w:t>§1411</w:t>
        </w:r>
      </w:smartTag>
      <w:r>
        <w:t xml:space="preserve"> tax liability of $342 ($9,000 × 3.8%). However, pursuant to Reg. </w:t>
      </w:r>
      <w:smartTag w:uri="http://www.bna.com/sgml2word/cite" w:element="cite.cfr">
        <w:smartTagPr>
          <w:attr w:name="ref" w:val="cfr\26\1.1411-2(a)(2)(iii)(B)(3)"/>
        </w:smartTagPr>
        <w:r>
          <w:t>§1.1411-2(a)(2)(iii)(B)(3)</w:t>
        </w:r>
      </w:smartTag>
      <w:r>
        <w:t xml:space="preserve">, the invalid election that Couple B made in 20x1 is now deemed to have been made in 20x2. In this case, Couple B has a </w:t>
      </w:r>
      <w:smartTag w:uri="http://www.bna.com/sgml2word/cite" w:element="cite.usc">
        <w:smartTagPr>
          <w:attr w:name="ref" w:val="USC\26\1411"/>
        </w:smartTagPr>
        <w:r>
          <w:t>§1411</w:t>
        </w:r>
      </w:smartTag>
      <w:r>
        <w:t xml:space="preserve"> liability of $1,330 ($35,000 × 3.8%) — which is the same tax liability they reported on their original return. Alternatively, because the Reg. </w:t>
      </w:r>
      <w:smartTag w:uri="http://www.bna.com/sgml2word/cite" w:element="cite.cfr">
        <w:smartTagPr>
          <w:attr w:name="ref" w:val="cfr\26\1.1411-2(a)(2)(iii)(B)"/>
        </w:smartTagPr>
        <w:r>
          <w:t>§1.1411-2(a)(2)(iii)(B)</w:t>
        </w:r>
      </w:smartTag>
      <w:r>
        <w:t xml:space="preserve"> election was invalid in 20x1, Couple B may amend its 20x2 return consistent with the invalid election and report only U.S. Spouse’s </w:t>
      </w:r>
      <w:smartTag w:uri="http://www.bna.com/sgml2word/cite" w:element="cite.usc">
        <w:smartTagPr>
          <w:attr w:name="ref" w:val="USC\26\1411"/>
        </w:smartTagPr>
        <w:r>
          <w:t>§1411</w:t>
        </w:r>
      </w:smartTag>
      <w:r>
        <w:t xml:space="preserve"> liability. In this instance, by amending the 20x2 return, Couple B loses the ability to make a Reg. </w:t>
      </w:r>
      <w:smartTag w:uri="http://www.bna.com/sgml2word/cite" w:element="cite.cfr">
        <w:smartTagPr>
          <w:attr w:name="ref" w:val="cfr\26\1.1411-2(a)(2)(iii)(B)"/>
        </w:smartTagPr>
        <w:r>
          <w:t>§1.1411-2(a)(2)(iii)(B)</w:t>
        </w:r>
      </w:smartTag>
      <w:r>
        <w:t xml:space="preserve"> in the future. Therefore, Couple B must consider the long-term benefits and burdens of filing an amended return in 20x2. </w:t>
      </w:r>
    </w:p>
    <w:p w14:paraId="6C29B037" w14:textId="77777777" w:rsidR="00494B49" w:rsidRDefault="00494B49">
      <w:pPr>
        <w:pStyle w:val="BHead3"/>
      </w:pPr>
      <w:r>
        <w:t>b. Part-Year Nonresident Aliens</w:t>
      </w:r>
    </w:p>
    <w:p w14:paraId="165A2139" w14:textId="77777777" w:rsidR="00494B49" w:rsidRDefault="00494B49">
      <w:pPr>
        <w:pStyle w:val="BNormal"/>
      </w:pPr>
      <w:r>
        <w:t>A dual-status individual, who is a resident of the United States for part of the year and an NRA for the other part of the year, is subject to the NIIT only with respect to the portion of the year during which the individual is a U.S. resident.</w:t>
      </w:r>
      <w:r>
        <w:rPr>
          <w:rStyle w:val="FootnoteReference"/>
        </w:rPr>
        <w:footnoteReference w:id="998"/>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999"/>
      </w:r>
      <w:r>
        <w:t xml:space="preserve"> However, the preamble to the 2013 Final Regulations states that “[t]he Treasury Department and the IRS may reconsider this rule if taxpayers are applying it inappropriately.”</w:t>
      </w:r>
      <w:r>
        <w:rPr>
          <w:rStyle w:val="FootnoteReference"/>
        </w:rPr>
        <w:footnoteReference w:id="1000"/>
      </w:r>
    </w:p>
    <w:p w14:paraId="1AB94946" w14:textId="77777777" w:rsidR="00494B49" w:rsidRDefault="00494B49">
      <w:pPr>
        <w:pStyle w:val="BHead2"/>
      </w:pPr>
      <w:r>
        <w:t>2. Application of Bona Fide Residents of Territories and Possessions</w:t>
      </w:r>
    </w:p>
    <w:p w14:paraId="513CB36F" w14:textId="77777777" w:rsidR="00494B49" w:rsidRDefault="00494B49">
      <w:pPr>
        <w:pStyle w:val="BNormal"/>
      </w:pPr>
      <w:r>
        <w:t xml:space="preserve">An individual who is a citizen, resident, or nonresident alien with respect to the United States may qualify as a bona fide resident of a U.S. territory. Reg. </w:t>
      </w:r>
      <w:smartTag w:uri="http://www.bna.com/sgml2word/cite" w:element="cite.cfr">
        <w:smartTagPr>
          <w:attr w:name="ref" w:val="cfr\26\1.1411-2(a)(2)(vi)"/>
        </w:smartTagPr>
        <w:r>
          <w:t>§1.1411-2(a)(2)(vi)</w:t>
        </w:r>
      </w:smartTag>
      <w:r>
        <w:t xml:space="preserve"> provides guidance on the application of </w:t>
      </w:r>
      <w:smartTag w:uri="http://www.bna.com/sgml2word/cite" w:element="cite.usc">
        <w:smartTagPr>
          <w:attr w:name="ref" w:val="USC\26\1411"/>
        </w:smartTagPr>
        <w:r>
          <w:t>§1411</w:t>
        </w:r>
      </w:smartTag>
      <w:r>
        <w:t xml:space="preserve"> to individuals who are bona fide residents</w:t>
      </w:r>
      <w:r>
        <w:rPr>
          <w:rStyle w:val="FootnoteReference"/>
        </w:rPr>
        <w:footnoteReference w:id="1001"/>
      </w:r>
      <w:r>
        <w:t xml:space="preserve"> of possessions of the United States (U.S. territories).</w:t>
      </w:r>
      <w:r>
        <w:rPr>
          <w:rStyle w:val="FootnoteReference"/>
        </w:rPr>
        <w:footnoteReference w:id="1002"/>
      </w:r>
      <w:r>
        <w:t xml:space="preserve"> Whether the tax under </w:t>
      </w:r>
      <w:smartTag w:uri="http://www.bna.com/sgml2word/cite" w:element="cite.usc">
        <w:smartTagPr>
          <w:attr w:name="ref" w:val="USC\26\1411"/>
        </w:smartTagPr>
        <w:r>
          <w:t>§1411</w:t>
        </w:r>
      </w:smartTag>
      <w:r>
        <w:t xml:space="preserve"> applies to a bona fide resident of a U.S. territory depends on whether the U.S. territory has a mirror code system of taxation.</w:t>
      </w:r>
      <w:r>
        <w:rPr>
          <w:rStyle w:val="FootnoteReference"/>
        </w:rPr>
        <w:footnoteReference w:id="1003"/>
      </w:r>
    </w:p>
    <w:p w14:paraId="20BC7B39" w14:textId="77777777" w:rsidR="00494B49" w:rsidRDefault="00494B49">
      <w:pPr>
        <w:pStyle w:val="BHead3"/>
      </w:pPr>
      <w:r>
        <w:t>a. Mirror Code Jurisdictions</w:t>
      </w:r>
    </w:p>
    <w:p w14:paraId="79D001A3" w14:textId="77777777" w:rsidR="00494B49" w:rsidRDefault="00494B49">
      <w:pPr>
        <w:pStyle w:val="BNormal"/>
      </w:pPr>
      <w:r>
        <w:t>Guam, the Northern Mariana Islands, and the U.S. Virgin Islands are mirror code jurisdictions. Bona fide residents of U.S. territories that are mirror code jurisdictions generally have no income tax obligation (or related return filing requirement) with the United States provided that they properly report income and pay income tax to the tax administration of their respective U.S. territory.</w:t>
      </w:r>
      <w:r>
        <w:rPr>
          <w:rStyle w:val="FootnoteReference"/>
        </w:rPr>
        <w:footnoteReference w:id="1004"/>
      </w:r>
      <w:r>
        <w:t xml:space="preserve"> Therefore, </w:t>
      </w:r>
      <w:smartTag w:uri="http://www.bna.com/sgml2word/cite" w:element="cite.usc">
        <w:smartTagPr>
          <w:attr w:name="ref" w:val="USC\26\1411"/>
        </w:smartTagPr>
        <w:r>
          <w:t>§1411</w:t>
        </w:r>
      </w:smartTag>
      <w:r>
        <w:t xml:space="preserve"> generally does not apply to bona fide residents of mirror code </w:t>
      </w:r>
      <w:r>
        <w:lastRenderedPageBreak/>
        <w:t>jurisdictions because they will not have an income tax liability to the United States if they fully comply with the tax laws of the relevant territory.</w:t>
      </w:r>
      <w:r>
        <w:rPr>
          <w:rStyle w:val="FootnoteReference"/>
        </w:rPr>
        <w:footnoteReference w:id="1005"/>
      </w:r>
    </w:p>
    <w:p w14:paraId="3BDBB271" w14:textId="77777777" w:rsidR="00494B49" w:rsidRDefault="00494B49">
      <w:pPr>
        <w:pStyle w:val="BNormal"/>
      </w:pPr>
      <w:r>
        <w:rPr>
          <w:i/>
        </w:rPr>
        <w:t>Comment:</w:t>
      </w:r>
      <w:r>
        <w:t xml:space="preserve"> The intent behind this rule was to mirror the operation of </w:t>
      </w:r>
      <w:smartTag w:uri="http://www.bna.com/sgml2word/cite" w:element="cite.usc">
        <w:smartTagPr>
          <w:attr w:name="ref" w:val="USC\26\932(c)"/>
        </w:smartTagPr>
        <w:r>
          <w:t>§932(c)</w:t>
        </w:r>
      </w:smartTag>
      <w:r>
        <w:t xml:space="preserve">. By its literal wording, </w:t>
      </w:r>
      <w:smartTag w:uri="http://www.bna.com/sgml2word/cite" w:element="cite.usc">
        <w:smartTagPr>
          <w:attr w:name="ref" w:val="USC\26\932"/>
        </w:smartTagPr>
        <w:r>
          <w:t>§932</w:t>
        </w:r>
      </w:smartTag>
      <w:r>
        <w:t xml:space="preserve"> does not cover </w:t>
      </w:r>
      <w:smartTag w:uri="http://www.bna.com/sgml2word/cite" w:element="cite.usc">
        <w:smartTagPr>
          <w:attr w:name="ref" w:val="USC\26\1411"/>
        </w:smartTagPr>
        <w:r>
          <w:t>§1411</w:t>
        </w:r>
      </w:smartTag>
      <w:r>
        <w:t xml:space="preserve"> because it is located outside of Chapter 1 of Subtitle A. As a result, </w:t>
      </w:r>
      <w:smartTag w:uri="http://www.bna.com/sgml2word/cite" w:element="cite.usc">
        <w:smartTagPr>
          <w:attr w:name="ref" w:val="USC\26\932"/>
        </w:smartTagPr>
        <w:r>
          <w:t>§932</w:t>
        </w:r>
      </w:smartTag>
      <w:r>
        <w:t xml:space="preserve"> only applies to taxes imposed by Chapter 1.</w:t>
      </w:r>
      <w:r>
        <w:rPr>
          <w:rStyle w:val="FootnoteReference"/>
        </w:rPr>
        <w:footnoteReference w:id="1006"/>
      </w:r>
      <w:r>
        <w:t xml:space="preserve"> This rule is confirmed by the fact that bona fide residents of mirror code jurisdictions pay self-employment taxes (which are imposed by Chapter 2 of Subtitle A) to the United States but pay the Chapter 1 income tax to their home jurisdiction. The IRS was faced with the situation of a new Chapter of Subtitle A that had more in common with income tax imposed by Chapter 1 than with self-employment tax (because the NIIT was not deposited into the Medicare trust fund). As a result, the 2013 Final Regulations attempted to mimic the result in </w:t>
      </w:r>
      <w:smartTag w:uri="http://www.bna.com/sgml2word/cite" w:element="cite.usc">
        <w:smartTagPr>
          <w:attr w:name="ref" w:val="USC\26\932(c)"/>
        </w:smartTagPr>
        <w:r>
          <w:t>§932(c)</w:t>
        </w:r>
      </w:smartTag>
      <w:r>
        <w:t xml:space="preserve"> for bona fide residents.</w:t>
      </w:r>
    </w:p>
    <w:p w14:paraId="76596600" w14:textId="77777777" w:rsidR="00494B49" w:rsidRDefault="00494B49">
      <w:pPr>
        <w:pStyle w:val="BNormal"/>
      </w:pPr>
      <w:r>
        <w:t xml:space="preserve">After the 2013 Final Regulations were released, there was some controversy regarding the proper reading of Reg. </w:t>
      </w:r>
      <w:smartTag w:uri="http://www.bna.com/sgml2word/cite" w:element="cite.cfr">
        <w:smartTagPr>
          <w:attr w:name="ref" w:val="cfr\26\1.1411-2(a)(2)(vi)(A)"/>
        </w:smartTagPr>
        <w:r>
          <w:t>§1.1411-2(a)(2)(vi)(A)</w:t>
        </w:r>
      </w:smartTag>
      <w:r>
        <w:t xml:space="preserve">. The Virgin Islands Bureau of Internal Revenue issued a press release stating that the bona fide residents are subject to NIIT in the Virgin Islands. Some practitioners objected to that press release because they read Reg. </w:t>
      </w:r>
      <w:smartTag w:uri="http://www.bna.com/sgml2word/cite" w:element="cite.cfr">
        <w:smartTagPr>
          <w:attr w:name="ref" w:val="cfr\26\1.1411-2(a)(2)(vi)(A)"/>
        </w:smartTagPr>
        <w:r>
          <w:t>§1.1411-2(a)(2)(vi)(A)</w:t>
        </w:r>
      </w:smartTag>
      <w:r>
        <w:t xml:space="preserve"> as exempting bona fide residents from the NIIT (imposed by both the United States and the USVI) as long as they do not have a filing obligation to the United States. Although this reading of the regulation appears facially reasonable, the result is inconsistent with the intent that the regulation mirror </w:t>
      </w:r>
      <w:smartTag w:uri="http://www.bna.com/sgml2word/cite" w:element="cite.usc">
        <w:smartTagPr>
          <w:attr w:name="ref" w:val="USC\26\932(c)"/>
        </w:smartTagPr>
        <w:r>
          <w:t>§932(c)</w:t>
        </w:r>
      </w:smartTag>
      <w:r>
        <w:t xml:space="preserve"> but not preclude taxation by the mirror code jurisdiction entirely.</w:t>
      </w:r>
      <w:r>
        <w:rPr>
          <w:rStyle w:val="FootnoteReference"/>
        </w:rPr>
        <w:footnoteReference w:id="1007"/>
      </w:r>
    </w:p>
    <w:p w14:paraId="5EAAFCBE" w14:textId="77777777" w:rsidR="00494B49" w:rsidRDefault="00494B49">
      <w:pPr>
        <w:pStyle w:val="BNormal"/>
      </w:pPr>
      <w:r>
        <w:rPr>
          <w:i/>
        </w:rPr>
        <w:t>Comment:</w:t>
      </w:r>
      <w:r>
        <w:t xml:space="preserve"> There is no corresponding provision in Reg. </w:t>
      </w:r>
      <w:smartTag w:uri="http://www.bna.com/sgml2word/cite" w:element="cite.cfr">
        <w:smartTagPr>
          <w:attr w:name="ref" w:val="cfr\26\1.1411-3"/>
        </w:smartTagPr>
        <w:r>
          <w:t>§1.1411-3</w:t>
        </w:r>
      </w:smartTag>
      <w:r>
        <w:t xml:space="preserve"> for estates and trusts legally located in a mirror code jurisdiction. Arguably, the end result should not be different for estates and trusts, but the result might ultimately turn on whether the estate or trust is considered a “bona fide resident” under </w:t>
      </w:r>
      <w:smartTag w:uri="http://www.bna.com/sgml2word/cite" w:element="cite.usc">
        <w:smartTagPr>
          <w:attr w:name="ref" w:val="USC\26\937(a)"/>
        </w:smartTagPr>
        <w:r>
          <w:t>§937(a)</w:t>
        </w:r>
      </w:smartTag>
      <w:r>
        <w:t>.</w:t>
      </w:r>
      <w:r>
        <w:rPr>
          <w:rStyle w:val="FootnoteReference"/>
        </w:rPr>
        <w:footnoteReference w:id="1008"/>
      </w:r>
    </w:p>
    <w:p w14:paraId="60AEF0D8" w14:textId="77777777" w:rsidR="00494B49" w:rsidRDefault="00494B49">
      <w:pPr>
        <w:pStyle w:val="BHead3"/>
      </w:pPr>
      <w:r>
        <w:t>b. Non-Mirror-Code Jurisdictions</w:t>
      </w:r>
    </w:p>
    <w:p w14:paraId="325A76EC" w14:textId="77777777" w:rsidR="00494B49" w:rsidRDefault="00494B49">
      <w:pPr>
        <w:pStyle w:val="BNormal"/>
      </w:pPr>
      <w:r>
        <w:t xml:space="preserve">Bona fide residents of non-mirror-code jurisdictions (American Samoa and Puerto Rico) generally exclude territory-source income from U.S. federal gross income under </w:t>
      </w:r>
      <w:smartTag w:uri="http://www.bna.com/sgml2word/cite" w:element="cite.usc">
        <w:smartTagPr>
          <w:attr w:name="ref" w:val="USC\26\931"/>
        </w:smartTagPr>
        <w:r>
          <w:t>§931</w:t>
        </w:r>
      </w:smartTag>
      <w:r>
        <w:t xml:space="preserve"> and </w:t>
      </w:r>
      <w:smartTag w:uri="http://www.bna.com/sgml2word/cite" w:element="cite.usc">
        <w:smartTagPr>
          <w:attr w:name="ref" w:val="USC\26\933"/>
        </w:smartTagPr>
        <w:r>
          <w:t>§933</w:t>
        </w:r>
      </w:smartTag>
      <w:r>
        <w:t>.</w:t>
      </w:r>
      <w:r>
        <w:rPr>
          <w:rStyle w:val="FootnoteReference"/>
        </w:rPr>
        <w:footnoteReference w:id="1009"/>
      </w:r>
      <w:r>
        <w:t xml:space="preserve"> Although territory-source income is excluded, these bona fide residents are subject to </w:t>
      </w:r>
      <w:r>
        <w:lastRenderedPageBreak/>
        <w:t>U.S. federal income taxation, and have a related income tax return filing requirement with the United States to the extent that they have U.S.-source or other nonterritory source income or income from amounts paid for services performed as an employee of the United States or any agency thereof (collectively, U.S. reportable income).</w:t>
      </w:r>
      <w:r>
        <w:rPr>
          <w:rStyle w:val="FootnoteReference"/>
        </w:rPr>
        <w:footnoteReference w:id="1010"/>
      </w:r>
      <w:r>
        <w:t xml:space="preserve"> Under </w:t>
      </w:r>
      <w:smartTag w:uri="http://www.bna.com/sgml2word/cite" w:element="cite.usc">
        <w:smartTagPr>
          <w:attr w:name="ref" w:val="USC\26\876"/>
        </w:smartTagPr>
        <w:r>
          <w:t>§876</w:t>
        </w:r>
      </w:smartTag>
      <w:r>
        <w:t xml:space="preserve"> and Reg. </w:t>
      </w:r>
      <w:smartTag w:uri="http://www.bna.com/sgml2word/cite" w:element="cite.cfr">
        <w:smartTagPr>
          <w:attr w:name="ref" w:val="cfr\26\1.876-1"/>
        </w:smartTagPr>
        <w:r>
          <w:t>§1.876-1</w:t>
        </w:r>
      </w:smartTag>
      <w:r>
        <w:t xml:space="preserve">, bona fide residents of non-mirror-code jurisdictions who are NRAs with respect to the United States are subject to net-basis U.S. taxation on U.S. reportable income under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rather than to gross-basis U.S. taxation with respect to U.S.-source income under </w:t>
      </w:r>
      <w:smartTag w:uri="http://www.bna.com/sgml2word/cite" w:element="cite.usc">
        <w:smartTagPr>
          <w:attr w:name="ref" w:val="USC\26\871"/>
        </w:smartTagPr>
        <w:r>
          <w:t>§871</w:t>
        </w:r>
      </w:smartTag>
      <w:r>
        <w:t xml:space="preserve"> through </w:t>
      </w:r>
      <w:smartTag w:uri="http://www.bna.com/sgml2word/cite" w:element="cite.usc">
        <w:smartTagPr>
          <w:attr w:name="ref" w:val="USC\26\879"/>
        </w:smartTagPr>
        <w:r>
          <w:t>§879</w:t>
        </w:r>
      </w:smartTag>
      <w:r>
        <w:t xml:space="preserve"> (provisions that otherwise generally apply to NRAs with respect to U.S.-source income).</w:t>
      </w:r>
    </w:p>
    <w:p w14:paraId="5390F727" w14:textId="77777777" w:rsidR="00494B49" w:rsidRDefault="00494B49">
      <w:pPr>
        <w:pStyle w:val="BNormal"/>
      </w:pPr>
      <w:r>
        <w:t xml:space="preserve">Therefore, </w:t>
      </w:r>
      <w:smartTag w:uri="http://www.bna.com/sgml2word/cite" w:element="cite.usc">
        <w:smartTagPr>
          <w:attr w:name="ref" w:val="USC\26\1411"/>
        </w:smartTagPr>
        <w:r>
          <w:t>§1411</w:t>
        </w:r>
      </w:smartTag>
      <w:r>
        <w:t xml:space="preserve"> is only applicable to bona fide residents of non-mirror-code jurisdictions if they have U.S. reportable income that gives rise to both net investment income and MAGI exceeding the threshold amount in </w:t>
      </w:r>
      <w:smartTag w:uri="http://www.bna.com/sgml2word/cite" w:element="cite.usc">
        <w:smartTagPr>
          <w:attr w:name="ref" w:val="USC\26\1411"/>
        </w:smartTagPr>
        <w:r>
          <w:t>§1411</w:t>
        </w:r>
      </w:smartTag>
      <w:r>
        <w:t>.</w:t>
      </w:r>
      <w:r>
        <w:rPr>
          <w:rStyle w:val="FootnoteReference"/>
        </w:rPr>
        <w:footnoteReference w:id="1011"/>
      </w:r>
      <w:r>
        <w:t xml:space="preserve"> However, </w:t>
      </w:r>
      <w:smartTag w:uri="http://www.bna.com/sgml2word/cite" w:element="cite.usc">
        <w:smartTagPr>
          <w:attr w:name="ref" w:val="USC\26\1411(a)"/>
        </w:smartTagPr>
        <w:r>
          <w:t>§1411(a)</w:t>
        </w:r>
      </w:smartTag>
      <w:r>
        <w:t xml:space="preserve"> does not apply if such bona fide residents are NRA individuals with respect to the United States because </w:t>
      </w:r>
      <w:smartTag w:uri="http://www.bna.com/sgml2word/cite" w:element="cite.usc">
        <w:smartTagPr>
          <w:attr w:name="ref" w:val="USC\26\1411(e)(1)"/>
        </w:smartTagPr>
        <w:r>
          <w:t>§1411(e)(1)</w:t>
        </w:r>
      </w:smartTag>
      <w:r>
        <w:t xml:space="preserve"> and Reg. </w:t>
      </w:r>
      <w:smartTag w:uri="http://www.bna.com/sgml2word/cite" w:element="cite.cfr">
        <w:smartTagPr>
          <w:attr w:name="ref" w:val="cfr\26\1.1411-2(a)(1)"/>
        </w:smartTagPr>
        <w:r>
          <w:t>§1.1411-2(a)(1)</w:t>
        </w:r>
      </w:smartTag>
      <w:r>
        <w:t xml:space="preserve"> exclude individuals who are NRAs from the application of </w:t>
      </w:r>
      <w:smartTag w:uri="http://www.bna.com/sgml2word/cite" w:element="cite.usc">
        <w:smartTagPr>
          <w:attr w:name="ref" w:val="USC\26\1411(a)"/>
        </w:smartTagPr>
        <w:r>
          <w:t>§1411(a)</w:t>
        </w:r>
      </w:smartTag>
      <w:r>
        <w:t>.</w:t>
      </w:r>
      <w:r>
        <w:rPr>
          <w:rStyle w:val="FootnoteReference"/>
        </w:rPr>
        <w:footnoteReference w:id="1012"/>
      </w:r>
    </w:p>
    <w:p w14:paraId="7B666E94" w14:textId="77777777" w:rsidR="00494B49" w:rsidRDefault="00494B49">
      <w:pPr>
        <w:pStyle w:val="BHead2"/>
      </w:pPr>
      <w:r>
        <w:t xml:space="preserve">3. Interaction Between Section 1411 and the ‘Kiddie Tax’ </w:t>
      </w:r>
    </w:p>
    <w:p w14:paraId="23AD14AF" w14:textId="77777777" w:rsidR="00494B49" w:rsidRDefault="00494B49">
      <w:pPr>
        <w:pStyle w:val="BNormal"/>
      </w:pPr>
      <w:r>
        <w:t xml:space="preserve">For tax years beginning before January 1, 2018, and tax years beginning after December 31, 2019, </w:t>
      </w:r>
      <w:smartTag w:uri="http://www.bna.com/sgml2word/cite" w:element="cite.usc">
        <w:smartTagPr>
          <w:attr w:name="ref" w:val="USC\26\1(g)(1)"/>
        </w:smartTagPr>
        <w:r>
          <w:t>§1(g)(1)</w:t>
        </w:r>
      </w:smartTag>
      <w:r>
        <w:t xml:space="preserve"> adds the tax that would be imposed by </w:t>
      </w:r>
      <w:smartTag w:uri="http://www.bna.com/sgml2word/cite" w:element="cite.usc">
        <w:smartTagPr>
          <w:attr w:name="ref" w:val="USC\26\1"/>
        </w:smartTagPr>
        <w:r>
          <w:t>§1</w:t>
        </w:r>
      </w:smartTag>
      <w:r>
        <w:t xml:space="preserve"> if the taxable income of an applicable child for the tax year were reduced by the net unearned income of the child, plus the child’s share of the “allocable parental tax.” Importantly, </w:t>
      </w:r>
      <w:smartTag w:uri="http://www.bna.com/sgml2word/cite" w:element="cite.usc">
        <w:smartTagPr>
          <w:attr w:name="ref" w:val="USC\26\1(g)(3)"/>
        </w:smartTagPr>
        <w:r>
          <w:t>§1(g)(3)</w:t>
        </w:r>
      </w:smartTag>
      <w:r>
        <w:t xml:space="preserve"> provides that the “term ‘allocable parental tax’ means the excess of (i) the tax that would be imposed by this </w:t>
      </w:r>
      <w:r>
        <w:rPr>
          <w:i/>
        </w:rPr>
        <w:t>section</w:t>
      </w:r>
      <w:r>
        <w:t xml:space="preserve"> [emphasis added] on the parent’s taxable income if such income included the net unearned income of all children of the parent to whom this subsection applies, over (ii) the tax imposed by this </w:t>
      </w:r>
      <w:r>
        <w:rPr>
          <w:i/>
        </w:rPr>
        <w:t>section</w:t>
      </w:r>
      <w:r>
        <w:t xml:space="preserve"> [emphasis added] on the parent without regard to this subsection.”</w:t>
      </w:r>
    </w:p>
    <w:p w14:paraId="41FF4D39" w14:textId="77777777" w:rsidR="00494B49" w:rsidRDefault="00494B49">
      <w:pPr>
        <w:pStyle w:val="BNormal"/>
      </w:pPr>
      <w:r>
        <w:t>An applicable child is a child (1) who has not attained age 18 before the end of the taxable year,</w:t>
      </w:r>
      <w:r>
        <w:rPr>
          <w:rStyle w:val="FootnoteReference"/>
        </w:rPr>
        <w:footnoteReference w:id="1013"/>
      </w:r>
      <w:r>
        <w:t xml:space="preserve"> or who has attained age 18, meets the age requirements of </w:t>
      </w:r>
      <w:smartTag w:uri="http://www.bna.com/sgml2word/cite" w:element="cite.usc">
        <w:smartTagPr>
          <w:attr w:name="ref" w:val="usc\26\152(c)(3)"/>
        </w:smartTagPr>
        <w:r>
          <w:t>§152(c)(3)</w:t>
        </w:r>
      </w:smartTag>
      <w:r>
        <w:t xml:space="preserve">, and whose earned income does not exceed one-half of the amount of the individual's support, after applying </w:t>
      </w:r>
      <w:smartTag w:uri="http://www.bna.com/sgml2word/cite" w:element="cite.usc">
        <w:smartTagPr>
          <w:attr w:name="ref" w:val="usc\26\152(f)(5)"/>
        </w:smartTagPr>
        <w:r>
          <w:t>§152(f)(5)</w:t>
        </w:r>
      </w:smartTag>
      <w:r>
        <w:t xml:space="preserve"> for the taxable year, (2) at least one of whose parents is alive at the close of the taxable year; and (3) who does not file a joint return for the year.</w:t>
      </w:r>
      <w:r>
        <w:rPr>
          <w:rStyle w:val="FootnoteReference"/>
        </w:rPr>
        <w:footnoteReference w:id="1014"/>
      </w:r>
    </w:p>
    <w:p w14:paraId="7A4260C4" w14:textId="77777777" w:rsidR="00494B49" w:rsidRDefault="00494B49">
      <w:pPr>
        <w:pStyle w:val="BNormal"/>
      </w:pPr>
      <w:r>
        <w:t xml:space="preserve">Net unearned income generally equals unearned income minus the sum of the </w:t>
      </w:r>
      <w:smartTag w:uri="http://www.bna.com/sgml2word/cite" w:element="cite.usc">
        <w:smartTagPr>
          <w:attr w:name="ref" w:val="usc\26\63(c)(5)(A)"/>
        </w:smartTagPr>
        <w:r>
          <w:t>§63(c)(5)(A)</w:t>
        </w:r>
      </w:smartTag>
      <w:r>
        <w:t xml:space="preserve"> amount for the year plus the greater of that amount or itemized deductions directly connected with the production of unearned income.</w:t>
      </w:r>
      <w:r>
        <w:rPr>
          <w:rStyle w:val="FootnoteReference"/>
        </w:rPr>
        <w:footnoteReference w:id="1015"/>
      </w:r>
      <w:r>
        <w:t xml:space="preserve"> The </w:t>
      </w:r>
      <w:smartTag w:uri="http://www.bna.com/sgml2word/cite" w:element="cite.usc">
        <w:smartTagPr>
          <w:attr w:name="ref" w:val="usc\26\63(c)(5)(A)"/>
        </w:smartTagPr>
        <w:r>
          <w:t>§63(c)(5)(A)</w:t>
        </w:r>
      </w:smartTag>
      <w:r>
        <w:t xml:space="preserve"> amounts for recent years are available in Tables, Charts and Lists (Federal) &gt; Income Tax and Accounting &gt; Kiddie Tax &gt; </w:t>
      </w:r>
      <w:hyperlink r:id="rId22" w:history="1">
        <w:r>
          <w:rPr>
            <w:rStyle w:val="Hyperlink"/>
            <w:i/>
          </w:rPr>
          <w:t>Limited Standard Deduction Amount by Year for Certain Income of Minor Children</w:t>
        </w:r>
        <w:r>
          <w:rPr>
            <w:rStyle w:val="Hyperlink"/>
          </w:rPr>
          <w:t>.</w:t>
        </w:r>
      </w:hyperlink>
    </w:p>
    <w:p w14:paraId="5F872FF8" w14:textId="77777777" w:rsidR="00494B49" w:rsidRDefault="00494B49">
      <w:pPr>
        <w:pStyle w:val="BNormal"/>
      </w:pPr>
      <w:r>
        <w:rPr>
          <w:i/>
        </w:rPr>
        <w:t>Comment:</w:t>
      </w:r>
      <w:r>
        <w:t xml:space="preserve"> The reference to “tax imposed by this section” in </w:t>
      </w:r>
      <w:smartTag w:uri="http://www.bna.com/sgml2word/cite" w:element="cite.usc">
        <w:smartTagPr>
          <w:attr w:name="ref" w:val="USC\26\1(g)(3)"/>
        </w:smartTagPr>
        <w:r>
          <w:t>§1(g)(3)</w:t>
        </w:r>
      </w:smartTag>
      <w:r>
        <w:t xml:space="preserve"> applies only the parent’s </w:t>
      </w:r>
      <w:smartTag w:uri="http://www.bna.com/sgml2word/cite" w:element="cite.usc">
        <w:smartTagPr>
          <w:attr w:name="ref" w:val="USC\26\1"/>
        </w:smartTagPr>
        <w:r>
          <w:t>§1</w:t>
        </w:r>
      </w:smartTag>
      <w:r>
        <w:t xml:space="preserve"> rate to the child’s income. It does not import any other tax imposed on the parent, including under </w:t>
      </w:r>
      <w:smartTag w:uri="http://www.bna.com/sgml2word/cite" w:element="cite.usc">
        <w:smartTagPr>
          <w:attr w:name="ref" w:val="USC\26\1411"/>
        </w:smartTagPr>
        <w:r>
          <w:t>§1411</w:t>
        </w:r>
      </w:smartTag>
      <w:r>
        <w:t xml:space="preserve">. Therefore, the mechanics of </w:t>
      </w:r>
      <w:smartTag w:uri="http://www.bna.com/sgml2word/cite" w:element="cite.usc">
        <w:smartTagPr>
          <w:attr w:name="ref" w:val="USC\26\1(g)"/>
        </w:smartTagPr>
        <w:r>
          <w:t>§1(g)</w:t>
        </w:r>
      </w:smartTag>
      <w:r>
        <w:t xml:space="preserve"> do not impose </w:t>
      </w:r>
      <w:smartTag w:uri="http://www.bna.com/sgml2word/cite" w:element="cite.usc">
        <w:smartTagPr>
          <w:attr w:name="ref" w:val="USC\26\1411"/>
        </w:smartTagPr>
        <w:r>
          <w:t>§1411</w:t>
        </w:r>
      </w:smartTag>
      <w:r>
        <w:t xml:space="preserve"> tax on a child if the parent is subject to </w:t>
      </w:r>
      <w:smartTag w:uri="http://www.bna.com/sgml2word/cite" w:element="cite.usc">
        <w:smartTagPr>
          <w:attr w:name="ref" w:val="USC\26\1411"/>
        </w:smartTagPr>
        <w:r>
          <w:t>§1411</w:t>
        </w:r>
      </w:smartTag>
      <w:r>
        <w:t xml:space="preserve">. The child is treated as a separate taxpayer with its own </w:t>
      </w:r>
      <w:smartTag w:uri="http://www.bna.com/sgml2word/cite" w:element="cite.usc">
        <w:smartTagPr>
          <w:attr w:name="ref" w:val="USC\26\1411(b)"/>
        </w:smartTagPr>
        <w:r>
          <w:t>§1411(b)</w:t>
        </w:r>
      </w:smartTag>
      <w:r>
        <w:t xml:space="preserve"> threshold amount.</w:t>
      </w:r>
    </w:p>
    <w:p w14:paraId="6048252B" w14:textId="77777777" w:rsidR="00494B49" w:rsidRDefault="00494B49">
      <w:pPr>
        <w:pStyle w:val="BNormal"/>
      </w:pPr>
      <w:smartTag w:uri="http://www.bna.com/sgml2word/cite" w:element="cite.usc">
        <w:smartTagPr>
          <w:attr w:name="ref" w:val="USC\26\1(g)(7)"/>
        </w:smartTagPr>
        <w:r>
          <w:lastRenderedPageBreak/>
          <w:t>Section 1(g)(7)</w:t>
        </w:r>
      </w:smartTag>
      <w:r>
        <w:t xml:space="preserve"> allows a parent to make an annual election to include a child’s unearned income on the parent’s income tax return.</w:t>
      </w:r>
      <w:r>
        <w:rPr>
          <w:rStyle w:val="FootnoteReference"/>
        </w:rPr>
        <w:footnoteReference w:id="1016"/>
      </w:r>
      <w:r>
        <w:t xml:space="preserve"> Specifically, </w:t>
      </w:r>
      <w:smartTag w:uri="http://www.bna.com/sgml2word/cite" w:element="cite.usc">
        <w:smartTagPr>
          <w:attr w:name="ref" w:val="USC\26\1(g)(7)(B)(i)"/>
        </w:smartTagPr>
        <w:r>
          <w:t>§1(g)(7)(B)(i)</w:t>
        </w:r>
      </w:smartTag>
      <w:r>
        <w:t xml:space="preserve"> provides that the gross income of each child to whom the election applies is included in the parent’s gross income for the tax year. Furthermore, if the parent makes this election, </w:t>
      </w:r>
      <w:smartTag w:uri="http://www.bna.com/sgml2word/cite" w:element="cite.usc">
        <w:smartTagPr>
          <w:attr w:name="ref" w:val="USC\26\1(g)(7)(A)"/>
        </w:smartTagPr>
        <w:r>
          <w:t>§1(g)(7)(A)</w:t>
        </w:r>
      </w:smartTag>
      <w:r>
        <w:t xml:space="preserve"> provides that the child is deemed to have no gross income.</w:t>
      </w:r>
    </w:p>
    <w:p w14:paraId="4AC6C7EC" w14:textId="77777777" w:rsidR="00494B49" w:rsidRDefault="00494B49">
      <w:pPr>
        <w:pStyle w:val="BNormal"/>
      </w:pPr>
      <w:r>
        <w:rPr>
          <w:i/>
        </w:rPr>
        <w:t>Comment:</w:t>
      </w:r>
      <w:r>
        <w:t xml:space="preserve"> If a parent makes the </w:t>
      </w:r>
      <w:smartTag w:uri="http://www.bna.com/sgml2word/cite" w:element="cite.usc">
        <w:smartTagPr>
          <w:attr w:name="ref" w:val="USC\26\1(g)(7)"/>
        </w:smartTagPr>
        <w:r>
          <w:t>§1(g)(7)</w:t>
        </w:r>
      </w:smartTag>
      <w:r>
        <w:t xml:space="preserve"> election, the child’s unearned income (interest, dividends, and capital gains) is treated as the gross income of the electing parent. Therefore, for purposes of </w:t>
      </w:r>
      <w:smartTag w:uri="http://www.bna.com/sgml2word/cite" w:element="cite.usc">
        <w:smartTagPr>
          <w:attr w:name="ref" w:val="USC\26\1411"/>
        </w:smartTagPr>
        <w:r>
          <w:t>§1411</w:t>
        </w:r>
      </w:smartTag>
      <w:r>
        <w:t xml:space="preserve">, the electing parent’s MAGI and net investment income is increased by the child’s income. One of the simplest </w:t>
      </w:r>
      <w:smartTag w:uri="http://www.bna.com/sgml2word/cite" w:element="cite.usc">
        <w:smartTagPr>
          <w:attr w:name="ref" w:val="USC\26\1411"/>
        </w:smartTagPr>
        <w:r>
          <w:t>§1411</w:t>
        </w:r>
      </w:smartTag>
      <w:r>
        <w:t xml:space="preserve"> planning opportunities for parents is to not make the </w:t>
      </w:r>
      <w:smartTag w:uri="http://www.bna.com/sgml2word/cite" w:element="cite.usc">
        <w:smartTagPr>
          <w:attr w:name="ref" w:val="USC\26\1(g)(7)"/>
        </w:smartTagPr>
        <w:r>
          <w:t>§1(g)(7)</w:t>
        </w:r>
      </w:smartTag>
      <w:r>
        <w:t xml:space="preserve"> election for children. By not making the election, the parent will lower their MAGI and net investment income, which will likely reduce their </w:t>
      </w:r>
      <w:smartTag w:uri="http://www.bna.com/sgml2word/cite" w:element="cite.usc">
        <w:smartTagPr>
          <w:attr w:name="ref" w:val="USC\26\1411"/>
        </w:smartTagPr>
        <w:r>
          <w:t>§1411</w:t>
        </w:r>
      </w:smartTag>
      <w:r>
        <w:t xml:space="preserve"> tax. In most cases, the child would have to file a separate income tax return and pay the applicable tax (based on Chapter 1 taxes), but would not pay any </w:t>
      </w:r>
      <w:smartTag w:uri="http://www.bna.com/sgml2word/cite" w:element="cite.usc">
        <w:smartTagPr>
          <w:attr w:name="ref" w:val="USC\26\1411"/>
        </w:smartTagPr>
        <w:r>
          <w:t>§1411</w:t>
        </w:r>
      </w:smartTag>
      <w:r>
        <w:t xml:space="preserve"> tax. There are two downsides to this planning idea: (1) in some instances, the cost of filing additional tax returns for children may be higher than the </w:t>
      </w:r>
      <w:smartTag w:uri="http://www.bna.com/sgml2word/cite" w:element="cite.usc">
        <w:smartTagPr>
          <w:attr w:name="ref" w:val="USC\26\1411"/>
        </w:smartTagPr>
        <w:r>
          <w:t>§1411</w:t>
        </w:r>
      </w:smartTag>
      <w:r>
        <w:t xml:space="preserve"> tax saved, and (2) if the parent pays the child’s income tax liability, the payment will likely be a taxable gift.</w:t>
      </w:r>
      <w:r>
        <w:rPr>
          <w:rStyle w:val="FootnoteReference"/>
        </w:rPr>
        <w:footnoteReference w:id="1017"/>
      </w:r>
    </w:p>
    <w:p w14:paraId="46F098C1" w14:textId="77777777" w:rsidR="00494B49" w:rsidRDefault="00494B49">
      <w:pPr>
        <w:pStyle w:val="BCommentpara"/>
      </w:pPr>
      <w:r>
        <w:rPr>
          <w:rStyle w:val="BCommenthead"/>
        </w:rPr>
        <w:t xml:space="preserve">Practice Point: </w:t>
      </w:r>
      <w:r>
        <w:t>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w:t>
      </w:r>
    </w:p>
    <w:p w14:paraId="1720ECCC" w14:textId="77777777" w:rsidR="00494B49" w:rsidRDefault="00494B49">
      <w:pPr>
        <w:pStyle w:val="BNormal"/>
      </w:pPr>
      <w:r>
        <w:t>For tax years beginning in 2018 and 2019, the taxable income of an applicable child was taxed using a tax table that incorporated the child's net unearned income, earned taxable income, and the maximum taxable income amounts for estates and trusts.</w:t>
      </w:r>
      <w:r>
        <w:rPr>
          <w:rStyle w:val="FootnoteReference"/>
        </w:rPr>
        <w:footnoteReference w:id="1018"/>
      </w:r>
    </w:p>
    <w:p w14:paraId="652908ED" w14:textId="77777777" w:rsidR="00494B49" w:rsidRDefault="00494B49">
      <w:pPr>
        <w:pStyle w:val="BChapterName"/>
      </w:pPr>
      <w:r>
        <w:t>IX. Application to Estates and Trusts</w:t>
      </w:r>
    </w:p>
    <w:p w14:paraId="72485C7D" w14:textId="77777777" w:rsidR="00494B49" w:rsidRDefault="00494B49">
      <w:pPr>
        <w:pStyle w:val="BNormal"/>
      </w:pPr>
      <w:r>
        <w:t xml:space="preserve">In the case of an estate or trust, </w:t>
      </w:r>
      <w:smartTag w:uri="http://www.bna.com/sgml2word/cite" w:element="cite.usc">
        <w:smartTagPr>
          <w:attr w:name="ref" w:val="USC\26\1411(a)(2)"/>
        </w:smartTagPr>
        <w:r>
          <w:t>§1411(a)(2)</w:t>
        </w:r>
      </w:smartTag>
      <w:r>
        <w:t xml:space="preserve"> imposes a tax (in addition to any other tax imposed by Subtitle A) for each tax year equal to 3.8% of the lesser of: (A) the estate’s or trust’s undistributed net investment income, or (B) the excess (if any) of: (i) the estate’s or trust’s adjusted gross income (as defined in </w:t>
      </w:r>
      <w:smartTag w:uri="http://www.bna.com/sgml2word/cite" w:element="cite.usc">
        <w:smartTagPr>
          <w:attr w:name="ref" w:val="USC\26\67(e)"/>
        </w:smartTagPr>
        <w:r>
          <w:t>§67(e)</w:t>
        </w:r>
      </w:smartTag>
      <w:r>
        <w:t xml:space="preserve">) for such tax year, over (ii) the dollar amount at which the highest tax bracket in </w:t>
      </w:r>
      <w:smartTag w:uri="http://www.bna.com/sgml2word/cite" w:element="cite.usc">
        <w:smartTagPr>
          <w:attr w:name="ref" w:val="USC\26\1(e)"/>
        </w:smartTagPr>
        <w:r>
          <w:t>§1(e)</w:t>
        </w:r>
      </w:smartTag>
      <w:r>
        <w:t xml:space="preserve"> begins for such tax year.</w:t>
      </w:r>
      <w:r>
        <w:rPr>
          <w:rStyle w:val="FootnoteReference"/>
        </w:rPr>
        <w:footnoteReference w:id="1019"/>
      </w:r>
      <w:r>
        <w:t xml:space="preserve"> The Health Care and </w:t>
      </w:r>
      <w:r>
        <w:lastRenderedPageBreak/>
        <w:t>Education Reconciliation Act of 2010</w:t>
      </w:r>
      <w:r>
        <w:rPr>
          <w:rStyle w:val="FootnoteReference"/>
        </w:rPr>
        <w:footnoteReference w:id="1020"/>
      </w:r>
      <w:r>
        <w:t xml:space="preserve"> amended </w:t>
      </w:r>
      <w:smartTag w:uri="http://www.bna.com/sgml2word/cite" w:element="cite.usc">
        <w:smartTagPr>
          <w:attr w:name="ref" w:val="USC\26\6654"/>
        </w:smartTagPr>
        <w:r>
          <w:t>§6654</w:t>
        </w:r>
      </w:smartTag>
      <w:r>
        <w:t xml:space="preserve"> to provide that the </w:t>
      </w:r>
      <w:smartTag w:uri="http://www.bna.com/sgml2word/cite" w:element="cite.usc">
        <w:smartTagPr>
          <w:attr w:name="ref" w:val="USC\26\1411"/>
        </w:smartTagPr>
        <w:r>
          <w:t>§1411</w:t>
        </w:r>
      </w:smartTag>
      <w:r>
        <w:t xml:space="preserve"> tax is subject to the estimated tax provisions for estates and trusts.</w:t>
      </w:r>
      <w:r>
        <w:rPr>
          <w:rStyle w:val="FootnoteReference"/>
        </w:rPr>
        <w:footnoteReference w:id="1021"/>
      </w:r>
    </w:p>
    <w:p w14:paraId="5D1112EE" w14:textId="77777777" w:rsidR="00494B49" w:rsidRDefault="00494B49">
      <w:pPr>
        <w:pStyle w:val="BNormal"/>
      </w:pPr>
      <w:r>
        <w:t xml:space="preserve">In general, </w:t>
      </w:r>
      <w:smartTag w:uri="http://www.bna.com/sgml2word/cite" w:element="cite.usc">
        <w:smartTagPr>
          <w:attr w:name="ref" w:val="USC\26\1411"/>
        </w:smartTagPr>
        <w:r>
          <w:t>§1411</w:t>
        </w:r>
      </w:smartTag>
      <w:r>
        <w:t xml:space="preserve"> applies to all estates and trusts that are subject to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with several exceptions and special computational rules.</w:t>
      </w:r>
      <w:r>
        <w:rPr>
          <w:rStyle w:val="FootnoteReference"/>
        </w:rPr>
        <w:footnoteReference w:id="1022"/>
      </w:r>
      <w:r>
        <w:t xml:space="preserve"> Reg. </w:t>
      </w:r>
      <w:smartTag w:uri="http://www.bna.com/sgml2word/cite" w:element="cite.cfr">
        <w:smartTagPr>
          <w:attr w:name="ref" w:val="cfr\26\1.1411-3"/>
        </w:smartTagPr>
        <w:r>
          <w:t>§1.1411-3</w:t>
        </w:r>
      </w:smartTag>
      <w:r>
        <w:t xml:space="preserve"> provides special rules for applying </w:t>
      </w:r>
      <w:smartTag w:uri="http://www.bna.com/sgml2word/cite" w:element="cite.usc">
        <w:smartTagPr>
          <w:attr w:name="ref" w:val="USC\26\1411"/>
        </w:smartTagPr>
        <w:r>
          <w:t>§1411</w:t>
        </w:r>
      </w:smartTag>
      <w:r>
        <w:t xml:space="preserve"> to estates and trusts, which are discussed below in this this section, and Reg. </w:t>
      </w:r>
      <w:smartTag w:uri="http://www.bna.com/sgml2word/cite" w:element="cite.cfr">
        <w:smartTagPr>
          <w:attr w:name="ref" w:val="cfr\26\1.1411-10(c)(4)"/>
        </w:smartTagPr>
        <w:r>
          <w:t>§1.1411-10(c)(4)</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contain special rules applicable to trusts and estates, which are discussed in this section, as well as in </w:t>
      </w:r>
      <w:smartTag w:uri="http://www.bna.com/sgml2word/cite" w:element="cite.bna.reference">
        <w:smartTagPr>
          <w:attr w:name="bna.id.ref" w:val="TM\511.IX.C"/>
        </w:smartTagPr>
        <w:r>
          <w:t>IX.C.</w:t>
        </w:r>
      </w:smartTag>
      <w:smartTag w:uri="http://www.bna.com/sgml2word/cite" w:element="cite.bna.reference">
        <w:smartTagPr>
          <w:attr w:name="bna.id.ref" w:val="TM\873.IX.C"/>
        </w:smartTagPr>
        <w:r>
          <w:t>IX.C.</w:t>
        </w:r>
      </w:smartTag>
      <w:r>
        <w:t xml:space="preserve"> and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above.</w:t>
      </w:r>
    </w:p>
    <w:p w14:paraId="73102779" w14:textId="77777777" w:rsidR="00494B49" w:rsidRDefault="00494B49">
      <w:pPr>
        <w:pStyle w:val="BHead1"/>
      </w:pPr>
      <w:r>
        <w:t>A. Excluded Trusts and Estates</w:t>
      </w:r>
    </w:p>
    <w:p w14:paraId="4DC74631" w14:textId="77777777" w:rsidR="00494B49" w:rsidRDefault="00494B49">
      <w:pPr>
        <w:pStyle w:val="BNormal"/>
      </w:pPr>
      <w:r>
        <w:t xml:space="preserve">In general, </w:t>
      </w:r>
      <w:smartTag w:uri="http://www.bna.com/sgml2word/cite" w:element="cite.usc">
        <w:smartTagPr>
          <w:attr w:name="ref" w:val="USC\26\1411"/>
        </w:smartTagPr>
        <w:r>
          <w:t>§1411</w:t>
        </w:r>
      </w:smartTag>
      <w:r>
        <w:t xml:space="preserve"> applies to ordinary trusts described in Reg. </w:t>
      </w:r>
      <w:smartTag w:uri="http://www.bna.com/sgml2word/cite" w:element="cite.cfr">
        <w:smartTagPr>
          <w:attr w:name="ref" w:val="cfr\26\301.7701-4(a)"/>
        </w:smartTagPr>
        <w:r>
          <w:t>§301.7701-4(a)</w:t>
        </w:r>
      </w:smartTag>
      <w:r>
        <w:t xml:space="preserve">, and does not apply to business trusts described in Reg. </w:t>
      </w:r>
      <w:smartTag w:uri="http://www.bna.com/sgml2word/cite" w:element="cite.cfr">
        <w:smartTagPr>
          <w:attr w:name="ref" w:val="cfr\26\301.7701-4(b)"/>
        </w:smartTagPr>
        <w:r>
          <w:t>§301.7701-4(b)</w:t>
        </w:r>
      </w:smartTag>
      <w:r>
        <w:t xml:space="preserve">, which are treated as business entities under Reg. </w:t>
      </w:r>
      <w:smartTag w:uri="http://www.bna.com/sgml2word/cite" w:element="cite.cfr">
        <w:smartTagPr>
          <w:attr w:name="ref" w:val="cfr\26\301.7701-2"/>
        </w:smartTagPr>
        <w:r>
          <w:t>§301.7701-2</w:t>
        </w:r>
      </w:smartTag>
      <w:r>
        <w:t xml:space="preserve"> and as eligible entities for purposes of entity classification under Reg. </w:t>
      </w:r>
      <w:smartTag w:uri="http://www.bna.com/sgml2word/cite" w:element="cite.cfr">
        <w:smartTagPr>
          <w:attr w:name="ref" w:val="cfr\26\301.7701-3"/>
        </w:smartTagPr>
        <w:r>
          <w:t>§301.7701-3</w:t>
        </w:r>
      </w:smartTag>
      <w:r>
        <w:t xml:space="preserve">. Accordingly, these business trusts are not subject to </w:t>
      </w:r>
      <w:smartTag w:uri="http://www.bna.com/sgml2word/cite" w:element="cite.usc">
        <w:smartTagPr>
          <w:attr w:name="ref" w:val="USC\26\1411"/>
        </w:smartTagPr>
        <w:r>
          <w:t>§1411</w:t>
        </w:r>
      </w:smartTag>
      <w:r>
        <w:t xml:space="preserve"> at the entity level. For example, real estate investment trusts (REITs) and other types of business trusts are not subject to </w:t>
      </w:r>
      <w:smartTag w:uri="http://www.bna.com/sgml2word/cite" w:element="cite.usc">
        <w:smartTagPr>
          <w:attr w:name="ref" w:val="USC\26\1411"/>
        </w:smartTagPr>
        <w:r>
          <w:t>§1411</w:t>
        </w:r>
      </w:smartTag>
      <w:r>
        <w:t xml:space="preserve">. In addition, the general rule excludes certain state law trusts that are subject to specific taxation regimes in Chapter 1, other than those under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This exclusion is consistent with the exception in the entity classification regulations for entities in which a specific provision of the Code provides for special treatment of that organization.</w:t>
      </w:r>
      <w:r>
        <w:rPr>
          <w:rStyle w:val="FootnoteReference"/>
        </w:rPr>
        <w:footnoteReference w:id="1023"/>
      </w:r>
      <w:r>
        <w:t xml:space="preserve"> Examples of these trusts include common trust funds that are expressly not subject to taxation under Chapter 1</w:t>
      </w:r>
      <w:r>
        <w:rPr>
          <w:rStyle w:val="FootnoteReference"/>
        </w:rPr>
        <w:footnoteReference w:id="1024"/>
      </w:r>
      <w:r>
        <w:t xml:space="preserve"> and designated settlement funds taxed under </w:t>
      </w:r>
      <w:smartTag w:uri="http://www.bna.com/sgml2word/cite" w:element="cite.usc">
        <w:smartTagPr>
          <w:attr w:name="ref" w:val="USC\26\468B"/>
        </w:smartTagPr>
        <w:r>
          <w:t>§468B</w:t>
        </w:r>
      </w:smartTag>
      <w:r>
        <w:t xml:space="preserve"> (in lieu of any other taxation under Subtitle A).</w:t>
      </w:r>
      <w:r>
        <w:rPr>
          <w:rStyle w:val="FootnoteReference"/>
        </w:rPr>
        <w:footnoteReference w:id="1025"/>
      </w:r>
      <w:r>
        <w:t xml:space="preserve"> The same would be true for Nuclear Decommissioning Reserve Funds.</w:t>
      </w:r>
      <w:r>
        <w:rPr>
          <w:rStyle w:val="FootnoteReference"/>
        </w:rPr>
        <w:footnoteReference w:id="1026"/>
      </w:r>
    </w:p>
    <w:p w14:paraId="70DC9BBE" w14:textId="77777777" w:rsidR="00494B49" w:rsidRDefault="00494B49">
      <w:pPr>
        <w:pStyle w:val="BNormal"/>
      </w:pPr>
      <w:smartTag w:uri="http://www.bna.com/sgml2word/cite" w:element="cite.usc">
        <w:smartTagPr>
          <w:attr w:name="ref" w:val="USC\26\1411(e)(2)"/>
        </w:smartTagPr>
        <w:r>
          <w:t>Section 1411(e)(2)</w:t>
        </w:r>
      </w:smartTag>
      <w:r>
        <w:t xml:space="preserve"> provides that </w:t>
      </w:r>
      <w:smartTag w:uri="http://www.bna.com/sgml2word/cite" w:element="cite.usc">
        <w:smartTagPr>
          <w:attr w:name="ref" w:val="USC\26\1411"/>
        </w:smartTagPr>
        <w:r>
          <w:t>§1411</w:t>
        </w:r>
      </w:smartTag>
      <w:r>
        <w:t xml:space="preserve"> will not apply to a trust all of the unexpired interests in which are devoted to one or more of the charitable purposes described in </w:t>
      </w:r>
      <w:smartTag w:uri="http://www.bna.com/sgml2word/cite" w:element="cite.usc">
        <w:smartTagPr>
          <w:attr w:name="ref" w:val="USC\26\170(c)(2)(B)"/>
        </w:smartTagPr>
        <w:r>
          <w:t>§170(c)(2)(B)</w:t>
        </w:r>
      </w:smartTag>
      <w:r>
        <w:t>.</w:t>
      </w:r>
      <w:r>
        <w:rPr>
          <w:rStyle w:val="FootnoteReference"/>
        </w:rPr>
        <w:footnoteReference w:id="1027"/>
      </w:r>
      <w:r>
        <w:t xml:space="preserve"> Reg. </w:t>
      </w:r>
      <w:smartTag w:uri="http://www.bna.com/sgml2word/cite" w:element="cite.cfr">
        <w:smartTagPr>
          <w:attr w:name="ref" w:val="cfr\26\1.1411-3(b)(1)"/>
        </w:smartTagPr>
        <w:r>
          <w:t>§1.1411-3(b)(1)</w:t>
        </w:r>
      </w:smartTag>
      <w:r>
        <w:t xml:space="preserve"> excludes several other categories of trusts and estates from the application of </w:t>
      </w:r>
      <w:smartTag w:uri="http://www.bna.com/sgml2word/cite" w:element="cite.usc">
        <w:smartTagPr>
          <w:attr w:name="ref" w:val="USC\26\1411"/>
        </w:smartTagPr>
        <w:r>
          <w:t>§1411</w:t>
        </w:r>
      </w:smartTag>
      <w:r>
        <w:t xml:space="preserve">: </w:t>
      </w:r>
    </w:p>
    <w:p w14:paraId="5A4FAEF9" w14:textId="77777777" w:rsidR="00494B49" w:rsidRDefault="00494B49">
      <w:pPr>
        <w:pStyle w:val="BListitembul"/>
      </w:pPr>
      <w:r>
        <w:t>Trusts exempt from tax under §501, charitable remainder trusts described in §664, and any other trust, fund, or account that is statutorily exempt from taxes imposed in Subtitle A;</w:t>
      </w:r>
      <w:r>
        <w:rPr>
          <w:rStyle w:val="FootnoteReference"/>
        </w:rPr>
        <w:footnoteReference w:id="1028"/>
      </w:r>
    </w:p>
    <w:p w14:paraId="3DF8767A" w14:textId="77777777" w:rsidR="00494B49" w:rsidRDefault="00494B49">
      <w:pPr>
        <w:pStyle w:val="BListitembul"/>
      </w:pPr>
      <w:r>
        <w:t>A trust, or a portion thereof, that is treated as a grantor trust under Subpart E of part I of Subchapter J of Chapter 1 (generally, §671–§679);</w:t>
      </w:r>
      <w:r>
        <w:rPr>
          <w:rStyle w:val="FootnoteReference"/>
        </w:rPr>
        <w:footnoteReference w:id="1029"/>
      </w:r>
    </w:p>
    <w:p w14:paraId="7FE5EEFF" w14:textId="77777777" w:rsidR="00494B49" w:rsidRDefault="00494B49">
      <w:pPr>
        <w:pStyle w:val="BListitembul"/>
      </w:pPr>
      <w:r>
        <w:t>Electing Alaska Native Settlement Trusts subject to taxation under §646;</w:t>
      </w:r>
      <w:r>
        <w:rPr>
          <w:rStyle w:val="FootnoteReference"/>
        </w:rPr>
        <w:footnoteReference w:id="1030"/>
      </w:r>
    </w:p>
    <w:p w14:paraId="330EB42F" w14:textId="77777777" w:rsidR="00494B49" w:rsidRDefault="00494B49">
      <w:pPr>
        <w:pStyle w:val="BListitembul"/>
      </w:pPr>
      <w:r>
        <w:lastRenderedPageBreak/>
        <w:t>Cemetery Perpetual Care Funds to which §642(i) applies;</w:t>
      </w:r>
      <w:r>
        <w:rPr>
          <w:rStyle w:val="FootnoteReference"/>
        </w:rPr>
        <w:footnoteReference w:id="1031"/>
      </w:r>
    </w:p>
    <w:p w14:paraId="5623392D" w14:textId="77777777" w:rsidR="00494B49" w:rsidRDefault="00494B49">
      <w:pPr>
        <w:pStyle w:val="BListitembul"/>
      </w:pPr>
      <w:r>
        <w:t>Foreign trusts (as defined in §7701(a)(31)(B) and Reg. §301.7701-7(a)(2));</w:t>
      </w:r>
      <w:r>
        <w:rPr>
          <w:rStyle w:val="FootnoteReference"/>
        </w:rPr>
        <w:footnoteReference w:id="1032"/>
      </w:r>
    </w:p>
    <w:p w14:paraId="205565D7" w14:textId="77777777" w:rsidR="00494B49" w:rsidRDefault="00494B49">
      <w:pPr>
        <w:pStyle w:val="BListitembul"/>
      </w:pPr>
      <w:r>
        <w:t>A decedent’s estate in which all of the unexpired interests are devoted to one or more of the purposes described in §170(c)(2)(B);</w:t>
      </w:r>
      <w:r>
        <w:rPr>
          <w:rStyle w:val="FootnoteReference"/>
        </w:rPr>
        <w:footnoteReference w:id="1033"/>
      </w:r>
      <w:r>
        <w:t xml:space="preserve"> and </w:t>
      </w:r>
    </w:p>
    <w:p w14:paraId="0730B191" w14:textId="77777777" w:rsidR="00494B49" w:rsidRDefault="00494B49">
      <w:pPr>
        <w:pStyle w:val="BListitembul"/>
      </w:pPr>
      <w:r>
        <w:t>Foreign estates (as defined in §7701(a)(31)(A)).</w:t>
      </w:r>
      <w:r>
        <w:rPr>
          <w:rStyle w:val="FootnoteReference"/>
        </w:rPr>
        <w:footnoteReference w:id="1034"/>
      </w:r>
    </w:p>
    <w:p w14:paraId="7218AD96" w14:textId="77777777" w:rsidR="00494B49" w:rsidRDefault="00494B49">
      <w:pPr>
        <w:pStyle w:val="BNormal"/>
      </w:pPr>
      <w:r>
        <w:rPr>
          <w:b/>
        </w:rPr>
        <w:t>Observation:</w:t>
      </w:r>
      <w:r>
        <w:t xml:space="preserve"> Although the exclusion of grantor trusts from the application of </w:t>
      </w:r>
      <w:smartTag w:uri="http://www.bna.com/sgml2word/cite" w:element="cite.usc">
        <w:smartTagPr>
          <w:attr w:name="ref" w:val="USC\26\1411"/>
        </w:smartTagPr>
        <w:r>
          <w:t>§1411</w:t>
        </w:r>
      </w:smartTag>
      <w:r>
        <w:t xml:space="preserve"> at the trust level may seem intuitive, it was explicitly excluded from application of </w:t>
      </w:r>
      <w:smartTag w:uri="http://www.bna.com/sgml2word/cite" w:element="cite.usc">
        <w:smartTagPr>
          <w:attr w:name="ref" w:val="USC\26\1411"/>
        </w:smartTagPr>
        <w:r>
          <w:t>§1411</w:t>
        </w:r>
      </w:smartTag>
      <w:r>
        <w:t xml:space="preserve"> in the regulations for several reasons. First, the regulation ensures that many business-type grantor trusts are excluded from </w:t>
      </w:r>
      <w:smartTag w:uri="http://www.bna.com/sgml2word/cite" w:element="cite.usc">
        <w:smartTagPr>
          <w:attr w:name="ref" w:val="USC\26\1411"/>
        </w:smartTagPr>
        <w:r>
          <w:t>§1411</w:t>
        </w:r>
      </w:smartTag>
      <w:r>
        <w:t xml:space="preserve">. For example, the rule removed rabbi trusts, fixed investment trusts described in Reg. </w:t>
      </w:r>
      <w:smartTag w:uri="http://www.bna.com/sgml2word/cite" w:element="cite.cfr">
        <w:smartTagPr>
          <w:attr w:name="ref" w:val="cfr\26\301.7701-4(c)"/>
        </w:smartTagPr>
        <w:r>
          <w:t>§301.7701-4(c)</w:t>
        </w:r>
      </w:smartTag>
      <w:r>
        <w:t xml:space="preserve">, liquidating trusts described in Reg. </w:t>
      </w:r>
      <w:smartTag w:uri="http://www.bna.com/sgml2word/cite" w:element="cite.cfr">
        <w:smartTagPr>
          <w:attr w:name="ref" w:val="cfr\26\301.7701-4(d)"/>
        </w:smartTagPr>
        <w:r>
          <w:t>§301.7701-4(d)</w:t>
        </w:r>
      </w:smartTag>
      <w:r>
        <w:t xml:space="preserve">, and environmental remediation trusts described in Reg. </w:t>
      </w:r>
      <w:smartTag w:uri="http://www.bna.com/sgml2word/cite" w:element="cite.cfr">
        <w:smartTagPr>
          <w:attr w:name="ref" w:val="cfr\26\301.7701-4(e)"/>
        </w:smartTagPr>
        <w:r>
          <w:t>§301.7701-4(e)</w:t>
        </w:r>
      </w:smartTag>
      <w:r>
        <w:t xml:space="preserve"> from having a net investment income tax liability. Second, various court opinions and pieces of IRS guidance over the last several decades have indicated an unwillingness to adopt taxpayers’ arguments that </w:t>
      </w:r>
      <w:smartTag w:uri="http://www.bna.com/sgml2word/cite" w:element="cite.usc">
        <w:smartTagPr>
          <w:attr w:name="ref" w:val="USC\26\671"/>
        </w:smartTagPr>
        <w:r>
          <w:t>§671</w:t>
        </w:r>
      </w:smartTag>
      <w:r>
        <w:t xml:space="preserve"> only applies to Chapter 1 in situations where taxpayers have assigned </w:t>
      </w:r>
      <w:smartTag w:uri="http://www.bna.com/sgml2word/cite" w:element="cite.usc">
        <w:smartTagPr>
          <w:attr w:name="ref" w:val="USC\26\1402"/>
        </w:smartTagPr>
        <w:r>
          <w:t>§1402</w:t>
        </w:r>
      </w:smartTag>
      <w:r>
        <w:t xml:space="preserve">-generating businesses to grantor trusts in an effort to avoid the self-employment taxes imposed by Chapter 2. </w:t>
      </w:r>
      <w:r>
        <w:rPr>
          <w:i/>
        </w:rPr>
        <w:t xml:space="preserve">See </w:t>
      </w:r>
      <w:smartTag w:uri="http://www.bna.com/sgml2word/cite" w:element="cite.agency.doc">
        <w:smartTagPr>
          <w:attr w:name="ref" w:val="IRS\Notice\97-24"/>
        </w:smartTagPr>
        <w:r>
          <w:t>Notice 97-24</w:t>
        </w:r>
      </w:smartTag>
      <w:r>
        <w:t xml:space="preserve">; </w:t>
      </w:r>
      <w:r>
        <w:rPr>
          <w:rStyle w:val="BCasenamefull"/>
        </w:rPr>
        <w:t>Olsen-Smith v. Commissioner</w:t>
      </w:r>
      <w:r>
        <w:t xml:space="preserve">, </w:t>
      </w:r>
      <w:smartTag w:uri="http://www.bna.com/sgml2word/cite" w:element="cite.parallel">
        <w:smartTagPr>
          <w:attr w:name="ref" w:val="TCMEMO\\2008-275"/>
        </w:smartTagPr>
        <w:r>
          <w:t>T.C. Memo 2008-275</w:t>
        </w:r>
      </w:smartTag>
      <w:r>
        <w:t xml:space="preserve"> (economic substance); </w:t>
      </w:r>
      <w:r>
        <w:rPr>
          <w:rStyle w:val="BCasenamefull"/>
        </w:rPr>
        <w:t>Linmar Property Mgmt. Trust v. Commissioner</w:t>
      </w:r>
      <w:r>
        <w:t xml:space="preserve">, </w:t>
      </w:r>
      <w:smartTag w:uri="http://www.bna.com/sgml2word/cite" w:element="cite.parallel">
        <w:smartTagPr>
          <w:attr w:name="ref" w:val="TCMEMO\\2008-219"/>
        </w:smartTagPr>
        <w:r>
          <w:t>T.C. Memo 2008-219</w:t>
        </w:r>
      </w:smartTag>
      <w:r>
        <w:t xml:space="preserve"> (sham &amp; economic substance); </w:t>
      </w:r>
      <w:r>
        <w:rPr>
          <w:rStyle w:val="BCasenamefull"/>
        </w:rPr>
        <w:t>Richardson v. Commissioner</w:t>
      </w:r>
      <w:r>
        <w:t xml:space="preserve">, </w:t>
      </w:r>
      <w:smartTag w:uri="http://www.bna.com/sgml2word/cite" w:element="cite.parallel">
        <w:smartTagPr>
          <w:attr w:name="ref" w:val="TCMEMO\\2006-069"/>
        </w:smartTagPr>
        <w:r>
          <w:t>T.C. Memo 2006-069</w:t>
        </w:r>
      </w:smartTag>
      <w:r>
        <w:t xml:space="preserve"> (sham trust); </w:t>
      </w:r>
      <w:r>
        <w:rPr>
          <w:rStyle w:val="BCasenamefull"/>
        </w:rPr>
        <w:t>CIM Trust v. Commissioner</w:t>
      </w:r>
      <w:r>
        <w:t xml:space="preserve">, </w:t>
      </w:r>
      <w:smartTag w:uri="http://www.bna.com/sgml2word/cite" w:element="cite.parallel">
        <w:smartTagPr>
          <w:attr w:name="ref" w:val="TCMEMO\\2001-172"/>
        </w:smartTagPr>
        <w:r>
          <w:t>T.C. Memo 2001-172</w:t>
        </w:r>
      </w:smartTag>
      <w:r>
        <w:t xml:space="preserve"> (economic substance). </w:t>
      </w:r>
      <w:r>
        <w:rPr>
          <w:i/>
        </w:rPr>
        <w:t>See also</w:t>
      </w:r>
      <w:r>
        <w:t xml:space="preserve"> </w:t>
      </w:r>
      <w:r>
        <w:rPr>
          <w:rStyle w:val="BCasenamefull"/>
        </w:rPr>
        <w:t>Markosian v. Commissioner</w:t>
      </w:r>
      <w:r>
        <w:t xml:space="preserve">, </w:t>
      </w:r>
      <w:smartTag w:uri="http://www.bna.com/sgml2word/cite" w:element="cite.parallel">
        <w:smartTagPr>
          <w:attr w:name="ref" w:val="TC\73\1235"/>
        </w:smartTagPr>
        <w:r>
          <w:t>73 T.C. 1235</w:t>
        </w:r>
      </w:smartTag>
      <w:r>
        <w:t xml:space="preserve"> (1980) (four factors relevant to economic substance); </w:t>
      </w:r>
      <w:r>
        <w:rPr>
          <w:rStyle w:val="BCasenamefull"/>
        </w:rPr>
        <w:t>Zmuda v. Commissioner</w:t>
      </w:r>
      <w:r>
        <w:t xml:space="preserve">, </w:t>
      </w:r>
      <w:smartTag w:uri="http://www.bna.com/sgml2word/cite" w:element="cite.parallel">
        <w:smartTagPr>
          <w:attr w:name="ref" w:val="TC\79\714"/>
        </w:smartTagPr>
        <w:r>
          <w:t>79 T.C. 714</w:t>
        </w:r>
      </w:smartTag>
      <w:r>
        <w:t xml:space="preserve"> (1982) (general sham trust). As noted above, the courts and IRS appear to have arrived at this conclusion by employing judicial doctrines such as 'sham' and 'economic substance,' but not through an interpretation of </w:t>
      </w:r>
      <w:smartTag w:uri="http://www.bna.com/sgml2word/cite" w:element="cite.usc">
        <w:smartTagPr>
          <w:attr w:name="ref" w:val="USC\26\671"/>
        </w:smartTagPr>
        <w:r>
          <w:t>§671</w:t>
        </w:r>
      </w:smartTag>
      <w:r>
        <w:t xml:space="preserve"> as encompassing Code sections outside of Chapter 1.</w:t>
      </w:r>
    </w:p>
    <w:p w14:paraId="37C85040" w14:textId="77777777" w:rsidR="00494B49" w:rsidRDefault="00494B49">
      <w:pPr>
        <w:pStyle w:val="BHead1"/>
      </w:pPr>
      <w:r>
        <w:t>B. Nongrantor Trusts and Estates</w:t>
      </w:r>
    </w:p>
    <w:p w14:paraId="1ABB6B5D" w14:textId="77777777" w:rsidR="00494B49" w:rsidRDefault="00494B49">
      <w:pPr>
        <w:pStyle w:val="BHead2"/>
      </w:pPr>
      <w:r>
        <w:t>1. Overview</w:t>
      </w:r>
    </w:p>
    <w:p w14:paraId="23128689" w14:textId="77777777" w:rsidR="00494B49" w:rsidRDefault="00494B49">
      <w:pPr>
        <w:pStyle w:val="BNormal"/>
      </w:pPr>
      <w:smartTag w:uri="http://www.bna.com/sgml2word/cite" w:element="cite.usc">
        <w:smartTagPr>
          <w:attr w:name="ref" w:val="USC\26\1411(a)(2)"/>
        </w:smartTagPr>
        <w:r>
          <w:t>Section 1411(a)(2)</w:t>
        </w:r>
      </w:smartTag>
      <w:r>
        <w:t xml:space="preserve"> provides that, in the case of an estate or trust, the tax under </w:t>
      </w:r>
      <w:smartTag w:uri="http://www.bna.com/sgml2word/cite" w:element="cite.usc">
        <w:smartTagPr>
          <w:attr w:name="ref" w:val="USC\26\1411"/>
        </w:smartTagPr>
        <w:r>
          <w:t>§1411</w:t>
        </w:r>
      </w:smartTag>
      <w:r>
        <w:t xml:space="preserve"> is imposed on the lesser of (A) the undistributed net investment income of the estate or trust for the tax year, or (B) the excess (if any) of the adjusted gross income (as defined in </w:t>
      </w:r>
      <w:smartTag w:uri="http://www.bna.com/sgml2word/cite" w:element="cite.usc">
        <w:smartTagPr>
          <w:attr w:name="ref" w:val="USC\26\67(e)"/>
        </w:smartTagPr>
        <w:r>
          <w:t>§67(e)</w:t>
        </w:r>
      </w:smartTag>
      <w:r>
        <w:t xml:space="preserve">) for the tax year, over the dollar amount at which the highest tax bracket in </w:t>
      </w:r>
      <w:smartTag w:uri="http://www.bna.com/sgml2word/cite" w:element="cite.usc">
        <w:smartTagPr>
          <w:attr w:name="ref" w:val="USC\26\1(e)"/>
        </w:smartTagPr>
        <w:r>
          <w:t>§1(e)</w:t>
        </w:r>
      </w:smartTag>
      <w:r>
        <w:t xml:space="preserve"> begins for such tax year. Thus, similar to the computation for individuals, the tax is imposed on the lesser of two amounts.</w:t>
      </w:r>
      <w:r>
        <w:rPr>
          <w:rStyle w:val="FootnoteReference"/>
        </w:rPr>
        <w:footnoteReference w:id="1035"/>
      </w:r>
      <w:r>
        <w:t xml:space="preserve"> The definition of net investment income for estates or trusts (provided in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is the same definition that applies to individuals.</w:t>
      </w:r>
      <w:r>
        <w:rPr>
          <w:rStyle w:val="FootnoteReference"/>
        </w:rPr>
        <w:footnoteReference w:id="1036"/>
      </w:r>
    </w:p>
    <w:p w14:paraId="18BFEEA5" w14:textId="77777777" w:rsidR="00494B49" w:rsidRDefault="00494B49">
      <w:pPr>
        <w:pStyle w:val="BHead2"/>
      </w:pPr>
      <w:r>
        <w:lastRenderedPageBreak/>
        <w:t xml:space="preserve">2. Undistributed Net Investment Income </w:t>
      </w:r>
    </w:p>
    <w:p w14:paraId="1632DE40" w14:textId="77777777" w:rsidR="00494B49" w:rsidRDefault="00494B49">
      <w:pPr>
        <w:pStyle w:val="BNormal"/>
      </w:pPr>
      <w:r>
        <w:t xml:space="preserve">Undistributed net investment income is a </w:t>
      </w:r>
      <w:smartTag w:uri="http://www.bna.com/sgml2word/cite" w:element="cite.usc">
        <w:smartTagPr>
          <w:attr w:name="ref" w:val="USC\26\1411"/>
        </w:smartTagPr>
        <w:r>
          <w:t>§1411</w:t>
        </w:r>
      </w:smartTag>
      <w:r>
        <w:t xml:space="preserve"> term used solely for estates and trusts (not individuals), and is not defined in </w:t>
      </w:r>
      <w:smartTag w:uri="http://www.bna.com/sgml2word/cite" w:element="cite.usc">
        <w:smartTagPr>
          <w:attr w:name="ref" w:val="USC\26\1411"/>
        </w:smartTagPr>
        <w:r>
          <w:t>§1411</w:t>
        </w:r>
      </w:smartTag>
      <w:r>
        <w:t xml:space="preserve">. The regulations conform the taxation of estates and trusts under </w:t>
      </w:r>
      <w:smartTag w:uri="http://www.bna.com/sgml2word/cite" w:element="cite.usc">
        <w:smartTagPr>
          <w:attr w:name="ref" w:val="USC\26\1411"/>
        </w:smartTagPr>
        <w:r>
          <w:t>§1411</w:t>
        </w:r>
      </w:smartTag>
      <w:r>
        <w:t xml:space="preserve"> to the rules of part I of Subchapter J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xml:space="preserve">) to avoid double taxation of net investment income and the taxation of amounts distributed to charities. Reg. </w:t>
      </w:r>
      <w:smartTag w:uri="http://www.bna.com/sgml2word/cite" w:element="cite.cfr">
        <w:smartTagPr>
          <w:attr w:name="ref" w:val="cfr\26\1.1411-3(e)(2)"/>
        </w:smartTagPr>
        <w:r>
          <w:t>§1.1411-3(e)(2)</w:t>
        </w:r>
      </w:smartTag>
      <w:r>
        <w:t xml:space="preserve"> defines undistributed net investment income as the estate’s or trust’s net investment income reduced by (1) distributions of net investment income to beneficiaries and (2) net investment income allocable to deductions under </w:t>
      </w:r>
      <w:smartTag w:uri="http://www.bna.com/sgml2word/cite" w:element="cite.usc">
        <w:smartTagPr>
          <w:attr w:name="ref" w:val="USC\26\642(c)"/>
        </w:smartTagPr>
        <w:r>
          <w:t>§642(c)</w:t>
        </w:r>
      </w:smartTag>
      <w:r>
        <w:t xml:space="preserve">. Reg. </w:t>
      </w:r>
      <w:smartTag w:uri="http://www.bna.com/sgml2word/cite" w:element="cite.cfr">
        <w:smartTagPr>
          <w:attr w:name="ref" w:val="cfr\26\1.1411-3(e)(5)"/>
        </w:smartTagPr>
        <w:r>
          <w:t>§1.1411-3(e)(5)</w:t>
        </w:r>
      </w:smartTag>
      <w:r>
        <w:t xml:space="preserve"> contains several examples of the calculation of undistributed net investment income. </w:t>
      </w:r>
    </w:p>
    <w:p w14:paraId="3884FA78" w14:textId="77777777" w:rsidR="00494B49" w:rsidRDefault="00494B49">
      <w:pPr>
        <w:pStyle w:val="BNormal"/>
      </w:pPr>
      <w:r>
        <w:rPr>
          <w:i/>
        </w:rPr>
        <w:t>Comment:</w:t>
      </w:r>
      <w:r>
        <w:t xml:space="preserve"> Similar to the concepts developed as part of the enactment of the Internal Revenue Code of 1954 regarding distributable net income in Chapter 1, the undistributed net investment income of an estate or trust is equal to total net investment income less amounts allocable to the </w:t>
      </w:r>
      <w:smartTag w:uri="http://www.bna.com/sgml2word/cite" w:element="cite.usc">
        <w:smartTagPr>
          <w:attr w:name="ref" w:val="USC\26\642(c)"/>
        </w:smartTagPr>
        <w:r>
          <w:t>§642(c)</w:t>
        </w:r>
      </w:smartTag>
      <w:r>
        <w:t xml:space="preserve"> deduction and amounts distributed to beneficiaries (regardless of whether the beneficiaries are subject to the </w:t>
      </w:r>
      <w:smartTag w:uri="http://www.bna.com/sgml2word/cite" w:element="cite.usc">
        <w:smartTagPr>
          <w:attr w:name="ref" w:val="USC\26\1411"/>
        </w:smartTagPr>
        <w:r>
          <w:t>§1411</w:t>
        </w:r>
      </w:smartTag>
      <w:r>
        <w:t xml:space="preserve"> tax in their individual capacities). In other words, the provisions of Reg. </w:t>
      </w:r>
      <w:smartTag w:uri="http://www.bna.com/sgml2word/cite" w:element="cite.cfr">
        <w:smartTagPr>
          <w:attr w:name="ref" w:val="cfr\26\1.1411-3(e)"/>
        </w:smartTagPr>
        <w:r>
          <w:t>§1.1411-3(e)</w:t>
        </w:r>
      </w:smartTag>
      <w:r>
        <w:t xml:space="preserve"> should not cause net investment income to be created or eliminated, but merely apportioned between the estate or trust and its beneficiaries. </w:t>
      </w:r>
    </w:p>
    <w:p w14:paraId="6089906E" w14:textId="77777777" w:rsidR="00494B49" w:rsidRDefault="00494B49">
      <w:pPr>
        <w:pStyle w:val="BHead3"/>
      </w:pPr>
      <w:r>
        <w:t>a. Income Distribution Deduction</w:t>
      </w:r>
    </w:p>
    <w:p w14:paraId="1876A6B4" w14:textId="77777777" w:rsidR="00494B49" w:rsidRDefault="00494B49">
      <w:pPr>
        <w:pStyle w:val="BHead4"/>
      </w:pPr>
      <w:r>
        <w:t>(1) Deduction to the Estate or Trust</w:t>
      </w:r>
    </w:p>
    <w:p w14:paraId="1AE5F998" w14:textId="77777777" w:rsidR="00494B49" w:rsidRDefault="00494B49">
      <w:pPr>
        <w:pStyle w:val="BNormal"/>
      </w:pPr>
      <w:r>
        <w:t xml:space="preserve">In determining an estate or trust’s undistributed net investment income, Reg. </w:t>
      </w:r>
      <w:smartTag w:uri="http://www.bna.com/sgml2word/cite" w:element="cite.cfr">
        <w:smartTagPr>
          <w:attr w:name="ref" w:val="cfr\26\1.1411-3(e)(3)(i)"/>
        </w:smartTagPr>
        <w:r>
          <w:t>§1.1411-3(e)(3)(i)</w:t>
        </w:r>
      </w:smartTag>
      <w:r>
        <w:t xml:space="preserve"> provides that net investment income is reduced by distributions of net investment income made to beneficiaries. The amount of the distribution deduction is limited to the lesser of: (A) the amount deductible to the estate or trust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as applicable, or (B) the net investment income of the estate or trust.</w:t>
      </w:r>
      <w:r>
        <w:rPr>
          <w:rStyle w:val="FootnoteReference"/>
        </w:rPr>
        <w:footnoteReference w:id="1037"/>
      </w:r>
      <w:r>
        <w:t xml:space="preserve"> In the case of a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that consists of both net investment income and Excluded Income,</w:t>
      </w:r>
      <w:r>
        <w:rPr>
          <w:rStyle w:val="FootnoteReference"/>
        </w:rPr>
        <w:footnoteReference w:id="1038"/>
      </w:r>
      <w:r>
        <w:t xml:space="preserve"> the distribution must be allocated between net investment income and Excluded Income in a manner similar to Reg. </w:t>
      </w:r>
      <w:smartTag w:uri="http://www.bna.com/sgml2word/cite" w:element="cite.cfr">
        <w:smartTagPr>
          <w:attr w:name="ref" w:val="cfr\26\1.661(b)-1"/>
        </w:smartTagPr>
        <w:r>
          <w:t>§1.661(b)-1</w:t>
        </w:r>
      </w:smartTag>
      <w:r>
        <w:t xml:space="preserve"> as if net investment income constituted gross income and excluded income constituted amounts not includible in gross income.</w:t>
      </w:r>
    </w:p>
    <w:p w14:paraId="03A50A86" w14:textId="77777777" w:rsidR="00494B49" w:rsidRDefault="00494B49">
      <w:pPr>
        <w:pStyle w:val="BNormal"/>
      </w:pPr>
      <w:r>
        <w:rPr>
          <w:i/>
        </w:rPr>
        <w:t>Comment:</w:t>
      </w:r>
      <w:r>
        <w:t xml:space="preserve"> In general, Reg. </w:t>
      </w:r>
      <w:smartTag w:uri="http://www.bna.com/sgml2word/cite" w:element="cite.cfr">
        <w:smartTagPr>
          <w:attr w:name="ref" w:val="cfr\26\1.1411-3(e)(3)(i)"/>
        </w:smartTagPr>
        <w:r>
          <w:t>§1.1411-3(e)(3)(i)</w:t>
        </w:r>
      </w:smartTag>
      <w:r>
        <w:t xml:space="preserve"> creates a ceiling and a floor on the amount of net investment income distributed. With one exception described in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below, the net investment income distribution deduction cannot be greater than the regular tax income distribution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ceiling). Conversely, and intuitively, the net investment income distribution is limited to the net investment income of the estate or trust (because the trust cannot distribute more income than it has) (the floor). </w:t>
      </w:r>
    </w:p>
    <w:p w14:paraId="6D916309" w14:textId="77777777" w:rsidR="00494B49" w:rsidRDefault="00494B49">
      <w:pPr>
        <w:pStyle w:val="BNormal"/>
      </w:pPr>
      <w:r>
        <w:t xml:space="preserve">The cap and floor embedded within Reg. </w:t>
      </w:r>
      <w:smartTag w:uri="http://www.bna.com/sgml2word/cite" w:element="cite.cfr">
        <w:smartTagPr>
          <w:attr w:name="ref" w:val="cfr\26\1.1411-3(e)(3)"/>
        </w:smartTagPr>
        <w:r>
          <w:t>§1.1411-3(e)(3)</w:t>
        </w:r>
      </w:smartTag>
      <w:r>
        <w:t xml:space="preserve"> can create some unusual outcomes when the estate or trust’s net investment income is greater than its distributable net income (DNI). Situations in which net investment income is greater than DNI are most often caused by expenses that are deductions for regular tax, and thus go into the calculation of DNI, but are not deductions in calculating net investment income. For example, assume a simple trust with no capital gains. If the trust’s DNI is $20,000 and its net investment is $22,000, the most net investment income the trust can distribute is $20,000. The remaining $2,000 of net investment </w:t>
      </w:r>
      <w:r>
        <w:lastRenderedPageBreak/>
        <w:t xml:space="preserve">income is “stranded” in the trust. In this case, the trust would not have modified adjusted gross income (MAGI) in excess of the statutory thresholds, so the trust would not be liable for any net investment income tax on the $2,000 of retained net investment income. However, it is conceivable that given a combination of retained income, excluded income, and nondeductible net investment income tax expenses the estate or trust could end up paying net investment income tax on “stranded” net investment income. </w:t>
      </w:r>
    </w:p>
    <w:p w14:paraId="7D913E7C" w14:textId="77777777" w:rsidR="00494B49" w:rsidRDefault="00494B49">
      <w:pPr>
        <w:pStyle w:val="BHead4"/>
      </w:pPr>
      <w:r>
        <w:t>(2) Net Investment Income to the Beneficiary</w:t>
      </w:r>
    </w:p>
    <w:p w14:paraId="481722BE" w14:textId="77777777" w:rsidR="00494B49" w:rsidRDefault="00494B49">
      <w:pPr>
        <w:pStyle w:val="BNormal"/>
      </w:pPr>
      <w:r>
        <w:t xml:space="preserve">Reg. </w:t>
      </w:r>
      <w:smartTag w:uri="http://www.bna.com/sgml2word/cite" w:element="cite.cfr">
        <w:smartTagPr>
          <w:attr w:name="ref" w:val="cfr\26\1.1411-3(e)(3)(ii)"/>
        </w:smartTagPr>
        <w:r>
          <w:t>§1.1411-3(e)(3)(ii)</w:t>
        </w:r>
      </w:smartTag>
      <w:r>
        <w:t xml:space="preserve"> provides that if one or more items of net investment income comprise all or part of a distribution for which a deduction is allowed under Reg. </w:t>
      </w:r>
      <w:smartTag w:uri="http://www.bna.com/sgml2word/cite" w:element="cite.cfr">
        <w:smartTagPr>
          <w:attr w:name="ref" w:val="cfr\26\1.1411-3(e)(3)(i)"/>
        </w:smartTagPr>
        <w:r>
          <w:t>§1.1411-3(e)(3)(i)</w:t>
        </w:r>
      </w:smartTag>
      <w:r>
        <w:t xml:space="preserve">, the items retain their character as net investment income under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as applicable, for purposes of computing net investment income of the recipient of the distribution who is subject to tax under </w:t>
      </w:r>
      <w:smartTag w:uri="http://www.bna.com/sgml2word/cite" w:element="cite.usc">
        <w:smartTagPr>
          <w:attr w:name="ref" w:val="USC\26\1411"/>
        </w:smartTagPr>
        <w:r>
          <w:t>§1411</w:t>
        </w:r>
      </w:smartTag>
      <w:r>
        <w:t xml:space="preserve">. As a complimentary matter, Reg. </w:t>
      </w:r>
      <w:smartTag w:uri="http://www.bna.com/sgml2word/cite" w:element="cite.cfr">
        <w:smartTagPr>
          <w:attr w:name="ref" w:val="cfr\26\1.1411-4(e)(1)(i)"/>
        </w:smartTagPr>
        <w:r>
          <w:t>§1.1411-4(e)(1)(i)</w:t>
        </w:r>
      </w:smartTag>
      <w:r>
        <w:t xml:space="preserve"> provides that net investment income includes a beneficiary’s share of distributable net income, as described in </w:t>
      </w:r>
      <w:smartTag w:uri="http://www.bna.com/sgml2word/cite" w:element="cite.usc">
        <w:smartTagPr>
          <w:attr w:name="ref" w:val="USC\26\652(a)"/>
        </w:smartTagPr>
        <w:r>
          <w:t>§652(a)</w:t>
        </w:r>
      </w:smartTag>
      <w:r>
        <w:t xml:space="preserve"> and </w:t>
      </w:r>
      <w:smartTag w:uri="http://www.bna.com/sgml2word/cite" w:element="cite.usc">
        <w:smartTagPr>
          <w:attr w:name="ref" w:val="USC\26\662(a)"/>
        </w:smartTagPr>
        <w:r>
          <w:t>§662(a)</w:t>
        </w:r>
      </w:smartTag>
      <w:r>
        <w:t xml:space="preserve">, to the extent that, under </w:t>
      </w:r>
      <w:smartTag w:uri="http://www.bna.com/sgml2word/cite" w:element="cite.usc">
        <w:smartTagPr>
          <w:attr w:name="ref" w:val="USC\26\652(b)"/>
        </w:smartTagPr>
        <w:r>
          <w:t>§652(b)</w:t>
        </w:r>
      </w:smartTag>
      <w:r>
        <w:t xml:space="preserve"> and </w:t>
      </w:r>
      <w:smartTag w:uri="http://www.bna.com/sgml2word/cite" w:element="cite.usc">
        <w:smartTagPr>
          <w:attr w:name="ref" w:val="USC\26\662(b)"/>
        </w:smartTagPr>
        <w:r>
          <w:t>§662(b)</w:t>
        </w:r>
      </w:smartTag>
      <w:r>
        <w:t xml:space="preserve">, the character of such income constitutes gross income from items described in Reg. </w:t>
      </w:r>
      <w:smartTag w:uri="http://www.bna.com/sgml2word/cite" w:element="cite.cfr">
        <w:smartTagPr>
          <w:attr w:name="ref" w:val="cfr\26\1.1411-4(a)(1)(i)"/>
        </w:smartTagPr>
        <w:r>
          <w:t>§1.1411-4(a)(1)(i)</w:t>
        </w:r>
      </w:smartTag>
      <w:r>
        <w:t xml:space="preserve"> and </w:t>
      </w:r>
      <w:smartTag w:uri="http://www.bna.com/sgml2word/cite" w:element="cite.cfr">
        <w:smartTagPr>
          <w:attr w:name="ref" w:val="cfr\26\1.1411-4(a)(1)(ii)"/>
        </w:smartTagPr>
        <w:r>
          <w:t>§1.1411-4(a)(1)(ii)</w:t>
        </w:r>
      </w:smartTag>
      <w:r>
        <w:t xml:space="preserve">, or net gain attributable to items described in Reg. </w:t>
      </w:r>
      <w:smartTag w:uri="http://www.bna.com/sgml2word/cite" w:element="cite.cfr">
        <w:smartTagPr>
          <w:attr w:name="ref" w:val="cfr\26\1.1411-4(a)(1)(iii)"/>
        </w:smartTagPr>
        <w:r>
          <w:t>§1.1411-4(a)(1)(iii)</w:t>
        </w:r>
      </w:smartTag>
      <w:r>
        <w:t>.</w:t>
      </w:r>
    </w:p>
    <w:p w14:paraId="3A9CAB11" w14:textId="77777777" w:rsidR="00494B49" w:rsidRDefault="00494B49">
      <w:pPr>
        <w:pStyle w:val="BNormal"/>
      </w:pPr>
      <w:r>
        <w:rPr>
          <w:i/>
        </w:rPr>
        <w:t>Comment:</w:t>
      </w:r>
      <w:r>
        <w:t xml:space="preserve"> The intent behind Reg. </w:t>
      </w:r>
      <w:smartTag w:uri="http://www.bna.com/sgml2word/cite" w:element="cite.cfr">
        <w:smartTagPr>
          <w:attr w:name="ref" w:val="cfr\26\1.1411-3(e)(3)(ii)"/>
        </w:smartTagPr>
        <w:r>
          <w:t>§1.1411-3(e)(3)(ii)</w:t>
        </w:r>
      </w:smartTag>
      <w:r>
        <w:t xml:space="preserve"> is to mirror the general rules embodied in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in the net investment income tax system. As a result, whether an item is net investment income or Excluded Income is determined at the estate or trust level, and then it retains its character when distributed to a beneficiary. The beneficiary does not, however, have an opportunity to reexamine the character of the income in order to convert it from net investment income to Excluded Income, or vice-versa. Reg. </w:t>
      </w:r>
      <w:smartTag w:uri="http://www.bna.com/sgml2word/cite" w:element="cite.cfr">
        <w:smartTagPr>
          <w:attr w:name="ref" w:val="cfr\26\1.1411-3(e)(3)"/>
        </w:smartTagPr>
        <w:r>
          <w:t>§1.1411-3(e)(3)</w:t>
        </w:r>
      </w:smartTag>
      <w:r>
        <w:t xml:space="preserve"> follows the same principles embodied in Subchapter J: net investment income that is distributed by the trust is net investment income to the beneficiary; that net investment income is nether created nor eliminated when transferred between the estate or trust and its beneficiary.</w:t>
      </w:r>
    </w:p>
    <w:p w14:paraId="275B6F10" w14:textId="77777777" w:rsidR="00494B49" w:rsidRDefault="00494B49">
      <w:pPr>
        <w:pStyle w:val="BNormal"/>
      </w:pPr>
      <w:r>
        <w:t xml:space="preserve">On its face, it appears that Reg. </w:t>
      </w:r>
      <w:smartTag w:uri="http://www.bna.com/sgml2word/cite" w:element="cite.cfr">
        <w:smartTagPr>
          <w:attr w:name="ref" w:val="cfr\26\1.1411-3(e)(3)(ii)"/>
        </w:smartTagPr>
        <w:r>
          <w:t>§1.1411-3(e)(3)(ii)</w:t>
        </w:r>
      </w:smartTag>
      <w:r>
        <w:t xml:space="preserve"> and Reg. </w:t>
      </w:r>
      <w:smartTag w:uri="http://www.bna.com/sgml2word/cite" w:element="cite.cfr">
        <w:smartTagPr>
          <w:attr w:name="ref" w:val="cfr\26\1.1411-4(e)(1)(i)"/>
        </w:smartTagPr>
        <w:r>
          <w:t>§1.1411-4(e)(1)(i)</w:t>
        </w:r>
      </w:smartTag>
      <w:r>
        <w:t xml:space="preserve"> accomplish the same thing — they both provide that net investment income distributed by a trust is net investment income to the beneficiary. However, the two regulation sections provide different scopes of coverage: Reg. </w:t>
      </w:r>
      <w:smartTag w:uri="http://www.bna.com/sgml2word/cite" w:element="cite.cfr">
        <w:smartTagPr>
          <w:attr w:name="ref" w:val="cfr\26\1.1411-3(e)(3)(ii)"/>
        </w:smartTagPr>
        <w:r>
          <w:t>§1.1411-3(e)(3)(ii)</w:t>
        </w:r>
      </w:smartTag>
      <w:r>
        <w:t xml:space="preserve"> provides symmetry between the net investment income distribution deduction at the trust level and the net investment income inclusion at the beneficiary level, and Reg. </w:t>
      </w:r>
      <w:smartTag w:uri="http://www.bna.com/sgml2word/cite" w:element="cite.cfr">
        <w:smartTagPr>
          <w:attr w:name="ref" w:val="cfr\26\1.1411-4(e)(1)(i)"/>
        </w:smartTagPr>
        <w:r>
          <w:t>§1.1411-4(e)(1)(i)</w:t>
        </w:r>
      </w:smartTag>
      <w:r>
        <w:t xml:space="preserve"> provides the complementary mechanism that puts the items into the beneficiary’s net investment income. Reg. </w:t>
      </w:r>
      <w:smartTag w:uri="http://www.bna.com/sgml2word/cite" w:element="cite.cfr">
        <w:smartTagPr>
          <w:attr w:name="ref" w:val="cfr\26\1.1411-3(e)(3)(ii)"/>
        </w:smartTagPr>
        <w:r>
          <w:t>§1.1411-3(e)(3)(ii)</w:t>
        </w:r>
      </w:smartTag>
      <w:r>
        <w:t xml:space="preserve"> does not, by its terms, include the distributed amounts in income; it merely provides that once the net investment income character is determined at the estate or trust level, the character of the income is locked in for inclusion by Reg. </w:t>
      </w:r>
      <w:smartTag w:uri="http://www.bna.com/sgml2word/cite" w:element="cite.cfr">
        <w:smartTagPr>
          <w:attr w:name="ref" w:val="cfr\26\1.1411-4(e)(1)(i)"/>
        </w:smartTagPr>
        <w:r>
          <w:t>§1.1411-4(e)(1)(i)</w:t>
        </w:r>
      </w:smartTag>
      <w:r>
        <w:t>.</w:t>
      </w:r>
      <w:r>
        <w:rPr>
          <w:rStyle w:val="FootnoteReference"/>
        </w:rPr>
        <w:footnoteReference w:id="1039"/>
      </w:r>
    </w:p>
    <w:p w14:paraId="79C08204" w14:textId="77777777" w:rsidR="00494B49" w:rsidRDefault="00494B49">
      <w:pPr>
        <w:pStyle w:val="BHead3"/>
      </w:pPr>
      <w:r>
        <w:t>b. Section 642(c) Deductions</w:t>
      </w:r>
    </w:p>
    <w:p w14:paraId="6948BF0C" w14:textId="77777777" w:rsidR="00494B49" w:rsidRDefault="00494B49">
      <w:pPr>
        <w:pStyle w:val="BNormal"/>
      </w:pPr>
      <w:r>
        <w:t xml:space="preserve">In determining an estate’s or trust’s undistributed net investment income, Reg. </w:t>
      </w:r>
      <w:smartTag w:uri="http://www.bna.com/sgml2word/cite" w:element="cite.cfr">
        <w:smartTagPr>
          <w:attr w:name="ref" w:val="cfr\26\1.1411-3(e)(4)"/>
        </w:smartTagPr>
        <w:r>
          <w:t>§1.1411-3(e)(4)</w:t>
        </w:r>
      </w:smartTag>
      <w:r>
        <w:t xml:space="preserve"> provides that an estate or trust is allowed a deduction for amounts of net investment income that are allocated to amounts allowable under </w:t>
      </w:r>
      <w:smartTag w:uri="http://www.bna.com/sgml2word/cite" w:element="cite.usc">
        <w:smartTagPr>
          <w:attr w:name="ref" w:val="USC\26\642(c)"/>
        </w:smartTagPr>
        <w:r>
          <w:t>§642(c)</w:t>
        </w:r>
      </w:smartTag>
      <w:r>
        <w:t xml:space="preserve">. In the case of an estate or trust that has items of income consisting of both net investment income and excluded income, the allowable </w:t>
      </w:r>
      <w:r>
        <w:lastRenderedPageBreak/>
        <w:t xml:space="preserve">deduction must be allocated between net investment income and excluded income in accordance with Reg. </w:t>
      </w:r>
      <w:smartTag w:uri="http://www.bna.com/sgml2word/cite" w:element="cite.cfr">
        <w:smartTagPr>
          <w:attr w:name="ref" w:val="cfr\26\1.642(c)-2(b)"/>
        </w:smartTagPr>
        <w:r>
          <w:t>§1.642(c)-2(b)</w:t>
        </w:r>
      </w:smartTag>
      <w:r>
        <w:t xml:space="preserve"> as if net investment income constituted gross income and excluded income constituted amounts not includible in gross income.</w:t>
      </w:r>
      <w:r>
        <w:rPr>
          <w:rStyle w:val="FootnoteReference"/>
        </w:rPr>
        <w:footnoteReference w:id="1040"/>
      </w:r>
    </w:p>
    <w:p w14:paraId="26D62945" w14:textId="77777777" w:rsidR="00494B49" w:rsidRDefault="00494B49">
      <w:pPr>
        <w:pStyle w:val="BNormal"/>
      </w:pPr>
      <w:r>
        <w:rPr>
          <w:i/>
        </w:rPr>
        <w:t>Comment:</w:t>
      </w:r>
      <w:r>
        <w:t xml:space="preserve"> To understand Reg. </w:t>
      </w:r>
      <w:smartTag w:uri="http://www.bna.com/sgml2word/cite" w:element="cite.cfr">
        <w:smartTagPr>
          <w:attr w:name="ref" w:val="cfr\26\1.1411-3(e)(4)"/>
        </w:smartTagPr>
        <w:r>
          <w:t>§1.1411-3(e)(4)</w:t>
        </w:r>
      </w:smartTag>
      <w:r>
        <w:t xml:space="preserve">’s treatment of </w:t>
      </w:r>
      <w:smartTag w:uri="http://www.bna.com/sgml2word/cite" w:element="cite.usc">
        <w:smartTagPr>
          <w:attr w:name="ref" w:val="USC\26\642(c)"/>
        </w:smartTagPr>
        <w:r>
          <w:t>§642(c)</w:t>
        </w:r>
      </w:smartTag>
      <w:r>
        <w:t xml:space="preserve"> deductions, one needs to be familiar with the treatment of </w:t>
      </w:r>
      <w:smartTag w:uri="http://www.bna.com/sgml2word/cite" w:element="cite.usc">
        <w:smartTagPr>
          <w:attr w:name="ref" w:val="USC\26\642(c)"/>
        </w:smartTagPr>
        <w:r>
          <w:t>§642(c)</w:t>
        </w:r>
      </w:smartTag>
      <w:r>
        <w:t xml:space="preserve"> deductions within the DNI framework. More specifically, the allocation of DNI to </w:t>
      </w:r>
      <w:smartTag w:uri="http://www.bna.com/sgml2word/cite" w:element="cite.usc">
        <w:smartTagPr>
          <w:attr w:name="ref" w:val="USC\26\642(c)"/>
        </w:smartTagPr>
        <w:r>
          <w:t>§642(c)</w:t>
        </w:r>
      </w:smartTag>
      <w:r>
        <w:t xml:space="preserve"> deductions under Reg. </w:t>
      </w:r>
      <w:smartTag w:uri="http://www.bna.com/sgml2word/cite" w:element="cite.cfr">
        <w:smartTagPr>
          <w:attr w:name="ref" w:val="cfr\26\1.662(b)-2"/>
        </w:smartTagPr>
        <w:r>
          <w:t>§1.662(b)-2</w:t>
        </w:r>
      </w:smartTag>
      <w:r>
        <w:t xml:space="preserve"> must be separately applied to the net investment income tax regime parallel to the regular tax regime. For a detailed discussion of Reg. </w:t>
      </w:r>
      <w:smartTag w:uri="http://www.bna.com/sgml2word/cite" w:element="cite.cfr">
        <w:smartTagPr>
          <w:attr w:name="ref" w:val="cfr\26\1.662(b)-2"/>
        </w:smartTagPr>
        <w:r>
          <w:t>§1.662(b)-2</w:t>
        </w:r>
      </w:smartTag>
      <w:r>
        <w:t xml:space="preserve"> and computational examples for regular tax purposes,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&amp; Trusts Series).</w:t>
      </w:r>
    </w:p>
    <w:p w14:paraId="00FA03DA" w14:textId="77777777" w:rsidR="00494B49" w:rsidRDefault="00494B49">
      <w:pPr>
        <w:pStyle w:val="BNormal"/>
      </w:pPr>
      <w:r>
        <w:rPr>
          <w:i/>
        </w:rPr>
        <w:t>Planning Point:</w:t>
      </w:r>
      <w:r>
        <w:t xml:space="preserve"> There are two main distinctions between the charitable deduction for trusts under </w:t>
      </w:r>
      <w:smartTag w:uri="http://www.bna.com/sgml2word/cite" w:element="cite.usc">
        <w:smartTagPr>
          <w:attr w:name="ref" w:val="USC\26\642(c)"/>
        </w:smartTagPr>
        <w:r>
          <w:t>§642(c)</w:t>
        </w:r>
      </w:smartTag>
      <w:r>
        <w:t xml:space="preserve"> and a charitable deduction for individuals under </w:t>
      </w:r>
      <w:smartTag w:uri="http://www.bna.com/sgml2word/cite" w:element="cite.usc">
        <w:smartTagPr>
          <w:attr w:name="ref" w:val="USC\26\170"/>
        </w:smartTagPr>
        <w:r>
          <w:t>§170</w:t>
        </w:r>
      </w:smartTag>
      <w:r>
        <w:t xml:space="preserve">. First, the amount eligible for a deduction under </w:t>
      </w:r>
      <w:smartTag w:uri="http://www.bna.com/sgml2word/cite" w:element="cite.usc">
        <w:smartTagPr>
          <w:attr w:name="ref" w:val="USC\26\642(c)"/>
        </w:smartTagPr>
        <w:r>
          <w:t>§642(c)</w:t>
        </w:r>
      </w:smartTag>
      <w:r>
        <w:t xml:space="preserve"> deduction is not limited, whereas an individual’s </w:t>
      </w:r>
      <w:smartTag w:uri="http://www.bna.com/sgml2word/cite" w:element="cite.usc">
        <w:smartTagPr>
          <w:attr w:name="ref" w:val="USC\26\170"/>
        </w:smartTagPr>
        <w:r>
          <w:t>§170</w:t>
        </w:r>
      </w:smartTag>
      <w:r>
        <w:t xml:space="preserve"> deduction is limited based on certain AGI thresholds.</w:t>
      </w:r>
      <w:r>
        <w:rPr>
          <w:rStyle w:val="FootnoteReference"/>
        </w:rPr>
        <w:footnoteReference w:id="1041"/>
      </w:r>
      <w:r>
        <w:t xml:space="preserve"> Second, an estate or trust’s net investment income is reduced by amounts qualifying for a </w:t>
      </w:r>
      <w:smartTag w:uri="http://www.bna.com/sgml2word/cite" w:element="cite.usc">
        <w:smartTagPr>
          <w:attr w:name="ref" w:val="USC\26\642(c)"/>
        </w:smartTagPr>
        <w:r>
          <w:t>§642(c)</w:t>
        </w:r>
      </w:smartTag>
      <w:r>
        <w:t xml:space="preserve"> deduction, whereas individuals may not claim </w:t>
      </w:r>
      <w:smartTag w:uri="http://www.bna.com/sgml2word/cite" w:element="cite.usc">
        <w:smartTagPr>
          <w:attr w:name="ref" w:val="USC\26\170"/>
        </w:smartTagPr>
        <w:r>
          <w:t>§170</w:t>
        </w:r>
      </w:smartTag>
      <w:r>
        <w:t xml:space="preserve"> deductions against net investment income as properly allocable deductions under </w:t>
      </w:r>
      <w:smartTag w:uri="http://www.bna.com/sgml2word/cite" w:element="cite.usc">
        <w:smartTagPr>
          <w:attr w:name="ref" w:val="USC\26\1411(c)(1)(B)"/>
        </w:smartTagPr>
        <w:r>
          <w:t>§1411(c)(1)(B)</w:t>
        </w:r>
      </w:smartTag>
      <w:r>
        <w:t>.</w:t>
      </w:r>
      <w:r>
        <w:rPr>
          <w:rStyle w:val="FootnoteReference"/>
        </w:rPr>
        <w:footnoteReference w:id="1042"/>
      </w:r>
      <w:r>
        <w:t xml:space="preserve"> Therefore, all else being equal from an income tax perspective, using a nongrantor charitable lead trust (NGCLT) to make annual payments to charity provides several advantages to individuals with charitable intent that have large amounts of recurring net investment income (such as interest and dividends). First, by funding an NGCLT with NII-producing assets, the net investment income is removed from the individual’s MAGI and net investment income calculations. Second, when the trust receives the net investment income, and subsequently distributes it to the charitable organization, the trust’s net investment income is reduced under Reg. </w:t>
      </w:r>
      <w:smartTag w:uri="http://www.bna.com/sgml2word/cite" w:element="cite.cfr">
        <w:smartTagPr>
          <w:attr w:name="ref" w:val="cfr\26\1.1411-3(e)(4)"/>
        </w:smartTagPr>
        <w:r>
          <w:t>§1.1411-3(e)(4)</w:t>
        </w:r>
      </w:smartTag>
      <w:r>
        <w:t>. However, the trust’s MAGI is not correspondingly reduced;</w:t>
      </w:r>
      <w:r>
        <w:rPr>
          <w:rStyle w:val="FootnoteReference"/>
        </w:rPr>
        <w:footnoteReference w:id="1043"/>
      </w:r>
      <w:r>
        <w:t xml:space="preserve"> the reduction in net investment income will likely substantially reduce the net investment income tax liability because the net investment income tax tax base is the lesser of undistributed net investment income or the trust’s MAGI.</w:t>
      </w:r>
    </w:p>
    <w:p w14:paraId="12727620" w14:textId="77777777" w:rsidR="00494B49" w:rsidRDefault="00494B49">
      <w:pPr>
        <w:pStyle w:val="BHead2"/>
      </w:pPr>
      <w:r>
        <w:t>3. Compliance Considerations</w:t>
      </w:r>
    </w:p>
    <w:p w14:paraId="4C2A5862" w14:textId="77777777" w:rsidR="00494B49" w:rsidRDefault="00494B49">
      <w:pPr>
        <w:pStyle w:val="BNormal"/>
      </w:pPr>
      <w:r>
        <w:t xml:space="preserve">The rules on distributions of net investment income in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3(e)(4)"/>
        </w:smartTagPr>
        <w:r>
          <w:t>§1.1411-3(e)(4)</w:t>
        </w:r>
      </w:smartTag>
      <w:r>
        <w:t xml:space="preserve">, on their face, are designed to function in a substantially similar way to </w:t>
      </w:r>
      <w:smartTag w:uri="http://www.bna.com/sgml2word/cite" w:element="cite.usc">
        <w:smartTagPr>
          <w:attr w:name="ref" w:val="usc\26\651"/>
        </w:smartTagPr>
        <w:r>
          <w:t>§651</w:t>
        </w:r>
      </w:smartTag>
      <w:r>
        <w:t xml:space="preserve"> and </w:t>
      </w:r>
      <w:smartTag w:uri="http://www.bna.com/sgml2word/cite" w:element="cite.usc">
        <w:smartTagPr>
          <w:attr w:name="ref" w:val="usc\26\661"/>
        </w:smartTagPr>
        <w:r>
          <w:t>§661</w:t>
        </w:r>
      </w:smartTag>
      <w:r>
        <w:t xml:space="preserve">, while the beneficiary inclusion provisions are designed to function in a substantially similar way to </w:t>
      </w:r>
      <w:smartTag w:uri="http://www.bna.com/sgml2word/cite" w:element="cite.usc">
        <w:smartTagPr>
          <w:attr w:name="ref" w:val="USC\26\652"/>
        </w:smartTagPr>
        <w:r>
          <w:t>§652</w:t>
        </w:r>
      </w:smartTag>
      <w:r>
        <w:t xml:space="preserve"> and </w:t>
      </w:r>
      <w:smartTag w:uri="http://www.bna.com/sgml2word/cite" w:element="cite.usc">
        <w:smartTagPr>
          <w:attr w:name="ref" w:val="USC\26\662"/>
        </w:smartTagPr>
        <w:r>
          <w:t>§662</w:t>
        </w:r>
      </w:smartTag>
      <w:r>
        <w:t xml:space="preserve"> — except that they are applied to a different base of income. In this case, distributable net income is replaced with net investment income. As a theoretical matter, the preservation of the quasi-passthrough nature of nongrantor trusts and estates was necessary, and was adopted in the 2013 Final Regulations without change from the proposed regulations. However, the ultimate judgment of the viability of the theoretical rules turned on the functionality and transition from theoretical principles to applied calculations on tax returns.</w:t>
      </w:r>
    </w:p>
    <w:p w14:paraId="0F8D73C5" w14:textId="77777777" w:rsidR="00494B49" w:rsidRDefault="00494B49" w:rsidP="007865AF">
      <w:pPr>
        <w:pStyle w:val="BHead3"/>
        <w:keepNext/>
        <w:keepLines/>
      </w:pPr>
      <w:r>
        <w:lastRenderedPageBreak/>
        <w:t>a. Estate and Trust</w:t>
      </w:r>
    </w:p>
    <w:p w14:paraId="409F055D" w14:textId="77777777" w:rsidR="00494B49" w:rsidRDefault="00494B49" w:rsidP="007865AF">
      <w:pPr>
        <w:pStyle w:val="BNormal"/>
        <w:keepNext/>
        <w:keepLines/>
      </w:pPr>
      <w:r>
        <w:t xml:space="preserve">The estate or trust completes </w:t>
      </w:r>
      <w:smartTag w:uri="http://www.bna.com/sgml2word/cite" w:element="cite.fed.form">
        <w:smartTagPr>
          <w:attr w:name="ref" w:val="irs\form8960"/>
        </w:smartTagPr>
        <w:r>
          <w:t>Form 8960</w:t>
        </w:r>
      </w:smartTag>
      <w:r>
        <w:t xml:space="preserve"> Lines 1–12 in the same manner as an individual. In Part III, the form subdivides into one portion for individuals (Lines 13–17) and one for estates and trusts (Lines 18–21). The only material difference between the two sections is found on Line 18b. Line 18b reports the amounts of net investment income distributed to beneficiaries</w:t>
      </w:r>
      <w:r>
        <w:rPr>
          <w:rStyle w:val="FootnoteReference"/>
        </w:rPr>
        <w:footnoteReference w:id="1044"/>
      </w:r>
      <w:r>
        <w:t xml:space="preserve"> and the amount allocable to amounts paid to charity for which a deduction is allowed under </w:t>
      </w:r>
      <w:smartTag w:uri="http://www.bna.com/sgml2word/cite" w:element="cite.usc">
        <w:smartTagPr>
          <w:attr w:name="ref" w:val="USC\26\642(c)"/>
        </w:smartTagPr>
        <w:r>
          <w:t>§642(c)</w:t>
        </w:r>
      </w:smartTag>
      <w:r>
        <w:t>.</w:t>
      </w:r>
      <w:r>
        <w:rPr>
          <w:rStyle w:val="FootnoteReference"/>
        </w:rPr>
        <w:footnoteReference w:id="1045"/>
      </w:r>
    </w:p>
    <w:p w14:paraId="2F9D8E7D" w14:textId="77777777" w:rsidR="00494B49" w:rsidRDefault="00494B49">
      <w:pPr>
        <w:pStyle w:val="BNormal"/>
      </w:pPr>
      <w:r>
        <w:rPr>
          <w:i/>
        </w:rPr>
        <w:t>Observation:</w:t>
      </w:r>
      <w:r>
        <w:t xml:space="preserve"> It is possible, although relatively rare, for an estate or nongrantor trust to have a net investment income tax liability while not having a regular tax liability. This can happen in several situations, all relating to the unique net investment income tax dual tax base of “lesser of undistributed net investment income or AGI” and income and deductions excluded from one base, but not the other.</w:t>
      </w:r>
    </w:p>
    <w:p w14:paraId="4A7012BF" w14:textId="77777777" w:rsidR="00494B49" w:rsidRDefault="00494B49">
      <w:pPr>
        <w:pStyle w:val="BNormal"/>
      </w:pPr>
      <w:r>
        <w:t>In the first instance, because a trust’s AGI is higher than its taxable income as a computational matter, one side of the dual tax base is always going to be higher than taxable income. If the trust has expenses that are deductible from AGI, but not deductible from net investment income, the trust’s taxable income would be lowered by those deductions, but its net investment income tax dual tax base would remain unchanged.</w:t>
      </w:r>
      <w:r>
        <w:rPr>
          <w:rStyle w:val="FootnoteReference"/>
        </w:rPr>
        <w:footnoteReference w:id="1046"/>
      </w:r>
    </w:p>
    <w:p w14:paraId="488C1236" w14:textId="77777777" w:rsidR="00494B49" w:rsidRDefault="00494B49" w:rsidP="007865AF">
      <w:pPr>
        <w:pStyle w:val="BNormal"/>
      </w:pPr>
      <w:r>
        <w:t>The second instance arises when a trust has non-net-investment income deductible expenses (such as real estate taxes on property not held for rental or investment) that are deductible in arriving at AGI, but not deductible against net investment income, alongside of miscellaneous itemized deductions subject to the 2% floor.</w:t>
      </w:r>
      <w:r>
        <w:rPr>
          <w:rStyle w:val="FootnoteReference"/>
        </w:rPr>
        <w:footnoteReference w:id="1047"/>
      </w:r>
      <w:r>
        <w:t xml:space="preserve"> In this case, net investment income will be higher than AGI because of the nondeductible nature of the real estate taxes. When the 2% deductions are available and taken into account, the deductions will reduce net investment income and the trust’s taxable income, but not AGI, thereby eliminating taxable income, but leaving open the possibility that the trust’s net investment income tax dual tax base is not eliminated.</w:t>
      </w:r>
      <w:r>
        <w:rPr>
          <w:rStyle w:val="FootnoteReference"/>
        </w:rPr>
        <w:footnoteReference w:id="1048"/>
      </w:r>
      <w:r>
        <w:t xml:space="preserve"> Although conceptually similar to 2% deductions, consider the following example of regular tax and net investment income for a trust with a sizable </w:t>
      </w:r>
      <w:smartTag w:uri="http://www.bna.com/sgml2word/cite" w:element="cite.usc">
        <w:smartTagPr>
          <w:attr w:name="ref" w:val="USC\26\642(c)"/>
        </w:smartTagPr>
        <w:r>
          <w:t>§642(c)</w:t>
        </w:r>
      </w:smartTag>
      <w:r>
        <w:t xml:space="preserve"> deduction: </w:t>
      </w:r>
    </w:p>
    <w:p w14:paraId="40A37FE1" w14:textId="77777777" w:rsidR="00494B49" w:rsidRDefault="00494B49" w:rsidP="007865AF">
      <w:pPr>
        <w:pStyle w:val="BNormal"/>
      </w:pPr>
    </w:p>
    <w:tbl>
      <w:tblPr>
        <w:tblStyle w:val="TableGrid"/>
        <w:tblW w:w="0" w:type="auto"/>
        <w:tblLook w:val="04A0" w:firstRow="1" w:lastRow="0" w:firstColumn="1" w:lastColumn="0" w:noHBand="0" w:noVBand="1"/>
      </w:tblPr>
      <w:tblGrid>
        <w:gridCol w:w="3135"/>
        <w:gridCol w:w="3097"/>
        <w:gridCol w:w="3118"/>
      </w:tblGrid>
      <w:tr w:rsidR="00494B49" w14:paraId="54A9CEFD" w14:textId="77777777">
        <w:tc>
          <w:tcPr>
            <w:tcW w:w="3360" w:type="dxa"/>
          </w:tcPr>
          <w:p w14:paraId="5B6DA18B" w14:textId="77777777" w:rsidR="00494B49" w:rsidRDefault="00494B49"/>
        </w:tc>
        <w:tc>
          <w:tcPr>
            <w:tcW w:w="3360" w:type="dxa"/>
          </w:tcPr>
          <w:p w14:paraId="17DB444A" w14:textId="77777777" w:rsidR="00494B49" w:rsidRDefault="00494B49">
            <w:r>
              <w:t xml:space="preserve"> </w:t>
            </w:r>
            <w:r>
              <w:rPr>
                <w:b/>
              </w:rPr>
              <w:t xml:space="preserve">Regular Tax </w:t>
            </w:r>
          </w:p>
        </w:tc>
        <w:tc>
          <w:tcPr>
            <w:tcW w:w="3360" w:type="dxa"/>
          </w:tcPr>
          <w:p w14:paraId="51D788D9" w14:textId="77777777" w:rsidR="00494B49" w:rsidRDefault="00494B49">
            <w:r>
              <w:t xml:space="preserve"> </w:t>
            </w:r>
            <w:r>
              <w:rPr>
                <w:b/>
              </w:rPr>
              <w:t>net investment income tax</w:t>
            </w:r>
          </w:p>
        </w:tc>
      </w:tr>
      <w:tr w:rsidR="00494B49" w14:paraId="391C1714" w14:textId="77777777">
        <w:tc>
          <w:tcPr>
            <w:tcW w:w="3360" w:type="dxa"/>
          </w:tcPr>
          <w:p w14:paraId="117697CE" w14:textId="77777777" w:rsidR="00494B49" w:rsidRDefault="00494B49">
            <w:r>
              <w:t>Interest/ Dividends</w:t>
            </w:r>
          </w:p>
        </w:tc>
        <w:tc>
          <w:tcPr>
            <w:tcW w:w="3360" w:type="dxa"/>
          </w:tcPr>
          <w:p w14:paraId="0DAA6FCA" w14:textId="77777777" w:rsidR="00494B49" w:rsidRDefault="00494B49">
            <w:r>
              <w:t>$100,000</w:t>
            </w:r>
          </w:p>
        </w:tc>
        <w:tc>
          <w:tcPr>
            <w:tcW w:w="3360" w:type="dxa"/>
          </w:tcPr>
          <w:p w14:paraId="5E8F4377" w14:textId="77777777" w:rsidR="00494B49" w:rsidRDefault="00494B49">
            <w:r>
              <w:t>$100,000</w:t>
            </w:r>
          </w:p>
        </w:tc>
      </w:tr>
      <w:tr w:rsidR="00494B49" w14:paraId="62857A27" w14:textId="77777777">
        <w:tc>
          <w:tcPr>
            <w:tcW w:w="3360" w:type="dxa"/>
          </w:tcPr>
          <w:p w14:paraId="05AE34DC" w14:textId="77777777" w:rsidR="00494B49" w:rsidRDefault="00494B49">
            <w:r>
              <w:t>Nonpassive Loss</w:t>
            </w:r>
          </w:p>
        </w:tc>
        <w:tc>
          <w:tcPr>
            <w:tcW w:w="3360" w:type="dxa"/>
          </w:tcPr>
          <w:p w14:paraId="072E8031" w14:textId="77777777" w:rsidR="00494B49" w:rsidRDefault="00494B49">
            <w:r>
              <w:t>($25,000)</w:t>
            </w:r>
          </w:p>
        </w:tc>
        <w:tc>
          <w:tcPr>
            <w:tcW w:w="3360" w:type="dxa"/>
          </w:tcPr>
          <w:p w14:paraId="1DF887FB" w14:textId="77777777" w:rsidR="00494B49" w:rsidRDefault="00494B49">
            <w:r>
              <w:t>—</w:t>
            </w:r>
          </w:p>
        </w:tc>
      </w:tr>
      <w:tr w:rsidR="00494B49" w14:paraId="626B89DA" w14:textId="77777777">
        <w:tc>
          <w:tcPr>
            <w:tcW w:w="3360" w:type="dxa"/>
          </w:tcPr>
          <w:p w14:paraId="35AC1F6F" w14:textId="77777777" w:rsidR="00494B49" w:rsidRDefault="00494B49">
            <w:r>
              <w:t>Adjusted Gross Income (AGI)</w:t>
            </w:r>
          </w:p>
        </w:tc>
        <w:tc>
          <w:tcPr>
            <w:tcW w:w="3360" w:type="dxa"/>
          </w:tcPr>
          <w:p w14:paraId="273EA311" w14:textId="77777777" w:rsidR="00494B49" w:rsidRDefault="00494B49">
            <w:r>
              <w:t>$75,000</w:t>
            </w:r>
          </w:p>
        </w:tc>
        <w:tc>
          <w:tcPr>
            <w:tcW w:w="3360" w:type="dxa"/>
          </w:tcPr>
          <w:p w14:paraId="2902906E" w14:textId="77777777" w:rsidR="00494B49" w:rsidRDefault="00494B49">
            <w:r>
              <w:t>N/A</w:t>
            </w:r>
          </w:p>
        </w:tc>
      </w:tr>
      <w:tr w:rsidR="00494B49" w14:paraId="79B2596C" w14:textId="77777777">
        <w:tc>
          <w:tcPr>
            <w:tcW w:w="3360" w:type="dxa"/>
          </w:tcPr>
          <w:p w14:paraId="52944B62" w14:textId="77777777" w:rsidR="00494B49" w:rsidRDefault="00494B49">
            <w:r>
              <w:t>Net Investment Income</w:t>
            </w:r>
          </w:p>
        </w:tc>
        <w:tc>
          <w:tcPr>
            <w:tcW w:w="3360" w:type="dxa"/>
          </w:tcPr>
          <w:p w14:paraId="1E1CCA9E" w14:textId="77777777" w:rsidR="00494B49" w:rsidRDefault="00494B49">
            <w:r>
              <w:t>N/A</w:t>
            </w:r>
          </w:p>
        </w:tc>
        <w:tc>
          <w:tcPr>
            <w:tcW w:w="3360" w:type="dxa"/>
          </w:tcPr>
          <w:p w14:paraId="5195C4F9" w14:textId="77777777" w:rsidR="00494B49" w:rsidRDefault="00494B49">
            <w:r>
              <w:t>$100,000</w:t>
            </w:r>
          </w:p>
        </w:tc>
      </w:tr>
      <w:tr w:rsidR="00494B49" w14:paraId="0DD399A7" w14:textId="77777777">
        <w:tc>
          <w:tcPr>
            <w:tcW w:w="3360" w:type="dxa"/>
          </w:tcPr>
          <w:p w14:paraId="4A1D83B0" w14:textId="77777777" w:rsidR="00494B49" w:rsidRDefault="00494B49">
            <w:r>
              <w:t xml:space="preserve">Less: </w:t>
            </w:r>
            <w:smartTag w:uri="http://www.bna.com/sgml2word/cite" w:element="cite.usc">
              <w:smartTagPr>
                <w:attr w:name="ref" w:val="USC\26\642(c)"/>
              </w:smartTagPr>
              <w:r>
                <w:t>§642(c)</w:t>
              </w:r>
            </w:smartTag>
            <w:r>
              <w:t xml:space="preserve"> Deduction</w:t>
            </w:r>
          </w:p>
        </w:tc>
        <w:tc>
          <w:tcPr>
            <w:tcW w:w="3360" w:type="dxa"/>
          </w:tcPr>
          <w:p w14:paraId="6951CFBA" w14:textId="77777777" w:rsidR="00494B49" w:rsidRDefault="00494B49">
            <w:r>
              <w:t>($75,000)</w:t>
            </w:r>
          </w:p>
        </w:tc>
        <w:tc>
          <w:tcPr>
            <w:tcW w:w="3360" w:type="dxa"/>
          </w:tcPr>
          <w:p w14:paraId="029AF5C8" w14:textId="77777777" w:rsidR="00494B49" w:rsidRDefault="00494B49">
            <w:r>
              <w:t>—</w:t>
            </w:r>
          </w:p>
        </w:tc>
      </w:tr>
      <w:tr w:rsidR="00494B49" w14:paraId="7D2395F2" w14:textId="77777777">
        <w:tc>
          <w:tcPr>
            <w:tcW w:w="3360" w:type="dxa"/>
          </w:tcPr>
          <w:p w14:paraId="09BA64A7" w14:textId="77777777" w:rsidR="00494B49" w:rsidRDefault="00494B49">
            <w:r>
              <w:t xml:space="preserve">Less: Net Investment Income </w:t>
            </w:r>
            <w:r>
              <w:br/>
              <w:t xml:space="preserve">Allocable to </w:t>
            </w:r>
            <w:smartTag w:uri="http://www.bna.com/sgml2word/cite" w:element="cite.usc">
              <w:smartTagPr>
                <w:attr w:name="ref" w:val="USC\26\642(c)"/>
              </w:smartTagPr>
              <w:r>
                <w:t>§642(c)</w:t>
              </w:r>
            </w:smartTag>
          </w:p>
        </w:tc>
        <w:tc>
          <w:tcPr>
            <w:tcW w:w="3360" w:type="dxa"/>
          </w:tcPr>
          <w:p w14:paraId="4EB42200" w14:textId="77777777" w:rsidR="00494B49" w:rsidRDefault="00494B49">
            <w:r>
              <w:t>—</w:t>
            </w:r>
          </w:p>
        </w:tc>
        <w:tc>
          <w:tcPr>
            <w:tcW w:w="3360" w:type="dxa"/>
          </w:tcPr>
          <w:p w14:paraId="6F8930D7" w14:textId="77777777" w:rsidR="00494B49" w:rsidRDefault="00494B49">
            <w:r>
              <w:t>($75,000)</w:t>
            </w:r>
          </w:p>
        </w:tc>
      </w:tr>
      <w:tr w:rsidR="00494B49" w14:paraId="59796D3C" w14:textId="77777777">
        <w:tc>
          <w:tcPr>
            <w:tcW w:w="3360" w:type="dxa"/>
          </w:tcPr>
          <w:p w14:paraId="593C7034" w14:textId="77777777" w:rsidR="00494B49" w:rsidRDefault="00494B49">
            <w:r>
              <w:t>Taxable Income</w:t>
            </w:r>
          </w:p>
        </w:tc>
        <w:tc>
          <w:tcPr>
            <w:tcW w:w="3360" w:type="dxa"/>
          </w:tcPr>
          <w:p w14:paraId="7EA96E80" w14:textId="77777777" w:rsidR="00494B49" w:rsidRDefault="00494B49">
            <w:r>
              <w:t>$0</w:t>
            </w:r>
          </w:p>
        </w:tc>
        <w:tc>
          <w:tcPr>
            <w:tcW w:w="3360" w:type="dxa"/>
          </w:tcPr>
          <w:p w14:paraId="45012F1E" w14:textId="77777777" w:rsidR="00494B49" w:rsidRDefault="00494B49"/>
        </w:tc>
      </w:tr>
      <w:tr w:rsidR="00494B49" w14:paraId="197F2262" w14:textId="77777777">
        <w:tc>
          <w:tcPr>
            <w:tcW w:w="3360" w:type="dxa"/>
          </w:tcPr>
          <w:p w14:paraId="226080BF" w14:textId="77777777" w:rsidR="00494B49" w:rsidRDefault="00494B49">
            <w:r>
              <w:lastRenderedPageBreak/>
              <w:t xml:space="preserve">Undistributed Net Investment </w:t>
            </w:r>
            <w:r>
              <w:br/>
              <w:t xml:space="preserve">Income </w:t>
            </w:r>
          </w:p>
        </w:tc>
        <w:tc>
          <w:tcPr>
            <w:tcW w:w="3360" w:type="dxa"/>
          </w:tcPr>
          <w:p w14:paraId="6B37F314" w14:textId="77777777" w:rsidR="00494B49" w:rsidRDefault="00494B49">
            <w:r>
              <w:t>—</w:t>
            </w:r>
          </w:p>
        </w:tc>
        <w:tc>
          <w:tcPr>
            <w:tcW w:w="3360" w:type="dxa"/>
          </w:tcPr>
          <w:p w14:paraId="5C754258" w14:textId="77777777" w:rsidR="00494B49" w:rsidRDefault="00494B49">
            <w:r>
              <w:t>$25,000</w:t>
            </w:r>
          </w:p>
        </w:tc>
      </w:tr>
      <w:tr w:rsidR="00494B49" w14:paraId="6545F23E" w14:textId="77777777">
        <w:tc>
          <w:tcPr>
            <w:tcW w:w="3360" w:type="dxa"/>
          </w:tcPr>
          <w:p w14:paraId="3D56B91B" w14:textId="77777777" w:rsidR="00494B49" w:rsidRDefault="00494B49">
            <w:r>
              <w:t>Tax Due</w:t>
            </w:r>
          </w:p>
        </w:tc>
        <w:tc>
          <w:tcPr>
            <w:tcW w:w="3360" w:type="dxa"/>
          </w:tcPr>
          <w:p w14:paraId="430820CB" w14:textId="77777777" w:rsidR="00494B49" w:rsidRDefault="00494B49">
            <w:r>
              <w:t>$0</w:t>
            </w:r>
          </w:p>
        </w:tc>
        <w:tc>
          <w:tcPr>
            <w:tcW w:w="3360" w:type="dxa"/>
          </w:tcPr>
          <w:p w14:paraId="29DED960" w14:textId="77777777" w:rsidR="00494B49" w:rsidRDefault="00494B49">
            <w:r>
              <w:t>$950</w:t>
            </w:r>
            <w:r>
              <w:rPr>
                <w:rStyle w:val="FootnoteReference"/>
              </w:rPr>
              <w:footnoteReference w:id="1049"/>
            </w:r>
          </w:p>
        </w:tc>
      </w:tr>
    </w:tbl>
    <w:p w14:paraId="476B2178" w14:textId="77777777" w:rsidR="00494B49" w:rsidRDefault="00494B49">
      <w:pPr>
        <w:pStyle w:val="BNormal"/>
      </w:pPr>
      <w:r>
        <w:t xml:space="preserve"> </w:t>
      </w:r>
    </w:p>
    <w:p w14:paraId="73EFD67A" w14:textId="77777777" w:rsidR="00494B49" w:rsidRDefault="00494B49">
      <w:pPr>
        <w:pStyle w:val="BNormal"/>
      </w:pPr>
      <w:r>
        <w:t xml:space="preserve">Finally, it is possible for an estate or trust to have a net investment income tax liability when it recovers a prior year deduction that is included in net investment income by reason of Reg. </w:t>
      </w:r>
      <w:smartTag w:uri="http://www.bna.com/sgml2word/cite" w:element="cite.cfr">
        <w:smartTagPr>
          <w:attr w:name="ref" w:val="cfr\26\1.1411-4(g)(2)"/>
        </w:smartTagPr>
        <w:r>
          <w:t>§1.1411-4(g)(2)</w:t>
        </w:r>
      </w:smartTag>
      <w:r>
        <w:t>, but the refund is not taken into account for taxable income purposes. In this case, due to the mechanics of the net investment income tax recovery rule, the estate or trust’s net investment income deductions will be less than the deductions for regular tax purposes possibly causing net investment income to be greater than taxable income. The situation could also occur if the estate or trust also has substantial miscellaneous itemized deductions. In this situation, the 2% deductions, when available, may reduce net investment income and taxable income (but not change AGI), while the recovery would cause net investment income to be higher than taxable income.</w:t>
      </w:r>
      <w:r>
        <w:rPr>
          <w:rStyle w:val="FootnoteReference"/>
        </w:rPr>
        <w:footnoteReference w:id="1050"/>
      </w:r>
    </w:p>
    <w:p w14:paraId="5303F703" w14:textId="77777777" w:rsidR="00494B49" w:rsidRDefault="00494B49">
      <w:pPr>
        <w:pStyle w:val="BNormal"/>
      </w:pPr>
      <w:r>
        <w:t xml:space="preserve">Going one step further, if these cases were to occur in the estate’s or trust’s final year and taxable income is negative, such that </w:t>
      </w:r>
      <w:smartTag w:uri="http://www.bna.com/sgml2word/cite" w:element="cite.usc">
        <w:smartTagPr>
          <w:attr w:name="ref" w:val="USC\26\642(h)"/>
        </w:smartTagPr>
        <w:r>
          <w:t>§642(h)</w:t>
        </w:r>
      </w:smartTag>
      <w:r>
        <w:t xml:space="preserve"> allows the excess deductions to be apportioned to the beneficiaries succeeding to the property, a beneficiary could claim those deductions for regular tax purposes, but not for net investment income purposes, while the estate or trust would be liable for net investment income tax.</w:t>
      </w:r>
      <w:r>
        <w:rPr>
          <w:rStyle w:val="FootnoteReference"/>
        </w:rPr>
        <w:footnoteReference w:id="1051"/>
      </w:r>
    </w:p>
    <w:p w14:paraId="5A280F1F" w14:textId="77777777" w:rsidR="00494B49" w:rsidRDefault="00494B49">
      <w:pPr>
        <w:pStyle w:val="BCommentpara"/>
      </w:pPr>
      <w:r>
        <w:rPr>
          <w:rStyle w:val="BCommenthead"/>
        </w:rPr>
        <w:t>Compliance Tip</w:t>
      </w:r>
      <w:r>
        <w:t xml:space="preserve">: The Worksheets at the end of this Portfolio include a sample reconciliation between the income distribution deduction and charitable deductions for regular income tax purposes and the amount reported on </w:t>
      </w:r>
      <w:smartTag w:uri="http://www.bna.com/sgml2word/cite" w:element="cite.fed.form">
        <w:smartTagPr>
          <w:attr w:name="ref" w:val="irs\form8960"/>
        </w:smartTagPr>
        <w:r>
          <w:t>Form 8960</w:t>
        </w:r>
      </w:smartTag>
      <w:r>
        <w:t xml:space="preserve">, Line 18b. To the extent that there is a difference between the amount of the income distribution deduction on Form </w:t>
      </w:r>
      <w:smartTag w:uri="http://www.bna.com/sgml2word/cite" w:element="cite.fed.form">
        <w:smartTagPr>
          <w:attr w:name="ref" w:val="irs\form1041"/>
        </w:smartTagPr>
        <w:r>
          <w:t>1041</w:t>
        </w:r>
      </w:smartTag>
      <w:r>
        <w:t xml:space="preserve">, Schedule B and the amount of net investment income distributed to beneficiaries reported on </w:t>
      </w:r>
      <w:smartTag w:uri="http://www.bna.com/sgml2word/cite" w:element="cite.fed.form">
        <w:smartTagPr>
          <w:attr w:name="ref" w:val="irs\form8960"/>
        </w:smartTagPr>
        <w:r>
          <w:t>Form 8960</w:t>
        </w:r>
      </w:smartTag>
      <w:r>
        <w:t xml:space="preserve">, Line 18b — that difference should be reflected on Schedule K-1, Line 14, Box H. Except when an estate’s or trust’s DNI is increased by reason of Reg. </w:t>
      </w:r>
      <w:smartTag w:uri="http://www.bna.com/sgml2word/cite" w:element="cite.cfr">
        <w:smartTagPr>
          <w:attr w:name="ref" w:val="cfr\26\1.1411-10(f)"/>
        </w:smartTagPr>
        <w:r>
          <w:t>§1.1411-10(f)</w:t>
        </w:r>
      </w:smartTag>
      <w:r>
        <w:t>, the amount reported in Box H will be zero (when all income on the Schedule K-1 is net investment income) or a negative number (when less than all of the income on the Schedule K-1 is net investment income).</w:t>
      </w:r>
    </w:p>
    <w:p w14:paraId="4DD8FAB8" w14:textId="77777777" w:rsidR="00494B49" w:rsidRDefault="00494B49">
      <w:pPr>
        <w:pStyle w:val="BHead3"/>
      </w:pPr>
      <w:r>
        <w:t>b. Beneficiary</w:t>
      </w:r>
    </w:p>
    <w:p w14:paraId="1817323F" w14:textId="77777777" w:rsidR="00494B49" w:rsidRDefault="00494B49">
      <w:pPr>
        <w:pStyle w:val="BNormal"/>
      </w:pPr>
      <w:r>
        <w:t xml:space="preserve">The unique quasi-passthrough treatment of estates and trusts in Subchapter J, and that same treatment in the net investment income tax regime, causes beneficiary reporting to be slightly different than partner or shareholder treatment in the partnership or S corporation context. Since partnerships or S corporations are not subject to the net investment income tax, although their characteristic and attributes may impact the owner’s net investment income tax liability, they are generally treated as aggregates of their owners for net investment income tax purposes. An estate </w:t>
      </w:r>
      <w:r>
        <w:lastRenderedPageBreak/>
        <w:t xml:space="preserve">or trust on the other hand, is subject to the net investment income tax, and the net investment income tax classification of items as net investment income or Excluded Income is determined at the estate or trust level. Thus, the reporting to the beneficiary is different because regular tax and the net investment income tax regime do not treat estates and trusts as aggregate of its beneficiaries. In many cases, the Schedule K-1 received by the beneficiary does not have the granular detail that a Schedule K-1 from a partnership has because the beneficiary receives income net of expenses, and therefore many expense limitations are applied at the estate or trust level and are not included in the beneficiary’s Schedule K-1 reporting. </w:t>
      </w:r>
    </w:p>
    <w:p w14:paraId="4CEF66B7" w14:textId="77777777" w:rsidR="00494B49" w:rsidRDefault="00494B49">
      <w:pPr>
        <w:pStyle w:val="BNormal"/>
      </w:pPr>
      <w:r>
        <w:t xml:space="preserve">As a result of an estate’s or trust’s unique quasi-passthrough nature, the regular tax reporting to a beneficiary was not sufficient to enable the beneficiary to calculate net investment income tax liability without additional information from the estate or trust. But, unlike the aggregate theory of taxation applied to partnerships and S corporations, the estate or trust is able to determine the amount of net investment income distributed to the beneficiary because the estate or trust needed to determine such amounts in calculating its undistributed net investment income under Reg. </w:t>
      </w:r>
      <w:smartTag w:uri="http://www.bna.com/sgml2word/cite" w:element="cite.cfr">
        <w:smartTagPr>
          <w:attr w:name="ref" w:val="cfr\26\1.1411-3(e)"/>
        </w:smartTagPr>
        <w:r>
          <w:t>§1.1411-3(e)</w:t>
        </w:r>
      </w:smartTag>
      <w:r>
        <w:t xml:space="preserve">. </w:t>
      </w:r>
    </w:p>
    <w:p w14:paraId="17444D6E" w14:textId="77777777" w:rsidR="00494B49" w:rsidRDefault="00494B49">
      <w:pPr>
        <w:pStyle w:val="BNormal"/>
      </w:pPr>
      <w:r>
        <w:t xml:space="preserve">Since the estate or trust knows what items constitute net investment income, and which are Excluded Income, the estate or trust must inform the beneficiary of the net investment income tax composition of the distributed income reported to the beneficiary on Schedule K-1. The estate or trust informs the beneficiary via an entry on Schedule K-1, Line 14, Box H. The beneficiary will enter the amount reported in Box H on </w:t>
      </w:r>
      <w:smartTag w:uri="http://www.bna.com/sgml2word/cite" w:element="cite.fed.form">
        <w:smartTagPr>
          <w:attr w:name="ref" w:val="irs\form8960"/>
        </w:smartTagPr>
        <w:r>
          <w:t>Form 8960</w:t>
        </w:r>
      </w:smartTag>
      <w:r>
        <w:t>, Line 7.</w:t>
      </w:r>
    </w:p>
    <w:p w14:paraId="325B2B5C" w14:textId="77777777" w:rsidR="00494B49" w:rsidRDefault="00494B49">
      <w:pPr>
        <w:pStyle w:val="BNormal"/>
      </w:pPr>
      <w:r>
        <w:t>The use of Box H to reconcile between regular taxable income and net investment income may lead to some unusual results. In some instances it will favor the beneficiary, and in some instances it will not. Consider the following example:</w:t>
      </w:r>
    </w:p>
    <w:p w14:paraId="6E9B3D50" w14:textId="77777777" w:rsidR="00494B49" w:rsidRDefault="00494B49">
      <w:pPr>
        <w:pStyle w:val="BExamplepara"/>
      </w:pPr>
      <w:r>
        <w:rPr>
          <w:rStyle w:val="BExamplehead"/>
          <w:rFonts w:eastAsiaTheme="minorHAnsi"/>
          <w:i/>
        </w:rPr>
        <w:t>Example:</w:t>
      </w:r>
    </w:p>
    <w:p w14:paraId="548C1E8C" w14:textId="77777777" w:rsidR="00494B49" w:rsidRDefault="00494B49">
      <w:pPr>
        <w:pStyle w:val="BExamplepara"/>
      </w:pPr>
      <w:r>
        <w:t>Estate distributes $100,000 of income to three beneficiaries, Beneficiary A, Beneficiary B, and Beneficiary C: $75,000 of interest income and $25,000 of long-term capital gain. For this purpose, assume the $25,000 of capital gain is excluded from net investment income.</w:t>
      </w:r>
      <w:r>
        <w:rPr>
          <w:rStyle w:val="FootnoteReference"/>
        </w:rPr>
        <w:footnoteReference w:id="1052"/>
      </w:r>
      <w:r>
        <w:t xml:space="preserve"> As a result, each beneficiary’s Schedule K-1 will report &lt;$25,000&gt; in Box H, Line 14.</w:t>
      </w:r>
      <w:r>
        <w:rPr>
          <w:rStyle w:val="FootnoteReference"/>
        </w:rPr>
        <w:footnoteReference w:id="1053"/>
      </w:r>
      <w:r>
        <w:t xml:space="preserve"> For purposes of the example, assume: </w:t>
      </w:r>
    </w:p>
    <w:p w14:paraId="1E7CBDB3" w14:textId="77777777" w:rsidR="00494B49" w:rsidRDefault="00494B49">
      <w:pPr>
        <w:pStyle w:val="BListitembul"/>
      </w:pPr>
      <w:r>
        <w:t xml:space="preserve">Beneficiary A has no other items of net investment income in the current year; </w:t>
      </w:r>
    </w:p>
    <w:p w14:paraId="32863187" w14:textId="77777777" w:rsidR="00494B49" w:rsidRDefault="00494B49">
      <w:pPr>
        <w:pStyle w:val="BListitembul"/>
      </w:pPr>
      <w:r>
        <w:t xml:space="preserve">Beneficiary B has a short-term capital loss of $30,000 in the current year attributable to publicly traded stock, and </w:t>
      </w:r>
    </w:p>
    <w:p w14:paraId="6126D60B" w14:textId="77777777" w:rsidR="00494B49" w:rsidRDefault="00494B49">
      <w:pPr>
        <w:pStyle w:val="BListitembul"/>
      </w:pPr>
      <w:r>
        <w:t>Beneficiary C also has a short-term capital loss of $30,000 in the current year attributable to publicly traded stock. In addition, Beneficiary C has other net investment income of &lt;$60,000&gt; (properly allocable deductions in excess of gross investment income).</w:t>
      </w:r>
    </w:p>
    <w:p w14:paraId="29EE4135" w14:textId="77777777" w:rsidR="00494B49" w:rsidRDefault="00494B49">
      <w:pPr>
        <w:pStyle w:val="BExamplepara"/>
      </w:pPr>
      <w:r>
        <w:t xml:space="preserve">The </w:t>
      </w:r>
      <w:smartTag w:uri="http://www.bna.com/sgml2word/cite" w:element="cite.fed.form">
        <w:smartTagPr>
          <w:attr w:name="ref" w:val="irs\form8960"/>
        </w:smartTagPr>
        <w:r>
          <w:t>Form 8960</w:t>
        </w:r>
      </w:smartTag>
      <w:r>
        <w:t xml:space="preserve"> for each beneficiary can be summarized as follows: </w:t>
      </w:r>
    </w:p>
    <w:p w14:paraId="34486698" w14:textId="77777777" w:rsidR="00494B49" w:rsidRDefault="00494B49" w:rsidP="00144640"/>
    <w:tbl>
      <w:tblPr>
        <w:tblStyle w:val="TableGrid"/>
        <w:tblW w:w="0" w:type="auto"/>
        <w:tblLook w:val="04A0" w:firstRow="1" w:lastRow="0" w:firstColumn="1" w:lastColumn="0" w:noHBand="0" w:noVBand="1"/>
      </w:tblPr>
      <w:tblGrid>
        <w:gridCol w:w="2312"/>
        <w:gridCol w:w="2346"/>
        <w:gridCol w:w="2346"/>
        <w:gridCol w:w="2346"/>
      </w:tblGrid>
      <w:tr w:rsidR="00494B49" w14:paraId="2128B919" w14:textId="77777777">
        <w:tc>
          <w:tcPr>
            <w:tcW w:w="2520" w:type="dxa"/>
          </w:tcPr>
          <w:p w14:paraId="5894B4FA" w14:textId="77777777" w:rsidR="00494B49" w:rsidRDefault="00494B49"/>
        </w:tc>
        <w:tc>
          <w:tcPr>
            <w:tcW w:w="2520" w:type="dxa"/>
          </w:tcPr>
          <w:p w14:paraId="5BEFB9E7" w14:textId="77777777" w:rsidR="00494B49" w:rsidRDefault="00494B49">
            <w:r>
              <w:t>Beneficiary A</w:t>
            </w:r>
          </w:p>
        </w:tc>
        <w:tc>
          <w:tcPr>
            <w:tcW w:w="2520" w:type="dxa"/>
          </w:tcPr>
          <w:p w14:paraId="16BBC004" w14:textId="77777777" w:rsidR="00494B49" w:rsidRDefault="00494B49">
            <w:r>
              <w:t>Beneficiary B</w:t>
            </w:r>
          </w:p>
        </w:tc>
        <w:tc>
          <w:tcPr>
            <w:tcW w:w="2520" w:type="dxa"/>
          </w:tcPr>
          <w:p w14:paraId="3BC21EEA" w14:textId="77777777" w:rsidR="00494B49" w:rsidRDefault="00494B49">
            <w:r>
              <w:t>Beneficiary C</w:t>
            </w:r>
          </w:p>
        </w:tc>
      </w:tr>
      <w:tr w:rsidR="00494B49" w14:paraId="6F61E78F" w14:textId="77777777">
        <w:tc>
          <w:tcPr>
            <w:tcW w:w="2520" w:type="dxa"/>
          </w:tcPr>
          <w:p w14:paraId="3251AF80" w14:textId="77777777" w:rsidR="00494B49" w:rsidRDefault="00494B49">
            <w:r>
              <w:t>Line 1, Interest</w:t>
            </w:r>
          </w:p>
        </w:tc>
        <w:tc>
          <w:tcPr>
            <w:tcW w:w="2520" w:type="dxa"/>
          </w:tcPr>
          <w:p w14:paraId="02C69CEB" w14:textId="77777777" w:rsidR="00494B49" w:rsidRDefault="00494B49">
            <w:r>
              <w:t>$75,000</w:t>
            </w:r>
          </w:p>
        </w:tc>
        <w:tc>
          <w:tcPr>
            <w:tcW w:w="2520" w:type="dxa"/>
          </w:tcPr>
          <w:p w14:paraId="187E8790" w14:textId="77777777" w:rsidR="00494B49" w:rsidRDefault="00494B49">
            <w:r>
              <w:t>$75,000</w:t>
            </w:r>
          </w:p>
        </w:tc>
        <w:tc>
          <w:tcPr>
            <w:tcW w:w="2520" w:type="dxa"/>
          </w:tcPr>
          <w:p w14:paraId="49236EE3" w14:textId="77777777" w:rsidR="00494B49" w:rsidRDefault="00494B49">
            <w:r>
              <w:t>$75,000</w:t>
            </w:r>
          </w:p>
        </w:tc>
      </w:tr>
      <w:tr w:rsidR="00494B49" w14:paraId="1FD04460" w14:textId="77777777">
        <w:tc>
          <w:tcPr>
            <w:tcW w:w="2520" w:type="dxa"/>
          </w:tcPr>
          <w:p w14:paraId="19FD44C6" w14:textId="77777777" w:rsidR="00494B49" w:rsidRDefault="00494B49">
            <w:r>
              <w:t>Line 5a / 5d</w:t>
            </w:r>
          </w:p>
        </w:tc>
        <w:tc>
          <w:tcPr>
            <w:tcW w:w="2520" w:type="dxa"/>
          </w:tcPr>
          <w:p w14:paraId="24442218" w14:textId="77777777" w:rsidR="00494B49" w:rsidRDefault="00494B49">
            <w:r>
              <w:t>$25,000</w:t>
            </w:r>
          </w:p>
        </w:tc>
        <w:tc>
          <w:tcPr>
            <w:tcW w:w="2520" w:type="dxa"/>
          </w:tcPr>
          <w:p w14:paraId="64DCB51A" w14:textId="77777777" w:rsidR="00494B49" w:rsidRDefault="00494B49">
            <w:r>
              <w:t>($3,000)</w:t>
            </w:r>
          </w:p>
        </w:tc>
        <w:tc>
          <w:tcPr>
            <w:tcW w:w="2520" w:type="dxa"/>
          </w:tcPr>
          <w:p w14:paraId="021CA41B" w14:textId="77777777" w:rsidR="00494B49" w:rsidRDefault="00494B49">
            <w:r>
              <w:t>($3,000)</w:t>
            </w:r>
          </w:p>
        </w:tc>
      </w:tr>
      <w:tr w:rsidR="00494B49" w14:paraId="2006D775" w14:textId="77777777">
        <w:tc>
          <w:tcPr>
            <w:tcW w:w="2520" w:type="dxa"/>
          </w:tcPr>
          <w:p w14:paraId="13DBE2EF" w14:textId="77777777" w:rsidR="00494B49" w:rsidRDefault="00494B49">
            <w:r>
              <w:t>Line 7 (Box H)</w:t>
            </w:r>
          </w:p>
        </w:tc>
        <w:tc>
          <w:tcPr>
            <w:tcW w:w="2520" w:type="dxa"/>
          </w:tcPr>
          <w:p w14:paraId="759D9CF3" w14:textId="77777777" w:rsidR="00494B49" w:rsidRDefault="00494B49">
            <w:r>
              <w:t>($25,000)</w:t>
            </w:r>
          </w:p>
        </w:tc>
        <w:tc>
          <w:tcPr>
            <w:tcW w:w="2520" w:type="dxa"/>
          </w:tcPr>
          <w:p w14:paraId="3A9B03F9" w14:textId="77777777" w:rsidR="00494B49" w:rsidRDefault="00494B49">
            <w:r>
              <w:t>($25,000)</w:t>
            </w:r>
          </w:p>
        </w:tc>
        <w:tc>
          <w:tcPr>
            <w:tcW w:w="2520" w:type="dxa"/>
          </w:tcPr>
          <w:p w14:paraId="67F43E4C" w14:textId="77777777" w:rsidR="00494B49" w:rsidRDefault="00494B49">
            <w:r>
              <w:t>($25,000)</w:t>
            </w:r>
          </w:p>
        </w:tc>
      </w:tr>
      <w:tr w:rsidR="00494B49" w14:paraId="08F9227E" w14:textId="77777777">
        <w:tc>
          <w:tcPr>
            <w:tcW w:w="2520" w:type="dxa"/>
          </w:tcPr>
          <w:p w14:paraId="418461EB" w14:textId="77777777" w:rsidR="00494B49" w:rsidRDefault="00494B49">
            <w:r>
              <w:t>Other items</w:t>
            </w:r>
          </w:p>
        </w:tc>
        <w:tc>
          <w:tcPr>
            <w:tcW w:w="2520" w:type="dxa"/>
          </w:tcPr>
          <w:p w14:paraId="0EAD59FA" w14:textId="77777777" w:rsidR="00494B49" w:rsidRDefault="00494B49">
            <w:r>
              <w:t>—</w:t>
            </w:r>
          </w:p>
        </w:tc>
        <w:tc>
          <w:tcPr>
            <w:tcW w:w="2520" w:type="dxa"/>
          </w:tcPr>
          <w:p w14:paraId="2B618AFD" w14:textId="77777777" w:rsidR="00494B49" w:rsidRDefault="00494B49">
            <w:r>
              <w:t>—</w:t>
            </w:r>
          </w:p>
        </w:tc>
        <w:tc>
          <w:tcPr>
            <w:tcW w:w="2520" w:type="dxa"/>
          </w:tcPr>
          <w:p w14:paraId="581DC41B" w14:textId="77777777" w:rsidR="00494B49" w:rsidRDefault="00494B49">
            <w:r>
              <w:t>($60,000)</w:t>
            </w:r>
          </w:p>
        </w:tc>
      </w:tr>
      <w:tr w:rsidR="00494B49" w14:paraId="0ECB3264" w14:textId="77777777">
        <w:tc>
          <w:tcPr>
            <w:tcW w:w="2520" w:type="dxa"/>
          </w:tcPr>
          <w:p w14:paraId="58ACF7B7" w14:textId="77777777" w:rsidR="00494B49" w:rsidRDefault="00494B49">
            <w:r>
              <w:t>Line 12 (NII)</w:t>
            </w:r>
          </w:p>
        </w:tc>
        <w:tc>
          <w:tcPr>
            <w:tcW w:w="2520" w:type="dxa"/>
          </w:tcPr>
          <w:p w14:paraId="7EA80D4E" w14:textId="77777777" w:rsidR="00494B49" w:rsidRDefault="00494B49">
            <w:r>
              <w:t>$75,000</w:t>
            </w:r>
          </w:p>
        </w:tc>
        <w:tc>
          <w:tcPr>
            <w:tcW w:w="2520" w:type="dxa"/>
          </w:tcPr>
          <w:p w14:paraId="101363C6" w14:textId="77777777" w:rsidR="00494B49" w:rsidRDefault="00494B49">
            <w:r>
              <w:t>$47,000</w:t>
            </w:r>
          </w:p>
        </w:tc>
        <w:tc>
          <w:tcPr>
            <w:tcW w:w="2520" w:type="dxa"/>
          </w:tcPr>
          <w:p w14:paraId="52E74EE9" w14:textId="77777777" w:rsidR="00494B49" w:rsidRDefault="00494B49">
            <w:r>
              <w:t>($13,000)</w:t>
            </w:r>
          </w:p>
        </w:tc>
      </w:tr>
    </w:tbl>
    <w:p w14:paraId="2458CF77" w14:textId="77777777" w:rsidR="00494B49" w:rsidRDefault="00494B49">
      <w:pPr>
        <w:pStyle w:val="BNormal"/>
      </w:pPr>
    </w:p>
    <w:p w14:paraId="7E1BD75A" w14:textId="77777777" w:rsidR="00494B49" w:rsidRDefault="00494B49">
      <w:pPr>
        <w:pStyle w:val="BExamplepara"/>
      </w:pPr>
      <w:r>
        <w:t xml:space="preserve">The net investment income of Beneficiary A is consistent with the theoretical reason behind Box H. The $25,000 of gain included on Line 5d is directly offset by the – $25,000 in Box H, arriving at net investment income of $75,000. </w:t>
      </w:r>
    </w:p>
    <w:p w14:paraId="0D2190B5" w14:textId="77777777" w:rsidR="00494B49" w:rsidRDefault="00494B49">
      <w:pPr>
        <w:pStyle w:val="BExamplepara"/>
      </w:pPr>
      <w:r>
        <w:t xml:space="preserve">The net investment income of Beneficiary B appears, at least facially, as incorrect — yet it is correct. Beneficiary B’s $30,000 capital loss, which is attributable to publicly traded stock, was able to fully offset the capital gain from the estate for regular tax purposes, even though the capital gain was excluded from net investment income. It would appear that Beneficiary B is able to “double deduct” the $25,000 of excluded gain from the net investment income calculation, but that is not the case. The excluded capital gain causes $25,000 of B’s capital losses to be a properly allocable deduction in the current year by reason of Reg. </w:t>
      </w:r>
      <w:smartTag w:uri="http://www.bna.com/sgml2word/cite" w:element="cite.cfr">
        <w:smartTagPr>
          <w:attr w:name="ref" w:val="cfr\26\1.1411-4(d)"/>
        </w:smartTagPr>
        <w:r>
          <w:t>§1.1411-4(d)</w:t>
        </w:r>
      </w:smartTag>
      <w:r>
        <w:t>, even though it is allowed by reason of nonincludible income.</w:t>
      </w:r>
      <w:r>
        <w:rPr>
          <w:rStyle w:val="FootnoteReference"/>
        </w:rPr>
        <w:footnoteReference w:id="1054"/>
      </w:r>
      <w:r>
        <w:t xml:space="preserve"> However, B’s capital loss is a net investment income deduction that, but for the $25,000 of gain, would be allowed as a deduction in a future year. The excludible gain eliminated B’s ability to use the loss in future years. When combined with the Box H entry of −$25,000, B’s current year net investment income is $28,000 lower than Beneficiary A’s due to $3,000 of capital loss (that would have been allowed as a deduction regardless of the estate’s distributed gain) and $25,000 of capital loss that was used to offset the gain. Even though it could be viewed that B’s net investment income is too low in the current year, B is also deprived of $25,000 of a deductible capital loss carryforward. Therefore, the $25,000 is simply attributable to a timing differential, to the benefit of B.</w:t>
      </w:r>
    </w:p>
    <w:p w14:paraId="5BB930B7" w14:textId="77777777" w:rsidR="00494B49" w:rsidRDefault="00494B49">
      <w:pPr>
        <w:pStyle w:val="BExamplepara"/>
      </w:pPr>
      <w:r>
        <w:t>The situation of Beneficiary C is similar to Beneficiary B, except that C’s other net investment income items offset the balance of the net income. However, C’s net investment income is below zero. Assuming that C does not have a net operating loss in the current year,</w:t>
      </w:r>
      <w:r>
        <w:rPr>
          <w:rStyle w:val="FootnoteReference"/>
        </w:rPr>
        <w:footnoteReference w:id="1055"/>
      </w:r>
      <w:r>
        <w:t xml:space="preserve"> the negative net investment income cannot be carried forward or backward. C’s negative net investment income disappears.</w:t>
      </w:r>
      <w:r>
        <w:rPr>
          <w:rStyle w:val="FootnoteReference"/>
        </w:rPr>
        <w:footnoteReference w:id="1056"/>
      </w:r>
      <w:r>
        <w:t xml:space="preserve"> In this case, C has permanently lost the benefit of the estate’s excluded gain. Similar to B, C’s capital loss “asset” was used to offset the excluded gain, but the Box H amount of −$25,000 was only able to reduce net investment income to zero (and the balance of $13,000 was lost). As a consequence, C was forced to exchange a $25,000 capital loss deductible against net investment income for a $12,000 deduction.</w:t>
      </w:r>
    </w:p>
    <w:p w14:paraId="6A8EC8D3" w14:textId="77777777" w:rsidR="00494B49" w:rsidRDefault="00494B49">
      <w:pPr>
        <w:pStyle w:val="BHead2"/>
      </w:pPr>
      <w:r>
        <w:lastRenderedPageBreak/>
        <w:t>4. Importance of Material Participation of Estates and Trusts in the net investment income tax Regime</w:t>
      </w:r>
    </w:p>
    <w:p w14:paraId="02BB3985" w14:textId="77777777" w:rsidR="00494B49" w:rsidRDefault="00494B49">
      <w:pPr>
        <w:pStyle w:val="BNormal"/>
      </w:pPr>
      <w:smartTag w:uri="http://www.bna.com/sgml2word/cite" w:element="cite.usc">
        <w:smartTagPr>
          <w:attr w:name="ref" w:val="USC\26\469"/>
        </w:smartTagPr>
        <w:r>
          <w:t>Section 469</w:t>
        </w:r>
      </w:smartTag>
      <w:r>
        <w:t xml:space="preserve"> does not provide a method for determining how a trust may materially participate in an activity, and no regulations have yet been promulgated for taxpayers that are trusts,</w:t>
      </w:r>
      <w:r>
        <w:rPr>
          <w:rStyle w:val="FootnoteReference"/>
        </w:rPr>
        <w:footnoteReference w:id="1057"/>
      </w:r>
      <w:r>
        <w:t xml:space="preserve"> although practitioners have written a great deal on the subject over the years.</w:t>
      </w:r>
      <w:r>
        <w:rPr>
          <w:rStyle w:val="FootnoteReference"/>
        </w:rPr>
        <w:footnoteReference w:id="1058"/>
      </w:r>
      <w:r>
        <w:t xml:space="preserve"> Until regulations are promulgated, the general language of </w:t>
      </w:r>
      <w:smartTag w:uri="http://www.bna.com/sgml2word/cite" w:element="cite.usc">
        <w:smartTagPr>
          <w:attr w:name="ref" w:val="USC\26\469(h)(1)"/>
        </w:smartTagPr>
        <w:r>
          <w:t>§469(h)(1)</w:t>
        </w:r>
      </w:smartTag>
      <w:r>
        <w:t xml:space="preserve"> remains the sole statutory standard for determining whether a trust or estate satisfies the material participation requirement of </w:t>
      </w:r>
      <w:smartTag w:uri="http://www.bna.com/sgml2word/cite" w:element="cite.usc">
        <w:smartTagPr>
          <w:attr w:name="ref" w:val="USC\26\469"/>
        </w:smartTagPr>
        <w:r>
          <w:t>§469</w:t>
        </w:r>
      </w:smartTag>
      <w:r>
        <w:t xml:space="preserve">. Other than the </w:t>
      </w:r>
      <w:r>
        <w:rPr>
          <w:i/>
        </w:rPr>
        <w:t>regular, continuous, and substantial</w:t>
      </w:r>
      <w:r>
        <w:t xml:space="preserve"> language of </w:t>
      </w:r>
      <w:smartTag w:uri="http://www.bna.com/sgml2word/cite" w:element="cite.usc">
        <w:smartTagPr>
          <w:attr w:name="ref" w:val="USC\26\469(h)(1)"/>
        </w:smartTagPr>
        <w:r>
          <w:t>§469(h)(1)</w:t>
        </w:r>
      </w:smartTag>
      <w:r>
        <w:t xml:space="preserve">, there is an absence of explicit statutory or regulatory guidance regarding how a trust establishes material participation in a trade or business activity. For a detailed discussion on the treatment of estates and trusts under </w:t>
      </w:r>
      <w:smartTag w:uri="http://www.bna.com/sgml2word/cite" w:element="cite.usc">
        <w:smartTagPr>
          <w:attr w:name="ref" w:val="USC\26\469"/>
        </w:smartTagPr>
        <w:r>
          <w:t>§469</w:t>
        </w:r>
      </w:smartTag>
      <w:r>
        <w:t xml:space="preserve">, including analysis of relevant court decision and IRS guidance, see </w:t>
      </w:r>
      <w:smartTag w:uri="http://www.bna.com/sgml2word/cite" w:element="cite.bna.reference">
        <w:smartTagPr>
          <w:attr w:name="bna.id.ref" w:val="TM\852"/>
        </w:smartTagPr>
        <w:r>
          <w:t>852</w:t>
        </w:r>
      </w:smartTag>
      <w:r>
        <w:t xml:space="preserve"> T.M., </w:t>
      </w:r>
      <w:r>
        <w:rPr>
          <w:i/>
        </w:rPr>
        <w:t>Income Taxation of Trusts and Estates</w:t>
      </w:r>
      <w:r>
        <w:t xml:space="preserve">, and </w:t>
      </w:r>
      <w:smartTag w:uri="http://www.bna.com/sgml2word/cite" w:element="cite.bna.reference">
        <w:smartTagPr>
          <w:attr w:name="bna.id.ref" w:val="TM\549"/>
        </w:smartTagPr>
        <w:r>
          <w:t>549</w:t>
        </w:r>
      </w:smartTag>
      <w:r>
        <w:t xml:space="preserve"> T.M., </w:t>
      </w:r>
      <w:r>
        <w:rPr>
          <w:i/>
        </w:rPr>
        <w:t>Passive Loss Rules.</w:t>
      </w:r>
    </w:p>
    <w:p w14:paraId="639A6840" w14:textId="77777777" w:rsidR="00494B49" w:rsidRDefault="00494B49">
      <w:pPr>
        <w:pStyle w:val="BNormal"/>
      </w:pPr>
      <w:r>
        <w:t xml:space="preserve">For a business that generates income, the nonpassive nature of an activity will significantly minimize the trust’s </w:t>
      </w:r>
      <w:smartTag w:uri="http://www.bna.com/sgml2word/cite" w:element="cite.usc">
        <w:smartTagPr>
          <w:attr w:name="ref" w:val="USC\26\1411"/>
        </w:smartTagPr>
        <w:r>
          <w:t>§1411</w:t>
        </w:r>
      </w:smartTag>
      <w:r>
        <w:t xml:space="preserve"> net investment income tax on the earnings from that business. Furthermore, if nonpassive income is distributed to a beneficiary, the non-net-investment income character of the distributed income will also not be taken into account by the beneficiary in calculating the net investment income tax. But conversely, if the estate or trust is passive, and the business income is net investment income, the distribution of earnings to a beneficiary will be net investment income.</w:t>
      </w:r>
    </w:p>
    <w:p w14:paraId="359E3D4A" w14:textId="77777777" w:rsidR="00494B49" w:rsidRDefault="00494B49">
      <w:pPr>
        <w:pStyle w:val="BNormal"/>
      </w:pPr>
      <w:r>
        <w:t xml:space="preserve">The difficulty with respect to this critical issue is that there is not a specific citation in the net investment income tax regulations or an example that illustrates these conclusions clearly. In fact, the conclusion is largely mathematical, but it is linked together by several concepts. First, Reg. </w:t>
      </w:r>
      <w:smartTag w:uri="http://www.bna.com/sgml2word/cite" w:element="cite.cfr">
        <w:smartTagPr>
          <w:attr w:name="ref" w:val="cfr\26\1.1411-3(e)(1)"/>
        </w:smartTagPr>
        <w:r>
          <w:t>§1.1411-3(e)(1)</w:t>
        </w:r>
      </w:smartTag>
      <w:r>
        <w:t xml:space="preserve"> provides that an estate’s or trust’s net investment income is calculated in the same manner as it is calculated for an individual. Second, Reg. </w:t>
      </w:r>
      <w:smartTag w:uri="http://www.bna.com/sgml2word/cite" w:element="cite.cfr">
        <w:smartTagPr>
          <w:attr w:name="ref" w:val="cfr\26\1.1411-3(e)(3)"/>
        </w:smartTagPr>
        <w:r>
          <w:t>§1.1411-3(e)(3)</w:t>
        </w:r>
      </w:smartTag>
      <w:r>
        <w:t xml:space="preserve"> provides that the distribution deduction for net investment income tax purposes is the lesser of net investment income or the amount of the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deduction for regular tax purposes. Finally, Reg. </w:t>
      </w:r>
      <w:smartTag w:uri="http://www.bna.com/sgml2word/cite" w:element="cite.cfr">
        <w:smartTagPr>
          <w:attr w:name="ref" w:val="cfr\26\1.1411-4(e)(1)(i)"/>
        </w:smartTagPr>
        <w:r>
          <w:t>§1.1411-4(e)(1)(i)</w:t>
        </w:r>
      </w:smartTag>
      <w:r>
        <w:t xml:space="preserve"> provides that the amount of net investment income taken into account is the portion considered net investment income under the rules of Reg. </w:t>
      </w:r>
      <w:smartTag w:uri="http://www.bna.com/sgml2word/cite" w:element="cite.cfr">
        <w:smartTagPr>
          <w:attr w:name="ref" w:val="cfr\26\1.1411-3(e)(3)"/>
        </w:smartTagPr>
        <w:r>
          <w:t>§1.1411-3(e)(3)</w:t>
        </w:r>
      </w:smartTag>
      <w:r>
        <w:t xml:space="preserve">. The closest example of the mechanics of these rules is found in Example 3 of Reg. </w:t>
      </w:r>
      <w:smartTag w:uri="http://www.bna.com/sgml2word/cite" w:element="cite.cfr">
        <w:smartTagPr>
          <w:attr w:name="ref" w:val="cfr\26\1.1411-4(e)(5)"/>
        </w:smartTagPr>
        <w:r>
          <w:t>§1.1411-4(e)(5)</w:t>
        </w:r>
      </w:smartTag>
      <w:r>
        <w:t xml:space="preserve"> pertaining to a fiscal year estate that has a fiscal year beginning before the effective date of </w:t>
      </w:r>
      <w:smartTag w:uri="http://www.bna.com/sgml2word/cite" w:element="cite.usc">
        <w:smartTagPr>
          <w:attr w:name="ref" w:val="USC\26\1411"/>
        </w:smartTagPr>
        <w:r>
          <w:t>§1411</w:t>
        </w:r>
      </w:smartTag>
      <w:r>
        <w:t xml:space="preserve">. That example concludes that, because none of the income received by the estate is net investment income, under Reg. </w:t>
      </w:r>
      <w:smartTag w:uri="http://www.bna.com/sgml2word/cite" w:element="cite.cfr">
        <w:smartTagPr>
          <w:attr w:name="ref" w:val="cfr\26\1.1411-3(e)(3)(ii)"/>
        </w:smartTagPr>
        <w:r>
          <w:t>§1.1411-3(e)(3)(ii)</w:t>
        </w:r>
      </w:smartTag>
      <w:r>
        <w:t>, the $10,000 of interest and $1,000 of dividends that the estate distributed to its beneficiary does not constitute net investment income to the beneficiary even though the beneficiary would report such income on its 2013 income tax return.</w:t>
      </w:r>
    </w:p>
    <w:p w14:paraId="12A208CB" w14:textId="77777777" w:rsidR="00494B49" w:rsidRDefault="00494B49">
      <w:pPr>
        <w:pStyle w:val="BNormal"/>
      </w:pPr>
      <w:r>
        <w:lastRenderedPageBreak/>
        <w:t>The following example illustrates the import of the ultimate conclusion of Example 3 to the issue of material participation of estates and trusts:</w:t>
      </w:r>
    </w:p>
    <w:p w14:paraId="6D37FD1B" w14:textId="77777777" w:rsidR="00494B49" w:rsidRDefault="00494B49">
      <w:pPr>
        <w:pStyle w:val="BExamplepara"/>
      </w:pPr>
      <w:r>
        <w:t xml:space="preserve"> </w:t>
      </w:r>
      <w:r>
        <w:rPr>
          <w:i/>
        </w:rPr>
        <w:t>Example:</w:t>
      </w:r>
    </w:p>
    <w:p w14:paraId="17F5D8D7" w14:textId="77777777" w:rsidR="00494B49" w:rsidRDefault="00494B49">
      <w:pPr>
        <w:pStyle w:val="BExamplepara"/>
      </w:pPr>
      <w:r>
        <w:t xml:space="preserve">John operates a retail store organized as an LLC taxable as a partnership. John owns 80% of the LLC; his son, Jack, owns 10%; and his daughter, Anne, owns 10%. John and Anne work full-time in the business and Jack does not. For </w:t>
      </w:r>
      <w:smartTag w:uri="http://www.bna.com/sgml2word/cite" w:element="cite.usc">
        <w:smartTagPr>
          <w:attr w:name="ref" w:val="USC\26\469"/>
        </w:smartTagPr>
        <w:r>
          <w:t>§469</w:t>
        </w:r>
      </w:smartTag>
      <w:r>
        <w:t xml:space="preserve"> purposes, John and Anne materially participate and the earnings (Line 1 of their Schedules K-1) are nonpassive income; Jack’s activities are passive and the earnings are passive income. For net investment income tax purposes, John’s and Anne’s earnings from the business do not constitute net investment income; whereas Jack’s passive income is net investment income. Assume John dies, his estate holds the 80% interest in the LLC, and Jack and Anne are the sole equal beneficiaries of his estate. In the year following his death, assume the LLC earns $100,000 that is divided equally between the three owners (Jack, Anne, and John’s Estate). John’s estate distributes $25,000 of income to both Jack and Anne.</w:t>
      </w:r>
    </w:p>
    <w:p w14:paraId="4D8C7676" w14:textId="77777777" w:rsidR="00494B49" w:rsidRDefault="00494B49" w:rsidP="00144640">
      <w:pPr>
        <w:pStyle w:val="BExamplepara"/>
      </w:pPr>
      <w:r>
        <w:t xml:space="preserve">Assume that the Estate is passive in the LLC; the table below illustrates the net investment income tax treatment for the Estate, Jack and Anne: </w:t>
      </w:r>
    </w:p>
    <w:p w14:paraId="20A97C3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284"/>
        <w:gridCol w:w="815"/>
        <w:gridCol w:w="1329"/>
        <w:gridCol w:w="1329"/>
        <w:gridCol w:w="1236"/>
        <w:gridCol w:w="1119"/>
        <w:gridCol w:w="1119"/>
        <w:gridCol w:w="1119"/>
      </w:tblGrid>
      <w:tr w:rsidR="00494B49" w14:paraId="141D8C41" w14:textId="77777777" w:rsidTr="00144640">
        <w:trPr>
          <w:gridAfter w:val="3"/>
          <w:wAfter w:w="3357" w:type="dxa"/>
        </w:trPr>
        <w:tc>
          <w:tcPr>
            <w:tcW w:w="1284" w:type="dxa"/>
          </w:tcPr>
          <w:p w14:paraId="210EFA50" w14:textId="77777777" w:rsidR="00494B49" w:rsidRDefault="00494B49"/>
        </w:tc>
        <w:tc>
          <w:tcPr>
            <w:tcW w:w="815" w:type="dxa"/>
          </w:tcPr>
          <w:p w14:paraId="56A5889B" w14:textId="77777777" w:rsidR="00494B49" w:rsidRDefault="00494B49"/>
        </w:tc>
        <w:tc>
          <w:tcPr>
            <w:tcW w:w="1329" w:type="dxa"/>
          </w:tcPr>
          <w:p w14:paraId="27768F55" w14:textId="77777777" w:rsidR="00494B49" w:rsidRDefault="00494B49">
            <w:r>
              <w:t>Estate</w:t>
            </w:r>
          </w:p>
        </w:tc>
        <w:tc>
          <w:tcPr>
            <w:tcW w:w="1329" w:type="dxa"/>
          </w:tcPr>
          <w:p w14:paraId="0A656E5F" w14:textId="77777777" w:rsidR="00494B49" w:rsidRDefault="00494B49">
            <w:r>
              <w:t>Jack</w:t>
            </w:r>
          </w:p>
        </w:tc>
        <w:tc>
          <w:tcPr>
            <w:tcW w:w="1236" w:type="dxa"/>
          </w:tcPr>
          <w:p w14:paraId="7047F8B8" w14:textId="77777777" w:rsidR="00494B49" w:rsidRDefault="00494B49">
            <w:r>
              <w:t>Anne</w:t>
            </w:r>
          </w:p>
        </w:tc>
      </w:tr>
      <w:tr w:rsidR="00494B49" w14:paraId="5ACCB224" w14:textId="77777777" w:rsidTr="00144640">
        <w:tc>
          <w:tcPr>
            <w:tcW w:w="1284" w:type="dxa"/>
          </w:tcPr>
          <w:p w14:paraId="4C9A522F" w14:textId="77777777" w:rsidR="00494B49" w:rsidRDefault="00494B49"/>
        </w:tc>
        <w:tc>
          <w:tcPr>
            <w:tcW w:w="815" w:type="dxa"/>
          </w:tcPr>
          <w:p w14:paraId="574FB43B" w14:textId="77777777" w:rsidR="00494B49" w:rsidRDefault="00494B49"/>
        </w:tc>
        <w:tc>
          <w:tcPr>
            <w:tcW w:w="1329" w:type="dxa"/>
          </w:tcPr>
          <w:p w14:paraId="27C22F80" w14:textId="77777777" w:rsidR="00494B49" w:rsidRDefault="00494B49">
            <w:r>
              <w:t>Regular Tax</w:t>
            </w:r>
          </w:p>
        </w:tc>
        <w:tc>
          <w:tcPr>
            <w:tcW w:w="1329" w:type="dxa"/>
          </w:tcPr>
          <w:p w14:paraId="5FA502D6" w14:textId="77777777" w:rsidR="00494B49" w:rsidRDefault="00494B49">
            <w:r>
              <w:t>NII</w:t>
            </w:r>
          </w:p>
        </w:tc>
        <w:tc>
          <w:tcPr>
            <w:tcW w:w="1236" w:type="dxa"/>
          </w:tcPr>
          <w:p w14:paraId="586AB491" w14:textId="77777777" w:rsidR="00494B49" w:rsidRDefault="00494B49">
            <w:r>
              <w:t>Regular Tax</w:t>
            </w:r>
          </w:p>
        </w:tc>
        <w:tc>
          <w:tcPr>
            <w:tcW w:w="1119" w:type="dxa"/>
          </w:tcPr>
          <w:p w14:paraId="109DFCF0" w14:textId="77777777" w:rsidR="00494B49" w:rsidRDefault="00494B49">
            <w:r>
              <w:t>NII</w:t>
            </w:r>
          </w:p>
        </w:tc>
        <w:tc>
          <w:tcPr>
            <w:tcW w:w="1119" w:type="dxa"/>
          </w:tcPr>
          <w:p w14:paraId="17FD49FF" w14:textId="77777777" w:rsidR="00494B49" w:rsidRDefault="00494B49">
            <w:r>
              <w:t>Regular Tax</w:t>
            </w:r>
          </w:p>
        </w:tc>
        <w:tc>
          <w:tcPr>
            <w:tcW w:w="1119" w:type="dxa"/>
          </w:tcPr>
          <w:p w14:paraId="6B0C8810" w14:textId="77777777" w:rsidR="00494B49" w:rsidRDefault="00494B49">
            <w:r>
              <w:t>NII</w:t>
            </w:r>
          </w:p>
        </w:tc>
      </w:tr>
      <w:tr w:rsidR="00494B49" w14:paraId="52BE91E2" w14:textId="77777777" w:rsidTr="00144640">
        <w:tc>
          <w:tcPr>
            <w:tcW w:w="1284" w:type="dxa"/>
          </w:tcPr>
          <w:p w14:paraId="79DAF14E" w14:textId="77777777" w:rsidR="00494B49" w:rsidRDefault="00494B49">
            <w:r>
              <w:t>LLC Earnings</w:t>
            </w:r>
          </w:p>
        </w:tc>
        <w:tc>
          <w:tcPr>
            <w:tcW w:w="815" w:type="dxa"/>
          </w:tcPr>
          <w:p w14:paraId="5F68428F" w14:textId="77777777" w:rsidR="00494B49" w:rsidRDefault="00494B49"/>
        </w:tc>
        <w:tc>
          <w:tcPr>
            <w:tcW w:w="1329" w:type="dxa"/>
          </w:tcPr>
          <w:p w14:paraId="3DCE404A" w14:textId="77777777" w:rsidR="00494B49" w:rsidRDefault="00494B49">
            <w:r>
              <w:t>$80,000</w:t>
            </w:r>
          </w:p>
        </w:tc>
        <w:tc>
          <w:tcPr>
            <w:tcW w:w="1329" w:type="dxa"/>
          </w:tcPr>
          <w:p w14:paraId="2C8536A5" w14:textId="77777777" w:rsidR="00494B49" w:rsidRDefault="00494B49">
            <w:r>
              <w:t>$80,000</w:t>
            </w:r>
          </w:p>
        </w:tc>
        <w:tc>
          <w:tcPr>
            <w:tcW w:w="1236" w:type="dxa"/>
          </w:tcPr>
          <w:p w14:paraId="0D8E10AA" w14:textId="77777777" w:rsidR="00494B49" w:rsidRDefault="00494B49">
            <w:r>
              <w:t>$10,000</w:t>
            </w:r>
          </w:p>
        </w:tc>
        <w:tc>
          <w:tcPr>
            <w:tcW w:w="1119" w:type="dxa"/>
          </w:tcPr>
          <w:p w14:paraId="1E22107E" w14:textId="77777777" w:rsidR="00494B49" w:rsidRDefault="00494B49">
            <w:r>
              <w:t>$10,000</w:t>
            </w:r>
          </w:p>
        </w:tc>
        <w:tc>
          <w:tcPr>
            <w:tcW w:w="1119" w:type="dxa"/>
          </w:tcPr>
          <w:p w14:paraId="1BDF773C" w14:textId="77777777" w:rsidR="00494B49" w:rsidRDefault="00494B49">
            <w:r>
              <w:t>$10,000</w:t>
            </w:r>
          </w:p>
        </w:tc>
        <w:tc>
          <w:tcPr>
            <w:tcW w:w="1119" w:type="dxa"/>
          </w:tcPr>
          <w:p w14:paraId="66EDFAE2" w14:textId="77777777" w:rsidR="00494B49" w:rsidRDefault="00494B49">
            <w:r>
              <w:t>$0</w:t>
            </w:r>
          </w:p>
        </w:tc>
      </w:tr>
      <w:tr w:rsidR="00494B49" w14:paraId="164131E7" w14:textId="77777777" w:rsidTr="00144640">
        <w:tc>
          <w:tcPr>
            <w:tcW w:w="1284" w:type="dxa"/>
          </w:tcPr>
          <w:p w14:paraId="73EF6683" w14:textId="77777777" w:rsidR="00494B49" w:rsidRDefault="00494B49">
            <w:r>
              <w:t>Estate’s Distribution</w:t>
            </w:r>
          </w:p>
        </w:tc>
        <w:tc>
          <w:tcPr>
            <w:tcW w:w="815" w:type="dxa"/>
          </w:tcPr>
          <w:p w14:paraId="423CA082" w14:textId="77777777" w:rsidR="00494B49" w:rsidRDefault="00494B49"/>
        </w:tc>
        <w:tc>
          <w:tcPr>
            <w:tcW w:w="1329" w:type="dxa"/>
          </w:tcPr>
          <w:p w14:paraId="2AE66AE0" w14:textId="77777777" w:rsidR="00494B49" w:rsidRDefault="00494B49">
            <w:r>
              <w:t>($50,000)</w:t>
            </w:r>
            <w:r>
              <w:rPr>
                <w:rStyle w:val="FootnoteReference"/>
              </w:rPr>
              <w:footnoteReference w:id="1059"/>
            </w:r>
          </w:p>
        </w:tc>
        <w:tc>
          <w:tcPr>
            <w:tcW w:w="1329" w:type="dxa"/>
          </w:tcPr>
          <w:p w14:paraId="649EF06F" w14:textId="77777777" w:rsidR="00494B49" w:rsidRDefault="00494B49">
            <w:r>
              <w:t>($50,000)</w:t>
            </w:r>
            <w:r>
              <w:rPr>
                <w:rStyle w:val="FootnoteReference"/>
              </w:rPr>
              <w:footnoteReference w:id="1060"/>
            </w:r>
          </w:p>
        </w:tc>
        <w:tc>
          <w:tcPr>
            <w:tcW w:w="1236" w:type="dxa"/>
          </w:tcPr>
          <w:p w14:paraId="407AC317" w14:textId="77777777" w:rsidR="00494B49" w:rsidRDefault="00494B49">
            <w:r>
              <w:t>$25,000</w:t>
            </w:r>
            <w:r>
              <w:rPr>
                <w:rStyle w:val="FootnoteReference"/>
              </w:rPr>
              <w:footnoteReference w:id="1061"/>
            </w:r>
          </w:p>
        </w:tc>
        <w:tc>
          <w:tcPr>
            <w:tcW w:w="1119" w:type="dxa"/>
          </w:tcPr>
          <w:p w14:paraId="409B315B" w14:textId="77777777" w:rsidR="00494B49" w:rsidRDefault="00494B49">
            <w:r>
              <w:t>$25,000</w:t>
            </w:r>
            <w:r>
              <w:rPr>
                <w:rStyle w:val="FootnoteReference"/>
              </w:rPr>
              <w:footnoteReference w:id="1062"/>
            </w:r>
          </w:p>
        </w:tc>
        <w:tc>
          <w:tcPr>
            <w:tcW w:w="1119" w:type="dxa"/>
          </w:tcPr>
          <w:p w14:paraId="1CC14E65" w14:textId="77777777" w:rsidR="00494B49" w:rsidRDefault="00494B49">
            <w:r>
              <w:t>$25,000</w:t>
            </w:r>
            <w:r>
              <w:rPr>
                <w:rStyle w:val="FootnoteReference"/>
              </w:rPr>
              <w:footnoteReference w:id="1063"/>
            </w:r>
          </w:p>
        </w:tc>
        <w:tc>
          <w:tcPr>
            <w:tcW w:w="1119" w:type="dxa"/>
          </w:tcPr>
          <w:p w14:paraId="3EE94678" w14:textId="77777777" w:rsidR="00494B49" w:rsidRDefault="00494B49">
            <w:r>
              <w:t>$25,000</w:t>
            </w:r>
            <w:r>
              <w:rPr>
                <w:rStyle w:val="FootnoteReference"/>
              </w:rPr>
              <w:footnoteReference w:id="1064"/>
            </w:r>
          </w:p>
        </w:tc>
      </w:tr>
      <w:tr w:rsidR="00494B49" w14:paraId="352242A1" w14:textId="77777777" w:rsidTr="00144640">
        <w:tc>
          <w:tcPr>
            <w:tcW w:w="1284" w:type="dxa"/>
          </w:tcPr>
          <w:p w14:paraId="5E242942" w14:textId="77777777" w:rsidR="00494B49" w:rsidRDefault="00494B49">
            <w:r>
              <w:t xml:space="preserve">Net Income </w:t>
            </w:r>
          </w:p>
        </w:tc>
        <w:tc>
          <w:tcPr>
            <w:tcW w:w="815" w:type="dxa"/>
          </w:tcPr>
          <w:p w14:paraId="2C4FA79D" w14:textId="77777777" w:rsidR="00494B49" w:rsidRDefault="00494B49"/>
        </w:tc>
        <w:tc>
          <w:tcPr>
            <w:tcW w:w="1329" w:type="dxa"/>
          </w:tcPr>
          <w:p w14:paraId="06DDF553" w14:textId="77777777" w:rsidR="00494B49" w:rsidRDefault="00494B49">
            <w:r>
              <w:t>$30,000</w:t>
            </w:r>
          </w:p>
        </w:tc>
        <w:tc>
          <w:tcPr>
            <w:tcW w:w="1329" w:type="dxa"/>
          </w:tcPr>
          <w:p w14:paraId="0C1928FA" w14:textId="77777777" w:rsidR="00494B49" w:rsidRDefault="00494B49">
            <w:r>
              <w:t>$30,000</w:t>
            </w:r>
          </w:p>
        </w:tc>
        <w:tc>
          <w:tcPr>
            <w:tcW w:w="1236" w:type="dxa"/>
          </w:tcPr>
          <w:p w14:paraId="3C45BEA9" w14:textId="77777777" w:rsidR="00494B49" w:rsidRDefault="00494B49">
            <w:r>
              <w:t>$35,000</w:t>
            </w:r>
          </w:p>
        </w:tc>
        <w:tc>
          <w:tcPr>
            <w:tcW w:w="1119" w:type="dxa"/>
          </w:tcPr>
          <w:p w14:paraId="5AB029F1" w14:textId="77777777" w:rsidR="00494B49" w:rsidRDefault="00494B49">
            <w:r>
              <w:t>$35,000</w:t>
            </w:r>
          </w:p>
        </w:tc>
        <w:tc>
          <w:tcPr>
            <w:tcW w:w="1119" w:type="dxa"/>
          </w:tcPr>
          <w:p w14:paraId="3345E682" w14:textId="77777777" w:rsidR="00494B49" w:rsidRDefault="00494B49">
            <w:r>
              <w:t>$35,000</w:t>
            </w:r>
          </w:p>
        </w:tc>
        <w:tc>
          <w:tcPr>
            <w:tcW w:w="1119" w:type="dxa"/>
          </w:tcPr>
          <w:p w14:paraId="1BA8C88B" w14:textId="77777777" w:rsidR="00494B49" w:rsidRDefault="00494B49">
            <w:r>
              <w:t>$25,000</w:t>
            </w:r>
          </w:p>
        </w:tc>
      </w:tr>
    </w:tbl>
    <w:p w14:paraId="7E62F4EC" w14:textId="77777777" w:rsidR="00494B49" w:rsidRDefault="00494B49">
      <w:pPr>
        <w:pStyle w:val="BNormal"/>
      </w:pPr>
      <w:r>
        <w:t xml:space="preserve"> </w:t>
      </w:r>
    </w:p>
    <w:p w14:paraId="355B0B27" w14:textId="77777777" w:rsidR="00494B49" w:rsidRDefault="00494B49">
      <w:pPr>
        <w:pStyle w:val="BExamplepara"/>
      </w:pPr>
      <w:r>
        <w:t xml:space="preserve">In the situation where the Estate is passive, the income distributed will be net investment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§1.1411-4(e)(1)(i)</w:t>
        </w:r>
      </w:smartTag>
      <w:r>
        <w:t xml:space="preserve">. Although the income Anne received directly from the LLC is nonpassive, the characterization of the income as net investment income is determined at the estate level, and there is no legal mechanism within the net investment income tax regulations that would enable Anne to “retest” the income for passive/nonpassive status to change it from net investment income to Excluded Income (non-net-investment income). In this situation, solely from a net investment income tax perspective, the Estate should consider distributing the LLC interest directly to Anne so that she will receive the earnings directly and, therefore, all of the earnings would be considered Excluded Income. For Jack, he would be indifferent. </w:t>
      </w:r>
    </w:p>
    <w:p w14:paraId="00C7B61B" w14:textId="77777777" w:rsidR="00494B49" w:rsidRDefault="00494B49" w:rsidP="00144640">
      <w:pPr>
        <w:pStyle w:val="BExamplepara"/>
      </w:pPr>
      <w:r>
        <w:lastRenderedPageBreak/>
        <w:t xml:space="preserve">On the other hand, assume that the Estate is nonpassive in the LLC. In this case, the table below illustrates the net investment income tax treatment for the Estate, Jack and Anne: </w:t>
      </w:r>
    </w:p>
    <w:p w14:paraId="08A1E29C"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585"/>
        <w:gridCol w:w="1619"/>
        <w:gridCol w:w="1325"/>
        <w:gridCol w:w="1548"/>
        <w:gridCol w:w="1038"/>
        <w:gridCol w:w="1197"/>
        <w:gridCol w:w="1038"/>
      </w:tblGrid>
      <w:tr w:rsidR="00494B49" w14:paraId="41D0DE20" w14:textId="77777777">
        <w:trPr>
          <w:gridAfter w:val="3"/>
          <w:wAfter w:w="4320" w:type="dxa"/>
        </w:trPr>
        <w:tc>
          <w:tcPr>
            <w:tcW w:w="2520" w:type="dxa"/>
          </w:tcPr>
          <w:p w14:paraId="457F2203" w14:textId="77777777" w:rsidR="00494B49" w:rsidRDefault="00494B49"/>
        </w:tc>
        <w:tc>
          <w:tcPr>
            <w:tcW w:w="2520" w:type="dxa"/>
          </w:tcPr>
          <w:p w14:paraId="394899EE" w14:textId="77777777" w:rsidR="00494B49" w:rsidRDefault="00494B49">
            <w:r>
              <w:t>Estate</w:t>
            </w:r>
          </w:p>
        </w:tc>
        <w:tc>
          <w:tcPr>
            <w:tcW w:w="2520" w:type="dxa"/>
          </w:tcPr>
          <w:p w14:paraId="31461089" w14:textId="77777777" w:rsidR="00494B49" w:rsidRDefault="00494B49">
            <w:r>
              <w:t>Jack</w:t>
            </w:r>
          </w:p>
        </w:tc>
        <w:tc>
          <w:tcPr>
            <w:tcW w:w="2520" w:type="dxa"/>
          </w:tcPr>
          <w:p w14:paraId="67F51FC6" w14:textId="77777777" w:rsidR="00494B49" w:rsidRDefault="00494B49">
            <w:r>
              <w:t>Anne</w:t>
            </w:r>
          </w:p>
        </w:tc>
      </w:tr>
      <w:tr w:rsidR="00494B49" w14:paraId="42A814B3" w14:textId="77777777">
        <w:tc>
          <w:tcPr>
            <w:tcW w:w="1440" w:type="dxa"/>
          </w:tcPr>
          <w:p w14:paraId="04E63A62" w14:textId="77777777" w:rsidR="00494B49" w:rsidRDefault="00494B49"/>
        </w:tc>
        <w:tc>
          <w:tcPr>
            <w:tcW w:w="1440" w:type="dxa"/>
          </w:tcPr>
          <w:p w14:paraId="0F5A8364" w14:textId="77777777" w:rsidR="00494B49" w:rsidRDefault="00494B49">
            <w:r>
              <w:t>Regular Tax</w:t>
            </w:r>
          </w:p>
        </w:tc>
        <w:tc>
          <w:tcPr>
            <w:tcW w:w="1440" w:type="dxa"/>
          </w:tcPr>
          <w:p w14:paraId="1E6F593D" w14:textId="77777777" w:rsidR="00494B49" w:rsidRDefault="00494B49">
            <w:r>
              <w:t>NII</w:t>
            </w:r>
          </w:p>
        </w:tc>
        <w:tc>
          <w:tcPr>
            <w:tcW w:w="1440" w:type="dxa"/>
          </w:tcPr>
          <w:p w14:paraId="30BF3EB2" w14:textId="77777777" w:rsidR="00494B49" w:rsidRDefault="00494B49">
            <w:r>
              <w:t>Regular Tax</w:t>
            </w:r>
          </w:p>
        </w:tc>
        <w:tc>
          <w:tcPr>
            <w:tcW w:w="1440" w:type="dxa"/>
          </w:tcPr>
          <w:p w14:paraId="33D4FBB8" w14:textId="77777777" w:rsidR="00494B49" w:rsidRDefault="00494B49">
            <w:r>
              <w:t>NII</w:t>
            </w:r>
          </w:p>
        </w:tc>
        <w:tc>
          <w:tcPr>
            <w:tcW w:w="1440" w:type="dxa"/>
          </w:tcPr>
          <w:p w14:paraId="0CC99F82" w14:textId="77777777" w:rsidR="00494B49" w:rsidRDefault="00494B49">
            <w:r>
              <w:t>Regular Tax</w:t>
            </w:r>
          </w:p>
        </w:tc>
        <w:tc>
          <w:tcPr>
            <w:tcW w:w="1440" w:type="dxa"/>
          </w:tcPr>
          <w:p w14:paraId="2DF8F3A7" w14:textId="77777777" w:rsidR="00494B49" w:rsidRDefault="00494B49">
            <w:r>
              <w:t>NII</w:t>
            </w:r>
          </w:p>
        </w:tc>
      </w:tr>
      <w:tr w:rsidR="00494B49" w14:paraId="5243BDAB" w14:textId="77777777">
        <w:tc>
          <w:tcPr>
            <w:tcW w:w="1440" w:type="dxa"/>
          </w:tcPr>
          <w:p w14:paraId="452EF85C" w14:textId="77777777" w:rsidR="00494B49" w:rsidRDefault="00494B49">
            <w:r>
              <w:t>LLC Earnings</w:t>
            </w:r>
          </w:p>
        </w:tc>
        <w:tc>
          <w:tcPr>
            <w:tcW w:w="1440" w:type="dxa"/>
          </w:tcPr>
          <w:p w14:paraId="35FAB963" w14:textId="77777777" w:rsidR="00494B49" w:rsidRDefault="00494B49">
            <w:r>
              <w:t>$80,000</w:t>
            </w:r>
          </w:p>
        </w:tc>
        <w:tc>
          <w:tcPr>
            <w:tcW w:w="1440" w:type="dxa"/>
          </w:tcPr>
          <w:p w14:paraId="6EA6EE3E" w14:textId="77777777" w:rsidR="00494B49" w:rsidRDefault="00494B49">
            <w:r>
              <w:t>$0</w:t>
            </w:r>
          </w:p>
        </w:tc>
        <w:tc>
          <w:tcPr>
            <w:tcW w:w="1440" w:type="dxa"/>
          </w:tcPr>
          <w:p w14:paraId="150EB437" w14:textId="77777777" w:rsidR="00494B49" w:rsidRDefault="00494B49">
            <w:r>
              <w:t>$10,000</w:t>
            </w:r>
          </w:p>
        </w:tc>
        <w:tc>
          <w:tcPr>
            <w:tcW w:w="1440" w:type="dxa"/>
          </w:tcPr>
          <w:p w14:paraId="702466D6" w14:textId="77777777" w:rsidR="00494B49" w:rsidRDefault="00494B49">
            <w:r>
              <w:t>$10,000</w:t>
            </w:r>
          </w:p>
        </w:tc>
        <w:tc>
          <w:tcPr>
            <w:tcW w:w="1440" w:type="dxa"/>
          </w:tcPr>
          <w:p w14:paraId="3F8A1D2C" w14:textId="77777777" w:rsidR="00494B49" w:rsidRDefault="00494B49">
            <w:r>
              <w:t>$10,000</w:t>
            </w:r>
          </w:p>
        </w:tc>
        <w:tc>
          <w:tcPr>
            <w:tcW w:w="1440" w:type="dxa"/>
          </w:tcPr>
          <w:p w14:paraId="308DFD86" w14:textId="77777777" w:rsidR="00494B49" w:rsidRDefault="00494B49">
            <w:r>
              <w:t>$0</w:t>
            </w:r>
          </w:p>
        </w:tc>
      </w:tr>
      <w:tr w:rsidR="00494B49" w14:paraId="1B98D6D2" w14:textId="77777777">
        <w:tc>
          <w:tcPr>
            <w:tcW w:w="1440" w:type="dxa"/>
          </w:tcPr>
          <w:p w14:paraId="0BD0279C" w14:textId="77777777" w:rsidR="00494B49" w:rsidRDefault="00494B49">
            <w:r>
              <w:t>Estate’s Distribution</w:t>
            </w:r>
          </w:p>
        </w:tc>
        <w:tc>
          <w:tcPr>
            <w:tcW w:w="1440" w:type="dxa"/>
          </w:tcPr>
          <w:p w14:paraId="4B8C4105" w14:textId="77777777" w:rsidR="00494B49" w:rsidRDefault="00494B49">
            <w:r>
              <w:t>($50,000)</w:t>
            </w:r>
            <w:r>
              <w:rPr>
                <w:rStyle w:val="FootnoteReference"/>
              </w:rPr>
              <w:footnoteReference w:id="1065"/>
            </w:r>
          </w:p>
        </w:tc>
        <w:tc>
          <w:tcPr>
            <w:tcW w:w="1440" w:type="dxa"/>
          </w:tcPr>
          <w:p w14:paraId="5EA7433E" w14:textId="77777777" w:rsidR="00494B49" w:rsidRDefault="00494B49">
            <w:r>
              <w:t>($0)</w:t>
            </w:r>
            <w:r>
              <w:rPr>
                <w:rStyle w:val="FootnoteReference"/>
              </w:rPr>
              <w:footnoteReference w:id="1066"/>
            </w:r>
          </w:p>
        </w:tc>
        <w:tc>
          <w:tcPr>
            <w:tcW w:w="1440" w:type="dxa"/>
          </w:tcPr>
          <w:p w14:paraId="51CB86FA" w14:textId="77777777" w:rsidR="00494B49" w:rsidRDefault="00494B49">
            <w:r>
              <w:t>$25,000</w:t>
            </w:r>
            <w:r>
              <w:rPr>
                <w:rStyle w:val="FootnoteReference"/>
              </w:rPr>
              <w:footnoteReference w:id="1067"/>
            </w:r>
          </w:p>
        </w:tc>
        <w:tc>
          <w:tcPr>
            <w:tcW w:w="1440" w:type="dxa"/>
          </w:tcPr>
          <w:p w14:paraId="0805FC6A" w14:textId="77777777" w:rsidR="00494B49" w:rsidRDefault="00494B49">
            <w:r>
              <w:t>$0</w:t>
            </w:r>
            <w:r>
              <w:rPr>
                <w:rStyle w:val="FootnoteReference"/>
              </w:rPr>
              <w:footnoteReference w:id="1068"/>
            </w:r>
          </w:p>
        </w:tc>
        <w:tc>
          <w:tcPr>
            <w:tcW w:w="1440" w:type="dxa"/>
          </w:tcPr>
          <w:p w14:paraId="68B12EF2" w14:textId="77777777" w:rsidR="00494B49" w:rsidRDefault="00494B49">
            <w:r>
              <w:t>$25,000</w:t>
            </w:r>
            <w:r>
              <w:rPr>
                <w:rStyle w:val="FootnoteReference"/>
              </w:rPr>
              <w:footnoteReference w:id="1069"/>
            </w:r>
          </w:p>
        </w:tc>
        <w:tc>
          <w:tcPr>
            <w:tcW w:w="1440" w:type="dxa"/>
          </w:tcPr>
          <w:p w14:paraId="7062DBD8" w14:textId="77777777" w:rsidR="00494B49" w:rsidRDefault="00494B49">
            <w:r>
              <w:t>$0</w:t>
            </w:r>
            <w:r>
              <w:rPr>
                <w:rStyle w:val="FootnoteReference"/>
              </w:rPr>
              <w:footnoteReference w:id="1070"/>
            </w:r>
          </w:p>
        </w:tc>
      </w:tr>
      <w:tr w:rsidR="00494B49" w14:paraId="444558FF" w14:textId="77777777">
        <w:tc>
          <w:tcPr>
            <w:tcW w:w="1440" w:type="dxa"/>
          </w:tcPr>
          <w:p w14:paraId="5175F8C0" w14:textId="77777777" w:rsidR="00494B49" w:rsidRDefault="00494B49">
            <w:r>
              <w:t>Net Income</w:t>
            </w:r>
          </w:p>
        </w:tc>
        <w:tc>
          <w:tcPr>
            <w:tcW w:w="1440" w:type="dxa"/>
          </w:tcPr>
          <w:p w14:paraId="35D4BC03" w14:textId="77777777" w:rsidR="00494B49" w:rsidRDefault="00494B49">
            <w:r>
              <w:t>$30,000</w:t>
            </w:r>
          </w:p>
        </w:tc>
        <w:tc>
          <w:tcPr>
            <w:tcW w:w="1440" w:type="dxa"/>
          </w:tcPr>
          <w:p w14:paraId="3D3D85E6" w14:textId="77777777" w:rsidR="00494B49" w:rsidRDefault="00494B49">
            <w:r>
              <w:t>$0</w:t>
            </w:r>
          </w:p>
        </w:tc>
        <w:tc>
          <w:tcPr>
            <w:tcW w:w="1440" w:type="dxa"/>
          </w:tcPr>
          <w:p w14:paraId="7C4694FA" w14:textId="77777777" w:rsidR="00494B49" w:rsidRDefault="00494B49">
            <w:r>
              <w:t>$35,000</w:t>
            </w:r>
          </w:p>
        </w:tc>
        <w:tc>
          <w:tcPr>
            <w:tcW w:w="1440" w:type="dxa"/>
          </w:tcPr>
          <w:p w14:paraId="3ACE4583" w14:textId="77777777" w:rsidR="00494B49" w:rsidRDefault="00494B49">
            <w:r>
              <w:t>$10,000</w:t>
            </w:r>
          </w:p>
        </w:tc>
        <w:tc>
          <w:tcPr>
            <w:tcW w:w="1440" w:type="dxa"/>
          </w:tcPr>
          <w:p w14:paraId="164D94D3" w14:textId="77777777" w:rsidR="00494B49" w:rsidRDefault="00494B49">
            <w:r>
              <w:t>$35,000</w:t>
            </w:r>
          </w:p>
        </w:tc>
        <w:tc>
          <w:tcPr>
            <w:tcW w:w="1440" w:type="dxa"/>
          </w:tcPr>
          <w:p w14:paraId="39531B26" w14:textId="77777777" w:rsidR="00494B49" w:rsidRDefault="00494B49">
            <w:r>
              <w:t>$25,000</w:t>
            </w:r>
          </w:p>
        </w:tc>
      </w:tr>
    </w:tbl>
    <w:p w14:paraId="33740076" w14:textId="77777777" w:rsidR="00494B49" w:rsidRDefault="00494B49">
      <w:pPr>
        <w:pStyle w:val="BNormal"/>
      </w:pPr>
      <w:r>
        <w:t xml:space="preserve"> </w:t>
      </w:r>
    </w:p>
    <w:p w14:paraId="04426FD6" w14:textId="77777777" w:rsidR="00494B49" w:rsidRDefault="00494B49">
      <w:pPr>
        <w:pStyle w:val="BExamplepara"/>
      </w:pPr>
      <w:r>
        <w:t xml:space="preserve">If the Estate is nonpassive, the income distributed will be Excluded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§1.1411-4(e)(1)(i)</w:t>
        </w:r>
      </w:smartTag>
      <w:r>
        <w:t xml:space="preserve">. Computationally, this is similar to Example 3 in Reg. </w:t>
      </w:r>
      <w:smartTag w:uri="http://www.bna.com/sgml2word/cite" w:element="cite.cfr">
        <w:smartTagPr>
          <w:attr w:name="ref" w:val="cfr\26\1.1411-3(e)(5)"/>
        </w:smartTagPr>
        <w:r>
          <w:t>§1.1411-3(e)(5)</w:t>
        </w:r>
      </w:smartTag>
      <w:r>
        <w:t xml:space="preserve">. The amount of the deduction provided to the estate by Reg. </w:t>
      </w:r>
      <w:smartTag w:uri="http://www.bna.com/sgml2word/cite" w:element="cite.cfr">
        <w:smartTagPr>
          <w:attr w:name="ref" w:val="cfr\26\1.1411-3(e)(3)"/>
        </w:smartTagPr>
        <w:r>
          <w:t>§1.1411-3(e)(3)</w:t>
        </w:r>
      </w:smartTag>
      <w:r>
        <w:t xml:space="preserve"> is the lesser of (i) the amount deducted under </w:t>
      </w:r>
      <w:smartTag w:uri="http://www.bna.com/sgml2word/cite" w:element="cite.usc">
        <w:smartTagPr>
          <w:attr w:name="ref" w:val="usc\26\661"/>
        </w:smartTagPr>
        <w:r>
          <w:t>§661</w:t>
        </w:r>
      </w:smartTag>
      <w:r>
        <w:t xml:space="preserve"> ($50,000), or (ii) the amount of net investment income ($0). Reg. </w:t>
      </w:r>
      <w:smartTag w:uri="http://www.bna.com/sgml2word/cite" w:element="cite.cfr">
        <w:smartTagPr>
          <w:attr w:name="ref" w:val="cfr\26\1.1411-4(e)(1)(i)"/>
        </w:smartTagPr>
        <w:r>
          <w:t>§1.1411-4(e)(1)(i)</w:t>
        </w:r>
      </w:smartTag>
      <w:r>
        <w:t xml:space="preserve"> provides that the net investment income to Jack and Anne is determined by the deduction under Reg. </w:t>
      </w:r>
      <w:smartTag w:uri="http://www.bna.com/sgml2word/cite" w:element="cite.cfr">
        <w:smartTagPr>
          <w:attr w:name="ref" w:val="cfr\26\1.1411-3(e)(3)"/>
        </w:smartTagPr>
        <w:r>
          <w:t>§1.1411-3(e)(3)</w:t>
        </w:r>
      </w:smartTag>
      <w:r>
        <w:t xml:space="preserve"> (which is $0). Unlike the preceding example in which the Estate was passive, the net investment income tax treatment for Anne is the same whether she owns the LLC interests outright or whether they are retained in the Estate. But this example shows that Jack, as the passive owner of the LLC, receives a benefit because the Excluded Income classification of the LLC earnings retains that character when they are distributed to him. However, if he held the LLC interest directly, all of the earnings would be net investment income. In this situation, solely from a net investment income tax perspective, Jack would likely not want the LLC interest distributed to him any earlier than necessary and Anne would be indifferent. </w:t>
      </w:r>
    </w:p>
    <w:p w14:paraId="03C9045E" w14:textId="77777777" w:rsidR="00494B49" w:rsidRDefault="00494B49">
      <w:pPr>
        <w:pStyle w:val="BHead2"/>
      </w:pPr>
      <w:r>
        <w:t>5. Estates and Trusts that Own Interests in Certain CFCs or Certain PFICs</w:t>
      </w:r>
    </w:p>
    <w:p w14:paraId="51B93049" w14:textId="77777777" w:rsidR="00494B49" w:rsidRDefault="00494B49">
      <w:pPr>
        <w:pStyle w:val="BNormal"/>
      </w:pPr>
      <w:r>
        <w:t xml:space="preserve">There are special provisions within Reg. </w:t>
      </w:r>
      <w:smartTag w:uri="http://www.bna.com/sgml2word/cite" w:element="cite.cfr">
        <w:smartTagPr>
          <w:attr w:name="ref" w:val="cfr\26\1.1411-10"/>
        </w:smartTagPr>
        <w:r>
          <w:t>§1.1411-10</w:t>
        </w:r>
      </w:smartTag>
      <w:r>
        <w:t xml:space="preserve"> that attempt to align the timing differences between Chapter 1 and the net investment income tax for estates and trusts that own Controlled Foreign Corporations (CFCs)</w:t>
      </w:r>
      <w:r>
        <w:rPr>
          <w:rStyle w:val="FootnoteReference"/>
        </w:rPr>
        <w:footnoteReference w:id="1071"/>
      </w:r>
      <w:r>
        <w:t xml:space="preserve"> and Passive Foreign Investment Companies (PFICs).</w:t>
      </w:r>
      <w:r>
        <w:rPr>
          <w:rStyle w:val="FootnoteReference"/>
        </w:rPr>
        <w:footnoteReference w:id="1072"/>
      </w:r>
      <w:r>
        <w:t xml:space="preserve"> See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below, for a discussion of the special rules pertaining to CRTs that hold interests, directly or indirectly, in CFCs and PFICs.</w:t>
      </w:r>
      <w:r>
        <w:rPr>
          <w:rStyle w:val="FootnoteReference"/>
        </w:rPr>
        <w:footnoteReference w:id="1073"/>
      </w:r>
    </w:p>
    <w:p w14:paraId="487E4BD1" w14:textId="77777777" w:rsidR="00494B49" w:rsidRDefault="00494B49">
      <w:pPr>
        <w:pStyle w:val="BNormal"/>
      </w:pPr>
      <w:r>
        <w:lastRenderedPageBreak/>
        <w:t xml:space="preserve">As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there are extremely complicated rules developed for the net investment income tax regime to account for deemed income inclusions and actual distributions from CFCs and PFICs. Generally, in the case of CFCs and PFICs taxed as Qualified Electing Funds (QEFs) the regulations provide that </w:t>
      </w:r>
      <w:smartTag w:uri="http://www.bna.com/sgml2word/cite" w:element="cite.usc">
        <w:smartTagPr>
          <w:attr w:name="ref" w:val="USC\26\951"/>
        </w:smartTagPr>
        <w:r>
          <w:t>§951</w:t>
        </w:r>
      </w:smartTag>
      <w:r>
        <w:t xml:space="preserve"> inclusions (for CFCs) and </w:t>
      </w:r>
      <w:smartTag w:uri="http://www.bna.com/sgml2word/cite" w:element="cite.usc">
        <w:smartTagPr>
          <w:attr w:name="ref" w:val="USC\26\1293"/>
        </w:smartTagPr>
        <w:r>
          <w:t>§1293</w:t>
        </w:r>
      </w:smartTag>
      <w:r>
        <w:t xml:space="preserve"> inclusions (for QEFs) are not treated as dividends except when expressly provided for in the Code.</w:t>
      </w:r>
      <w:r>
        <w:rPr>
          <w:rStyle w:val="FootnoteReference"/>
        </w:rPr>
        <w:footnoteReference w:id="1074"/>
      </w:r>
      <w:r>
        <w:t xml:space="preserve"> Alternately, under the net investment income tax regime, distributions of previously taxed earnings and profits attributable to CFCs and QEFs are dividends for net investment income tax purposes, absent an election under Reg. </w:t>
      </w:r>
      <w:smartTag w:uri="http://www.bna.com/sgml2word/cite" w:element="cite.cfr">
        <w:smartTagPr>
          <w:attr w:name="ref" w:val="cfr\26\1.1411-10(g)"/>
        </w:smartTagPr>
        <w:r>
          <w:t>§1.1411-10(g)</w:t>
        </w:r>
      </w:smartTag>
      <w:r>
        <w:t xml:space="preserve"> (a “</w:t>
      </w:r>
      <w:smartTag w:uri="http://www.bna.com/sgml2word/cite" w:element="cite.cfr">
        <w:smartTagPr>
          <w:attr w:name="ref" w:val="cfr\26\1.1411-10(g)"/>
        </w:smartTagPr>
        <w:r>
          <w:t>10(g)</w:t>
        </w:r>
      </w:smartTag>
      <w:r>
        <w:t xml:space="preserve"> Election”).</w:t>
      </w:r>
      <w:r>
        <w:rPr>
          <w:rStyle w:val="FootnoteReference"/>
        </w:rPr>
        <w:footnoteReference w:id="1075"/>
      </w:r>
      <w:r>
        <w:t xml:space="preserve"> However, if a taxpayer has a </w:t>
      </w:r>
      <w:smartTag w:uri="http://www.bna.com/sgml2word/cite" w:element="cite.cfr">
        <w:smartTagPr>
          <w:attr w:name="ref" w:val="cfr\26\1.1411-10(g)"/>
        </w:smartTagPr>
        <w:r>
          <w:t>10(g)</w:t>
        </w:r>
      </w:smartTag>
      <w:r>
        <w:t xml:space="preserve"> Election in effect, the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(rather than the distributions of previously taxed earnings and profits) are treated as dividends for net investment income tax purposes. More simply, the </w:t>
      </w:r>
      <w:smartTag w:uri="http://www.bna.com/sgml2word/cite" w:element="cite.cfr">
        <w:smartTagPr>
          <w:attr w:name="ref" w:val="cfr\26\1.1411-10(g)"/>
        </w:smartTagPr>
        <w:r>
          <w:t>10(g)</w:t>
        </w:r>
      </w:smartTag>
      <w:r>
        <w:t xml:space="preserve"> Election aligns the timing of the income between the net investment income tax system and the regular tax system.</w:t>
      </w:r>
    </w:p>
    <w:p w14:paraId="302F6EF6" w14:textId="77777777" w:rsidR="00494B49" w:rsidRDefault="00494B49">
      <w:pPr>
        <w:pStyle w:val="BNormal"/>
      </w:pPr>
      <w:r>
        <w:t xml:space="preserve">Outside of CFCs and QEFs, two other PFIC taxation regimes are addressed in the regulations. The </w:t>
      </w:r>
      <w:smartTag w:uri="http://www.bna.com/sgml2word/cite" w:element="cite.usc">
        <w:smartTagPr>
          <w:attr w:name="ref" w:val="USC\26\1296"/>
        </w:smartTagPr>
        <w:r>
          <w:t>§1296</w:t>
        </w:r>
      </w:smartTag>
      <w:r>
        <w:t xml:space="preserve"> mark-to-market regime is taxed in the same manner in the net investment income tax regime as it is for regular income tax purposes.</w:t>
      </w:r>
      <w:r>
        <w:rPr>
          <w:rStyle w:val="FootnoteReference"/>
        </w:rPr>
        <w:footnoteReference w:id="1076"/>
      </w:r>
      <w:r>
        <w:t xml:space="preserve"> The third system of taxation for PFICs is under </w:t>
      </w:r>
      <w:smartTag w:uri="http://www.bna.com/sgml2word/cite" w:element="cite.usc">
        <w:smartTagPr>
          <w:attr w:name="ref" w:val="USC\26\1291"/>
        </w:smartTagPr>
        <w:r>
          <w:t>§1291</w:t>
        </w:r>
      </w:smartTag>
      <w:r>
        <w:t xml:space="preserve"> (generally referred to a “1291 Funds”). The regulations provide that net investment income includes any distribution of earnings and profits by a </w:t>
      </w:r>
      <w:smartTag w:uri="http://www.bna.com/sgml2word/cite" w:element="cite.usc">
        <w:smartTagPr>
          <w:attr w:name="ref" w:val="USC\26\1291"/>
        </w:smartTagPr>
        <w:r>
          <w:t>§1291</w:t>
        </w:r>
      </w:smartTag>
      <w:r>
        <w:t xml:space="preserve"> Fund that constitutes a dividend within the meaning </w:t>
      </w:r>
      <w:smartTag w:uri="http://www.bna.com/sgml2word/cite" w:element="cite.usc">
        <w:smartTagPr>
          <w:attr w:name="ref" w:val="USC\26\316(a)"/>
        </w:smartTagPr>
        <w:r>
          <w:t>§316(a)</w:t>
        </w:r>
      </w:smartTag>
      <w:r>
        <w:t xml:space="preserve">, or any gain from a disposition of PFIC stock, even though all or a portion of the dividend or gain may be treated as an excess distribution and allocated to prior tax years for purposes of computing the additional amount of tax imposed under </w:t>
      </w:r>
      <w:smartTag w:uri="http://www.bna.com/sgml2word/cite" w:element="cite.usc">
        <w:smartTagPr>
          <w:attr w:name="ref" w:val="USC\26\1291(a)(1)(C)"/>
        </w:smartTagPr>
        <w:r>
          <w:t>§1291(a)(1)(C)</w:t>
        </w:r>
      </w:smartTag>
      <w:r>
        <w:t>.</w:t>
      </w:r>
      <w:r>
        <w:rPr>
          <w:rStyle w:val="FootnoteReference"/>
        </w:rPr>
        <w:footnoteReference w:id="1077"/>
      </w:r>
    </w:p>
    <w:p w14:paraId="26C0ABA2" w14:textId="77777777" w:rsidR="00494B49" w:rsidRDefault="00494B49">
      <w:pPr>
        <w:pStyle w:val="BNormal"/>
      </w:pPr>
      <w:r>
        <w:t xml:space="preserve">When drafting the CFC and PFIC regulations, the Treasury Department and IRS recognized that the timing difference between the regular tax treatment of CFCs and QEFs inclusions and distributions without a 10(g) Election in place and the net investment income tax treatment posed unique problems for estates and trusts. Specifically, because traditional estates and nongrantor trusts were designed to be quasi-passthrough entities that share the benefits and burdens of income with their beneficiaries through the computation of distributable net income (DNI) and the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distribution regime, that quasi-passthrough treatment needed to be addressed when the timing differed for income inclusion for regular tax and for net investment income tax purposes. As a result, Reg. </w:t>
      </w:r>
      <w:smartTag w:uri="http://www.bna.com/sgml2word/cite" w:element="cite.cfr">
        <w:smartTagPr>
          <w:attr w:name="ref" w:val="cfr\26\1.1411-10(c)(5)"/>
        </w:smartTagPr>
        <w:r>
          <w:t>§1.1411-10(c)(5)</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coordinate the rules relating to the computation of net investment income and any associated increase or decrease to adjusted gross income with the DNI regime and other general operating rules governing the income taxation of estates and trusts contained in Subchapter J and Reg. </w:t>
      </w:r>
      <w:smartTag w:uri="http://www.bna.com/sgml2word/cite" w:element="cite.cfr">
        <w:smartTagPr>
          <w:attr w:name="ref" w:val="cfr\26\1.1411-3"/>
        </w:smartTagPr>
        <w:r>
          <w:t>§1.1411-3</w:t>
        </w:r>
      </w:smartTag>
      <w:r>
        <w:t>.</w:t>
      </w:r>
      <w:r>
        <w:rPr>
          <w:rStyle w:val="FootnoteReference"/>
        </w:rPr>
        <w:footnoteReference w:id="1078"/>
      </w:r>
      <w:r>
        <w:t xml:space="preserve"> </w:t>
      </w:r>
    </w:p>
    <w:p w14:paraId="48853EA4" w14:textId="77777777" w:rsidR="00494B49" w:rsidRDefault="00494B49">
      <w:pPr>
        <w:pStyle w:val="BHead3"/>
      </w:pPr>
      <w:r>
        <w:lastRenderedPageBreak/>
        <w:t>a. Reg. §1.1411-10(f): Aligning net investment income tax Timing with Subchapter J</w:t>
      </w:r>
    </w:p>
    <w:p w14:paraId="3AC0FCC9" w14:textId="77777777" w:rsidR="00494B49" w:rsidRDefault="00494B49">
      <w:pPr>
        <w:pStyle w:val="BNormal"/>
      </w:pPr>
      <w:r>
        <w:t xml:space="preserve">Reg. </w:t>
      </w:r>
      <w:smartTag w:uri="http://www.bna.com/sgml2word/cite" w:element="cite.cfr">
        <w:smartTagPr>
          <w:attr w:name="ref" w:val="cfr\26\1.1411-10(f)"/>
        </w:smartTagPr>
        <w:r>
          <w:t>§1.1411-10(f)</w:t>
        </w:r>
      </w:smartTag>
      <w:r>
        <w:t xml:space="preserve"> was designed to adjust the DNI regime to take into account the regular tax versus net investment income tax timing differences. Reg. </w:t>
      </w:r>
      <w:smartTag w:uri="http://www.bna.com/sgml2word/cite" w:element="cite.cfr">
        <w:smartTagPr>
          <w:attr w:name="ref" w:val="cfr\26\1.1411-10(f)"/>
        </w:smartTagPr>
        <w:r>
          <w:t>§1.1411-10(f)</w:t>
        </w:r>
      </w:smartTag>
      <w:r>
        <w:t xml:space="preserve"> contains one substantive provision and two catchalls. The first substantive provision provides that the amounts described in Reg. </w:t>
      </w:r>
      <w:smartTag w:uri="http://www.bna.com/sgml2word/cite" w:element="cite.cfr">
        <w:smartTagPr>
          <w:attr w:name="ref" w:val="cfr\26\1.1411-10(e)(2)(i)"/>
        </w:smartTagPr>
        <w:r>
          <w:t>§1.1411-10(e)(2)(i)</w:t>
        </w:r>
      </w:smartTag>
      <w:r>
        <w:t xml:space="preserve"> through (iv) increase or decrease, as applicable, the estate’s or trust’s distributable net income for net investment income tax purposes, regardless of whether the estate or trust receives those amounts directly or indirectly through another estate or trust. </w:t>
      </w:r>
    </w:p>
    <w:p w14:paraId="18AE7161" w14:textId="77777777" w:rsidR="00494B49" w:rsidRDefault="00494B49">
      <w:pPr>
        <w:pStyle w:val="BNormal"/>
      </w:pPr>
      <w:r>
        <w:rPr>
          <w:i/>
        </w:rPr>
        <w:t>Comment:</w:t>
      </w:r>
      <w:r>
        <w:t xml:space="preserve"> This substantive provision attempts to align regular tax DNI with the net investment income tax rules. Admittedly, the provision is cryptic and there are no examples within Reg. </w:t>
      </w:r>
      <w:smartTag w:uri="http://www.bna.com/sgml2word/cite" w:element="cite.cfr">
        <w:smartTagPr>
          <w:attr w:name="ref" w:val="cfr\26\1.1411-10(h)"/>
        </w:smartTagPr>
        <w:r>
          <w:t>§1.1411-10(h)</w:t>
        </w:r>
      </w:smartTag>
      <w:r>
        <w:t xml:space="preserve"> describing the operation of this provision. As stated above, and explained in greater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certain items of income from CFC and PFICs are not included in net investment income. Conversely, in certain situations, distributions that are not taxable income for regular tax purposes are taxable for net investment income tax purposes. Because the net investment income tax liability is calculated on the lesser of net investment income or the MAGI in excess of certain thresholds, Reg. </w:t>
      </w:r>
      <w:smartTag w:uri="http://www.bna.com/sgml2word/cite" w:element="cite.cfr">
        <w:smartTagPr>
          <w:attr w:name="ref" w:val="cfr\26\1.1411-10(e)"/>
        </w:smartTagPr>
        <w:r>
          <w:t>§1.1411-10(e)</w:t>
        </w:r>
      </w:smartTag>
      <w:r>
        <w:t xml:space="preserve"> increases or decreases MAGI to account for the differences in timing to ensure that both bases for taxation (MAGI and NII) contain the same income in the same year. Following the same logic, because the calculation of an estate’s or trust’s DNI begins with taxable income,</w:t>
      </w:r>
      <w:r>
        <w:rPr>
          <w:rStyle w:val="FootnoteReference"/>
        </w:rPr>
        <w:footnoteReference w:id="1079"/>
      </w:r>
      <w:r>
        <w:t xml:space="preserve"> a similar adjustment to DNI was required to ensure the burden of taxation is shared between the estate or trust and beneficiary. </w:t>
      </w:r>
    </w:p>
    <w:p w14:paraId="77405F37" w14:textId="77777777" w:rsidR="00494B49" w:rsidRDefault="00494B49">
      <w:pPr>
        <w:pStyle w:val="BNormal"/>
      </w:pPr>
      <w:r>
        <w:t xml:space="preserve">The first catch-all provision ensures that all of the special timing rules within Reg. </w:t>
      </w:r>
      <w:smartTag w:uri="http://www.bna.com/sgml2word/cite" w:element="cite.cfr">
        <w:smartTagPr>
          <w:attr w:name="ref" w:val="cfr\26\1.1411-10(c)"/>
        </w:smartTagPr>
        <w:r>
          <w:t>§1.1411-10(c)</w:t>
        </w:r>
      </w:smartTag>
      <w:r>
        <w:t xml:space="preserve"> are included in the net investment income of an estate or trust or its beneficiaries. This provision, written in broad and general terms, operates as a prophylactic to ensure that estates and trusts apply the same Reg. </w:t>
      </w:r>
      <w:smartTag w:uri="http://www.bna.com/sgml2word/cite" w:element="cite.cfr">
        <w:smartTagPr>
          <w:attr w:name="ref" w:val="cfr\26\1.1411-10"/>
        </w:smartTagPr>
        <w:r>
          <w:t>§1.1411-10</w:t>
        </w:r>
      </w:smartTag>
      <w:r>
        <w:t xml:space="preserve"> rules as individuals. The second catch-all provision, written even more broadly than the first, provides that the estate or trust, or the beneficiaries,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 </w:t>
      </w:r>
    </w:p>
    <w:p w14:paraId="7B91BE08" w14:textId="77777777" w:rsidR="00494B49" w:rsidRDefault="00494B49">
      <w:pPr>
        <w:pStyle w:val="BNormal"/>
      </w:pPr>
      <w:r>
        <w:rPr>
          <w:i/>
        </w:rPr>
        <w:t>Comment:</w:t>
      </w:r>
      <w:r>
        <w:t xml:space="preserve"> This provision, with its sweeping references to all of Subchapter J and the general net investment income tax operating rules for estates and trusts, instructs taxpayers that the operative provisions of Subchapter J work in conjunction with the Reg. </w:t>
      </w:r>
      <w:smartTag w:uri="http://www.bna.com/sgml2word/cite" w:element="cite.cfr">
        <w:smartTagPr>
          <w:attr w:name="ref" w:val="cfr\26\1.1411-10"/>
        </w:smartTagPr>
        <w:r>
          <w:t>§1.1411-10</w:t>
        </w:r>
      </w:smartTag>
      <w:r>
        <w:t xml:space="preserve"> rules. For example, if a trust distributes an interest in a CFC to a beneficiary, and the trust did not make a 10(g) Election for that CFC, the general catch-all provision would ensure that the basis in the CFC, computed under the special rules in Reg. </w:t>
      </w:r>
      <w:smartTag w:uri="http://www.bna.com/sgml2word/cite" w:element="cite.cfr">
        <w:smartTagPr>
          <w:attr w:name="ref" w:val="cfr\26\1.1411-10(d)"/>
        </w:smartTagPr>
        <w:r>
          <w:t>§1.1411-10(d)</w:t>
        </w:r>
      </w:smartTag>
      <w:r>
        <w:t xml:space="preserve">, would carry over to the beneficiary under </w:t>
      </w:r>
      <w:smartTag w:uri="http://www.bna.com/sgml2word/cite" w:element="cite.usc">
        <w:smartTagPr>
          <w:attr w:name="ref" w:val="USC\26\643(e)"/>
        </w:smartTagPr>
        <w:r>
          <w:t>§643(e)</w:t>
        </w:r>
      </w:smartTag>
      <w:r>
        <w:t xml:space="preserve">, even though there is no specific rule in the net investment income tax regulations that addresses this particular situation. If the regular tax basis in the CFC is $100 and the net investment income </w:t>
      </w:r>
      <w:r>
        <w:lastRenderedPageBreak/>
        <w:t>tax basis is $87,</w:t>
      </w:r>
      <w:r>
        <w:rPr>
          <w:rStyle w:val="FootnoteReference"/>
        </w:rPr>
        <w:footnoteReference w:id="1080"/>
      </w:r>
      <w:r>
        <w:t xml:space="preserve"> the basis in the hands of the beneficiary would be $100 and $87 for regular tax and net investment income tax, respectively.</w:t>
      </w:r>
      <w:r>
        <w:rPr>
          <w:rStyle w:val="FootnoteReference"/>
        </w:rPr>
        <w:footnoteReference w:id="1081"/>
      </w:r>
    </w:p>
    <w:p w14:paraId="21343F41" w14:textId="77777777" w:rsidR="00494B49" w:rsidRDefault="00494B49">
      <w:pPr>
        <w:pStyle w:val="BHead3"/>
      </w:pPr>
      <w:r>
        <w:t>b. Examples of the Application of Reg. §1.1411-10(f)</w:t>
      </w:r>
    </w:p>
    <w:p w14:paraId="6C6B6E50" w14:textId="77777777" w:rsidR="00494B49" w:rsidRDefault="00494B49">
      <w:pPr>
        <w:pStyle w:val="BNormal"/>
      </w:pPr>
      <w:r>
        <w:t xml:space="preserve">The following examples illustrate the intent behind Reg. </w:t>
      </w:r>
      <w:smartTag w:uri="http://www.bna.com/sgml2word/cite" w:element="cite.cfr">
        <w:smartTagPr>
          <w:attr w:name="ref" w:val="cfr\26\1.1411-10(f)"/>
        </w:smartTagPr>
        <w:r>
          <w:t>§1.1411-10(f)</w:t>
        </w:r>
      </w:smartTag>
      <w:r>
        <w:t xml:space="preserve">, timing differences between the CFC and PFIC rules for regular tax and net investment income tax, and the differences between the income distribution deduction for regular tax purposes and for net investment income tax purposes. These examples are relatively simple. As complexity is added to the mix of income and deductions, such as by adding non-net-investment income taxable income (e.g., an IRA distribution), nontaxable income (e.g., municipal bond interest) and non-net-investment income deductible expenses, the divergence between net investment income and regular tax will cause fiduciaries with </w:t>
      </w:r>
      <w:smartTag w:uri="http://www.bna.com/sgml2word/cite" w:element="cite.usc">
        <w:smartTagPr>
          <w:attr w:name="ref" w:val="USC\26\1291"/>
        </w:smartTagPr>
        <w:r>
          <w:t>§1291</w:t>
        </w:r>
      </w:smartTag>
      <w:r>
        <w:t xml:space="preserve"> Funds, and CFCs and QEFs without 10(g) Elections to rely on “best efforts” in calculating the net investment income tax distribution deduction for the estate or trust and the net investment income tax adjustment for the beneficiary in an attempt to be reasonably consistent with the general operating rules for estates and trusts in Reg. </w:t>
      </w:r>
      <w:smartTag w:uri="http://www.bna.com/sgml2word/cite" w:element="cite.cfr">
        <w:smartTagPr>
          <w:attr w:name="ref" w:val="cfr\26\1.1411-3"/>
        </w:smartTagPr>
        <w:r>
          <w:t>§1.1411-3</w:t>
        </w:r>
      </w:smartTag>
      <w:r>
        <w:t xml:space="preserve"> and Subchapter J. </w:t>
      </w:r>
    </w:p>
    <w:p w14:paraId="7073DAC3" w14:textId="77777777" w:rsidR="00494B49" w:rsidRDefault="00494B49">
      <w:pPr>
        <w:pStyle w:val="BExamplepara"/>
      </w:pPr>
      <w:r>
        <w:rPr>
          <w:rStyle w:val="BExamplehead"/>
          <w:rFonts w:eastAsiaTheme="minorHAnsi"/>
          <w:i/>
        </w:rPr>
        <w:t>Example 1:</w:t>
      </w:r>
      <w:r>
        <w:t xml:space="preserve"> Trusts with Excess Distribution from a </w:t>
      </w:r>
      <w:smartTag w:uri="http://www.bna.com/sgml2word/cite" w:element="cite.usc">
        <w:smartTagPr>
          <w:attr w:name="ref" w:val="USC\26\1291"/>
        </w:smartTagPr>
        <w:r>
          <w:t>§1291</w:t>
        </w:r>
      </w:smartTag>
      <w:r>
        <w:t xml:space="preserve"> Fund</w:t>
      </w:r>
    </w:p>
    <w:p w14:paraId="279C53AB" w14:textId="77777777" w:rsidR="00494B49" w:rsidRDefault="00494B49">
      <w:pPr>
        <w:pStyle w:val="BExamplepara"/>
      </w:pPr>
      <w:r>
        <w:t xml:space="preserve">Assume that two identical trusts have $100,000 of interest income (allocable to income), $20,000 of capital gains (allocable to principal), and a $15,000 distribution from a </w:t>
      </w:r>
      <w:smartTag w:uri="http://www.bna.com/sgml2word/cite" w:element="cite.usc">
        <w:smartTagPr>
          <w:attr w:name="ref" w:val="USC\26\1291"/>
        </w:smartTagPr>
        <w:r>
          <w:t>§1291</w:t>
        </w:r>
      </w:smartTag>
      <w:r>
        <w:t xml:space="preserve"> Fund. Assume that $3,000 of the distribution from the </w:t>
      </w:r>
      <w:smartTag w:uri="http://www.bna.com/sgml2word/cite" w:element="cite.usc">
        <w:smartTagPr>
          <w:attr w:name="ref" w:val="USC\26\1291"/>
        </w:smartTagPr>
        <w:r>
          <w:t>§1291</w:t>
        </w:r>
      </w:smartTag>
      <w:r>
        <w:t xml:space="preserve"> Fund is allocable to current year income and the remainder is an excess distribution allocable to the tax year preceding the current year.</w:t>
      </w:r>
      <w:r>
        <w:rPr>
          <w:rStyle w:val="FootnoteReference"/>
        </w:rPr>
        <w:footnoteReference w:id="1082"/>
      </w:r>
      <w:r>
        <w:t xml:space="preserve"> Assume trust accounting income, as defined in </w:t>
      </w:r>
      <w:smartTag w:uri="http://www.bna.com/sgml2word/cite" w:element="cite.usc">
        <w:smartTagPr>
          <w:attr w:name="ref" w:val="USC\26\643(b)"/>
        </w:smartTagPr>
        <w:r>
          <w:t>§643(b)</w:t>
        </w:r>
      </w:smartTag>
      <w:r>
        <w:t xml:space="preserve">, is $110,000. Trust A is for the benefit of Beneficiary A and Trust B is for the benefit of Beneficiary B. </w:t>
      </w:r>
    </w:p>
    <w:p w14:paraId="33427F18" w14:textId="77777777" w:rsidR="00494B49" w:rsidRDefault="00494B49">
      <w:pPr>
        <w:pStyle w:val="BExamplepara"/>
      </w:pPr>
      <w:r>
        <w:t xml:space="preserve"> </w:t>
      </w:r>
      <w:r>
        <w:rPr>
          <w:i/>
        </w:rPr>
        <w:t>Step 1: Determine Total Income and Net Investment Income before Distributions</w:t>
      </w:r>
    </w:p>
    <w:p w14:paraId="77319571" w14:textId="70BB8056" w:rsidR="00494B49" w:rsidRDefault="00494B49" w:rsidP="00047D78">
      <w:pPr>
        <w:pStyle w:val="BExamplepara"/>
      </w:pPr>
      <w:r>
        <w:rPr>
          <w:rStyle w:val="BExamplehead"/>
          <w:rFonts w:eastAsiaTheme="minorHAnsi"/>
          <w:i/>
        </w:rPr>
        <w:t>Note:</w:t>
      </w:r>
      <w:r>
        <w:t xml:space="preserve"> The calculation is the same for both Trust A and Trust B. </w:t>
      </w:r>
    </w:p>
    <w:tbl>
      <w:tblPr>
        <w:tblStyle w:val="TableGrid"/>
        <w:tblW w:w="0" w:type="auto"/>
        <w:tblLook w:val="04A0" w:firstRow="1" w:lastRow="0" w:firstColumn="1" w:lastColumn="0" w:noHBand="0" w:noVBand="1"/>
      </w:tblPr>
      <w:tblGrid>
        <w:gridCol w:w="3125"/>
        <w:gridCol w:w="3105"/>
        <w:gridCol w:w="3120"/>
      </w:tblGrid>
      <w:tr w:rsidR="00494B49" w14:paraId="27475A75" w14:textId="77777777">
        <w:tc>
          <w:tcPr>
            <w:tcW w:w="3360" w:type="dxa"/>
          </w:tcPr>
          <w:p w14:paraId="443EF4C1" w14:textId="77777777" w:rsidR="00494B49" w:rsidRDefault="00494B49"/>
        </w:tc>
        <w:tc>
          <w:tcPr>
            <w:tcW w:w="3360" w:type="dxa"/>
          </w:tcPr>
          <w:p w14:paraId="3E406EC0" w14:textId="77777777" w:rsidR="00494B49" w:rsidRDefault="00494B49">
            <w:r>
              <w:t>Regular Tax</w:t>
            </w:r>
          </w:p>
        </w:tc>
        <w:tc>
          <w:tcPr>
            <w:tcW w:w="3360" w:type="dxa"/>
          </w:tcPr>
          <w:p w14:paraId="48E57F09" w14:textId="77777777" w:rsidR="00494B49" w:rsidRDefault="00494B49">
            <w:r>
              <w:t>NII</w:t>
            </w:r>
          </w:p>
        </w:tc>
      </w:tr>
      <w:tr w:rsidR="00494B49" w14:paraId="572A8AD4" w14:textId="77777777">
        <w:tc>
          <w:tcPr>
            <w:tcW w:w="3360" w:type="dxa"/>
          </w:tcPr>
          <w:p w14:paraId="7765FA57" w14:textId="77777777" w:rsidR="00494B49" w:rsidRDefault="00494B49">
            <w:r>
              <w:t>Interest Income</w:t>
            </w:r>
          </w:p>
        </w:tc>
        <w:tc>
          <w:tcPr>
            <w:tcW w:w="3360" w:type="dxa"/>
          </w:tcPr>
          <w:p w14:paraId="1E41D285" w14:textId="77777777" w:rsidR="00494B49" w:rsidRDefault="00494B49">
            <w:r>
              <w:t>$100,000</w:t>
            </w:r>
          </w:p>
        </w:tc>
        <w:tc>
          <w:tcPr>
            <w:tcW w:w="3360" w:type="dxa"/>
          </w:tcPr>
          <w:p w14:paraId="5E35F5FB" w14:textId="77777777" w:rsidR="00494B49" w:rsidRDefault="00494B49">
            <w:r>
              <w:t>$100,000</w:t>
            </w:r>
          </w:p>
        </w:tc>
      </w:tr>
      <w:tr w:rsidR="00494B49" w14:paraId="73BDDF36" w14:textId="77777777">
        <w:tc>
          <w:tcPr>
            <w:tcW w:w="3360" w:type="dxa"/>
          </w:tcPr>
          <w:p w14:paraId="161CCF65" w14:textId="77777777" w:rsidR="00494B49" w:rsidRDefault="00494B49">
            <w:r>
              <w:t>Capital Gain</w:t>
            </w:r>
          </w:p>
        </w:tc>
        <w:tc>
          <w:tcPr>
            <w:tcW w:w="3360" w:type="dxa"/>
          </w:tcPr>
          <w:p w14:paraId="6A4D0A24" w14:textId="77777777" w:rsidR="00494B49" w:rsidRDefault="00494B49">
            <w:r>
              <w:t>$20,000</w:t>
            </w:r>
          </w:p>
        </w:tc>
        <w:tc>
          <w:tcPr>
            <w:tcW w:w="3360" w:type="dxa"/>
          </w:tcPr>
          <w:p w14:paraId="288AE69D" w14:textId="77777777" w:rsidR="00494B49" w:rsidRDefault="00494B49">
            <w:r>
              <w:t>$20,000</w:t>
            </w:r>
          </w:p>
        </w:tc>
      </w:tr>
      <w:tr w:rsidR="00494B49" w14:paraId="5A770958" w14:textId="77777777">
        <w:tc>
          <w:tcPr>
            <w:tcW w:w="3360" w:type="dxa"/>
          </w:tcPr>
          <w:p w14:paraId="56291413" w14:textId="77777777" w:rsidR="00494B49" w:rsidRDefault="00494B49">
            <w:smartTag w:uri="http://www.bna.com/sgml2word/cite" w:element="cite.usc">
              <w:smartTagPr>
                <w:attr w:name="ref" w:val="USC\26\1291"/>
              </w:smartTagPr>
              <w:r>
                <w:t>§1291</w:t>
              </w:r>
            </w:smartTag>
            <w:r>
              <w:t xml:space="preserve"> Fund</w:t>
            </w:r>
          </w:p>
        </w:tc>
        <w:tc>
          <w:tcPr>
            <w:tcW w:w="3360" w:type="dxa"/>
          </w:tcPr>
          <w:p w14:paraId="00F407AE" w14:textId="77777777" w:rsidR="00494B49" w:rsidRDefault="00494B49">
            <w:r>
              <w:t>$3,000</w:t>
            </w:r>
          </w:p>
        </w:tc>
        <w:tc>
          <w:tcPr>
            <w:tcW w:w="3360" w:type="dxa"/>
          </w:tcPr>
          <w:p w14:paraId="2CD74B78" w14:textId="77777777" w:rsidR="00494B49" w:rsidRDefault="00494B49">
            <w:r>
              <w:t>$3,000</w:t>
            </w:r>
            <w:r>
              <w:rPr>
                <w:rStyle w:val="FootnoteReference"/>
              </w:rPr>
              <w:footnoteReference w:id="1083"/>
            </w:r>
          </w:p>
        </w:tc>
      </w:tr>
      <w:tr w:rsidR="00494B49" w14:paraId="404705F6" w14:textId="77777777">
        <w:tc>
          <w:tcPr>
            <w:tcW w:w="3360" w:type="dxa"/>
          </w:tcPr>
          <w:p w14:paraId="23AE56A4" w14:textId="77777777" w:rsidR="00494B49" w:rsidRDefault="00494B49">
            <w:r>
              <w:t xml:space="preserve">Excess Distribution </w:t>
            </w:r>
          </w:p>
        </w:tc>
        <w:tc>
          <w:tcPr>
            <w:tcW w:w="3360" w:type="dxa"/>
          </w:tcPr>
          <w:p w14:paraId="723E8F51" w14:textId="77777777" w:rsidR="00494B49" w:rsidRDefault="00494B49">
            <w:r>
              <w:t>$0</w:t>
            </w:r>
          </w:p>
        </w:tc>
        <w:tc>
          <w:tcPr>
            <w:tcW w:w="3360" w:type="dxa"/>
          </w:tcPr>
          <w:p w14:paraId="650D0A0A" w14:textId="77777777" w:rsidR="00494B49" w:rsidRDefault="00494B49">
            <w:r>
              <w:t>$12,000</w:t>
            </w:r>
            <w:r>
              <w:rPr>
                <w:rStyle w:val="FootnoteReference"/>
              </w:rPr>
              <w:footnoteReference w:id="1084"/>
            </w:r>
          </w:p>
        </w:tc>
      </w:tr>
      <w:tr w:rsidR="00494B49" w14:paraId="4D0DF304" w14:textId="77777777">
        <w:tc>
          <w:tcPr>
            <w:tcW w:w="3360" w:type="dxa"/>
          </w:tcPr>
          <w:p w14:paraId="7FBC9085" w14:textId="77777777" w:rsidR="00494B49" w:rsidRDefault="00494B49">
            <w:r>
              <w:t>Total</w:t>
            </w:r>
          </w:p>
        </w:tc>
        <w:tc>
          <w:tcPr>
            <w:tcW w:w="3360" w:type="dxa"/>
          </w:tcPr>
          <w:p w14:paraId="00013C93" w14:textId="77777777" w:rsidR="00494B49" w:rsidRDefault="00494B49">
            <w:r>
              <w:t>$123,000</w:t>
            </w:r>
          </w:p>
        </w:tc>
        <w:tc>
          <w:tcPr>
            <w:tcW w:w="3360" w:type="dxa"/>
          </w:tcPr>
          <w:p w14:paraId="4A7D896D" w14:textId="77777777" w:rsidR="00494B49" w:rsidRDefault="00494B49">
            <w:r>
              <w:t>$135,000</w:t>
            </w:r>
          </w:p>
        </w:tc>
      </w:tr>
    </w:tbl>
    <w:p w14:paraId="2B30AEAE" w14:textId="77777777" w:rsidR="00494B49" w:rsidRDefault="00494B49">
      <w:pPr>
        <w:pStyle w:val="BNormal"/>
      </w:pPr>
      <w:r>
        <w:t xml:space="preserve"> </w:t>
      </w:r>
    </w:p>
    <w:p w14:paraId="05AA14F8" w14:textId="77777777" w:rsidR="00494B49" w:rsidRDefault="00494B49">
      <w:pPr>
        <w:pStyle w:val="BExamplepara"/>
      </w:pPr>
      <w:r>
        <w:lastRenderedPageBreak/>
        <w:t xml:space="preserve"> </w:t>
      </w:r>
      <w:r>
        <w:rPr>
          <w:i/>
        </w:rPr>
        <w:t>Step 2: Determine Distributable Net Income</w:t>
      </w:r>
    </w:p>
    <w:p w14:paraId="68F313B5" w14:textId="77777777" w:rsidR="00494B49" w:rsidRDefault="00494B49" w:rsidP="00144640">
      <w:pPr>
        <w:pStyle w:val="BExamplepara"/>
      </w:pPr>
      <w:r>
        <w:rPr>
          <w:rStyle w:val="BExamplehead"/>
          <w:rFonts w:eastAsiaTheme="minorHAnsi"/>
          <w:i/>
        </w:rPr>
        <w:t>Note:</w:t>
      </w:r>
      <w:r>
        <w:t xml:space="preserve"> The calculation is the same for both Trust A and Trust B. </w:t>
      </w:r>
    </w:p>
    <w:p w14:paraId="5047E7A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2"/>
        <w:gridCol w:w="3102"/>
        <w:gridCol w:w="3116"/>
      </w:tblGrid>
      <w:tr w:rsidR="00494B49" w14:paraId="2471C76D" w14:textId="77777777">
        <w:tc>
          <w:tcPr>
            <w:tcW w:w="3360" w:type="dxa"/>
          </w:tcPr>
          <w:p w14:paraId="718E2CBB" w14:textId="77777777" w:rsidR="00494B49" w:rsidRDefault="00494B49"/>
        </w:tc>
        <w:tc>
          <w:tcPr>
            <w:tcW w:w="3360" w:type="dxa"/>
          </w:tcPr>
          <w:p w14:paraId="7656FDF0" w14:textId="77777777" w:rsidR="00494B49" w:rsidRDefault="00494B49">
            <w:r>
              <w:t>Regular Tax</w:t>
            </w:r>
          </w:p>
        </w:tc>
        <w:tc>
          <w:tcPr>
            <w:tcW w:w="3360" w:type="dxa"/>
          </w:tcPr>
          <w:p w14:paraId="0258D1B5" w14:textId="77777777" w:rsidR="00494B49" w:rsidRDefault="00494B49">
            <w:r>
              <w:t>NII</w:t>
            </w:r>
          </w:p>
        </w:tc>
      </w:tr>
      <w:tr w:rsidR="00494B49" w14:paraId="0D2BBBBA" w14:textId="77777777">
        <w:tc>
          <w:tcPr>
            <w:tcW w:w="3360" w:type="dxa"/>
          </w:tcPr>
          <w:p w14:paraId="3BFC5CB1" w14:textId="77777777" w:rsidR="00494B49" w:rsidRDefault="00494B49">
            <w:r>
              <w:t xml:space="preserve">Start with Taxable </w:t>
            </w:r>
            <w:r>
              <w:br/>
              <w:t>Income</w:t>
            </w:r>
            <w:r>
              <w:rPr>
                <w:rStyle w:val="FootnoteReference"/>
              </w:rPr>
              <w:footnoteReference w:id="1085"/>
            </w:r>
          </w:p>
        </w:tc>
        <w:tc>
          <w:tcPr>
            <w:tcW w:w="3360" w:type="dxa"/>
          </w:tcPr>
          <w:p w14:paraId="5B7CD6B4" w14:textId="77777777" w:rsidR="00494B49" w:rsidRDefault="00494B49">
            <w:r>
              <w:t>$123,000</w:t>
            </w:r>
          </w:p>
        </w:tc>
        <w:tc>
          <w:tcPr>
            <w:tcW w:w="3360" w:type="dxa"/>
          </w:tcPr>
          <w:p w14:paraId="5F45A083" w14:textId="77777777" w:rsidR="00494B49" w:rsidRDefault="00494B49">
            <w:r>
              <w:t>$123,000</w:t>
            </w:r>
          </w:p>
        </w:tc>
      </w:tr>
      <w:tr w:rsidR="00494B49" w14:paraId="0A020D8B" w14:textId="77777777">
        <w:tc>
          <w:tcPr>
            <w:tcW w:w="3360" w:type="dxa"/>
          </w:tcPr>
          <w:p w14:paraId="61CD84E4" w14:textId="77777777" w:rsidR="00494B49" w:rsidRDefault="00494B49">
            <w:r>
              <w:t>Less: Capital Gain</w:t>
            </w:r>
            <w:r>
              <w:rPr>
                <w:rStyle w:val="FootnoteReference"/>
              </w:rPr>
              <w:footnoteReference w:id="1086"/>
            </w:r>
          </w:p>
        </w:tc>
        <w:tc>
          <w:tcPr>
            <w:tcW w:w="3360" w:type="dxa"/>
          </w:tcPr>
          <w:p w14:paraId="2470131E" w14:textId="77777777" w:rsidR="00494B49" w:rsidRDefault="00494B49">
            <w:r>
              <w:t>($20,000)</w:t>
            </w:r>
          </w:p>
        </w:tc>
        <w:tc>
          <w:tcPr>
            <w:tcW w:w="3360" w:type="dxa"/>
          </w:tcPr>
          <w:p w14:paraId="7A9A3C23" w14:textId="77777777" w:rsidR="00494B49" w:rsidRDefault="00494B49">
            <w:r>
              <w:t>($20,000)</w:t>
            </w:r>
          </w:p>
        </w:tc>
      </w:tr>
      <w:tr w:rsidR="00494B49" w14:paraId="67D9D7DF" w14:textId="77777777">
        <w:tc>
          <w:tcPr>
            <w:tcW w:w="3360" w:type="dxa"/>
          </w:tcPr>
          <w:p w14:paraId="0BCE46AB" w14:textId="77777777" w:rsidR="00494B49" w:rsidRDefault="00494B49">
            <w:r>
              <w:t xml:space="preserve">Distributable Net </w:t>
            </w:r>
            <w:r>
              <w:br/>
              <w:t>Income</w:t>
            </w:r>
          </w:p>
        </w:tc>
        <w:tc>
          <w:tcPr>
            <w:tcW w:w="3360" w:type="dxa"/>
          </w:tcPr>
          <w:p w14:paraId="0379D84E" w14:textId="77777777" w:rsidR="00494B49" w:rsidRDefault="00494B49">
            <w:r>
              <w:t>$103,000</w:t>
            </w:r>
          </w:p>
        </w:tc>
        <w:tc>
          <w:tcPr>
            <w:tcW w:w="3360" w:type="dxa"/>
          </w:tcPr>
          <w:p w14:paraId="746BD511" w14:textId="77777777" w:rsidR="00494B49" w:rsidRDefault="00494B49">
            <w:r>
              <w:t>$103,000</w:t>
            </w:r>
          </w:p>
        </w:tc>
      </w:tr>
      <w:tr w:rsidR="00494B49" w14:paraId="1E0FAEFD" w14:textId="77777777">
        <w:tc>
          <w:tcPr>
            <w:tcW w:w="3360" w:type="dxa"/>
          </w:tcPr>
          <w:p w14:paraId="2B3B7907" w14:textId="77777777" w:rsidR="00494B49" w:rsidRDefault="00494B49">
            <w:r>
              <w:t xml:space="preserve">Reg. </w:t>
            </w:r>
            <w:smartTag w:uri="http://www.bna.com/sgml2word/cite" w:element="cite.cfr">
              <w:smartTagPr>
                <w:attr w:name="ref" w:val="cfr\26\1.1411-10(f)"/>
              </w:smartTagPr>
              <w:r>
                <w:t>§1.1411-10(f)</w:t>
              </w:r>
            </w:smartTag>
            <w:r>
              <w:t xml:space="preserve"> Adjustment</w:t>
            </w:r>
          </w:p>
        </w:tc>
        <w:tc>
          <w:tcPr>
            <w:tcW w:w="3360" w:type="dxa"/>
          </w:tcPr>
          <w:p w14:paraId="239ED46A" w14:textId="77777777" w:rsidR="00494B49" w:rsidRDefault="00494B49">
            <w:r>
              <w:t>N/A</w:t>
            </w:r>
          </w:p>
        </w:tc>
        <w:tc>
          <w:tcPr>
            <w:tcW w:w="3360" w:type="dxa"/>
          </w:tcPr>
          <w:p w14:paraId="1F47BC4E" w14:textId="77777777" w:rsidR="00494B49" w:rsidRDefault="00494B49">
            <w:r>
              <w:t>$12,000</w:t>
            </w:r>
            <w:r>
              <w:rPr>
                <w:rStyle w:val="FootnoteReference"/>
              </w:rPr>
              <w:footnoteReference w:id="1087"/>
            </w:r>
          </w:p>
        </w:tc>
      </w:tr>
      <w:tr w:rsidR="00494B49" w14:paraId="13F64674" w14:textId="77777777">
        <w:tc>
          <w:tcPr>
            <w:tcW w:w="3360" w:type="dxa"/>
          </w:tcPr>
          <w:p w14:paraId="5AB8F1A8" w14:textId="77777777" w:rsidR="00494B49" w:rsidRDefault="00494B49">
            <w:r>
              <w:t>DNI for net investment income tax purposes</w:t>
            </w:r>
          </w:p>
        </w:tc>
        <w:tc>
          <w:tcPr>
            <w:tcW w:w="3360" w:type="dxa"/>
          </w:tcPr>
          <w:p w14:paraId="041B9A65" w14:textId="77777777" w:rsidR="00494B49" w:rsidRDefault="00494B49"/>
        </w:tc>
        <w:tc>
          <w:tcPr>
            <w:tcW w:w="3360" w:type="dxa"/>
          </w:tcPr>
          <w:p w14:paraId="31FEB86F" w14:textId="77777777" w:rsidR="00494B49" w:rsidRDefault="00494B49">
            <w:r>
              <w:t>$115,000</w:t>
            </w:r>
          </w:p>
        </w:tc>
      </w:tr>
    </w:tbl>
    <w:p w14:paraId="69F99898" w14:textId="77777777" w:rsidR="00494B49" w:rsidRDefault="00494B49">
      <w:pPr>
        <w:pStyle w:val="BNormal"/>
      </w:pPr>
    </w:p>
    <w:p w14:paraId="275FF1DC" w14:textId="77777777" w:rsidR="00494B49" w:rsidRDefault="00494B49">
      <w:pPr>
        <w:pStyle w:val="BExamplepara"/>
      </w:pPr>
      <w:r>
        <w:t xml:space="preserve"> </w:t>
      </w:r>
      <w:r>
        <w:rPr>
          <w:i/>
        </w:rPr>
        <w:t>Step 3: Determine Distribution Deduction</w:t>
      </w:r>
    </w:p>
    <w:p w14:paraId="26CE5B51" w14:textId="77777777" w:rsidR="00494B49" w:rsidRDefault="00494B49" w:rsidP="00144640">
      <w:pPr>
        <w:pStyle w:val="BExamplepara"/>
        <w:rPr>
          <w:i/>
        </w:rPr>
      </w:pPr>
      <w:r>
        <w:t xml:space="preserve"> </w:t>
      </w:r>
      <w:r>
        <w:rPr>
          <w:i/>
        </w:rPr>
        <w:t xml:space="preserve">Trust (A): Assume that Trust A distributes $100,000 to Beneficiary A. </w:t>
      </w:r>
    </w:p>
    <w:p w14:paraId="5591F67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4"/>
        <w:gridCol w:w="3108"/>
        <w:gridCol w:w="3108"/>
      </w:tblGrid>
      <w:tr w:rsidR="00494B49" w14:paraId="412ADDE9" w14:textId="77777777">
        <w:tc>
          <w:tcPr>
            <w:tcW w:w="3360" w:type="dxa"/>
          </w:tcPr>
          <w:p w14:paraId="5BA8E402" w14:textId="77777777" w:rsidR="00494B49" w:rsidRDefault="00494B49"/>
        </w:tc>
        <w:tc>
          <w:tcPr>
            <w:tcW w:w="3360" w:type="dxa"/>
          </w:tcPr>
          <w:p w14:paraId="79400414" w14:textId="77777777" w:rsidR="00494B49" w:rsidRDefault="00494B49">
            <w:r>
              <w:t>Regular Tax</w:t>
            </w:r>
          </w:p>
        </w:tc>
        <w:tc>
          <w:tcPr>
            <w:tcW w:w="3360" w:type="dxa"/>
          </w:tcPr>
          <w:p w14:paraId="27E96DED" w14:textId="77777777" w:rsidR="00494B49" w:rsidRDefault="00494B49">
            <w:r>
              <w:t>NII</w:t>
            </w:r>
          </w:p>
        </w:tc>
      </w:tr>
      <w:tr w:rsidR="00494B49" w14:paraId="4DE97B64" w14:textId="77777777">
        <w:tc>
          <w:tcPr>
            <w:tcW w:w="3360" w:type="dxa"/>
          </w:tcPr>
          <w:p w14:paraId="2490120E" w14:textId="77777777" w:rsidR="00494B49" w:rsidRDefault="00494B49">
            <w:r>
              <w:t>Distributable Net Income</w:t>
            </w:r>
          </w:p>
        </w:tc>
        <w:tc>
          <w:tcPr>
            <w:tcW w:w="3360" w:type="dxa"/>
          </w:tcPr>
          <w:p w14:paraId="461177D4" w14:textId="77777777" w:rsidR="00494B49" w:rsidRDefault="00494B49">
            <w:r>
              <w:t>$103,000</w:t>
            </w:r>
          </w:p>
        </w:tc>
        <w:tc>
          <w:tcPr>
            <w:tcW w:w="3360" w:type="dxa"/>
          </w:tcPr>
          <w:p w14:paraId="272EEA91" w14:textId="77777777" w:rsidR="00494B49" w:rsidRDefault="00494B49">
            <w:r>
              <w:t>$115,000</w:t>
            </w:r>
          </w:p>
        </w:tc>
      </w:tr>
      <w:tr w:rsidR="00494B49" w14:paraId="4AA6C0E3" w14:textId="77777777">
        <w:tc>
          <w:tcPr>
            <w:tcW w:w="3360" w:type="dxa"/>
          </w:tcPr>
          <w:p w14:paraId="112F8672" w14:textId="77777777" w:rsidR="00494B49" w:rsidRDefault="00494B49">
            <w:r>
              <w:t>Distribution</w:t>
            </w:r>
          </w:p>
        </w:tc>
        <w:tc>
          <w:tcPr>
            <w:tcW w:w="3360" w:type="dxa"/>
          </w:tcPr>
          <w:p w14:paraId="67457218" w14:textId="77777777" w:rsidR="00494B49" w:rsidRDefault="00494B49">
            <w:r>
              <w:t>($100,000)</w:t>
            </w:r>
          </w:p>
        </w:tc>
        <w:tc>
          <w:tcPr>
            <w:tcW w:w="3360" w:type="dxa"/>
          </w:tcPr>
          <w:p w14:paraId="6E36E2C6" w14:textId="77777777" w:rsidR="00494B49" w:rsidRDefault="00494B49">
            <w:r>
              <w:t>($110,000)</w:t>
            </w:r>
          </w:p>
        </w:tc>
      </w:tr>
      <w:tr w:rsidR="00494B49" w14:paraId="64C52AD4" w14:textId="77777777">
        <w:tc>
          <w:tcPr>
            <w:tcW w:w="3360" w:type="dxa"/>
          </w:tcPr>
          <w:p w14:paraId="7A42A126" w14:textId="77777777" w:rsidR="00494B49" w:rsidRDefault="00494B49">
            <w:r>
              <w:t xml:space="preserve">Undistributed Income </w:t>
            </w:r>
          </w:p>
        </w:tc>
        <w:tc>
          <w:tcPr>
            <w:tcW w:w="3360" w:type="dxa"/>
          </w:tcPr>
          <w:p w14:paraId="692D2317" w14:textId="77777777" w:rsidR="00494B49" w:rsidRDefault="00494B49">
            <w:r>
              <w:t>$3,000</w:t>
            </w:r>
          </w:p>
        </w:tc>
        <w:tc>
          <w:tcPr>
            <w:tcW w:w="3360" w:type="dxa"/>
          </w:tcPr>
          <w:p w14:paraId="03A825F7" w14:textId="77777777" w:rsidR="00494B49" w:rsidRDefault="00494B49">
            <w:r>
              <w:t>$15,000</w:t>
            </w:r>
          </w:p>
        </w:tc>
      </w:tr>
    </w:tbl>
    <w:p w14:paraId="7B08E665" w14:textId="77777777" w:rsidR="00494B49" w:rsidRDefault="00494B49">
      <w:pPr>
        <w:pStyle w:val="BNormal"/>
      </w:pPr>
    </w:p>
    <w:p w14:paraId="1F7BB9AA" w14:textId="77777777" w:rsidR="00494B49" w:rsidRDefault="00494B49">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($100,000). So even though Reg. </w:t>
      </w:r>
      <w:smartTag w:uri="http://www.bna.com/sgml2word/cite" w:element="cite.cfr">
        <w:smartTagPr>
          <w:attr w:name="ref" w:val="cfr\26\1.1411-10(f)"/>
        </w:smartTagPr>
        <w:r>
          <w:t>§1.1411-10(f)</w:t>
        </w:r>
      </w:smartTag>
      <w:r>
        <w:t xml:space="preserve"> increased DNI for net investment income tax purposes by $12,000, it did not change the calculation.</w:t>
      </w:r>
    </w:p>
    <w:p w14:paraId="688E63BB" w14:textId="77777777" w:rsidR="00494B49" w:rsidRDefault="00494B49" w:rsidP="00144640">
      <w:pPr>
        <w:pStyle w:val="BExamplepara"/>
        <w:rPr>
          <w:i/>
        </w:rPr>
      </w:pPr>
      <w:r>
        <w:t xml:space="preserve"> </w:t>
      </w:r>
      <w:r>
        <w:rPr>
          <w:i/>
        </w:rPr>
        <w:t xml:space="preserve">Trust (B): Assume that Trust B distributes $110,000 to Beneficiary B. </w:t>
      </w:r>
    </w:p>
    <w:p w14:paraId="3994E6E2"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4"/>
        <w:gridCol w:w="3108"/>
        <w:gridCol w:w="3108"/>
      </w:tblGrid>
      <w:tr w:rsidR="00494B49" w14:paraId="621630AE" w14:textId="77777777">
        <w:tc>
          <w:tcPr>
            <w:tcW w:w="3360" w:type="dxa"/>
          </w:tcPr>
          <w:p w14:paraId="206A3FCC" w14:textId="77777777" w:rsidR="00494B49" w:rsidRDefault="00494B49"/>
        </w:tc>
        <w:tc>
          <w:tcPr>
            <w:tcW w:w="3360" w:type="dxa"/>
          </w:tcPr>
          <w:p w14:paraId="271E4AD4" w14:textId="77777777" w:rsidR="00494B49" w:rsidRDefault="00494B49">
            <w:r>
              <w:t>Regular Tax</w:t>
            </w:r>
          </w:p>
        </w:tc>
        <w:tc>
          <w:tcPr>
            <w:tcW w:w="3360" w:type="dxa"/>
          </w:tcPr>
          <w:p w14:paraId="50297910" w14:textId="77777777" w:rsidR="00494B49" w:rsidRDefault="00494B49">
            <w:r>
              <w:t>NII</w:t>
            </w:r>
          </w:p>
        </w:tc>
      </w:tr>
      <w:tr w:rsidR="00494B49" w14:paraId="54B7E58E" w14:textId="77777777">
        <w:tc>
          <w:tcPr>
            <w:tcW w:w="3360" w:type="dxa"/>
          </w:tcPr>
          <w:p w14:paraId="08566333" w14:textId="77777777" w:rsidR="00494B49" w:rsidRDefault="00494B49">
            <w:r>
              <w:t>Distributable Net Income</w:t>
            </w:r>
          </w:p>
        </w:tc>
        <w:tc>
          <w:tcPr>
            <w:tcW w:w="3360" w:type="dxa"/>
          </w:tcPr>
          <w:p w14:paraId="752842C9" w14:textId="77777777" w:rsidR="00494B49" w:rsidRDefault="00494B49">
            <w:r>
              <w:t>$103,000</w:t>
            </w:r>
          </w:p>
        </w:tc>
        <w:tc>
          <w:tcPr>
            <w:tcW w:w="3360" w:type="dxa"/>
          </w:tcPr>
          <w:p w14:paraId="2497201E" w14:textId="77777777" w:rsidR="00494B49" w:rsidRDefault="00494B49">
            <w:r>
              <w:t>$115,000</w:t>
            </w:r>
          </w:p>
        </w:tc>
      </w:tr>
      <w:tr w:rsidR="00494B49" w14:paraId="5CE30D89" w14:textId="77777777">
        <w:tc>
          <w:tcPr>
            <w:tcW w:w="3360" w:type="dxa"/>
          </w:tcPr>
          <w:p w14:paraId="2DEE5D71" w14:textId="77777777" w:rsidR="00494B49" w:rsidRDefault="00494B49">
            <w:r>
              <w:t>Distribution</w:t>
            </w:r>
          </w:p>
        </w:tc>
        <w:tc>
          <w:tcPr>
            <w:tcW w:w="3360" w:type="dxa"/>
          </w:tcPr>
          <w:p w14:paraId="2C837E43" w14:textId="77777777" w:rsidR="00494B49" w:rsidRDefault="00494B49">
            <w:r>
              <w:t>($103,000)</w:t>
            </w:r>
          </w:p>
        </w:tc>
        <w:tc>
          <w:tcPr>
            <w:tcW w:w="3360" w:type="dxa"/>
          </w:tcPr>
          <w:p w14:paraId="4B8F8B62" w14:textId="77777777" w:rsidR="00494B49" w:rsidRDefault="00494B49">
            <w:r>
              <w:t>($100,000)</w:t>
            </w:r>
          </w:p>
        </w:tc>
      </w:tr>
      <w:tr w:rsidR="00494B49" w14:paraId="6F6CDF0A" w14:textId="77777777">
        <w:tc>
          <w:tcPr>
            <w:tcW w:w="3360" w:type="dxa"/>
          </w:tcPr>
          <w:p w14:paraId="0D8B1FEF" w14:textId="77777777" w:rsidR="00494B49" w:rsidRDefault="00494B49">
            <w:r>
              <w:t xml:space="preserve">Undistributed Income </w:t>
            </w:r>
          </w:p>
        </w:tc>
        <w:tc>
          <w:tcPr>
            <w:tcW w:w="3360" w:type="dxa"/>
          </w:tcPr>
          <w:p w14:paraId="2D54BB2A" w14:textId="77777777" w:rsidR="00494B49" w:rsidRDefault="00494B49">
            <w:r>
              <w:t>$0</w:t>
            </w:r>
          </w:p>
        </w:tc>
        <w:tc>
          <w:tcPr>
            <w:tcW w:w="3360" w:type="dxa"/>
          </w:tcPr>
          <w:p w14:paraId="269CFB99" w14:textId="77777777" w:rsidR="00494B49" w:rsidRDefault="00494B49">
            <w:r>
              <w:t>$5,000</w:t>
            </w:r>
          </w:p>
        </w:tc>
      </w:tr>
    </w:tbl>
    <w:p w14:paraId="3EB58742" w14:textId="77777777" w:rsidR="00494B49" w:rsidRDefault="00494B49">
      <w:pPr>
        <w:pStyle w:val="BNormal"/>
      </w:pPr>
    </w:p>
    <w:p w14:paraId="5512B5EF" w14:textId="77777777" w:rsidR="00494B49" w:rsidRDefault="00494B49">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($110,000). Because Reg. </w:t>
      </w:r>
      <w:smartTag w:uri="http://www.bna.com/sgml2word/cite" w:element="cite.cfr">
        <w:smartTagPr>
          <w:attr w:name="ref" w:val="cfr\26\1.1411-10(f)"/>
        </w:smartTagPr>
        <w:r>
          <w:t>§1.1411-10(f)</w:t>
        </w:r>
      </w:smartTag>
      <w:r>
        <w:t xml:space="preserve"> increased DNI for net investment income tax purposes by $12,000, the amount of income that </w:t>
      </w:r>
      <w:r>
        <w:rPr>
          <w:i/>
        </w:rPr>
        <w:t>would</w:t>
      </w:r>
      <w:r>
        <w:t xml:space="preserve"> have </w:t>
      </w:r>
      <w:r>
        <w:lastRenderedPageBreak/>
        <w:t xml:space="preserve">been deductible by the trust for regular income tax purposes ($103,000) is increased by $12,000. The adjusted DNI is now $115,000, but is limited to the amount actually distributed, or $110,000. There is no example in Reg. </w:t>
      </w:r>
      <w:smartTag w:uri="http://www.bna.com/sgml2word/cite" w:element="cite.cfr">
        <w:smartTagPr>
          <w:attr w:name="ref" w:val="cfr\26\1.1411-3(e)(5)"/>
        </w:smartTagPr>
        <w:r>
          <w:t>§1.1411-3(e)(5)</w:t>
        </w:r>
      </w:smartTag>
      <w:r>
        <w:t xml:space="preserve"> or </w:t>
      </w:r>
      <w:smartTag w:uri="http://www.bna.com/sgml2word/cite" w:element="cite.cfr">
        <w:smartTagPr>
          <w:attr w:name="ref" w:val="cfr\26\1.1411-10(h)"/>
        </w:smartTagPr>
        <w:r>
          <w:t>§1.1411-10(h)</w:t>
        </w:r>
      </w:smartTag>
      <w:r>
        <w:t xml:space="preserve"> that illustrates this point, but this example illustrates the intent behind Reg. </w:t>
      </w:r>
      <w:smartTag w:uri="http://www.bna.com/sgml2word/cite" w:element="cite.cfr">
        <w:smartTagPr>
          <w:attr w:name="ref" w:val="cfr\26\1.1411-10(f)"/>
        </w:smartTagPr>
        <w:r>
          <w:t>§1.1411-10(f)</w:t>
        </w:r>
      </w:smartTag>
      <w:r>
        <w:t xml:space="preserve"> when it states that a taxpayer is to </w:t>
      </w:r>
      <w:r>
        <w:rPr>
          <w:i/>
        </w:rPr>
        <w:t xml:space="preserve">take those amounts into account in a manner reasonably consistent with the general operating rules for estates and trusts in Reg. </w:t>
      </w:r>
      <w:smartTag w:uri="http://www.bna.com/sgml2word/cite" w:element="cite.cfr">
        <w:smartTagPr>
          <w:attr w:name="ref" w:val="cfr\26\1.1411-3"/>
        </w:smartTagPr>
        <w:r>
          <w:rPr>
            <w:i/>
          </w:rPr>
          <w:t>§1.1411-3</w:t>
        </w:r>
      </w:smartTag>
      <w:r>
        <w:rPr>
          <w:i/>
        </w:rPr>
        <w:t xml:space="preserve"> and Subchapter J in computing the undistributed net investment income of the estate or trust and the net investment income of the beneficiaries</w:t>
      </w:r>
      <w:r>
        <w:t>.</w:t>
      </w:r>
    </w:p>
    <w:p w14:paraId="49DA6C30" w14:textId="77777777" w:rsidR="00494B49" w:rsidRDefault="00494B49" w:rsidP="00144640">
      <w:pPr>
        <w:pStyle w:val="BExamplepara"/>
        <w:rPr>
          <w:i/>
        </w:rPr>
      </w:pPr>
      <w:r>
        <w:t xml:space="preserve"> </w:t>
      </w:r>
      <w:r>
        <w:rPr>
          <w:i/>
        </w:rPr>
        <w:t xml:space="preserve">Step 4: Determine Modified Adjusted Gross Income </w:t>
      </w:r>
    </w:p>
    <w:p w14:paraId="5B75498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154"/>
        <w:gridCol w:w="2107"/>
        <w:gridCol w:w="2107"/>
        <w:gridCol w:w="1491"/>
        <w:gridCol w:w="1491"/>
      </w:tblGrid>
      <w:tr w:rsidR="00494B49" w14:paraId="75FA4DBB" w14:textId="77777777">
        <w:trPr>
          <w:gridAfter w:val="2"/>
          <w:wAfter w:w="4032" w:type="dxa"/>
        </w:trPr>
        <w:tc>
          <w:tcPr>
            <w:tcW w:w="3360" w:type="dxa"/>
          </w:tcPr>
          <w:p w14:paraId="3D927C96" w14:textId="77777777" w:rsidR="00494B49" w:rsidRDefault="00494B49"/>
        </w:tc>
        <w:tc>
          <w:tcPr>
            <w:tcW w:w="3360" w:type="dxa"/>
          </w:tcPr>
          <w:p w14:paraId="37C25757" w14:textId="77777777" w:rsidR="00494B49" w:rsidRDefault="00494B49">
            <w:r>
              <w:t xml:space="preserve"> </w:t>
            </w:r>
            <w:r>
              <w:rPr>
                <w:b/>
              </w:rPr>
              <w:t>Trust A</w:t>
            </w:r>
          </w:p>
        </w:tc>
        <w:tc>
          <w:tcPr>
            <w:tcW w:w="3360" w:type="dxa"/>
          </w:tcPr>
          <w:p w14:paraId="359D7E12" w14:textId="77777777" w:rsidR="00494B49" w:rsidRDefault="00494B49">
            <w:r>
              <w:t xml:space="preserve"> </w:t>
            </w:r>
            <w:r>
              <w:rPr>
                <w:b/>
              </w:rPr>
              <w:t>Trust B</w:t>
            </w:r>
          </w:p>
        </w:tc>
      </w:tr>
      <w:tr w:rsidR="00494B49" w14:paraId="3A1F2DED" w14:textId="77777777">
        <w:tc>
          <w:tcPr>
            <w:tcW w:w="2016" w:type="dxa"/>
          </w:tcPr>
          <w:p w14:paraId="1E84ECEE" w14:textId="77777777" w:rsidR="00494B49" w:rsidRDefault="00494B49"/>
        </w:tc>
        <w:tc>
          <w:tcPr>
            <w:tcW w:w="2016" w:type="dxa"/>
          </w:tcPr>
          <w:p w14:paraId="6C8232CF" w14:textId="77777777" w:rsidR="00494B49" w:rsidRDefault="00494B49">
            <w:r>
              <w:t>Regular Tax</w:t>
            </w:r>
          </w:p>
        </w:tc>
        <w:tc>
          <w:tcPr>
            <w:tcW w:w="2016" w:type="dxa"/>
          </w:tcPr>
          <w:p w14:paraId="59E432EC" w14:textId="77777777" w:rsidR="00494B49" w:rsidRDefault="00494B49">
            <w:r>
              <w:t>NII</w:t>
            </w:r>
          </w:p>
        </w:tc>
        <w:tc>
          <w:tcPr>
            <w:tcW w:w="2016" w:type="dxa"/>
          </w:tcPr>
          <w:p w14:paraId="22826E2A" w14:textId="77777777" w:rsidR="00494B49" w:rsidRDefault="00494B49">
            <w:r>
              <w:t>Regular Tax</w:t>
            </w:r>
          </w:p>
        </w:tc>
        <w:tc>
          <w:tcPr>
            <w:tcW w:w="2016" w:type="dxa"/>
          </w:tcPr>
          <w:p w14:paraId="00C9005A" w14:textId="77777777" w:rsidR="00494B49" w:rsidRDefault="00494B49">
            <w:r>
              <w:t>NII</w:t>
            </w:r>
          </w:p>
        </w:tc>
      </w:tr>
      <w:tr w:rsidR="00494B49" w14:paraId="5090AF70" w14:textId="77777777">
        <w:tc>
          <w:tcPr>
            <w:tcW w:w="2016" w:type="dxa"/>
          </w:tcPr>
          <w:p w14:paraId="59319D89" w14:textId="77777777" w:rsidR="00494B49" w:rsidRDefault="00494B49">
            <w:r>
              <w:t>Total Income</w:t>
            </w:r>
          </w:p>
        </w:tc>
        <w:tc>
          <w:tcPr>
            <w:tcW w:w="2016" w:type="dxa"/>
          </w:tcPr>
          <w:p w14:paraId="5F757E2A" w14:textId="77777777" w:rsidR="00494B49" w:rsidRDefault="00494B49">
            <w:r>
              <w:t>$123,000</w:t>
            </w:r>
          </w:p>
        </w:tc>
        <w:tc>
          <w:tcPr>
            <w:tcW w:w="2016" w:type="dxa"/>
          </w:tcPr>
          <w:p w14:paraId="3975F297" w14:textId="77777777" w:rsidR="00494B49" w:rsidRDefault="00494B49">
            <w:r>
              <w:t>$123,000</w:t>
            </w:r>
          </w:p>
        </w:tc>
        <w:tc>
          <w:tcPr>
            <w:tcW w:w="2016" w:type="dxa"/>
          </w:tcPr>
          <w:p w14:paraId="7CE862D1" w14:textId="77777777" w:rsidR="00494B49" w:rsidRDefault="00494B49">
            <w:r>
              <w:t>$123,000</w:t>
            </w:r>
          </w:p>
        </w:tc>
        <w:tc>
          <w:tcPr>
            <w:tcW w:w="2016" w:type="dxa"/>
          </w:tcPr>
          <w:p w14:paraId="7A23F591" w14:textId="77777777" w:rsidR="00494B49" w:rsidRDefault="00494B49">
            <w:r>
              <w:t>$123,000</w:t>
            </w:r>
          </w:p>
        </w:tc>
      </w:tr>
      <w:tr w:rsidR="00494B49" w14:paraId="06E552C9" w14:textId="77777777">
        <w:tc>
          <w:tcPr>
            <w:tcW w:w="2016" w:type="dxa"/>
          </w:tcPr>
          <w:p w14:paraId="59A74DF4" w14:textId="77777777" w:rsidR="00494B49" w:rsidRDefault="00494B49">
            <w:r>
              <w:t xml:space="preserve">MAGI Increase </w:t>
            </w:r>
          </w:p>
        </w:tc>
        <w:tc>
          <w:tcPr>
            <w:tcW w:w="2016" w:type="dxa"/>
          </w:tcPr>
          <w:p w14:paraId="0266638F" w14:textId="77777777" w:rsidR="00494B49" w:rsidRDefault="00494B49"/>
        </w:tc>
        <w:tc>
          <w:tcPr>
            <w:tcW w:w="2016" w:type="dxa"/>
          </w:tcPr>
          <w:p w14:paraId="2D06173A" w14:textId="77777777" w:rsidR="00494B49" w:rsidRDefault="00494B49">
            <w:r>
              <w:t>$12,000</w:t>
            </w:r>
          </w:p>
        </w:tc>
        <w:tc>
          <w:tcPr>
            <w:tcW w:w="2016" w:type="dxa"/>
          </w:tcPr>
          <w:p w14:paraId="5DB5E157" w14:textId="77777777" w:rsidR="00494B49" w:rsidRDefault="00494B49"/>
        </w:tc>
        <w:tc>
          <w:tcPr>
            <w:tcW w:w="2016" w:type="dxa"/>
          </w:tcPr>
          <w:p w14:paraId="2592AC36" w14:textId="77777777" w:rsidR="00494B49" w:rsidRDefault="00494B49">
            <w:r>
              <w:t>$5,000</w:t>
            </w:r>
          </w:p>
        </w:tc>
      </w:tr>
      <w:tr w:rsidR="00494B49" w14:paraId="321791B0" w14:textId="77777777">
        <w:tc>
          <w:tcPr>
            <w:tcW w:w="2016" w:type="dxa"/>
          </w:tcPr>
          <w:p w14:paraId="26A5A138" w14:textId="77777777" w:rsidR="00494B49" w:rsidRDefault="00494B49">
            <w:r>
              <w:t>Distribution Deduction</w:t>
            </w:r>
          </w:p>
        </w:tc>
        <w:tc>
          <w:tcPr>
            <w:tcW w:w="2016" w:type="dxa"/>
          </w:tcPr>
          <w:p w14:paraId="3B269DA9" w14:textId="77777777" w:rsidR="00494B49" w:rsidRDefault="00494B49">
            <w:r>
              <w:t>($100,000)</w:t>
            </w:r>
          </w:p>
        </w:tc>
        <w:tc>
          <w:tcPr>
            <w:tcW w:w="2016" w:type="dxa"/>
          </w:tcPr>
          <w:p w14:paraId="537B3EB3" w14:textId="77777777" w:rsidR="00494B49" w:rsidRDefault="00494B49">
            <w:r>
              <w:t>($100,000)</w:t>
            </w:r>
          </w:p>
        </w:tc>
        <w:tc>
          <w:tcPr>
            <w:tcW w:w="2016" w:type="dxa"/>
          </w:tcPr>
          <w:p w14:paraId="3A213EDB" w14:textId="77777777" w:rsidR="00494B49" w:rsidRDefault="00494B49">
            <w:r>
              <w:t>($103,000)</w:t>
            </w:r>
          </w:p>
        </w:tc>
        <w:tc>
          <w:tcPr>
            <w:tcW w:w="2016" w:type="dxa"/>
          </w:tcPr>
          <w:p w14:paraId="28752BA1" w14:textId="77777777" w:rsidR="00494B49" w:rsidRDefault="00494B49">
            <w:r>
              <w:t>($103,000)</w:t>
            </w:r>
          </w:p>
        </w:tc>
      </w:tr>
      <w:tr w:rsidR="00494B49" w14:paraId="4B14B1B2" w14:textId="77777777">
        <w:tc>
          <w:tcPr>
            <w:tcW w:w="2016" w:type="dxa"/>
          </w:tcPr>
          <w:p w14:paraId="4D3CCA61" w14:textId="77777777" w:rsidR="00494B49" w:rsidRDefault="00494B49">
            <w:r>
              <w:t xml:space="preserve">AGI / MAGI </w:t>
            </w:r>
          </w:p>
        </w:tc>
        <w:tc>
          <w:tcPr>
            <w:tcW w:w="2016" w:type="dxa"/>
          </w:tcPr>
          <w:p w14:paraId="302CC2FB" w14:textId="77777777" w:rsidR="00494B49" w:rsidRDefault="00494B49">
            <w:r>
              <w:t>$23,000</w:t>
            </w:r>
          </w:p>
        </w:tc>
        <w:tc>
          <w:tcPr>
            <w:tcW w:w="2016" w:type="dxa"/>
          </w:tcPr>
          <w:p w14:paraId="4040E58F" w14:textId="77777777" w:rsidR="00494B49" w:rsidRDefault="00494B49">
            <w:r>
              <w:t>$35,000</w:t>
            </w:r>
          </w:p>
        </w:tc>
        <w:tc>
          <w:tcPr>
            <w:tcW w:w="2016" w:type="dxa"/>
          </w:tcPr>
          <w:p w14:paraId="14B378A4" w14:textId="77777777" w:rsidR="00494B49" w:rsidRDefault="00494B49">
            <w:r>
              <w:t>$20,000</w:t>
            </w:r>
          </w:p>
        </w:tc>
        <w:tc>
          <w:tcPr>
            <w:tcW w:w="2016" w:type="dxa"/>
          </w:tcPr>
          <w:p w14:paraId="4427EF50" w14:textId="77777777" w:rsidR="00494B49" w:rsidRDefault="00494B49">
            <w:r>
              <w:t>$25,000</w:t>
            </w:r>
          </w:p>
        </w:tc>
      </w:tr>
    </w:tbl>
    <w:p w14:paraId="73F1C723" w14:textId="77777777" w:rsidR="00494B49" w:rsidRDefault="00494B49">
      <w:pPr>
        <w:pStyle w:val="BNormal"/>
      </w:pPr>
    </w:p>
    <w:p w14:paraId="1D7182E0" w14:textId="77777777" w:rsidR="00494B49" w:rsidRDefault="00494B49">
      <w:pPr>
        <w:pStyle w:val="BExamplepara"/>
      </w:pPr>
      <w:r>
        <w:t xml:space="preserve">In the case of Trust B, the MAGI increase attributable to the </w:t>
      </w:r>
      <w:smartTag w:uri="http://www.bna.com/sgml2word/cite" w:element="cite.usc">
        <w:smartTagPr>
          <w:attr w:name="ref" w:val="USC\26\1291"/>
        </w:smartTagPr>
        <w:r>
          <w:t>§1291</w:t>
        </w:r>
      </w:smartTag>
      <w:r>
        <w:t xml:space="preserve"> Fund is only $5,000. Intuitively, one might think it should mirror Trust A. However Reg. </w:t>
      </w:r>
      <w:smartTag w:uri="http://www.bna.com/sgml2word/cite" w:element="cite.cfr">
        <w:smartTagPr>
          <w:attr w:name="ref" w:val="cfr\26\1.1411-10(e)(2)"/>
        </w:smartTagPr>
        <w:r>
          <w:t>§1.1411-10(e)(2)</w:t>
        </w:r>
      </w:smartTag>
      <w:r>
        <w:t xml:space="preserve"> provides that the trust only increases MAGI by amounts that are not distributed to the beneficiary.</w:t>
      </w:r>
      <w:r>
        <w:rPr>
          <w:rStyle w:val="FootnoteReference"/>
        </w:rPr>
        <w:footnoteReference w:id="1088"/>
      </w:r>
      <w:r>
        <w:t xml:space="preserve"> In this case, Trust B distributed $7,000 of the excess distribution to the beneficiary (the difference between the $103,000 deduction for regular tax purposes and $110,000 for net investment income tax purposes), and thus the MAGI increase is only $5,000 ($12,000 less $7,000 distributed). </w:t>
      </w:r>
    </w:p>
    <w:p w14:paraId="26B69A47" w14:textId="77777777" w:rsidR="00494B49" w:rsidRDefault="00494B49" w:rsidP="00144640">
      <w:pPr>
        <w:pStyle w:val="BExamplepara"/>
        <w:rPr>
          <w:i/>
        </w:rPr>
      </w:pPr>
      <w:r>
        <w:t xml:space="preserve"> </w:t>
      </w:r>
      <w:r>
        <w:rPr>
          <w:i/>
        </w:rPr>
        <w:t>Step 5: Calculate Trust’s Net Investment Income Tax</w:t>
      </w:r>
    </w:p>
    <w:p w14:paraId="4649538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242"/>
        <w:gridCol w:w="2061"/>
        <w:gridCol w:w="2113"/>
        <w:gridCol w:w="1441"/>
        <w:gridCol w:w="1493"/>
      </w:tblGrid>
      <w:tr w:rsidR="00494B49" w14:paraId="4DD72495" w14:textId="77777777">
        <w:trPr>
          <w:gridAfter w:val="2"/>
          <w:wAfter w:w="4032" w:type="dxa"/>
        </w:trPr>
        <w:tc>
          <w:tcPr>
            <w:tcW w:w="3360" w:type="dxa"/>
          </w:tcPr>
          <w:p w14:paraId="06167C06" w14:textId="77777777" w:rsidR="00494B49" w:rsidRDefault="00494B49"/>
        </w:tc>
        <w:tc>
          <w:tcPr>
            <w:tcW w:w="3360" w:type="dxa"/>
          </w:tcPr>
          <w:p w14:paraId="27A0B013" w14:textId="77777777" w:rsidR="00494B49" w:rsidRDefault="00494B49">
            <w:r>
              <w:t xml:space="preserve"> </w:t>
            </w:r>
            <w:r>
              <w:rPr>
                <w:b/>
              </w:rPr>
              <w:t>Trust A</w:t>
            </w:r>
          </w:p>
        </w:tc>
        <w:tc>
          <w:tcPr>
            <w:tcW w:w="3360" w:type="dxa"/>
          </w:tcPr>
          <w:p w14:paraId="5A8F7DBA" w14:textId="77777777" w:rsidR="00494B49" w:rsidRDefault="00494B49">
            <w:r>
              <w:t xml:space="preserve"> </w:t>
            </w:r>
            <w:r>
              <w:rPr>
                <w:b/>
              </w:rPr>
              <w:t>Trust B</w:t>
            </w:r>
          </w:p>
        </w:tc>
      </w:tr>
      <w:tr w:rsidR="00494B49" w14:paraId="7DF7E2DE" w14:textId="77777777">
        <w:tc>
          <w:tcPr>
            <w:tcW w:w="2016" w:type="dxa"/>
          </w:tcPr>
          <w:p w14:paraId="51A34411" w14:textId="77777777" w:rsidR="00494B49" w:rsidRDefault="00494B49"/>
        </w:tc>
        <w:tc>
          <w:tcPr>
            <w:tcW w:w="2016" w:type="dxa"/>
          </w:tcPr>
          <w:p w14:paraId="7F771524" w14:textId="77777777" w:rsidR="00494B49" w:rsidRDefault="00494B49">
            <w:r>
              <w:t>MAGI</w:t>
            </w:r>
          </w:p>
        </w:tc>
        <w:tc>
          <w:tcPr>
            <w:tcW w:w="2016" w:type="dxa"/>
          </w:tcPr>
          <w:p w14:paraId="16730589" w14:textId="77777777" w:rsidR="00494B49" w:rsidRDefault="00494B49">
            <w:r>
              <w:t>NII</w:t>
            </w:r>
          </w:p>
        </w:tc>
        <w:tc>
          <w:tcPr>
            <w:tcW w:w="2016" w:type="dxa"/>
          </w:tcPr>
          <w:p w14:paraId="55A80B32" w14:textId="77777777" w:rsidR="00494B49" w:rsidRDefault="00494B49">
            <w:r>
              <w:t>MAGI</w:t>
            </w:r>
          </w:p>
        </w:tc>
        <w:tc>
          <w:tcPr>
            <w:tcW w:w="2016" w:type="dxa"/>
          </w:tcPr>
          <w:p w14:paraId="2AC2605F" w14:textId="77777777" w:rsidR="00494B49" w:rsidRDefault="00494B49">
            <w:r>
              <w:t>NII</w:t>
            </w:r>
          </w:p>
        </w:tc>
      </w:tr>
      <w:tr w:rsidR="00494B49" w14:paraId="32269D7C" w14:textId="77777777">
        <w:tc>
          <w:tcPr>
            <w:tcW w:w="2016" w:type="dxa"/>
          </w:tcPr>
          <w:p w14:paraId="29C74DFE" w14:textId="77777777" w:rsidR="00494B49" w:rsidRDefault="00494B49">
            <w:r>
              <w:t>MAGI</w:t>
            </w:r>
          </w:p>
        </w:tc>
        <w:tc>
          <w:tcPr>
            <w:tcW w:w="2016" w:type="dxa"/>
          </w:tcPr>
          <w:p w14:paraId="5E07E01D" w14:textId="77777777" w:rsidR="00494B49" w:rsidRDefault="00494B49">
            <w:r>
              <w:t>$35,000</w:t>
            </w:r>
          </w:p>
        </w:tc>
        <w:tc>
          <w:tcPr>
            <w:tcW w:w="2016" w:type="dxa"/>
          </w:tcPr>
          <w:p w14:paraId="6F2DA661" w14:textId="77777777" w:rsidR="00494B49" w:rsidRDefault="00494B49"/>
        </w:tc>
        <w:tc>
          <w:tcPr>
            <w:tcW w:w="2016" w:type="dxa"/>
          </w:tcPr>
          <w:p w14:paraId="4554BC04" w14:textId="77777777" w:rsidR="00494B49" w:rsidRDefault="00494B49">
            <w:r>
              <w:t>$25,000</w:t>
            </w:r>
          </w:p>
        </w:tc>
        <w:tc>
          <w:tcPr>
            <w:tcW w:w="2016" w:type="dxa"/>
          </w:tcPr>
          <w:p w14:paraId="5EBDCB21" w14:textId="77777777" w:rsidR="00494B49" w:rsidRDefault="00494B49"/>
        </w:tc>
      </w:tr>
      <w:tr w:rsidR="00494B49" w14:paraId="29B5BD69" w14:textId="77777777">
        <w:tc>
          <w:tcPr>
            <w:tcW w:w="2016" w:type="dxa"/>
          </w:tcPr>
          <w:p w14:paraId="0E74787D" w14:textId="77777777" w:rsidR="00494B49" w:rsidRDefault="00494B49">
            <w:r>
              <w:t xml:space="preserve">Net Investment Income </w:t>
            </w:r>
          </w:p>
        </w:tc>
        <w:tc>
          <w:tcPr>
            <w:tcW w:w="2016" w:type="dxa"/>
          </w:tcPr>
          <w:p w14:paraId="253F101B" w14:textId="77777777" w:rsidR="00494B49" w:rsidRDefault="00494B49"/>
        </w:tc>
        <w:tc>
          <w:tcPr>
            <w:tcW w:w="2016" w:type="dxa"/>
          </w:tcPr>
          <w:p w14:paraId="7F59943A" w14:textId="77777777" w:rsidR="00494B49" w:rsidRDefault="00494B49">
            <w:r>
              <w:t>$135,000</w:t>
            </w:r>
          </w:p>
        </w:tc>
        <w:tc>
          <w:tcPr>
            <w:tcW w:w="2016" w:type="dxa"/>
          </w:tcPr>
          <w:p w14:paraId="2A986CA8" w14:textId="77777777" w:rsidR="00494B49" w:rsidRDefault="00494B49"/>
        </w:tc>
        <w:tc>
          <w:tcPr>
            <w:tcW w:w="2016" w:type="dxa"/>
          </w:tcPr>
          <w:p w14:paraId="348D3EFA" w14:textId="77777777" w:rsidR="00494B49" w:rsidRDefault="00494B49">
            <w:r>
              <w:t>$135,000</w:t>
            </w:r>
          </w:p>
        </w:tc>
      </w:tr>
      <w:tr w:rsidR="00494B49" w14:paraId="287A5AB3" w14:textId="77777777">
        <w:tc>
          <w:tcPr>
            <w:tcW w:w="2016" w:type="dxa"/>
          </w:tcPr>
          <w:p w14:paraId="3C302EA6" w14:textId="77777777" w:rsidR="00494B49" w:rsidRDefault="00494B49">
            <w:r>
              <w:t>Distribution Deduction</w:t>
            </w:r>
          </w:p>
        </w:tc>
        <w:tc>
          <w:tcPr>
            <w:tcW w:w="2016" w:type="dxa"/>
          </w:tcPr>
          <w:p w14:paraId="1F7A776A" w14:textId="77777777" w:rsidR="00494B49" w:rsidRDefault="00494B49"/>
        </w:tc>
        <w:tc>
          <w:tcPr>
            <w:tcW w:w="2016" w:type="dxa"/>
          </w:tcPr>
          <w:p w14:paraId="3843E092" w14:textId="77777777" w:rsidR="00494B49" w:rsidRDefault="00494B49">
            <w:r>
              <w:t>($100,000)</w:t>
            </w:r>
          </w:p>
        </w:tc>
        <w:tc>
          <w:tcPr>
            <w:tcW w:w="2016" w:type="dxa"/>
          </w:tcPr>
          <w:p w14:paraId="1F0B0A52" w14:textId="77777777" w:rsidR="00494B49" w:rsidRDefault="00494B49"/>
        </w:tc>
        <w:tc>
          <w:tcPr>
            <w:tcW w:w="2016" w:type="dxa"/>
          </w:tcPr>
          <w:p w14:paraId="0597B7FF" w14:textId="77777777" w:rsidR="00494B49" w:rsidRDefault="00494B49">
            <w:r>
              <w:t>($110,000)</w:t>
            </w:r>
          </w:p>
        </w:tc>
      </w:tr>
      <w:tr w:rsidR="00494B49" w14:paraId="6853C303" w14:textId="77777777">
        <w:tc>
          <w:tcPr>
            <w:tcW w:w="2016" w:type="dxa"/>
          </w:tcPr>
          <w:p w14:paraId="78F64D2E" w14:textId="77777777" w:rsidR="00494B49" w:rsidRDefault="00494B49">
            <w:r>
              <w:t xml:space="preserve">Undistributed Net Investment Income </w:t>
            </w:r>
          </w:p>
        </w:tc>
        <w:tc>
          <w:tcPr>
            <w:tcW w:w="2016" w:type="dxa"/>
          </w:tcPr>
          <w:p w14:paraId="1BFBDAD8" w14:textId="77777777" w:rsidR="00494B49" w:rsidRDefault="00494B49"/>
        </w:tc>
        <w:tc>
          <w:tcPr>
            <w:tcW w:w="2016" w:type="dxa"/>
          </w:tcPr>
          <w:p w14:paraId="28075122" w14:textId="77777777" w:rsidR="00494B49" w:rsidRDefault="00494B49">
            <w:r>
              <w:t>$35,000</w:t>
            </w:r>
          </w:p>
        </w:tc>
        <w:tc>
          <w:tcPr>
            <w:tcW w:w="2016" w:type="dxa"/>
          </w:tcPr>
          <w:p w14:paraId="3BC055D3" w14:textId="77777777" w:rsidR="00494B49" w:rsidRDefault="00494B49"/>
        </w:tc>
        <w:tc>
          <w:tcPr>
            <w:tcW w:w="2016" w:type="dxa"/>
          </w:tcPr>
          <w:p w14:paraId="5CA95CA3" w14:textId="77777777" w:rsidR="00494B49" w:rsidRDefault="00494B49">
            <w:r>
              <w:t>$25,000</w:t>
            </w:r>
          </w:p>
        </w:tc>
      </w:tr>
      <w:tr w:rsidR="00494B49" w14:paraId="7A9D65EA" w14:textId="77777777">
        <w:tc>
          <w:tcPr>
            <w:tcW w:w="2016" w:type="dxa"/>
          </w:tcPr>
          <w:p w14:paraId="706D3635" w14:textId="77777777" w:rsidR="00494B49" w:rsidRDefault="00494B49">
            <w:r>
              <w:t>2014 Threshold</w:t>
            </w:r>
          </w:p>
        </w:tc>
        <w:tc>
          <w:tcPr>
            <w:tcW w:w="2016" w:type="dxa"/>
          </w:tcPr>
          <w:p w14:paraId="28C59394" w14:textId="77777777" w:rsidR="00494B49" w:rsidRDefault="00494B49">
            <w:r>
              <w:t>($12,150)</w:t>
            </w:r>
          </w:p>
        </w:tc>
        <w:tc>
          <w:tcPr>
            <w:tcW w:w="2016" w:type="dxa"/>
          </w:tcPr>
          <w:p w14:paraId="3EBB6637" w14:textId="77777777" w:rsidR="00494B49" w:rsidRDefault="00494B49"/>
        </w:tc>
        <w:tc>
          <w:tcPr>
            <w:tcW w:w="2016" w:type="dxa"/>
          </w:tcPr>
          <w:p w14:paraId="364D1077" w14:textId="77777777" w:rsidR="00494B49" w:rsidRDefault="00494B49">
            <w:r>
              <w:t>($12,150)</w:t>
            </w:r>
          </w:p>
        </w:tc>
        <w:tc>
          <w:tcPr>
            <w:tcW w:w="2016" w:type="dxa"/>
          </w:tcPr>
          <w:p w14:paraId="457D7FD2" w14:textId="77777777" w:rsidR="00494B49" w:rsidRDefault="00494B49"/>
        </w:tc>
      </w:tr>
      <w:tr w:rsidR="00494B49" w14:paraId="043C9445" w14:textId="77777777">
        <w:tc>
          <w:tcPr>
            <w:tcW w:w="2016" w:type="dxa"/>
          </w:tcPr>
          <w:p w14:paraId="035BBEEB" w14:textId="77777777" w:rsidR="00494B49" w:rsidRDefault="00494B49">
            <w:r>
              <w:t>net investment income tax Tax Base</w:t>
            </w:r>
          </w:p>
        </w:tc>
        <w:tc>
          <w:tcPr>
            <w:tcW w:w="2016" w:type="dxa"/>
          </w:tcPr>
          <w:p w14:paraId="71B7E90D" w14:textId="77777777" w:rsidR="00494B49" w:rsidRDefault="00494B49">
            <w:r>
              <w:t>$22,850</w:t>
            </w:r>
          </w:p>
        </w:tc>
        <w:tc>
          <w:tcPr>
            <w:tcW w:w="2016" w:type="dxa"/>
          </w:tcPr>
          <w:p w14:paraId="377493F4" w14:textId="77777777" w:rsidR="00494B49" w:rsidRDefault="00494B49"/>
        </w:tc>
        <w:tc>
          <w:tcPr>
            <w:tcW w:w="2016" w:type="dxa"/>
          </w:tcPr>
          <w:p w14:paraId="0E5CD7C7" w14:textId="77777777" w:rsidR="00494B49" w:rsidRDefault="00494B49">
            <w:r>
              <w:t>$7,850</w:t>
            </w:r>
          </w:p>
        </w:tc>
        <w:tc>
          <w:tcPr>
            <w:tcW w:w="2016" w:type="dxa"/>
          </w:tcPr>
          <w:p w14:paraId="1ACEA27F" w14:textId="77777777" w:rsidR="00494B49" w:rsidRDefault="00494B49"/>
        </w:tc>
      </w:tr>
    </w:tbl>
    <w:p w14:paraId="2310BC09" w14:textId="77777777" w:rsidR="00494B49" w:rsidRDefault="00494B49">
      <w:pPr>
        <w:pStyle w:val="BNormal"/>
      </w:pPr>
    </w:p>
    <w:p w14:paraId="540A7C1C" w14:textId="77777777" w:rsidR="00494B49" w:rsidRDefault="00494B49" w:rsidP="00144640">
      <w:pPr>
        <w:pStyle w:val="BExamplepara"/>
        <w:keepNext/>
        <w:keepLines/>
      </w:pPr>
      <w:r>
        <w:lastRenderedPageBreak/>
        <w:t xml:space="preserve"> </w:t>
      </w:r>
      <w:r>
        <w:rPr>
          <w:i/>
        </w:rPr>
        <w:t>Step 6: Beneficiary’s Net Investment Income Tax</w:t>
      </w:r>
      <w:r>
        <w:t xml:space="preserve"> </w:t>
      </w:r>
    </w:p>
    <w:p w14:paraId="31482C05" w14:textId="77777777" w:rsidR="00494B49" w:rsidRDefault="00494B49" w:rsidP="00144640">
      <w:pPr>
        <w:keepNext/>
        <w:keepLines/>
      </w:pPr>
    </w:p>
    <w:tbl>
      <w:tblPr>
        <w:tblStyle w:val="TableGrid"/>
        <w:tblW w:w="0" w:type="auto"/>
        <w:tblLook w:val="04A0" w:firstRow="1" w:lastRow="0" w:firstColumn="1" w:lastColumn="0" w:noHBand="0" w:noVBand="1"/>
      </w:tblPr>
      <w:tblGrid>
        <w:gridCol w:w="2118"/>
        <w:gridCol w:w="2131"/>
        <w:gridCol w:w="2131"/>
        <w:gridCol w:w="1420"/>
        <w:gridCol w:w="1550"/>
      </w:tblGrid>
      <w:tr w:rsidR="00494B49" w14:paraId="1179BDAC" w14:textId="77777777">
        <w:trPr>
          <w:gridAfter w:val="2"/>
          <w:wAfter w:w="4032" w:type="dxa"/>
        </w:trPr>
        <w:tc>
          <w:tcPr>
            <w:tcW w:w="3360" w:type="dxa"/>
          </w:tcPr>
          <w:p w14:paraId="38CD7A3C" w14:textId="77777777" w:rsidR="00494B49" w:rsidRDefault="00494B49"/>
        </w:tc>
        <w:tc>
          <w:tcPr>
            <w:tcW w:w="3360" w:type="dxa"/>
          </w:tcPr>
          <w:p w14:paraId="3DD70F09" w14:textId="77777777" w:rsidR="00494B49" w:rsidRDefault="00494B49">
            <w:r>
              <w:t xml:space="preserve"> </w:t>
            </w:r>
            <w:r>
              <w:rPr>
                <w:b/>
              </w:rPr>
              <w:t>Beneficiary A</w:t>
            </w:r>
          </w:p>
        </w:tc>
        <w:tc>
          <w:tcPr>
            <w:tcW w:w="3360" w:type="dxa"/>
          </w:tcPr>
          <w:p w14:paraId="7E68B1CB" w14:textId="77777777" w:rsidR="00494B49" w:rsidRDefault="00494B49">
            <w:r>
              <w:t xml:space="preserve"> </w:t>
            </w:r>
            <w:r>
              <w:rPr>
                <w:b/>
              </w:rPr>
              <w:t>Beneficiary B</w:t>
            </w:r>
          </w:p>
        </w:tc>
      </w:tr>
      <w:tr w:rsidR="00494B49" w14:paraId="5C225785" w14:textId="77777777">
        <w:tc>
          <w:tcPr>
            <w:tcW w:w="2016" w:type="dxa"/>
          </w:tcPr>
          <w:p w14:paraId="066E2BF5" w14:textId="77777777" w:rsidR="00494B49" w:rsidRDefault="00494B49"/>
        </w:tc>
        <w:tc>
          <w:tcPr>
            <w:tcW w:w="2016" w:type="dxa"/>
          </w:tcPr>
          <w:p w14:paraId="4B98F985" w14:textId="77777777" w:rsidR="00494B49" w:rsidRDefault="00494B49">
            <w:r>
              <w:t>Regular Tax</w:t>
            </w:r>
          </w:p>
        </w:tc>
        <w:tc>
          <w:tcPr>
            <w:tcW w:w="2016" w:type="dxa"/>
          </w:tcPr>
          <w:p w14:paraId="46A940E7" w14:textId="77777777" w:rsidR="00494B49" w:rsidRDefault="00494B49">
            <w:r>
              <w:t>NII</w:t>
            </w:r>
          </w:p>
        </w:tc>
        <w:tc>
          <w:tcPr>
            <w:tcW w:w="2016" w:type="dxa"/>
          </w:tcPr>
          <w:p w14:paraId="662BB2BC" w14:textId="77777777" w:rsidR="00494B49" w:rsidRDefault="00494B49">
            <w:r>
              <w:t>Regular Tax</w:t>
            </w:r>
          </w:p>
        </w:tc>
        <w:tc>
          <w:tcPr>
            <w:tcW w:w="2016" w:type="dxa"/>
          </w:tcPr>
          <w:p w14:paraId="3574C7D0" w14:textId="77777777" w:rsidR="00494B49" w:rsidRDefault="00494B49">
            <w:r>
              <w:t>NII</w:t>
            </w:r>
          </w:p>
        </w:tc>
      </w:tr>
      <w:tr w:rsidR="00494B49" w14:paraId="00FD4ADF" w14:textId="77777777">
        <w:tc>
          <w:tcPr>
            <w:tcW w:w="2016" w:type="dxa"/>
          </w:tcPr>
          <w:p w14:paraId="2C8464CE" w14:textId="77777777" w:rsidR="00494B49" w:rsidRDefault="00494B49">
            <w:r>
              <w:t xml:space="preserve">Ordinary </w:t>
            </w:r>
            <w:r>
              <w:br/>
              <w:t xml:space="preserve">Income </w:t>
            </w:r>
          </w:p>
        </w:tc>
        <w:tc>
          <w:tcPr>
            <w:tcW w:w="2016" w:type="dxa"/>
          </w:tcPr>
          <w:p w14:paraId="6E1C045B" w14:textId="77777777" w:rsidR="00494B49" w:rsidRDefault="00494B49">
            <w:r>
              <w:t>$100,000</w:t>
            </w:r>
          </w:p>
        </w:tc>
        <w:tc>
          <w:tcPr>
            <w:tcW w:w="2016" w:type="dxa"/>
          </w:tcPr>
          <w:p w14:paraId="43E008E0" w14:textId="77777777" w:rsidR="00494B49" w:rsidRDefault="00494B49">
            <w:r>
              <w:t>$100,000</w:t>
            </w:r>
          </w:p>
        </w:tc>
        <w:tc>
          <w:tcPr>
            <w:tcW w:w="2016" w:type="dxa"/>
          </w:tcPr>
          <w:p w14:paraId="04C14FEC" w14:textId="77777777" w:rsidR="00494B49" w:rsidRDefault="00494B49">
            <w:r>
              <w:t>$103,000</w:t>
            </w:r>
          </w:p>
        </w:tc>
        <w:tc>
          <w:tcPr>
            <w:tcW w:w="2016" w:type="dxa"/>
          </w:tcPr>
          <w:p w14:paraId="0723BC59" w14:textId="77777777" w:rsidR="00494B49" w:rsidRDefault="00494B49">
            <w:r>
              <w:t>$103,000</w:t>
            </w:r>
          </w:p>
        </w:tc>
      </w:tr>
      <w:tr w:rsidR="00494B49" w14:paraId="741CE516" w14:textId="77777777">
        <w:tc>
          <w:tcPr>
            <w:tcW w:w="2016" w:type="dxa"/>
          </w:tcPr>
          <w:p w14:paraId="102E0AC2" w14:textId="77777777" w:rsidR="00494B49" w:rsidRDefault="00494B49">
            <w:r>
              <w:t xml:space="preserve">Adjustment </w:t>
            </w:r>
          </w:p>
        </w:tc>
        <w:tc>
          <w:tcPr>
            <w:tcW w:w="2016" w:type="dxa"/>
          </w:tcPr>
          <w:p w14:paraId="515F5B5D" w14:textId="77777777" w:rsidR="00494B49" w:rsidRDefault="00494B49"/>
        </w:tc>
        <w:tc>
          <w:tcPr>
            <w:tcW w:w="2016" w:type="dxa"/>
          </w:tcPr>
          <w:p w14:paraId="5240EE8A" w14:textId="77777777" w:rsidR="00494B49" w:rsidRDefault="00494B49">
            <w:r>
              <w:t>$0</w:t>
            </w:r>
          </w:p>
        </w:tc>
        <w:tc>
          <w:tcPr>
            <w:tcW w:w="2016" w:type="dxa"/>
          </w:tcPr>
          <w:p w14:paraId="200C0DEF" w14:textId="77777777" w:rsidR="00494B49" w:rsidRDefault="00494B49"/>
        </w:tc>
        <w:tc>
          <w:tcPr>
            <w:tcW w:w="2016" w:type="dxa"/>
          </w:tcPr>
          <w:p w14:paraId="097F4F96" w14:textId="77777777" w:rsidR="00494B49" w:rsidRDefault="00494B49">
            <w:r>
              <w:t>$7,000</w:t>
            </w:r>
            <w:r>
              <w:rPr>
                <w:rStyle w:val="FootnoteReference"/>
              </w:rPr>
              <w:footnoteReference w:id="1089"/>
            </w:r>
          </w:p>
        </w:tc>
      </w:tr>
      <w:tr w:rsidR="00494B49" w14:paraId="725F8032" w14:textId="77777777">
        <w:tc>
          <w:tcPr>
            <w:tcW w:w="2016" w:type="dxa"/>
          </w:tcPr>
          <w:p w14:paraId="138D74A8" w14:textId="77777777" w:rsidR="00494B49" w:rsidRDefault="00494B49">
            <w:r>
              <w:t>Total</w:t>
            </w:r>
          </w:p>
        </w:tc>
        <w:tc>
          <w:tcPr>
            <w:tcW w:w="2016" w:type="dxa"/>
          </w:tcPr>
          <w:p w14:paraId="34C107A8" w14:textId="77777777" w:rsidR="00494B49" w:rsidRDefault="00494B49">
            <w:r>
              <w:t>$100,000</w:t>
            </w:r>
          </w:p>
        </w:tc>
        <w:tc>
          <w:tcPr>
            <w:tcW w:w="2016" w:type="dxa"/>
          </w:tcPr>
          <w:p w14:paraId="6C4F7B77" w14:textId="77777777" w:rsidR="00494B49" w:rsidRDefault="00494B49">
            <w:r>
              <w:t>100,000</w:t>
            </w:r>
          </w:p>
        </w:tc>
        <w:tc>
          <w:tcPr>
            <w:tcW w:w="2016" w:type="dxa"/>
          </w:tcPr>
          <w:p w14:paraId="4040705A" w14:textId="77777777" w:rsidR="00494B49" w:rsidRDefault="00494B49">
            <w:r>
              <w:t>$103,000</w:t>
            </w:r>
          </w:p>
        </w:tc>
        <w:tc>
          <w:tcPr>
            <w:tcW w:w="2016" w:type="dxa"/>
          </w:tcPr>
          <w:p w14:paraId="03230ABC" w14:textId="77777777" w:rsidR="00494B49" w:rsidRDefault="00494B49">
            <w:r>
              <w:t>$110,000</w:t>
            </w:r>
          </w:p>
        </w:tc>
      </w:tr>
      <w:tr w:rsidR="00494B49" w14:paraId="7EA4179E" w14:textId="77777777">
        <w:tc>
          <w:tcPr>
            <w:tcW w:w="2016" w:type="dxa"/>
          </w:tcPr>
          <w:p w14:paraId="54C5FD52" w14:textId="77777777" w:rsidR="00494B49" w:rsidRDefault="00494B49">
            <w:r>
              <w:t>MAGI</w:t>
            </w:r>
          </w:p>
        </w:tc>
        <w:tc>
          <w:tcPr>
            <w:tcW w:w="2016" w:type="dxa"/>
          </w:tcPr>
          <w:p w14:paraId="4A9406A2" w14:textId="77777777" w:rsidR="00494B49" w:rsidRDefault="00494B49">
            <w:r>
              <w:t>$100,000</w:t>
            </w:r>
          </w:p>
        </w:tc>
        <w:tc>
          <w:tcPr>
            <w:tcW w:w="2016" w:type="dxa"/>
          </w:tcPr>
          <w:p w14:paraId="2BCF5882" w14:textId="77777777" w:rsidR="00494B49" w:rsidRDefault="00494B49">
            <w:r>
              <w:t>$100,000</w:t>
            </w:r>
          </w:p>
        </w:tc>
        <w:tc>
          <w:tcPr>
            <w:tcW w:w="2016" w:type="dxa"/>
          </w:tcPr>
          <w:p w14:paraId="4C833D08" w14:textId="77777777" w:rsidR="00494B49" w:rsidRDefault="00494B49">
            <w:r>
              <w:t>$103,000</w:t>
            </w:r>
          </w:p>
        </w:tc>
        <w:tc>
          <w:tcPr>
            <w:tcW w:w="2016" w:type="dxa"/>
          </w:tcPr>
          <w:p w14:paraId="61C93286" w14:textId="77777777" w:rsidR="00494B49" w:rsidRDefault="00494B49">
            <w:r>
              <w:t>$110,000</w:t>
            </w:r>
            <w:r>
              <w:rPr>
                <w:rStyle w:val="FootnoteReference"/>
              </w:rPr>
              <w:footnoteReference w:id="1090"/>
            </w:r>
          </w:p>
        </w:tc>
      </w:tr>
    </w:tbl>
    <w:p w14:paraId="782AF989" w14:textId="77777777" w:rsidR="00494B49" w:rsidRDefault="00494B49">
      <w:pPr>
        <w:pStyle w:val="BNormal"/>
      </w:pPr>
      <w:r>
        <w:t xml:space="preserve"> </w:t>
      </w:r>
    </w:p>
    <w:p w14:paraId="23B407C3" w14:textId="77777777" w:rsidR="00494B49" w:rsidRDefault="00494B49">
      <w:pPr>
        <w:pStyle w:val="BExamplepara"/>
      </w:pPr>
      <w:r>
        <w:rPr>
          <w:rStyle w:val="BExamplehead"/>
          <w:rFonts w:eastAsiaTheme="minorHAnsi"/>
          <w:i/>
        </w:rPr>
        <w:t>Example 2:</w:t>
      </w:r>
      <w:r>
        <w:t xml:space="preserve"> Trust with </w:t>
      </w:r>
      <w:smartTag w:uri="http://www.bna.com/sgml2word/cite" w:element="cite.usc">
        <w:smartTagPr>
          <w:attr w:name="ref" w:val="USC\26\951(a)"/>
        </w:smartTagPr>
        <w:r>
          <w:t>§951(a)</w:t>
        </w:r>
      </w:smartTag>
      <w:r>
        <w:t xml:space="preserve"> Inclusion from a CFC with no 10(g) Election in Effect</w:t>
      </w:r>
    </w:p>
    <w:p w14:paraId="4C9A9B95" w14:textId="77777777" w:rsidR="00494B49" w:rsidRDefault="00494B49">
      <w:pPr>
        <w:pStyle w:val="BExamplepara"/>
      </w:pPr>
      <w:r>
        <w:t xml:space="preserve">Assume that Trust X has $100,000 of interest income (allocable to income), and a </w:t>
      </w:r>
      <w:smartTag w:uri="http://www.bna.com/sgml2word/cite" w:element="cite.usc">
        <w:smartTagPr>
          <w:attr w:name="ref" w:val="USC\26\951(a)"/>
        </w:smartTagPr>
        <w:r>
          <w:t>§951(a)</w:t>
        </w:r>
      </w:smartTag>
      <w:r>
        <w:t xml:space="preserve"> inclusion of $50,000. Assume that trust accounting income, as defined in </w:t>
      </w:r>
      <w:smartTag w:uri="http://www.bna.com/sgml2word/cite" w:element="cite.usc">
        <w:smartTagPr>
          <w:attr w:name="ref" w:val="USC\26\643(b)"/>
        </w:smartTagPr>
        <w:r>
          <w:t>§643(b)</w:t>
        </w:r>
      </w:smartTag>
      <w:r>
        <w:t>, is $100,000 (representing solely the interest income). Assume that Trust X distributes $75,000 to Beneficiary X.</w:t>
      </w:r>
    </w:p>
    <w:p w14:paraId="624F7181" w14:textId="77777777" w:rsidR="00494B49" w:rsidRDefault="00494B49" w:rsidP="00144640">
      <w:pPr>
        <w:pStyle w:val="BExamplepara"/>
        <w:rPr>
          <w:i/>
        </w:rPr>
      </w:pPr>
      <w:r>
        <w:t xml:space="preserve"> </w:t>
      </w:r>
      <w:r>
        <w:rPr>
          <w:i/>
        </w:rPr>
        <w:t>Step 1: Determine Total Income and Net Investment Income before Distributions</w:t>
      </w:r>
    </w:p>
    <w:p w14:paraId="1CC23B8E"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16"/>
        <w:gridCol w:w="3117"/>
        <w:gridCol w:w="3117"/>
      </w:tblGrid>
      <w:tr w:rsidR="00494B49" w14:paraId="642AC9EA" w14:textId="77777777">
        <w:tc>
          <w:tcPr>
            <w:tcW w:w="3360" w:type="dxa"/>
          </w:tcPr>
          <w:p w14:paraId="62737A52" w14:textId="77777777" w:rsidR="00494B49" w:rsidRDefault="00494B49"/>
        </w:tc>
        <w:tc>
          <w:tcPr>
            <w:tcW w:w="3360" w:type="dxa"/>
          </w:tcPr>
          <w:p w14:paraId="03287D6D" w14:textId="77777777" w:rsidR="00494B49" w:rsidRDefault="00494B49">
            <w:r>
              <w:t>Regular Tax</w:t>
            </w:r>
          </w:p>
        </w:tc>
        <w:tc>
          <w:tcPr>
            <w:tcW w:w="3360" w:type="dxa"/>
          </w:tcPr>
          <w:p w14:paraId="436065B6" w14:textId="77777777" w:rsidR="00494B49" w:rsidRDefault="00494B49">
            <w:r>
              <w:t>NII</w:t>
            </w:r>
          </w:p>
        </w:tc>
      </w:tr>
      <w:tr w:rsidR="00494B49" w14:paraId="37F09348" w14:textId="77777777">
        <w:tc>
          <w:tcPr>
            <w:tcW w:w="3360" w:type="dxa"/>
          </w:tcPr>
          <w:p w14:paraId="5890FBD6" w14:textId="77777777" w:rsidR="00494B49" w:rsidRDefault="00494B49">
            <w:r>
              <w:t>Interest Income</w:t>
            </w:r>
          </w:p>
        </w:tc>
        <w:tc>
          <w:tcPr>
            <w:tcW w:w="3360" w:type="dxa"/>
          </w:tcPr>
          <w:p w14:paraId="4D1A14D0" w14:textId="77777777" w:rsidR="00494B49" w:rsidRDefault="00494B49">
            <w:r>
              <w:t>$100,000</w:t>
            </w:r>
          </w:p>
        </w:tc>
        <w:tc>
          <w:tcPr>
            <w:tcW w:w="3360" w:type="dxa"/>
          </w:tcPr>
          <w:p w14:paraId="7C9D41C1" w14:textId="77777777" w:rsidR="00494B49" w:rsidRDefault="00494B49">
            <w:r>
              <w:t>$100,000</w:t>
            </w:r>
          </w:p>
        </w:tc>
      </w:tr>
      <w:tr w:rsidR="00494B49" w14:paraId="6F23E4E7" w14:textId="77777777">
        <w:tc>
          <w:tcPr>
            <w:tcW w:w="3360" w:type="dxa"/>
          </w:tcPr>
          <w:p w14:paraId="234F08E6" w14:textId="77777777" w:rsidR="00494B49" w:rsidRDefault="00494B49">
            <w:r>
              <w:t>951(a) Inclusion</w:t>
            </w:r>
          </w:p>
        </w:tc>
        <w:tc>
          <w:tcPr>
            <w:tcW w:w="3360" w:type="dxa"/>
          </w:tcPr>
          <w:p w14:paraId="2A152DEE" w14:textId="77777777" w:rsidR="00494B49" w:rsidRDefault="00494B49">
            <w:r>
              <w:t>$50,000</w:t>
            </w:r>
          </w:p>
        </w:tc>
        <w:tc>
          <w:tcPr>
            <w:tcW w:w="3360" w:type="dxa"/>
          </w:tcPr>
          <w:p w14:paraId="098FDD27" w14:textId="77777777" w:rsidR="00494B49" w:rsidRDefault="00494B49">
            <w:r>
              <w:t>$0</w:t>
            </w:r>
          </w:p>
        </w:tc>
      </w:tr>
      <w:tr w:rsidR="00494B49" w14:paraId="32E0455E" w14:textId="77777777">
        <w:tc>
          <w:tcPr>
            <w:tcW w:w="3360" w:type="dxa"/>
          </w:tcPr>
          <w:p w14:paraId="4F11538D" w14:textId="77777777" w:rsidR="00494B49" w:rsidRDefault="00494B49">
            <w:r>
              <w:t>Total</w:t>
            </w:r>
          </w:p>
        </w:tc>
        <w:tc>
          <w:tcPr>
            <w:tcW w:w="3360" w:type="dxa"/>
          </w:tcPr>
          <w:p w14:paraId="66BF15C5" w14:textId="77777777" w:rsidR="00494B49" w:rsidRDefault="00494B49">
            <w:r>
              <w:t>$150,000</w:t>
            </w:r>
          </w:p>
        </w:tc>
        <w:tc>
          <w:tcPr>
            <w:tcW w:w="3360" w:type="dxa"/>
          </w:tcPr>
          <w:p w14:paraId="4BB326B2" w14:textId="77777777" w:rsidR="00494B49" w:rsidRDefault="00494B49">
            <w:r>
              <w:t>$100,000</w:t>
            </w:r>
          </w:p>
        </w:tc>
      </w:tr>
    </w:tbl>
    <w:p w14:paraId="60D204A8" w14:textId="77777777" w:rsidR="00494B49" w:rsidRDefault="00494B49">
      <w:pPr>
        <w:pStyle w:val="BNormal"/>
      </w:pPr>
    </w:p>
    <w:p w14:paraId="7409953E" w14:textId="77777777" w:rsidR="00494B49" w:rsidRDefault="00494B49" w:rsidP="00144640">
      <w:pPr>
        <w:pStyle w:val="BExamplepara"/>
      </w:pPr>
      <w:r>
        <w:t xml:space="preserve"> </w:t>
      </w:r>
      <w:r>
        <w:rPr>
          <w:i/>
        </w:rPr>
        <w:t>Step 2: Determine Distributable Net Income</w:t>
      </w:r>
      <w:r>
        <w:t xml:space="preserve"> </w:t>
      </w:r>
    </w:p>
    <w:p w14:paraId="2EAF612A"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29"/>
        <w:gridCol w:w="3097"/>
        <w:gridCol w:w="3124"/>
      </w:tblGrid>
      <w:tr w:rsidR="00494B49" w14:paraId="762518EC" w14:textId="77777777">
        <w:tc>
          <w:tcPr>
            <w:tcW w:w="3360" w:type="dxa"/>
          </w:tcPr>
          <w:p w14:paraId="192F42A1" w14:textId="77777777" w:rsidR="00494B49" w:rsidRDefault="00494B49"/>
        </w:tc>
        <w:tc>
          <w:tcPr>
            <w:tcW w:w="3360" w:type="dxa"/>
          </w:tcPr>
          <w:p w14:paraId="451BE112" w14:textId="77777777" w:rsidR="00494B49" w:rsidRDefault="00494B49">
            <w:r>
              <w:t>Regular Tax</w:t>
            </w:r>
          </w:p>
        </w:tc>
        <w:tc>
          <w:tcPr>
            <w:tcW w:w="3360" w:type="dxa"/>
          </w:tcPr>
          <w:p w14:paraId="59964D6C" w14:textId="77777777" w:rsidR="00494B49" w:rsidRDefault="00494B49">
            <w:r>
              <w:t>NII</w:t>
            </w:r>
          </w:p>
        </w:tc>
      </w:tr>
      <w:tr w:rsidR="00494B49" w14:paraId="6027A6A4" w14:textId="77777777">
        <w:tc>
          <w:tcPr>
            <w:tcW w:w="3360" w:type="dxa"/>
          </w:tcPr>
          <w:p w14:paraId="083A1D22" w14:textId="77777777" w:rsidR="00494B49" w:rsidRDefault="00494B49">
            <w:r>
              <w:t xml:space="preserve">Start with Taxable </w:t>
            </w:r>
            <w:r>
              <w:br/>
              <w:t>Income</w:t>
            </w:r>
            <w:r>
              <w:rPr>
                <w:rStyle w:val="FootnoteReference"/>
              </w:rPr>
              <w:footnoteReference w:id="1091"/>
            </w:r>
          </w:p>
        </w:tc>
        <w:tc>
          <w:tcPr>
            <w:tcW w:w="3360" w:type="dxa"/>
          </w:tcPr>
          <w:p w14:paraId="387C5D85" w14:textId="77777777" w:rsidR="00494B49" w:rsidRDefault="00494B49">
            <w:r>
              <w:t>$150,000</w:t>
            </w:r>
          </w:p>
        </w:tc>
        <w:tc>
          <w:tcPr>
            <w:tcW w:w="3360" w:type="dxa"/>
          </w:tcPr>
          <w:p w14:paraId="161C8BB0" w14:textId="77777777" w:rsidR="00494B49" w:rsidRDefault="00494B49">
            <w:r>
              <w:t>$150,000</w:t>
            </w:r>
          </w:p>
        </w:tc>
      </w:tr>
      <w:tr w:rsidR="00494B49" w14:paraId="7C7182BC" w14:textId="77777777">
        <w:tc>
          <w:tcPr>
            <w:tcW w:w="3360" w:type="dxa"/>
          </w:tcPr>
          <w:p w14:paraId="6C30DB42" w14:textId="77777777" w:rsidR="00494B49" w:rsidRDefault="00494B49">
            <w:r>
              <w:t xml:space="preserve">Distributable Net </w:t>
            </w:r>
            <w:r>
              <w:br/>
              <w:t>Income</w:t>
            </w:r>
          </w:p>
        </w:tc>
        <w:tc>
          <w:tcPr>
            <w:tcW w:w="3360" w:type="dxa"/>
          </w:tcPr>
          <w:p w14:paraId="29587295" w14:textId="77777777" w:rsidR="00494B49" w:rsidRDefault="00494B49">
            <w:r>
              <w:t>$150,000</w:t>
            </w:r>
          </w:p>
        </w:tc>
        <w:tc>
          <w:tcPr>
            <w:tcW w:w="3360" w:type="dxa"/>
          </w:tcPr>
          <w:p w14:paraId="41307E7E" w14:textId="77777777" w:rsidR="00494B49" w:rsidRDefault="00494B49">
            <w:r>
              <w:t>$150,000</w:t>
            </w:r>
          </w:p>
        </w:tc>
      </w:tr>
      <w:tr w:rsidR="00494B49" w14:paraId="6FF8534C" w14:textId="77777777">
        <w:tc>
          <w:tcPr>
            <w:tcW w:w="3360" w:type="dxa"/>
          </w:tcPr>
          <w:p w14:paraId="29B153C5" w14:textId="77777777" w:rsidR="00494B49" w:rsidRDefault="00494B49">
            <w:r>
              <w:t xml:space="preserve">Reg. </w:t>
            </w:r>
            <w:smartTag w:uri="http://www.bna.com/sgml2word/cite" w:element="cite.cfr">
              <w:smartTagPr>
                <w:attr w:name="ref" w:val="cfr\26\1.1411-10(f)"/>
              </w:smartTagPr>
              <w:r>
                <w:t>§1.1411-10(f)</w:t>
              </w:r>
            </w:smartTag>
            <w:r>
              <w:t xml:space="preserve"> Adjustment</w:t>
            </w:r>
          </w:p>
        </w:tc>
        <w:tc>
          <w:tcPr>
            <w:tcW w:w="3360" w:type="dxa"/>
          </w:tcPr>
          <w:p w14:paraId="12E76E95" w14:textId="77777777" w:rsidR="00494B49" w:rsidRDefault="00494B49">
            <w:r>
              <w:t>N/A</w:t>
            </w:r>
          </w:p>
        </w:tc>
        <w:tc>
          <w:tcPr>
            <w:tcW w:w="3360" w:type="dxa"/>
          </w:tcPr>
          <w:p w14:paraId="5389FE94" w14:textId="77777777" w:rsidR="00494B49" w:rsidRDefault="00494B49">
            <w:r>
              <w:t>($50,000)</w:t>
            </w:r>
            <w:r>
              <w:rPr>
                <w:rStyle w:val="FootnoteReference"/>
              </w:rPr>
              <w:footnoteReference w:id="1092"/>
            </w:r>
          </w:p>
        </w:tc>
      </w:tr>
      <w:tr w:rsidR="00494B49" w14:paraId="4E71CB11" w14:textId="77777777">
        <w:tc>
          <w:tcPr>
            <w:tcW w:w="3360" w:type="dxa"/>
          </w:tcPr>
          <w:p w14:paraId="24A07B27" w14:textId="77777777" w:rsidR="00494B49" w:rsidRDefault="00494B49">
            <w:r>
              <w:t>DNI for net investment income tax purposes</w:t>
            </w:r>
          </w:p>
        </w:tc>
        <w:tc>
          <w:tcPr>
            <w:tcW w:w="3360" w:type="dxa"/>
          </w:tcPr>
          <w:p w14:paraId="3BA15A6A" w14:textId="77777777" w:rsidR="00494B49" w:rsidRDefault="00494B49"/>
        </w:tc>
        <w:tc>
          <w:tcPr>
            <w:tcW w:w="3360" w:type="dxa"/>
          </w:tcPr>
          <w:p w14:paraId="381666C8" w14:textId="77777777" w:rsidR="00494B49" w:rsidRDefault="00494B49">
            <w:r>
              <w:t>$100,000</w:t>
            </w:r>
          </w:p>
        </w:tc>
      </w:tr>
    </w:tbl>
    <w:p w14:paraId="7E881ECB" w14:textId="77777777" w:rsidR="00494B49" w:rsidRDefault="00494B49">
      <w:pPr>
        <w:pStyle w:val="BNormal"/>
      </w:pPr>
      <w:r>
        <w:t xml:space="preserve"> </w:t>
      </w:r>
    </w:p>
    <w:p w14:paraId="471246DC" w14:textId="77777777" w:rsidR="00494B49" w:rsidRDefault="00494B49" w:rsidP="00144640">
      <w:pPr>
        <w:pStyle w:val="BExamplepara"/>
        <w:keepNext/>
        <w:keepLines/>
      </w:pPr>
      <w:r>
        <w:lastRenderedPageBreak/>
        <w:t xml:space="preserve"> </w:t>
      </w:r>
      <w:r>
        <w:rPr>
          <w:i/>
        </w:rPr>
        <w:t>Step 3: Determine Distribution Deduction</w:t>
      </w:r>
    </w:p>
    <w:p w14:paraId="23353C2B" w14:textId="77777777" w:rsidR="00494B49" w:rsidRDefault="00494B49" w:rsidP="00144640">
      <w:pPr>
        <w:keepNext/>
        <w:keepLines/>
      </w:pPr>
    </w:p>
    <w:tbl>
      <w:tblPr>
        <w:tblStyle w:val="TableGrid"/>
        <w:tblW w:w="0" w:type="auto"/>
        <w:tblLook w:val="04A0" w:firstRow="1" w:lastRow="0" w:firstColumn="1" w:lastColumn="0" w:noHBand="0" w:noVBand="1"/>
      </w:tblPr>
      <w:tblGrid>
        <w:gridCol w:w="3140"/>
        <w:gridCol w:w="3105"/>
        <w:gridCol w:w="3105"/>
      </w:tblGrid>
      <w:tr w:rsidR="00494B49" w14:paraId="2F2C7030" w14:textId="77777777">
        <w:tc>
          <w:tcPr>
            <w:tcW w:w="3360" w:type="dxa"/>
          </w:tcPr>
          <w:p w14:paraId="4C51F3B8" w14:textId="77777777" w:rsidR="00494B49" w:rsidRDefault="00494B49"/>
        </w:tc>
        <w:tc>
          <w:tcPr>
            <w:tcW w:w="3360" w:type="dxa"/>
          </w:tcPr>
          <w:p w14:paraId="7EFFB939" w14:textId="77777777" w:rsidR="00494B49" w:rsidRDefault="00494B49">
            <w:r>
              <w:t>Regular Tax</w:t>
            </w:r>
          </w:p>
        </w:tc>
        <w:tc>
          <w:tcPr>
            <w:tcW w:w="3360" w:type="dxa"/>
          </w:tcPr>
          <w:p w14:paraId="3371C8AD" w14:textId="77777777" w:rsidR="00494B49" w:rsidRDefault="00494B49">
            <w:r>
              <w:t>NII</w:t>
            </w:r>
          </w:p>
        </w:tc>
      </w:tr>
      <w:tr w:rsidR="00494B49" w14:paraId="36B44FC4" w14:textId="77777777">
        <w:tc>
          <w:tcPr>
            <w:tcW w:w="3360" w:type="dxa"/>
          </w:tcPr>
          <w:p w14:paraId="56D8A506" w14:textId="77777777" w:rsidR="00494B49" w:rsidRDefault="00494B49">
            <w:r>
              <w:t xml:space="preserve">Distributable Net </w:t>
            </w:r>
            <w:r>
              <w:br/>
              <w:t>Income</w:t>
            </w:r>
          </w:p>
        </w:tc>
        <w:tc>
          <w:tcPr>
            <w:tcW w:w="3360" w:type="dxa"/>
          </w:tcPr>
          <w:p w14:paraId="503FAAE0" w14:textId="77777777" w:rsidR="00494B49" w:rsidRDefault="00494B49">
            <w:r>
              <w:t>$150,000</w:t>
            </w:r>
          </w:p>
        </w:tc>
        <w:tc>
          <w:tcPr>
            <w:tcW w:w="3360" w:type="dxa"/>
          </w:tcPr>
          <w:p w14:paraId="358B2918" w14:textId="77777777" w:rsidR="00494B49" w:rsidRDefault="00494B49">
            <w:r>
              <w:t>$100,000</w:t>
            </w:r>
          </w:p>
        </w:tc>
      </w:tr>
      <w:tr w:rsidR="00494B49" w14:paraId="48D2D511" w14:textId="77777777">
        <w:tc>
          <w:tcPr>
            <w:tcW w:w="3360" w:type="dxa"/>
          </w:tcPr>
          <w:p w14:paraId="3E64E812" w14:textId="77777777" w:rsidR="00494B49" w:rsidRDefault="00494B49">
            <w:r>
              <w:t>Distribution</w:t>
            </w:r>
          </w:p>
        </w:tc>
        <w:tc>
          <w:tcPr>
            <w:tcW w:w="3360" w:type="dxa"/>
          </w:tcPr>
          <w:p w14:paraId="4027DA86" w14:textId="77777777" w:rsidR="00494B49" w:rsidRDefault="00494B49">
            <w:r>
              <w:t>($75,000)</w:t>
            </w:r>
          </w:p>
        </w:tc>
        <w:tc>
          <w:tcPr>
            <w:tcW w:w="3360" w:type="dxa"/>
          </w:tcPr>
          <w:p w14:paraId="53F7144E" w14:textId="77777777" w:rsidR="00494B49" w:rsidRDefault="00494B49">
            <w:r>
              <w:t>($50,000)</w:t>
            </w:r>
          </w:p>
        </w:tc>
      </w:tr>
      <w:tr w:rsidR="00494B49" w14:paraId="5B502262" w14:textId="77777777">
        <w:tc>
          <w:tcPr>
            <w:tcW w:w="3360" w:type="dxa"/>
          </w:tcPr>
          <w:p w14:paraId="5B44DA1F" w14:textId="77777777" w:rsidR="00494B49" w:rsidRDefault="00494B49">
            <w:r>
              <w:t xml:space="preserve">Undistributed Income </w:t>
            </w:r>
          </w:p>
        </w:tc>
        <w:tc>
          <w:tcPr>
            <w:tcW w:w="3360" w:type="dxa"/>
          </w:tcPr>
          <w:p w14:paraId="7B70B525" w14:textId="77777777" w:rsidR="00494B49" w:rsidRDefault="00494B49">
            <w:r>
              <w:t>$75,000</w:t>
            </w:r>
          </w:p>
        </w:tc>
        <w:tc>
          <w:tcPr>
            <w:tcW w:w="3360" w:type="dxa"/>
          </w:tcPr>
          <w:p w14:paraId="2DE23D23" w14:textId="77777777" w:rsidR="00494B49" w:rsidRDefault="00494B49">
            <w:r>
              <w:t>$50,000</w:t>
            </w:r>
          </w:p>
        </w:tc>
      </w:tr>
    </w:tbl>
    <w:p w14:paraId="2C43EC0F" w14:textId="77777777" w:rsidR="00494B49" w:rsidRDefault="00494B49">
      <w:pPr>
        <w:pStyle w:val="BNormal"/>
      </w:pPr>
    </w:p>
    <w:p w14:paraId="44C3C8DA" w14:textId="77777777" w:rsidR="00494B49" w:rsidRDefault="00494B49">
      <w:pPr>
        <w:pStyle w:val="BExamplepara"/>
      </w:pPr>
      <w:r>
        <w:t xml:space="preserve">For regular tax purposes, the rules of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require that the beneficiary receive a pro-rata portion of each type of income. In this case, Beneficiary X will receive a $75,000 distribution consisting of two-thirds interest income ($50,000) and one-third </w:t>
      </w:r>
      <w:smartTag w:uri="http://www.bna.com/sgml2word/cite" w:element="cite.usc">
        <w:smartTagPr>
          <w:attr w:name="ref" w:val="USC\26\951(a)"/>
        </w:smartTagPr>
        <w:r>
          <w:t>§951(a)</w:t>
        </w:r>
      </w:smartTag>
      <w:r>
        <w:t xml:space="preserve"> Inclusion ($25,000). 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($100,000) or the amount deductible for regular tax purposes ($75,000). So even though Reg. </w:t>
      </w:r>
      <w:smartTag w:uri="http://www.bna.com/sgml2word/cite" w:element="cite.cfr">
        <w:smartTagPr>
          <w:attr w:name="ref" w:val="cfr\26\1.1411-10(f)"/>
        </w:smartTagPr>
        <w:r>
          <w:t>§1.1411-10(f)</w:t>
        </w:r>
      </w:smartTag>
      <w:r>
        <w:t xml:space="preserve"> decreased DNI for net investment income tax purposes by $50,000, it did not change the calculation.</w:t>
      </w:r>
    </w:p>
    <w:p w14:paraId="25FD1F06" w14:textId="77777777" w:rsidR="00494B49" w:rsidRDefault="00494B49">
      <w:pPr>
        <w:pStyle w:val="BExamplepara"/>
      </w:pPr>
      <w:r>
        <w:t xml:space="preserve">However, under Reg. </w:t>
      </w:r>
      <w:smartTag w:uri="http://www.bna.com/sgml2word/cite" w:element="cite.cfr">
        <w:smartTagPr>
          <w:attr w:name="ref" w:val="cfr\26\1.1411-3(e)(3)(i)"/>
        </w:smartTagPr>
        <w:r>
          <w:t>§1.1411-3(e)(3)(i)</w:t>
        </w:r>
      </w:smartTag>
      <w:r>
        <w:t>, when Beneficiary X receives a distribution of income consisting of net investment income and Excluded Income, the Excluded Income is treated as tax-exempt income for purposes of the allocation.</w:t>
      </w:r>
      <w:r>
        <w:rPr>
          <w:rStyle w:val="FootnoteReference"/>
        </w:rPr>
        <w:footnoteReference w:id="1093"/>
      </w:r>
      <w:r>
        <w:t xml:space="preserve"> In other words, Beneficiary X is deemed to receive $50,000 of net investment income and $25,000 of Excluded Income and Trust X will get a deduction of $50,000. </w:t>
      </w:r>
    </w:p>
    <w:p w14:paraId="7A9BFC1F" w14:textId="77777777" w:rsidR="00494B49" w:rsidRDefault="00494B49" w:rsidP="00144640">
      <w:pPr>
        <w:pStyle w:val="BExamplepara"/>
        <w:rPr>
          <w:i/>
        </w:rPr>
      </w:pPr>
      <w:r>
        <w:t xml:space="preserve"> </w:t>
      </w:r>
      <w:r>
        <w:rPr>
          <w:i/>
        </w:rPr>
        <w:t xml:space="preserve">Step 4: Determine Modified Adjusted Gross Income </w:t>
      </w:r>
    </w:p>
    <w:p w14:paraId="4D24346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0"/>
        <w:gridCol w:w="3110"/>
        <w:gridCol w:w="3110"/>
      </w:tblGrid>
      <w:tr w:rsidR="00494B49" w14:paraId="46410D26" w14:textId="77777777">
        <w:tc>
          <w:tcPr>
            <w:tcW w:w="3360" w:type="dxa"/>
          </w:tcPr>
          <w:p w14:paraId="00FA8F03" w14:textId="77777777" w:rsidR="00494B49" w:rsidRDefault="00494B49"/>
        </w:tc>
        <w:tc>
          <w:tcPr>
            <w:tcW w:w="3360" w:type="dxa"/>
          </w:tcPr>
          <w:p w14:paraId="274D1FC9" w14:textId="77777777" w:rsidR="00494B49" w:rsidRDefault="00494B49">
            <w:r>
              <w:t>Regular Tax</w:t>
            </w:r>
          </w:p>
        </w:tc>
        <w:tc>
          <w:tcPr>
            <w:tcW w:w="3360" w:type="dxa"/>
          </w:tcPr>
          <w:p w14:paraId="54C9369D" w14:textId="77777777" w:rsidR="00494B49" w:rsidRDefault="00494B49">
            <w:r>
              <w:t>NII</w:t>
            </w:r>
          </w:p>
        </w:tc>
      </w:tr>
      <w:tr w:rsidR="00494B49" w14:paraId="1AFA9F45" w14:textId="77777777">
        <w:tc>
          <w:tcPr>
            <w:tcW w:w="3360" w:type="dxa"/>
          </w:tcPr>
          <w:p w14:paraId="48A2405F" w14:textId="77777777" w:rsidR="00494B49" w:rsidRDefault="00494B49">
            <w:r>
              <w:t>Total Income</w:t>
            </w:r>
          </w:p>
        </w:tc>
        <w:tc>
          <w:tcPr>
            <w:tcW w:w="3360" w:type="dxa"/>
          </w:tcPr>
          <w:p w14:paraId="138C66FD" w14:textId="77777777" w:rsidR="00494B49" w:rsidRDefault="00494B49">
            <w:r>
              <w:t>$150,000</w:t>
            </w:r>
          </w:p>
        </w:tc>
        <w:tc>
          <w:tcPr>
            <w:tcW w:w="3360" w:type="dxa"/>
          </w:tcPr>
          <w:p w14:paraId="0C57AFA9" w14:textId="77777777" w:rsidR="00494B49" w:rsidRDefault="00494B49">
            <w:r>
              <w:t>$100,000</w:t>
            </w:r>
          </w:p>
        </w:tc>
      </w:tr>
      <w:tr w:rsidR="00494B49" w14:paraId="6B713952" w14:textId="77777777">
        <w:tc>
          <w:tcPr>
            <w:tcW w:w="3360" w:type="dxa"/>
          </w:tcPr>
          <w:p w14:paraId="1BBCC860" w14:textId="77777777" w:rsidR="00494B49" w:rsidRDefault="00494B49">
            <w:r>
              <w:t>MAGI Decrease</w:t>
            </w:r>
          </w:p>
        </w:tc>
        <w:tc>
          <w:tcPr>
            <w:tcW w:w="3360" w:type="dxa"/>
          </w:tcPr>
          <w:p w14:paraId="345FC818" w14:textId="77777777" w:rsidR="00494B49" w:rsidRDefault="00494B49"/>
        </w:tc>
        <w:tc>
          <w:tcPr>
            <w:tcW w:w="3360" w:type="dxa"/>
          </w:tcPr>
          <w:p w14:paraId="598C038E" w14:textId="77777777" w:rsidR="00494B49" w:rsidRDefault="00494B49">
            <w:r>
              <w:t>($25,000)</w:t>
            </w:r>
          </w:p>
        </w:tc>
      </w:tr>
      <w:tr w:rsidR="00494B49" w14:paraId="0DB106C5" w14:textId="77777777">
        <w:tc>
          <w:tcPr>
            <w:tcW w:w="3360" w:type="dxa"/>
          </w:tcPr>
          <w:p w14:paraId="71B0FDB7" w14:textId="77777777" w:rsidR="00494B49" w:rsidRDefault="00494B49">
            <w:r>
              <w:t>Distribution Deduction</w:t>
            </w:r>
          </w:p>
        </w:tc>
        <w:tc>
          <w:tcPr>
            <w:tcW w:w="3360" w:type="dxa"/>
          </w:tcPr>
          <w:p w14:paraId="2E024A4C" w14:textId="77777777" w:rsidR="00494B49" w:rsidRDefault="00494B49">
            <w:r>
              <w:t>($75,000)</w:t>
            </w:r>
          </w:p>
        </w:tc>
        <w:tc>
          <w:tcPr>
            <w:tcW w:w="3360" w:type="dxa"/>
          </w:tcPr>
          <w:p w14:paraId="28E8FFFB" w14:textId="77777777" w:rsidR="00494B49" w:rsidRDefault="00494B49">
            <w:r>
              <w:t>($50,000)</w:t>
            </w:r>
          </w:p>
        </w:tc>
      </w:tr>
      <w:tr w:rsidR="00494B49" w14:paraId="3BAAC1C4" w14:textId="77777777">
        <w:tc>
          <w:tcPr>
            <w:tcW w:w="3360" w:type="dxa"/>
          </w:tcPr>
          <w:p w14:paraId="5B5D6B16" w14:textId="77777777" w:rsidR="00494B49" w:rsidRDefault="00494B49">
            <w:r>
              <w:t xml:space="preserve">AGI / MAGI </w:t>
            </w:r>
          </w:p>
        </w:tc>
        <w:tc>
          <w:tcPr>
            <w:tcW w:w="3360" w:type="dxa"/>
          </w:tcPr>
          <w:p w14:paraId="29E21BB0" w14:textId="77777777" w:rsidR="00494B49" w:rsidRDefault="00494B49">
            <w:r>
              <w:t>$75,000</w:t>
            </w:r>
          </w:p>
        </w:tc>
        <w:tc>
          <w:tcPr>
            <w:tcW w:w="3360" w:type="dxa"/>
          </w:tcPr>
          <w:p w14:paraId="624CE99B" w14:textId="77777777" w:rsidR="00494B49" w:rsidRDefault="00494B49">
            <w:r>
              <w:t>$50,000</w:t>
            </w:r>
          </w:p>
        </w:tc>
      </w:tr>
    </w:tbl>
    <w:p w14:paraId="20D8499B" w14:textId="77777777" w:rsidR="00494B49" w:rsidRDefault="00494B49">
      <w:pPr>
        <w:pStyle w:val="BNormal"/>
      </w:pPr>
    </w:p>
    <w:p w14:paraId="248C8B23" w14:textId="77777777" w:rsidR="00494B49" w:rsidRDefault="00494B49" w:rsidP="00144640">
      <w:pPr>
        <w:pStyle w:val="BExamplepara"/>
        <w:rPr>
          <w:i/>
        </w:rPr>
      </w:pPr>
      <w:r>
        <w:t xml:space="preserve"> </w:t>
      </w:r>
      <w:r>
        <w:rPr>
          <w:i/>
        </w:rPr>
        <w:t>Step 5: Calculate Trust’s Net Investment Income Tax</w:t>
      </w:r>
    </w:p>
    <w:p w14:paraId="3EC290A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542"/>
        <w:gridCol w:w="3409"/>
        <w:gridCol w:w="2399"/>
      </w:tblGrid>
      <w:tr w:rsidR="00494B49" w14:paraId="78FE4EB7" w14:textId="77777777">
        <w:trPr>
          <w:gridAfter w:val="1"/>
          <w:wAfter w:w="3360" w:type="dxa"/>
        </w:trPr>
        <w:tc>
          <w:tcPr>
            <w:tcW w:w="5040" w:type="dxa"/>
          </w:tcPr>
          <w:p w14:paraId="49348028" w14:textId="77777777" w:rsidR="00494B49" w:rsidRDefault="00494B49"/>
        </w:tc>
        <w:tc>
          <w:tcPr>
            <w:tcW w:w="5040" w:type="dxa"/>
          </w:tcPr>
          <w:p w14:paraId="7E25536C" w14:textId="77777777" w:rsidR="00494B49" w:rsidRDefault="00494B49">
            <w:r>
              <w:t xml:space="preserve"> </w:t>
            </w:r>
            <w:r>
              <w:rPr>
                <w:b/>
              </w:rPr>
              <w:t>Trust X</w:t>
            </w:r>
          </w:p>
        </w:tc>
      </w:tr>
      <w:tr w:rsidR="00494B49" w14:paraId="064FB306" w14:textId="77777777">
        <w:tc>
          <w:tcPr>
            <w:tcW w:w="3360" w:type="dxa"/>
          </w:tcPr>
          <w:p w14:paraId="4F1EC5AE" w14:textId="77777777" w:rsidR="00494B49" w:rsidRDefault="00494B49"/>
        </w:tc>
        <w:tc>
          <w:tcPr>
            <w:tcW w:w="3360" w:type="dxa"/>
          </w:tcPr>
          <w:p w14:paraId="6A928025" w14:textId="77777777" w:rsidR="00494B49" w:rsidRDefault="00494B49">
            <w:r>
              <w:t>MAGI</w:t>
            </w:r>
          </w:p>
        </w:tc>
        <w:tc>
          <w:tcPr>
            <w:tcW w:w="3360" w:type="dxa"/>
          </w:tcPr>
          <w:p w14:paraId="114B06C7" w14:textId="77777777" w:rsidR="00494B49" w:rsidRDefault="00494B49">
            <w:r>
              <w:t>NII</w:t>
            </w:r>
          </w:p>
        </w:tc>
      </w:tr>
      <w:tr w:rsidR="00494B49" w14:paraId="6991EBD6" w14:textId="77777777">
        <w:tc>
          <w:tcPr>
            <w:tcW w:w="3360" w:type="dxa"/>
          </w:tcPr>
          <w:p w14:paraId="3A939F88" w14:textId="77777777" w:rsidR="00494B49" w:rsidRDefault="00494B49">
            <w:r>
              <w:t>MAGI</w:t>
            </w:r>
          </w:p>
        </w:tc>
        <w:tc>
          <w:tcPr>
            <w:tcW w:w="3360" w:type="dxa"/>
          </w:tcPr>
          <w:p w14:paraId="4C5C00A4" w14:textId="77777777" w:rsidR="00494B49" w:rsidRDefault="00494B49">
            <w:r>
              <w:t>$50,000</w:t>
            </w:r>
          </w:p>
        </w:tc>
        <w:tc>
          <w:tcPr>
            <w:tcW w:w="3360" w:type="dxa"/>
          </w:tcPr>
          <w:p w14:paraId="0091846D" w14:textId="77777777" w:rsidR="00494B49" w:rsidRDefault="00494B49"/>
        </w:tc>
      </w:tr>
      <w:tr w:rsidR="00494B49" w14:paraId="74CA5A9C" w14:textId="77777777">
        <w:tc>
          <w:tcPr>
            <w:tcW w:w="3360" w:type="dxa"/>
          </w:tcPr>
          <w:p w14:paraId="1E117153" w14:textId="77777777" w:rsidR="00494B49" w:rsidRDefault="00494B49">
            <w:r>
              <w:t>Net Investment Income</w:t>
            </w:r>
          </w:p>
        </w:tc>
        <w:tc>
          <w:tcPr>
            <w:tcW w:w="3360" w:type="dxa"/>
          </w:tcPr>
          <w:p w14:paraId="1E353068" w14:textId="77777777" w:rsidR="00494B49" w:rsidRDefault="00494B49"/>
        </w:tc>
        <w:tc>
          <w:tcPr>
            <w:tcW w:w="3360" w:type="dxa"/>
          </w:tcPr>
          <w:p w14:paraId="798EC28B" w14:textId="77777777" w:rsidR="00494B49" w:rsidRDefault="00494B49">
            <w:r>
              <w:t>$100,000</w:t>
            </w:r>
          </w:p>
        </w:tc>
      </w:tr>
      <w:tr w:rsidR="00494B49" w14:paraId="69CD61CC" w14:textId="77777777">
        <w:tc>
          <w:tcPr>
            <w:tcW w:w="3360" w:type="dxa"/>
          </w:tcPr>
          <w:p w14:paraId="1203064A" w14:textId="77777777" w:rsidR="00494B49" w:rsidRDefault="00494B49">
            <w:r>
              <w:t>Distribution Deduction</w:t>
            </w:r>
          </w:p>
        </w:tc>
        <w:tc>
          <w:tcPr>
            <w:tcW w:w="3360" w:type="dxa"/>
          </w:tcPr>
          <w:p w14:paraId="191502DA" w14:textId="77777777" w:rsidR="00494B49" w:rsidRDefault="00494B49"/>
        </w:tc>
        <w:tc>
          <w:tcPr>
            <w:tcW w:w="3360" w:type="dxa"/>
          </w:tcPr>
          <w:p w14:paraId="561B20FD" w14:textId="77777777" w:rsidR="00494B49" w:rsidRDefault="00494B49">
            <w:r>
              <w:t>($50,000)</w:t>
            </w:r>
          </w:p>
        </w:tc>
      </w:tr>
      <w:tr w:rsidR="00494B49" w14:paraId="4FCF1EDA" w14:textId="77777777">
        <w:tc>
          <w:tcPr>
            <w:tcW w:w="3360" w:type="dxa"/>
          </w:tcPr>
          <w:p w14:paraId="072DD1CA" w14:textId="77777777" w:rsidR="00494B49" w:rsidRDefault="00494B49">
            <w:r>
              <w:t xml:space="preserve">Undistributed Net Investment </w:t>
            </w:r>
            <w:r>
              <w:br/>
              <w:t>Income</w:t>
            </w:r>
          </w:p>
        </w:tc>
        <w:tc>
          <w:tcPr>
            <w:tcW w:w="3360" w:type="dxa"/>
          </w:tcPr>
          <w:p w14:paraId="03D5DD78" w14:textId="77777777" w:rsidR="00494B49" w:rsidRDefault="00494B49"/>
        </w:tc>
        <w:tc>
          <w:tcPr>
            <w:tcW w:w="3360" w:type="dxa"/>
          </w:tcPr>
          <w:p w14:paraId="3E9E0914" w14:textId="77777777" w:rsidR="00494B49" w:rsidRDefault="00494B49">
            <w:r>
              <w:t>$50,000</w:t>
            </w:r>
          </w:p>
        </w:tc>
      </w:tr>
      <w:tr w:rsidR="00494B49" w14:paraId="38B1296E" w14:textId="77777777">
        <w:tc>
          <w:tcPr>
            <w:tcW w:w="3360" w:type="dxa"/>
          </w:tcPr>
          <w:p w14:paraId="57DF8230" w14:textId="77777777" w:rsidR="00494B49" w:rsidRDefault="00494B49">
            <w:r>
              <w:t>2014 Threshold</w:t>
            </w:r>
          </w:p>
        </w:tc>
        <w:tc>
          <w:tcPr>
            <w:tcW w:w="3360" w:type="dxa"/>
          </w:tcPr>
          <w:p w14:paraId="349241FB" w14:textId="77777777" w:rsidR="00494B49" w:rsidRDefault="00494B49">
            <w:r>
              <w:t>($12,150)</w:t>
            </w:r>
          </w:p>
        </w:tc>
        <w:tc>
          <w:tcPr>
            <w:tcW w:w="3360" w:type="dxa"/>
          </w:tcPr>
          <w:p w14:paraId="69FA0C27" w14:textId="77777777" w:rsidR="00494B49" w:rsidRDefault="00494B49"/>
        </w:tc>
      </w:tr>
      <w:tr w:rsidR="00494B49" w14:paraId="10BA5542" w14:textId="77777777">
        <w:tc>
          <w:tcPr>
            <w:tcW w:w="3360" w:type="dxa"/>
          </w:tcPr>
          <w:p w14:paraId="7F8F4510" w14:textId="77777777" w:rsidR="00494B49" w:rsidRDefault="00494B49">
            <w:r>
              <w:t>net investment income tax Tax Base</w:t>
            </w:r>
          </w:p>
        </w:tc>
        <w:tc>
          <w:tcPr>
            <w:tcW w:w="3360" w:type="dxa"/>
          </w:tcPr>
          <w:p w14:paraId="36596A6E" w14:textId="77777777" w:rsidR="00494B49" w:rsidRDefault="00494B49">
            <w:r>
              <w:t>$37,850</w:t>
            </w:r>
          </w:p>
        </w:tc>
        <w:tc>
          <w:tcPr>
            <w:tcW w:w="3360" w:type="dxa"/>
          </w:tcPr>
          <w:p w14:paraId="1F54BBEE" w14:textId="77777777" w:rsidR="00494B49" w:rsidRDefault="00494B49"/>
        </w:tc>
      </w:tr>
    </w:tbl>
    <w:p w14:paraId="57657681" w14:textId="77777777" w:rsidR="00494B49" w:rsidRDefault="00494B49">
      <w:pPr>
        <w:pStyle w:val="BNormal"/>
      </w:pPr>
    </w:p>
    <w:p w14:paraId="6A800F2C" w14:textId="77777777" w:rsidR="00494B49" w:rsidRDefault="00494B49" w:rsidP="00144640">
      <w:pPr>
        <w:pStyle w:val="BExamplepara"/>
        <w:rPr>
          <w:i/>
        </w:rPr>
      </w:pPr>
      <w:r>
        <w:lastRenderedPageBreak/>
        <w:t xml:space="preserve"> </w:t>
      </w:r>
      <w:r>
        <w:rPr>
          <w:i/>
        </w:rPr>
        <w:t>Step 6: Beneficiary’s Net Investment Income Tax</w:t>
      </w:r>
    </w:p>
    <w:p w14:paraId="4DD302CB"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472"/>
        <w:gridCol w:w="3482"/>
        <w:gridCol w:w="2396"/>
      </w:tblGrid>
      <w:tr w:rsidR="00494B49" w14:paraId="4336DCD4" w14:textId="77777777">
        <w:trPr>
          <w:gridAfter w:val="1"/>
          <w:wAfter w:w="3360" w:type="dxa"/>
        </w:trPr>
        <w:tc>
          <w:tcPr>
            <w:tcW w:w="5040" w:type="dxa"/>
          </w:tcPr>
          <w:p w14:paraId="331F1098" w14:textId="77777777" w:rsidR="00494B49" w:rsidRDefault="00494B49"/>
        </w:tc>
        <w:tc>
          <w:tcPr>
            <w:tcW w:w="5040" w:type="dxa"/>
          </w:tcPr>
          <w:p w14:paraId="49CC71CF" w14:textId="77777777" w:rsidR="00494B49" w:rsidRDefault="00494B49">
            <w:r>
              <w:t xml:space="preserve"> </w:t>
            </w:r>
            <w:r>
              <w:rPr>
                <w:b/>
              </w:rPr>
              <w:t>Beneficiary X</w:t>
            </w:r>
          </w:p>
        </w:tc>
      </w:tr>
      <w:tr w:rsidR="00494B49" w14:paraId="4DD840F5" w14:textId="77777777">
        <w:tc>
          <w:tcPr>
            <w:tcW w:w="3360" w:type="dxa"/>
          </w:tcPr>
          <w:p w14:paraId="2AC2878F" w14:textId="77777777" w:rsidR="00494B49" w:rsidRDefault="00494B49"/>
        </w:tc>
        <w:tc>
          <w:tcPr>
            <w:tcW w:w="3360" w:type="dxa"/>
          </w:tcPr>
          <w:p w14:paraId="03D74AED" w14:textId="77777777" w:rsidR="00494B49" w:rsidRDefault="00494B49">
            <w:r>
              <w:t>Regular Tax</w:t>
            </w:r>
          </w:p>
        </w:tc>
        <w:tc>
          <w:tcPr>
            <w:tcW w:w="3360" w:type="dxa"/>
          </w:tcPr>
          <w:p w14:paraId="75620EA2" w14:textId="77777777" w:rsidR="00494B49" w:rsidRDefault="00494B49">
            <w:r>
              <w:t>NII</w:t>
            </w:r>
          </w:p>
        </w:tc>
      </w:tr>
      <w:tr w:rsidR="00494B49" w14:paraId="7E932D7E" w14:textId="77777777">
        <w:tc>
          <w:tcPr>
            <w:tcW w:w="3360" w:type="dxa"/>
          </w:tcPr>
          <w:p w14:paraId="7C40C440" w14:textId="77777777" w:rsidR="00494B49" w:rsidRDefault="00494B49">
            <w:r>
              <w:t xml:space="preserve">Ordinary Income </w:t>
            </w:r>
          </w:p>
        </w:tc>
        <w:tc>
          <w:tcPr>
            <w:tcW w:w="3360" w:type="dxa"/>
          </w:tcPr>
          <w:p w14:paraId="5BB5D5DE" w14:textId="77777777" w:rsidR="00494B49" w:rsidRDefault="00494B49">
            <w:r>
              <w:t>$75,000</w:t>
            </w:r>
          </w:p>
        </w:tc>
        <w:tc>
          <w:tcPr>
            <w:tcW w:w="3360" w:type="dxa"/>
          </w:tcPr>
          <w:p w14:paraId="69DA80FC" w14:textId="77777777" w:rsidR="00494B49" w:rsidRDefault="00494B49">
            <w:r>
              <w:t>$75,000</w:t>
            </w:r>
          </w:p>
        </w:tc>
      </w:tr>
      <w:tr w:rsidR="00494B49" w14:paraId="4C804B9E" w14:textId="77777777">
        <w:tc>
          <w:tcPr>
            <w:tcW w:w="3360" w:type="dxa"/>
          </w:tcPr>
          <w:p w14:paraId="6F4534D4" w14:textId="77777777" w:rsidR="00494B49" w:rsidRDefault="00494B49">
            <w:r>
              <w:t xml:space="preserve">Adjustment </w:t>
            </w:r>
          </w:p>
        </w:tc>
        <w:tc>
          <w:tcPr>
            <w:tcW w:w="3360" w:type="dxa"/>
          </w:tcPr>
          <w:p w14:paraId="4D08A52C" w14:textId="77777777" w:rsidR="00494B49" w:rsidRDefault="00494B49"/>
        </w:tc>
        <w:tc>
          <w:tcPr>
            <w:tcW w:w="3360" w:type="dxa"/>
          </w:tcPr>
          <w:p w14:paraId="5FB56213" w14:textId="77777777" w:rsidR="00494B49" w:rsidRDefault="00494B49">
            <w:r>
              <w:t>($25,000)</w:t>
            </w:r>
          </w:p>
        </w:tc>
      </w:tr>
      <w:tr w:rsidR="00494B49" w14:paraId="174C8906" w14:textId="77777777">
        <w:tc>
          <w:tcPr>
            <w:tcW w:w="3360" w:type="dxa"/>
          </w:tcPr>
          <w:p w14:paraId="70E1C8A2" w14:textId="77777777" w:rsidR="00494B49" w:rsidRDefault="00494B49">
            <w:r>
              <w:t>Total</w:t>
            </w:r>
          </w:p>
        </w:tc>
        <w:tc>
          <w:tcPr>
            <w:tcW w:w="3360" w:type="dxa"/>
          </w:tcPr>
          <w:p w14:paraId="20DADFB2" w14:textId="77777777" w:rsidR="00494B49" w:rsidRDefault="00494B49">
            <w:r>
              <w:t>$75,000</w:t>
            </w:r>
          </w:p>
        </w:tc>
        <w:tc>
          <w:tcPr>
            <w:tcW w:w="3360" w:type="dxa"/>
          </w:tcPr>
          <w:p w14:paraId="07C4786C" w14:textId="77777777" w:rsidR="00494B49" w:rsidRDefault="00494B49">
            <w:r>
              <w:t>$50,000</w:t>
            </w:r>
          </w:p>
        </w:tc>
      </w:tr>
      <w:tr w:rsidR="00494B49" w14:paraId="1EE466D7" w14:textId="77777777">
        <w:tc>
          <w:tcPr>
            <w:tcW w:w="3360" w:type="dxa"/>
          </w:tcPr>
          <w:p w14:paraId="6E317116" w14:textId="77777777" w:rsidR="00494B49" w:rsidRDefault="00494B49">
            <w:r>
              <w:t>MAGI</w:t>
            </w:r>
          </w:p>
        </w:tc>
        <w:tc>
          <w:tcPr>
            <w:tcW w:w="3360" w:type="dxa"/>
          </w:tcPr>
          <w:p w14:paraId="79CC44E3" w14:textId="77777777" w:rsidR="00494B49" w:rsidRDefault="00494B49">
            <w:r>
              <w:t>$75,000</w:t>
            </w:r>
          </w:p>
        </w:tc>
        <w:tc>
          <w:tcPr>
            <w:tcW w:w="3360" w:type="dxa"/>
          </w:tcPr>
          <w:p w14:paraId="2C7BA7E2" w14:textId="77777777" w:rsidR="00494B49" w:rsidRDefault="00494B49">
            <w:r>
              <w:t>$50,000</w:t>
            </w:r>
          </w:p>
        </w:tc>
      </w:tr>
    </w:tbl>
    <w:p w14:paraId="3B4A0280" w14:textId="77777777" w:rsidR="00494B49" w:rsidRDefault="00494B49">
      <w:pPr>
        <w:pStyle w:val="BNormal"/>
      </w:pPr>
    </w:p>
    <w:p w14:paraId="214EAB6A" w14:textId="77777777" w:rsidR="00494B49" w:rsidRDefault="00494B49">
      <w:pPr>
        <w:pStyle w:val="BExamplepara"/>
      </w:pPr>
      <w:r>
        <w:t xml:space="preserve">In this case, the Schedule K-1 to the beneficiary will have a ($25,000) under “Other information” in Box 14, Code H. In addition, the Trust should also communicate to the beneficiary that this decrease is related to a </w:t>
      </w:r>
      <w:smartTag w:uri="http://www.bna.com/sgml2word/cite" w:element="cite.usc">
        <w:smartTagPr>
          <w:attr w:name="ref" w:val="USC\26\951(a)"/>
        </w:smartTagPr>
        <w:r>
          <w:t>§951(a)</w:t>
        </w:r>
      </w:smartTag>
      <w:r>
        <w:t xml:space="preserve"> Inclusion that requires a downward adjustment to MAGI. </w:t>
      </w:r>
    </w:p>
    <w:p w14:paraId="6212BCD9" w14:textId="77777777" w:rsidR="00494B49" w:rsidRDefault="00494B49">
      <w:pPr>
        <w:pStyle w:val="BHead2"/>
      </w:pPr>
      <w:r>
        <w:t>6. Special Nongrantor Trusts and Estates</w:t>
      </w:r>
    </w:p>
    <w:p w14:paraId="03E3CBA5" w14:textId="77777777" w:rsidR="00494B49" w:rsidRDefault="00494B49">
      <w:pPr>
        <w:pStyle w:val="BHead3"/>
      </w:pPr>
      <w:r>
        <w:t>a. Qualified Funeral Trusts (QFTs)</w:t>
      </w:r>
    </w:p>
    <w:p w14:paraId="55082140" w14:textId="77777777" w:rsidR="00494B49" w:rsidRDefault="00494B49">
      <w:pPr>
        <w:pStyle w:val="BNormal"/>
      </w:pPr>
      <w:r>
        <w:t xml:space="preserve">Trusts that are qualified funeral trusts (within the meaning of </w:t>
      </w:r>
      <w:smartTag w:uri="http://www.bna.com/sgml2word/cite" w:element="cite.usc">
        <w:smartTagPr>
          <w:attr w:name="ref" w:val="USC\26\685(b)"/>
        </w:smartTagPr>
        <w:r>
          <w:t>§685(b)</w:t>
        </w:r>
      </w:smartTag>
      <w:r>
        <w:t xml:space="preserve">) are not exempt from the application of the net investment income tax. However, Reg. </w:t>
      </w:r>
      <w:smartTag w:uri="http://www.bna.com/sgml2word/cite" w:element="cite.cfr">
        <w:smartTagPr>
          <w:attr w:name="ref" w:val="cfr\26\1.1411-3(b)(2)(i)"/>
        </w:smartTagPr>
        <w:r>
          <w:t>§1.1411-3(b)(2)(i)</w:t>
        </w:r>
      </w:smartTag>
      <w:r>
        <w:t xml:space="preserve"> confirms that the calculation of the </w:t>
      </w:r>
      <w:smartTag w:uri="http://www.bna.com/sgml2word/cite" w:element="cite.usc">
        <w:smartTagPr>
          <w:attr w:name="ref" w:val="USC\26\1411"/>
        </w:smartTagPr>
        <w:r>
          <w:t>§1411</w:t>
        </w:r>
      </w:smartTag>
      <w:r>
        <w:t xml:space="preserve"> tax will be consistent with the taxation of QFTs in Chapter 1.</w:t>
      </w:r>
      <w:r>
        <w:rPr>
          <w:rStyle w:val="FootnoteReference"/>
        </w:rPr>
        <w:footnoteReference w:id="1094"/>
      </w:r>
      <w:r>
        <w:t xml:space="preserve"> The instructions to the Form </w:t>
      </w:r>
      <w:smartTag w:uri="http://www.bna.com/sgml2word/cite" w:element="cite.fed.form">
        <w:smartTagPr>
          <w:attr w:name="ref" w:val="irs\form8960"/>
        </w:smartTagPr>
        <w:r>
          <w:t>8960</w:t>
        </w:r>
      </w:smartTag>
      <w:r>
        <w:t xml:space="preserve"> explain how a QFT calculates and reports the tax when more than one beneficiary contract has net investment income greater than the threshold amount. </w:t>
      </w:r>
    </w:p>
    <w:p w14:paraId="33F089D0" w14:textId="77777777" w:rsidR="00494B49" w:rsidRDefault="00494B49">
      <w:pPr>
        <w:pStyle w:val="BHead3"/>
      </w:pPr>
      <w:r>
        <w:t>b. Bankruptcy Estates</w:t>
      </w:r>
    </w:p>
    <w:p w14:paraId="2DE3CA2E" w14:textId="77777777" w:rsidR="00494B49" w:rsidRDefault="00494B49">
      <w:pPr>
        <w:pStyle w:val="BNormal"/>
      </w:pPr>
      <w:r>
        <w:t xml:space="preserve">A bankruptcy estate of a debtor who is an individual is treated as an individual for purposes of computing the tax under </w:t>
      </w:r>
      <w:smartTag w:uri="http://www.bna.com/sgml2word/cite" w:element="cite.usc">
        <w:smartTagPr>
          <w:attr w:name="ref" w:val="USC\26\1411"/>
        </w:smartTagPr>
        <w:r>
          <w:t>§1411</w:t>
        </w:r>
      </w:smartTag>
      <w:r>
        <w:t xml:space="preserve">. </w:t>
      </w:r>
      <w:smartTag w:uri="http://www.bna.com/sgml2word/cite" w:element="cite.usc">
        <w:smartTagPr>
          <w:attr w:name="ref" w:val="USC\26\1398"/>
        </w:smartTagPr>
        <w:r>
          <w:t>Section 1398</w:t>
        </w:r>
      </w:smartTag>
      <w:r>
        <w:t xml:space="preserve"> provides rules for the taxation of bankruptcy estates in Chapter 7 and Chapter 11 cases (under the Bankruptcy Code) in which the debtor is an individual. In these cases, the bankruptcy estate computes its tax in the same manner as an individual. </w:t>
      </w:r>
      <w:smartTag w:uri="http://www.bna.com/sgml2word/cite" w:element="cite.usc">
        <w:smartTagPr>
          <w:attr w:name="ref" w:val="USC\26\1398(c)(2)"/>
        </w:smartTagPr>
        <w:r>
          <w:t>Section 1398(c)(2)</w:t>
        </w:r>
      </w:smartTag>
      <w:r>
        <w:t xml:space="preserve"> provides that the tax rate under </w:t>
      </w:r>
      <w:smartTag w:uri="http://www.bna.com/sgml2word/cite" w:element="cite.usc">
        <w:smartTagPr>
          <w:attr w:name="ref" w:val="USC\26\1"/>
        </w:smartTagPr>
        <w:r>
          <w:t>§1</w:t>
        </w:r>
      </w:smartTag>
      <w:r>
        <w:t xml:space="preserve"> for the bankruptcy estate is the same as that imposed on a married taxpayer filing separately, and </w:t>
      </w:r>
      <w:smartTag w:uri="http://www.bna.com/sgml2word/cite" w:element="cite.usc">
        <w:smartTagPr>
          <w:attr w:name="ref" w:val="USC\26\1398(c)(3)"/>
        </w:smartTagPr>
        <w:r>
          <w:t>§1398(c)(3)</w:t>
        </w:r>
      </w:smartTag>
      <w:r>
        <w:t xml:space="preserve"> provides that the bankruptcy estate is entitled to a standard deduction of a married taxpayer filing separately. Therefore, consistent with </w:t>
      </w:r>
      <w:smartTag w:uri="http://www.bna.com/sgml2word/cite" w:element="cite.usc">
        <w:smartTagPr>
          <w:attr w:name="ref" w:val="USC\26\1398"/>
        </w:smartTagPr>
        <w:r>
          <w:t>§1398</w:t>
        </w:r>
      </w:smartTag>
      <w:r>
        <w:t xml:space="preserve">, regardless of the actual marital status of the debtor, a bankruptcy estate of a debtor who is an individual is treated as a married taxpayer filing separately for purposes of the thresholds in </w:t>
      </w:r>
      <w:smartTag w:uri="http://www.bna.com/sgml2word/cite" w:element="cite.usc">
        <w:smartTagPr>
          <w:attr w:name="ref" w:val="USC\26\1411(b)"/>
        </w:smartTagPr>
        <w:r>
          <w:t>§1411(b)</w:t>
        </w:r>
      </w:smartTag>
      <w:r>
        <w:t>, and therefore the threshold amount applicable to such a bankruptcy estate is $125,000.</w:t>
      </w:r>
      <w:r>
        <w:rPr>
          <w:rStyle w:val="FootnoteReference"/>
        </w:rPr>
        <w:footnoteReference w:id="1095"/>
      </w:r>
    </w:p>
    <w:p w14:paraId="16D0037B" w14:textId="77777777" w:rsidR="00494B49" w:rsidRDefault="00494B49">
      <w:pPr>
        <w:pStyle w:val="BHead3"/>
      </w:pPr>
      <w:r>
        <w:t>c. Foreign Trusts and Estates</w:t>
      </w:r>
    </w:p>
    <w:p w14:paraId="45224513" w14:textId="77777777" w:rsidR="00494B49" w:rsidRDefault="00494B49">
      <w:pPr>
        <w:pStyle w:val="BNormal"/>
      </w:pPr>
      <w:r>
        <w:t xml:space="preserve">Foreign trusts and foreign estates are not subject to the tax imposed by </w:t>
      </w:r>
      <w:smartTag w:uri="http://www.bna.com/sgml2word/cite" w:element="cite.usc">
        <w:smartTagPr>
          <w:attr w:name="ref" w:val="USC\26\1411"/>
        </w:smartTagPr>
        <w:r>
          <w:t>§1411</w:t>
        </w:r>
      </w:smartTag>
      <w:r>
        <w:t xml:space="preserve">, regardless of whether the trust or estate has a U.S. tax liability for other reasons (e.g., due to having effectively connected income). Although the foreign estate or trust is not subject to </w:t>
      </w:r>
      <w:smartTag w:uri="http://www.bna.com/sgml2word/cite" w:element="cite.usc">
        <w:smartTagPr>
          <w:attr w:name="ref" w:val="USC\26\1411"/>
        </w:smartTagPr>
        <w:r>
          <w:t>§1411</w:t>
        </w:r>
      </w:smartTag>
      <w:r>
        <w:t xml:space="preserve"> at the entity level, distributions of current income to U.S. beneficiaries would be included in the calculation of their </w:t>
      </w:r>
      <w:smartTag w:uri="http://www.bna.com/sgml2word/cite" w:element="cite.usc">
        <w:smartTagPr>
          <w:attr w:name="ref" w:val="USC\26\1411"/>
        </w:smartTagPr>
        <w:r>
          <w:lastRenderedPageBreak/>
          <w:t>§1411</w:t>
        </w:r>
      </w:smartTag>
      <w:r>
        <w:t xml:space="preserve"> liability (both in calculating their net investment income and their adjusted gross income).</w:t>
      </w:r>
      <w:r>
        <w:rPr>
          <w:rStyle w:val="FootnoteReference"/>
        </w:rPr>
        <w:footnoteReference w:id="1096"/>
      </w:r>
    </w:p>
    <w:p w14:paraId="4EC0B701" w14:textId="77777777" w:rsidR="00494B49" w:rsidRDefault="00494B49">
      <w:pPr>
        <w:pStyle w:val="BNormal"/>
      </w:pPr>
      <w:r>
        <w:t xml:space="preserve"> With respect to accumulation distributions of accumulated income from foreign trusts to U.S. beneficiaries, the Preamble to the 2013 Final Regulations states that while the IRS continues to study how the net investment income tax should apply to these distributions, the net investment income tax will not apply to distributions of accumulated income from a foreign trust to a U.S. beneficiary and Reg. </w:t>
      </w:r>
      <w:smartTag w:uri="http://www.bna.com/sgml2word/cite" w:element="cite.cfr">
        <w:smartTagPr>
          <w:attr w:name="ref" w:val="cfr\26\1.1411-4(e)(1)(ii)"/>
        </w:smartTagPr>
        <w:r>
          <w:t>§1.1411-4(e)(1)(ii)</w:t>
        </w:r>
      </w:smartTag>
      <w:r>
        <w:t xml:space="preserve"> is reserved.</w:t>
      </w:r>
      <w:r>
        <w:rPr>
          <w:rStyle w:val="FootnoteReference"/>
        </w:rPr>
        <w:footnoteReference w:id="1097"/>
      </w:r>
    </w:p>
    <w:p w14:paraId="523977AE" w14:textId="77777777" w:rsidR="00494B49" w:rsidRDefault="00494B49">
      <w:pPr>
        <w:pStyle w:val="BHead1"/>
      </w:pPr>
      <w:r>
        <w:t>C. Special Rules for Electing Small Business Trusts</w:t>
      </w:r>
    </w:p>
    <w:p w14:paraId="01B131A5" w14:textId="77777777" w:rsidR="00494B49" w:rsidRDefault="00494B49">
      <w:pPr>
        <w:pStyle w:val="BNormal"/>
      </w:pPr>
      <w:r>
        <w:t xml:space="preserve">Reg. </w:t>
      </w:r>
      <w:smartTag w:uri="http://www.bna.com/sgml2word/cite" w:element="cite.cfr">
        <w:smartTagPr>
          <w:attr w:name="ref" w:val="cfr\26\1.1411-3(c)"/>
        </w:smartTagPr>
        <w:r>
          <w:t>§1.1411-3(c)</w:t>
        </w:r>
      </w:smartTag>
      <w:r>
        <w:t xml:space="preserve"> provides special computational rules for electing small business trusts (ESBTs).</w:t>
      </w:r>
      <w:r>
        <w:rPr>
          <w:rStyle w:val="FootnoteReference"/>
        </w:rPr>
        <w:footnoteReference w:id="1098"/>
      </w:r>
      <w:r>
        <w:t xml:space="preserve"> The regulations preserve the Chapter 1 treatment of the ESBT as two separate trusts for computational purposes but consolidate the ESBT into a single trust for purposes of determining the adjusted gross income threshold in </w:t>
      </w:r>
      <w:smartTag w:uri="http://www.bna.com/sgml2word/cite" w:element="cite.usc">
        <w:smartTagPr>
          <w:attr w:name="ref" w:val="USC\26\1411(a)(2)(B)(ii)"/>
        </w:smartTagPr>
        <w:r>
          <w:t>§1411(a)(2)(B)(ii)</w:t>
        </w:r>
      </w:smartTag>
      <w:r>
        <w:t>.</w:t>
      </w:r>
      <w:r>
        <w:rPr>
          <w:rStyle w:val="FootnoteReference"/>
        </w:rPr>
        <w:footnoteReference w:id="1099"/>
      </w:r>
      <w:r>
        <w:t xml:space="preserve"> This rule applies a single </w:t>
      </w:r>
      <w:smartTag w:uri="http://www.bna.com/sgml2word/cite" w:element="cite.usc">
        <w:smartTagPr>
          <w:attr w:name="ref" w:val="USC\26\1(e)"/>
        </w:smartTagPr>
        <w:r>
          <w:t>§1(e)</w:t>
        </w:r>
      </w:smartTag>
      <w:r>
        <w:t xml:space="preserve"> threshold and does not inequitably benefit ESBTs over other taxable trusts.</w:t>
      </w:r>
    </w:p>
    <w:p w14:paraId="05CA3BD8" w14:textId="77777777" w:rsidR="00494B49" w:rsidRDefault="00494B49">
      <w:pPr>
        <w:pStyle w:val="BNormal"/>
      </w:pPr>
      <w:r>
        <w:t xml:space="preserve">Reg. </w:t>
      </w:r>
      <w:smartTag w:uri="http://www.bna.com/sgml2word/cite" w:element="cite.cfr">
        <w:smartTagPr>
          <w:attr w:name="ref" w:val="cfr\26\1.1411-3(c)(2)"/>
        </w:smartTagPr>
        <w:r>
          <w:t>§1.1411-3(c)(2)</w:t>
        </w:r>
      </w:smartTag>
      <w:r>
        <w:t xml:space="preserve"> provides the method to determine the ESBT’s </w:t>
      </w:r>
      <w:smartTag w:uri="http://www.bna.com/sgml2word/cite" w:element="cite.usc">
        <w:smartTagPr>
          <w:attr w:name="ref" w:val="USC\26\1411"/>
        </w:smartTagPr>
        <w:r>
          <w:t>§1411</w:t>
        </w:r>
      </w:smartTag>
      <w:r>
        <w:t xml:space="preserve"> tax base. First, the ESBT separately calculates the undistributed net investment income of the S portion and non-S portion in accordance with the general rules for trusts under Chapter 1, and combines the undistributed net investment income of the S portion and the non-S portion.</w:t>
      </w:r>
      <w:r>
        <w:rPr>
          <w:rStyle w:val="FootnoteReference"/>
        </w:rPr>
        <w:footnoteReference w:id="1100"/>
      </w:r>
      <w:r>
        <w:t xml:space="preserve"> Second, the ESBT determines its adjusted gross income, solely for purposes of </w:t>
      </w:r>
      <w:smartTag w:uri="http://www.bna.com/sgml2word/cite" w:element="cite.usc">
        <w:smartTagPr>
          <w:attr w:name="ref" w:val="USC\26\1411"/>
        </w:smartTagPr>
        <w:r>
          <w:t>§1411</w:t>
        </w:r>
      </w:smartTag>
      <w:r>
        <w:t>, by adding the net income or net loss from the S portion to that of the non-S portion as a single item of income or loss.</w:t>
      </w:r>
      <w:r>
        <w:rPr>
          <w:rStyle w:val="FootnoteReference"/>
        </w:rPr>
        <w:footnoteReference w:id="1101"/>
      </w:r>
      <w:r>
        <w:t xml:space="preserve"> Finally, to determine whether the ESBT is subject to </w:t>
      </w:r>
      <w:smartTag w:uri="http://www.bna.com/sgml2word/cite" w:element="cite.usc">
        <w:smartTagPr>
          <w:attr w:name="ref" w:val="USC\26\1411"/>
        </w:smartTagPr>
        <w:r>
          <w:t>§1411</w:t>
        </w:r>
      </w:smartTag>
      <w:r>
        <w:t xml:space="preserve">, and if so, the </w:t>
      </w:r>
      <w:smartTag w:uri="http://www.bna.com/sgml2word/cite" w:element="cite.usc">
        <w:smartTagPr>
          <w:attr w:name="ref" w:val="USC\26\1411"/>
        </w:smartTagPr>
        <w:r>
          <w:t>§1411</w:t>
        </w:r>
      </w:smartTag>
      <w:r>
        <w:t xml:space="preserve"> tax base, the ESBT compares the combined undistributed net investment income with the excess of its adjusted gross income over the </w:t>
      </w:r>
      <w:smartTag w:uri="http://www.bna.com/sgml2word/cite" w:element="cite.usc">
        <w:smartTagPr>
          <w:attr w:name="ref" w:val="USC\26\1(e)"/>
        </w:smartTagPr>
        <w:r>
          <w:t>§1(e)</w:t>
        </w:r>
      </w:smartTag>
      <w:r>
        <w:t xml:space="preserve"> threshold.</w:t>
      </w:r>
      <w:r>
        <w:rPr>
          <w:rStyle w:val="FootnoteReference"/>
        </w:rPr>
        <w:footnoteReference w:id="1102"/>
      </w:r>
      <w:r>
        <w:t xml:space="preserve"> Reg. </w:t>
      </w:r>
      <w:smartTag w:uri="http://www.bna.com/sgml2word/cite" w:element="cite.cfr">
        <w:smartTagPr>
          <w:attr w:name="ref" w:val="cfr\26\1.1411-3(c)(3)"/>
        </w:smartTagPr>
        <w:r>
          <w:t>§1.1411-3(c)(3)</w:t>
        </w:r>
      </w:smartTag>
      <w:r>
        <w:t xml:space="preserve"> provides a comprehensive example of the computation required in each of these steps. </w:t>
      </w:r>
    </w:p>
    <w:p w14:paraId="3A668A17" w14:textId="77777777" w:rsidR="00494B49" w:rsidRDefault="00494B49">
      <w:pPr>
        <w:pStyle w:val="BHead2"/>
      </w:pPr>
      <w:r>
        <w:t>1. Calculation of Undistributed Net Investment Income</w:t>
      </w:r>
    </w:p>
    <w:p w14:paraId="0ACC5CCE" w14:textId="77777777" w:rsidR="00494B49" w:rsidRDefault="00494B49">
      <w:pPr>
        <w:pStyle w:val="BNormal"/>
      </w:pPr>
      <w:r>
        <w:lastRenderedPageBreak/>
        <w:t xml:space="preserve">Reg. </w:t>
      </w:r>
      <w:smartTag w:uri="http://www.bna.com/sgml2word/cite" w:element="cite.cfr">
        <w:smartTagPr>
          <w:attr w:name="ref" w:val="cfr\26\1.1411-3(c)(2)(i)"/>
        </w:smartTagPr>
        <w:r>
          <w:t>§1.1411-3(c)(2)(i)</w:t>
        </w:r>
      </w:smartTag>
      <w:r>
        <w:t xml:space="preserve"> provides that an ESBT must compute the undistributed net investment income for the S portion and non-S portion separately in the manner described in Reg. </w:t>
      </w:r>
      <w:smartTag w:uri="http://www.bna.com/sgml2word/cite" w:element="cite.cfr">
        <w:smartTagPr>
          <w:attr w:name="ref" w:val="cfr\26\1.1411-3(e)"/>
        </w:smartTagPr>
        <w:r>
          <w:t>§1.1411-3(e)</w:t>
        </w:r>
      </w:smartTag>
      <w:r>
        <w:t xml:space="preserve"> and then combine these amounts to calculate the ESBT’s undistributed net investment income. </w:t>
      </w:r>
    </w:p>
    <w:p w14:paraId="5D1107D3" w14:textId="77777777" w:rsidR="00494B49" w:rsidRDefault="00494B49">
      <w:pPr>
        <w:pStyle w:val="BNormal"/>
      </w:pPr>
      <w:r>
        <w:t xml:space="preserve">The rule requires the S portion and non-S portion to independently compute net investment income based on the items of income, gain, loss, and deduction attributable to each portion for regular tax purposes. There is no mechanism to have deductions on one side net with income on the other side. For example, a capital loss of $10,000 on the S portion that is limited to $3,000 in a year ($7,000 carried forward to the next year) is not permitted to offset $15,000 capital gain on the non-S portion. In this case, assuming no other items of net investment income, there would be a combined undistributed net investment income of $12,000 and $7,000 would be carried over on the S portion and would offset net investment income when such loss is allowed for regular tax purposes. </w:t>
      </w:r>
    </w:p>
    <w:p w14:paraId="7166244F" w14:textId="77777777" w:rsidR="00494B49" w:rsidRDefault="00494B49">
      <w:pPr>
        <w:pStyle w:val="BNormal"/>
      </w:pPr>
      <w:r>
        <w:t>Additionally, the combined undistributed net investment income only takes into account DNI distributions on the non-S portion, but not distributions from the S portion. Although not explicitly stated in the regulations, this is consistent with the treatment of ESBTs for regular tax purposes.</w:t>
      </w:r>
      <w:r>
        <w:rPr>
          <w:rStyle w:val="FootnoteReference"/>
        </w:rPr>
        <w:footnoteReference w:id="1103"/>
      </w:r>
    </w:p>
    <w:p w14:paraId="768BD1CC" w14:textId="77777777" w:rsidR="00494B49" w:rsidRDefault="00494B49">
      <w:pPr>
        <w:pStyle w:val="BHead2"/>
      </w:pPr>
      <w:r>
        <w:t xml:space="preserve">2. Calculation of Adjusted Gross Income </w:t>
      </w:r>
    </w:p>
    <w:p w14:paraId="6CFC7CE9" w14:textId="77777777" w:rsidR="00494B49" w:rsidRDefault="00494B49">
      <w:pPr>
        <w:pStyle w:val="BNormal"/>
      </w:pPr>
      <w:r>
        <w:t xml:space="preserve">Reg. </w:t>
      </w:r>
      <w:smartTag w:uri="http://www.bna.com/sgml2word/cite" w:element="cite.cfr">
        <w:smartTagPr>
          <w:attr w:name="ref" w:val="cfr\26\1.1411-3(c)(2)(i)"/>
        </w:smartTagPr>
        <w:r>
          <w:t>§1.1411-3(c)(2)(i)</w:t>
        </w:r>
      </w:smartTag>
      <w:r>
        <w:t xml:space="preserve"> provides that the ESBT’s adjusted gross income is the adjusted gross income of the non-S portion, increased or decreased by the net income or net loss of the S portion, after taking into account all deductions, carryovers, and loss limitations applicable to the S portion, as a single item of ordinary income (or ordinary loss).</w:t>
      </w:r>
      <w:r>
        <w:rPr>
          <w:rStyle w:val="FootnoteReference"/>
        </w:rPr>
        <w:footnoteReference w:id="1104"/>
      </w:r>
    </w:p>
    <w:p w14:paraId="2D50F5F3" w14:textId="77777777" w:rsidR="00494B49" w:rsidRDefault="00494B49">
      <w:pPr>
        <w:pStyle w:val="BNormal"/>
      </w:pPr>
      <w:r>
        <w:t xml:space="preserve">Similar to the rule for calculating the combined net investment income, the net income of each side is combined. All deduction limitations that are imposed for regular tax purposes, such as the </w:t>
      </w:r>
      <w:smartTag w:uri="http://www.bna.com/sgml2word/cite" w:element="cite.usc">
        <w:smartTagPr>
          <w:attr w:name="ref" w:val="USC\26\67"/>
        </w:smartTagPr>
        <w:r>
          <w:t>§67</w:t>
        </w:r>
      </w:smartTag>
      <w:r>
        <w:t xml:space="preserve"> limitation on miscellaneous itemized deductions or capital loss limitations, are applied to each side before the combination.</w:t>
      </w:r>
      <w:r>
        <w:rPr>
          <w:rStyle w:val="FootnoteReference"/>
        </w:rPr>
        <w:footnoteReference w:id="1105"/>
      </w:r>
    </w:p>
    <w:p w14:paraId="15F83622" w14:textId="77777777" w:rsidR="00494B49" w:rsidRDefault="00494B49">
      <w:pPr>
        <w:pStyle w:val="BNormal"/>
      </w:pPr>
      <w:r>
        <w:t>There appears to be a mechanical glitch in the calculation of an ESBT’s AGI. The pro-taxpayer glitch occurs when one side of an ESBT has a net operating loss and the other side has income. In this situation, due to the simplicity of the rule, the NOL has the potential to end up being duplicated on a multiyear basis which will lower (or eliminate) an ESBT’s net investment income liability due to AGI alone. A simple two-year illustration is shown below:</w:t>
      </w:r>
    </w:p>
    <w:p w14:paraId="6E417B6F" w14:textId="77777777" w:rsidR="00494B49" w:rsidRDefault="00494B49">
      <w:pPr>
        <w:pStyle w:val="BExamplepara"/>
      </w:pPr>
      <w:r>
        <w:lastRenderedPageBreak/>
        <w:t xml:space="preserve"> </w:t>
      </w:r>
      <w:r>
        <w:rPr>
          <w:i/>
        </w:rPr>
        <w:t>Example:</w:t>
      </w:r>
    </w:p>
    <w:p w14:paraId="61293D4B" w14:textId="77777777" w:rsidR="00494B49" w:rsidRDefault="00494B49">
      <w:pPr>
        <w:pStyle w:val="BExamplepara"/>
      </w:pPr>
      <w:r>
        <w:t xml:space="preserve">Assume that the S portion of an ESBT has passive business income of $120,000 and interest income of $5,000 in both Year 1 and Year 2. Assume that the non-S portion of the ESBT has an ordinary loss of $80,000 in Year 1 and dividend income of $10,000 in both Year 1 and Year 2. Due to the ordinary loss, the non-S portion has a net operating loss that is carried forward to Year 2. </w:t>
      </w:r>
    </w:p>
    <w:p w14:paraId="06215CB6" w14:textId="77777777" w:rsidR="00494B49" w:rsidRDefault="00494B49" w:rsidP="00144640">
      <w:pPr>
        <w:pStyle w:val="BNormal"/>
      </w:pPr>
      <w:r>
        <w:t>In Year 1, the adjusted gross income for the ESBT is $55,000, determined as follows:</w:t>
      </w:r>
    </w:p>
    <w:p w14:paraId="48EE6C43" w14:textId="77777777" w:rsidR="00494B49" w:rsidRDefault="00494B49" w:rsidP="00144640">
      <w:pPr>
        <w:pStyle w:val="BNormal"/>
      </w:pPr>
    </w:p>
    <w:tbl>
      <w:tblPr>
        <w:tblStyle w:val="TableGrid"/>
        <w:tblW w:w="0" w:type="auto"/>
        <w:tblLook w:val="04A0" w:firstRow="1" w:lastRow="0" w:firstColumn="1" w:lastColumn="0" w:noHBand="0" w:noVBand="1"/>
      </w:tblPr>
      <w:tblGrid>
        <w:gridCol w:w="4681"/>
        <w:gridCol w:w="4669"/>
      </w:tblGrid>
      <w:tr w:rsidR="00494B49" w14:paraId="0403D9C5" w14:textId="77777777">
        <w:tc>
          <w:tcPr>
            <w:tcW w:w="5040" w:type="dxa"/>
          </w:tcPr>
          <w:p w14:paraId="7DBC1E61" w14:textId="77777777" w:rsidR="00494B49" w:rsidRDefault="00494B49">
            <w:r>
              <w:t xml:space="preserve">Dividend Income </w:t>
            </w:r>
          </w:p>
        </w:tc>
        <w:tc>
          <w:tcPr>
            <w:tcW w:w="5040" w:type="dxa"/>
          </w:tcPr>
          <w:p w14:paraId="34E6597D" w14:textId="77777777" w:rsidR="00494B49" w:rsidRDefault="00494B49">
            <w:r>
              <w:t>$10,000</w:t>
            </w:r>
          </w:p>
        </w:tc>
      </w:tr>
      <w:tr w:rsidR="00494B49" w14:paraId="366DE23E" w14:textId="77777777">
        <w:tc>
          <w:tcPr>
            <w:tcW w:w="5040" w:type="dxa"/>
          </w:tcPr>
          <w:p w14:paraId="22C60760" w14:textId="77777777" w:rsidR="00494B49" w:rsidRDefault="00494B49">
            <w:r>
              <w:t xml:space="preserve">Deductible Ordinary Loss </w:t>
            </w:r>
          </w:p>
        </w:tc>
        <w:tc>
          <w:tcPr>
            <w:tcW w:w="5040" w:type="dxa"/>
          </w:tcPr>
          <w:p w14:paraId="2215B92E" w14:textId="77777777" w:rsidR="00494B49" w:rsidRDefault="00494B49">
            <w:r>
              <w:t>($80,000)</w:t>
            </w:r>
          </w:p>
        </w:tc>
      </w:tr>
      <w:tr w:rsidR="00494B49" w14:paraId="2BF3C684" w14:textId="77777777">
        <w:tc>
          <w:tcPr>
            <w:tcW w:w="5040" w:type="dxa"/>
          </w:tcPr>
          <w:p w14:paraId="308D37C5" w14:textId="77777777" w:rsidR="00494B49" w:rsidRDefault="00494B49">
            <w:r>
              <w:t xml:space="preserve">S Portion Income </w:t>
            </w:r>
          </w:p>
        </w:tc>
        <w:tc>
          <w:tcPr>
            <w:tcW w:w="5040" w:type="dxa"/>
          </w:tcPr>
          <w:p w14:paraId="34A152D7" w14:textId="77777777" w:rsidR="00494B49" w:rsidRDefault="00494B49">
            <w:r>
              <w:t>$125,000</w:t>
            </w:r>
          </w:p>
        </w:tc>
      </w:tr>
      <w:tr w:rsidR="00494B49" w14:paraId="26F9FD56" w14:textId="77777777">
        <w:tc>
          <w:tcPr>
            <w:tcW w:w="5040" w:type="dxa"/>
          </w:tcPr>
          <w:p w14:paraId="42138993" w14:textId="77777777" w:rsidR="00494B49" w:rsidRDefault="00494B49">
            <w:r>
              <w:t>Adjusted gross income</w:t>
            </w:r>
          </w:p>
        </w:tc>
        <w:tc>
          <w:tcPr>
            <w:tcW w:w="5040" w:type="dxa"/>
          </w:tcPr>
          <w:p w14:paraId="02919B28" w14:textId="77777777" w:rsidR="00494B49" w:rsidRDefault="00494B49">
            <w:r>
              <w:t>$55,000</w:t>
            </w:r>
          </w:p>
        </w:tc>
      </w:tr>
    </w:tbl>
    <w:p w14:paraId="5F78A1BC" w14:textId="77777777" w:rsidR="00494B49" w:rsidRDefault="00494B49">
      <w:pPr>
        <w:pStyle w:val="BNormal"/>
      </w:pPr>
    </w:p>
    <w:p w14:paraId="31E1A3CE" w14:textId="77777777" w:rsidR="00494B49" w:rsidRDefault="00494B49">
      <w:pPr>
        <w:pStyle w:val="BExamplepara"/>
      </w:pPr>
      <w:r>
        <w:t xml:space="preserve">The S portion’s single item of ordinary income used in the ESBT’s adjusted gross income calculation is $125,000 ($120,000 of passive business income and $5,000 of interest). </w:t>
      </w:r>
    </w:p>
    <w:p w14:paraId="3855EF00" w14:textId="77777777" w:rsidR="00494B49" w:rsidRDefault="00494B49" w:rsidP="00144640">
      <w:pPr>
        <w:pStyle w:val="BNormal"/>
      </w:pPr>
      <w:r>
        <w:t>In Year 2, the adjusted gross income for the ESBT is $65,000, determined as follows:</w:t>
      </w:r>
    </w:p>
    <w:p w14:paraId="53BEB2AF" w14:textId="77777777" w:rsidR="00494B49" w:rsidRDefault="00494B49" w:rsidP="00144640">
      <w:pPr>
        <w:pStyle w:val="BNormal"/>
      </w:pPr>
    </w:p>
    <w:tbl>
      <w:tblPr>
        <w:tblStyle w:val="TableGrid"/>
        <w:tblW w:w="0" w:type="auto"/>
        <w:tblLook w:val="04A0" w:firstRow="1" w:lastRow="0" w:firstColumn="1" w:lastColumn="0" w:noHBand="0" w:noVBand="1"/>
      </w:tblPr>
      <w:tblGrid>
        <w:gridCol w:w="4688"/>
        <w:gridCol w:w="4662"/>
      </w:tblGrid>
      <w:tr w:rsidR="00494B49" w14:paraId="7A64039D" w14:textId="77777777">
        <w:tc>
          <w:tcPr>
            <w:tcW w:w="5040" w:type="dxa"/>
          </w:tcPr>
          <w:p w14:paraId="55D9BBB0" w14:textId="77777777" w:rsidR="00494B49" w:rsidRDefault="00494B49">
            <w:r>
              <w:t xml:space="preserve">Dividend Income </w:t>
            </w:r>
          </w:p>
        </w:tc>
        <w:tc>
          <w:tcPr>
            <w:tcW w:w="5040" w:type="dxa"/>
          </w:tcPr>
          <w:p w14:paraId="1D024028" w14:textId="77777777" w:rsidR="00494B49" w:rsidRDefault="00494B49">
            <w:r>
              <w:t>$10,000</w:t>
            </w:r>
          </w:p>
        </w:tc>
      </w:tr>
      <w:tr w:rsidR="00494B49" w14:paraId="65E90528" w14:textId="77777777">
        <w:tc>
          <w:tcPr>
            <w:tcW w:w="5040" w:type="dxa"/>
          </w:tcPr>
          <w:p w14:paraId="69EB8A01" w14:textId="77777777" w:rsidR="00494B49" w:rsidRDefault="00494B49">
            <w:r>
              <w:t xml:space="preserve">NOL Carryforward </w:t>
            </w:r>
          </w:p>
        </w:tc>
        <w:tc>
          <w:tcPr>
            <w:tcW w:w="5040" w:type="dxa"/>
          </w:tcPr>
          <w:p w14:paraId="0C1A3ED4" w14:textId="77777777" w:rsidR="00494B49" w:rsidRDefault="00494B49">
            <w:r>
              <w:t>($70,000)</w:t>
            </w:r>
          </w:p>
        </w:tc>
      </w:tr>
      <w:tr w:rsidR="00494B49" w14:paraId="29EE861C" w14:textId="77777777">
        <w:tc>
          <w:tcPr>
            <w:tcW w:w="5040" w:type="dxa"/>
          </w:tcPr>
          <w:p w14:paraId="3777CDF0" w14:textId="77777777" w:rsidR="00494B49" w:rsidRDefault="00494B49">
            <w:r>
              <w:t xml:space="preserve">S Portion Income </w:t>
            </w:r>
          </w:p>
        </w:tc>
        <w:tc>
          <w:tcPr>
            <w:tcW w:w="5040" w:type="dxa"/>
          </w:tcPr>
          <w:p w14:paraId="0A243413" w14:textId="77777777" w:rsidR="00494B49" w:rsidRDefault="00494B49">
            <w:r>
              <w:t>$125,000</w:t>
            </w:r>
          </w:p>
        </w:tc>
      </w:tr>
      <w:tr w:rsidR="00494B49" w14:paraId="5807104C" w14:textId="77777777">
        <w:tc>
          <w:tcPr>
            <w:tcW w:w="5040" w:type="dxa"/>
          </w:tcPr>
          <w:p w14:paraId="3E9BA568" w14:textId="77777777" w:rsidR="00494B49" w:rsidRDefault="00494B49">
            <w:r>
              <w:t xml:space="preserve">Adjusted gross income </w:t>
            </w:r>
          </w:p>
        </w:tc>
        <w:tc>
          <w:tcPr>
            <w:tcW w:w="5040" w:type="dxa"/>
          </w:tcPr>
          <w:p w14:paraId="74255A53" w14:textId="77777777" w:rsidR="00494B49" w:rsidRDefault="00494B49">
            <w:r>
              <w:t>$65,000</w:t>
            </w:r>
          </w:p>
        </w:tc>
      </w:tr>
    </w:tbl>
    <w:p w14:paraId="22090E0D" w14:textId="77777777" w:rsidR="00494B49" w:rsidRDefault="00494B49">
      <w:pPr>
        <w:pStyle w:val="BNormal"/>
      </w:pPr>
    </w:p>
    <w:p w14:paraId="506CC56A" w14:textId="77777777" w:rsidR="00494B49" w:rsidRDefault="00494B49">
      <w:pPr>
        <w:pStyle w:val="BExamplepara"/>
      </w:pPr>
      <w:r>
        <w:t xml:space="preserve">Again, the S portion’s single item of ordinary income used in the ESBT’s adjusted gross income calculation is $125,000. </w:t>
      </w:r>
    </w:p>
    <w:p w14:paraId="77DE524A" w14:textId="77777777" w:rsidR="00494B49" w:rsidRDefault="00494B49">
      <w:pPr>
        <w:pStyle w:val="BExamplepara"/>
      </w:pPr>
      <w:r>
        <w:t xml:space="preserve">As shown in this case, the $80,000 of ordinary loss from the non-S portion reduced AGI in Year 1 of the combined ESBT. The loss was then converted into an NOL and reduced AGI again in Year 2. If the intention of the ESBT combination rule in Reg. </w:t>
      </w:r>
      <w:smartTag w:uri="http://www.bna.com/sgml2word/cite" w:element="cite.cfr">
        <w:smartTagPr>
          <w:attr w:name="ref" w:val="cfr\26\1.1411-3(c)"/>
        </w:smartTagPr>
        <w:r>
          <w:t>§1.1411-3(c)</w:t>
        </w:r>
      </w:smartTag>
      <w:r>
        <w:t xml:space="preserve"> is to create parity between an ESBT and an ordinary nongrantor trust, it actually creates an advantage for an ESBT. If the example above involved an ordinary nongrantor trust, the trust’s AGI in Year 2 would be $135,000 (the $70,000 loss would not be available for use in that year). It appears that the only way for this situation to be remedied is by amending the Reg. </w:t>
      </w:r>
      <w:smartTag w:uri="http://www.bna.com/sgml2word/cite" w:element="cite.cfr">
        <w:smartTagPr>
          <w:attr w:name="ref" w:val="cfr\26\1.1411-3(c)"/>
        </w:smartTagPr>
        <w:r>
          <w:t>§1.1411-3(c)</w:t>
        </w:r>
      </w:smartTag>
      <w:r>
        <w:t xml:space="preserve"> regulation to provide for a rolling loss disallowance rule that is conceptually similar to the capital loss carryforward rule found in Prop. Reg. </w:t>
      </w:r>
      <w:smartTag w:uri="http://www.bna.com/sgml2word/cite" w:element="cite.cfr">
        <w:smartTagPr>
          <w:attr w:name="ref" w:val="prule\cfr\26\1.1411-4(d)(4)(iii)"/>
        </w:smartTagPr>
        <w:r>
          <w:t>§1.1411-4(d)(4)(iii)</w:t>
        </w:r>
      </w:smartTag>
      <w:r>
        <w:t>.</w:t>
      </w:r>
      <w:r>
        <w:rPr>
          <w:rStyle w:val="FootnoteReference"/>
        </w:rPr>
        <w:footnoteReference w:id="1106"/>
      </w:r>
    </w:p>
    <w:p w14:paraId="2707D878" w14:textId="77777777" w:rsidR="00494B49" w:rsidRDefault="00494B49" w:rsidP="00144640">
      <w:pPr>
        <w:pStyle w:val="BHead2"/>
        <w:keepNext/>
        <w:keepLines/>
      </w:pPr>
      <w:r>
        <w:lastRenderedPageBreak/>
        <w:t xml:space="preserve">3. Section 469 Regrouping </w:t>
      </w:r>
    </w:p>
    <w:p w14:paraId="73084989" w14:textId="77777777" w:rsidR="00494B49" w:rsidRDefault="00494B49" w:rsidP="00144640">
      <w:pPr>
        <w:pStyle w:val="BNormal"/>
        <w:keepNext/>
        <w:keepLines/>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Reg. </w:t>
      </w:r>
      <w:smartTag w:uri="http://www.bna.com/sgml2word/cite" w:element="cite.cfr">
        <w:smartTagPr>
          <w:attr w:name="ref" w:val="cfr\26\1.469-4"/>
        </w:smartTagPr>
        <w:r>
          <w:t>§1.469-4</w:t>
        </w:r>
      </w:smartTag>
      <w:r>
        <w:t xml:space="preserve"> provides rules for defining an activity for purposes of applying the passive activity loss rules of </w:t>
      </w:r>
      <w:smartTag w:uri="http://www.bna.com/sgml2word/cite" w:element="cite.usc">
        <w:smartTagPr>
          <w:attr w:name="ref" w:val="USC\26\469"/>
        </w:smartTagPr>
        <w:r>
          <w:t>§469</w:t>
        </w:r>
      </w:smartTag>
      <w:r>
        <w:t>.</w:t>
      </w:r>
      <w:r>
        <w:rPr>
          <w:rStyle w:val="FootnoteReference"/>
        </w:rPr>
        <w:footnoteReference w:id="1107"/>
      </w:r>
      <w:r>
        <w:t xml:space="preserve"> In conjunction with the promulgation of the </w:t>
      </w:r>
      <w:smartTag w:uri="http://www.bna.com/sgml2word/cite" w:element="cite.usc">
        <w:smartTagPr>
          <w:attr w:name="ref" w:val="USC\26\1411"/>
        </w:smartTagPr>
        <w:r>
          <w:t>§1411</w:t>
        </w:r>
      </w:smartTag>
      <w:r>
        <w:t xml:space="preserve"> regulations, the Treasury Department and the IRS gave taxpayers a limited opportunity to revisit their prior year groupings. The special rules pertaining to grouping in light of </w:t>
      </w:r>
      <w:smartTag w:uri="http://www.bna.com/sgml2word/cite" w:element="cite.usc">
        <w:smartTagPr>
          <w:attr w:name="ref" w:val="USC\26\1411"/>
        </w:smartTagPr>
        <w:r>
          <w:t>§1411</w:t>
        </w:r>
      </w:smartTag>
      <w:r>
        <w:t xml:space="preserve"> are contained in Reg. </w:t>
      </w:r>
      <w:smartTag w:uri="http://www.bna.com/sgml2word/cite" w:element="cite.cfr">
        <w:smartTagPr>
          <w:attr w:name="ref" w:val="cfr\26\1.469-11(b)(3)(iv)"/>
        </w:smartTagPr>
        <w:r>
          <w:t>§1.469-11(b)(3)(iv)</w:t>
        </w:r>
      </w:smartTag>
      <w:r>
        <w:t xml:space="preserve">. For individuals, estates, and trusts, there are two requirements, referred to as “Eligibility Criteria” in Reg. </w:t>
      </w:r>
      <w:smartTag w:uri="http://www.bna.com/sgml2word/cite" w:element="cite.cfr">
        <w:smartTagPr>
          <w:attr w:name="ref" w:val="cfr\26\1.469-11(b)(3)(iv)(B)"/>
        </w:smartTagPr>
        <w:r>
          <w:t>§1.469-11(b)(3)(iv)(B)</w:t>
        </w:r>
      </w:smartTag>
      <w:r>
        <w:t xml:space="preserve">, that must be satisfied for the taxpayer to be entitled to regroup: (1) the taxpayer’s (ESBTs) modified adjusted gross income must be greater than the applicable income threshold; and (2) the taxpayer (ESBT) must have net investment income. For purposes of determining whether a taxpayer’s MAGI is greater than the applicable income threshold, an estate’s or trust’s threshold is determined under Reg. </w:t>
      </w:r>
      <w:smartTag w:uri="http://www.bna.com/sgml2word/cite" w:element="cite.cfr">
        <w:smartTagPr>
          <w:attr w:name="ref" w:val="cfr\26\1.1411-3(a)(1)(ii)(B)"/>
        </w:smartTagPr>
        <w:r>
          <w:t>§1.1411-3(a)(1)(ii)(B)</w:t>
        </w:r>
      </w:smartTag>
      <w:r>
        <w:t>.</w:t>
      </w:r>
      <w:r>
        <w:rPr>
          <w:rStyle w:val="FootnoteReference"/>
        </w:rPr>
        <w:footnoteReference w:id="1108"/>
      </w:r>
    </w:p>
    <w:p w14:paraId="1FF9F3B9" w14:textId="77777777" w:rsidR="00494B49" w:rsidRDefault="00494B49">
      <w:pPr>
        <w:pStyle w:val="BNormal"/>
      </w:pPr>
      <w:r>
        <w:rPr>
          <w:i/>
        </w:rPr>
        <w:t>Comment:</w:t>
      </w:r>
      <w:r>
        <w:t xml:space="preserve"> The ESBT’s MAGI and applicable income threshold are computed under Reg. </w:t>
      </w:r>
      <w:smartTag w:uri="http://www.bna.com/sgml2word/cite" w:element="cite.cfr">
        <w:smartTagPr>
          <w:attr w:name="ref" w:val="cfr\26\1.1411-3(c)(2)(iii)"/>
        </w:smartTagPr>
        <w:r>
          <w:t>§1.1411-3(c)(2)(iii)</w:t>
        </w:r>
      </w:smartTag>
      <w:r>
        <w:t xml:space="preserve">, and not under Reg. </w:t>
      </w:r>
      <w:smartTag w:uri="http://www.bna.com/sgml2word/cite" w:element="cite.cfr">
        <w:smartTagPr>
          <w:attr w:name="ref" w:val="cfr\26\1.1411-3(a)(1)(ii)(B)"/>
        </w:smartTagPr>
        <w:r>
          <w:t>§1.1411-3(a)(1)(ii)(B)</w:t>
        </w:r>
      </w:smartTag>
      <w:r>
        <w:t xml:space="preserve">. Therefore, one could argue that an ESBT cannot avail itself of the regrouping opportunity because it does not meet the Eligibility Criteria specified in Reg. </w:t>
      </w:r>
      <w:smartTag w:uri="http://www.bna.com/sgml2word/cite" w:element="cite.cfr">
        <w:smartTagPr>
          <w:attr w:name="ref" w:val="cfr\26\1.469-11(b)(3)(iv)(B)"/>
        </w:smartTagPr>
        <w:r>
          <w:t>§1.469-11(b)(3)(iv)(B)</w:t>
        </w:r>
      </w:smartTag>
      <w:r>
        <w:t xml:space="preserve">. The conceptual linkage between Reg. </w:t>
      </w:r>
      <w:smartTag w:uri="http://www.bna.com/sgml2word/cite" w:element="cite.cfr">
        <w:smartTagPr>
          <w:attr w:name="ref" w:val="cfr\26\1.1411-3(a)(1)(ii)(B)(1)"/>
        </w:smartTagPr>
        <w:r>
          <w:t>§1.1411-3(a)(1)(ii)(B)(1)</w:t>
        </w:r>
      </w:smartTag>
      <w:r>
        <w:t xml:space="preserve"> in Reg. </w:t>
      </w:r>
      <w:smartTag w:uri="http://www.bna.com/sgml2word/cite" w:element="cite.cfr">
        <w:smartTagPr>
          <w:attr w:name="ref" w:val="cfr\26\1.1411-3(c)(2)(ii)"/>
        </w:smartTagPr>
        <w:r>
          <w:t>§1.1411-3(c)(2)(ii)</w:t>
        </w:r>
      </w:smartTag>
      <w:r>
        <w:t xml:space="preserve"> and the substantially similar language in Reg. </w:t>
      </w:r>
      <w:smartTag w:uri="http://www.bna.com/sgml2word/cite" w:element="cite.cfr">
        <w:smartTagPr>
          <w:attr w:name="ref" w:val="cfr\26\1.1411-3(c)(2)(iii)"/>
        </w:smartTagPr>
        <w:r>
          <w:t>§1.1411-3(c)(2)(iii)</w:t>
        </w:r>
      </w:smartTag>
      <w:r>
        <w:t xml:space="preserve"> to </w:t>
      </w:r>
      <w:smartTag w:uri="http://www.bna.com/sgml2word/cite" w:element="cite.cfr">
        <w:smartTagPr>
          <w:attr w:name="ref" w:val="cfr\26\1.1411-3(a)(1)(ii)(A)"/>
        </w:smartTagPr>
        <w:r>
          <w:t>§1.1411-3(a)(1)(ii)(A)</w:t>
        </w:r>
      </w:smartTag>
      <w:r>
        <w:t xml:space="preserve"> highlights that an ESBT should be taxed in a similar manner as a traditional nongrantor trust. Further, the preamble to the proposed regulations provides that the rules were designed “so as to not inequitably benefit ESBTs over other taxable trusts.”</w:t>
      </w:r>
      <w:r>
        <w:rPr>
          <w:rStyle w:val="FootnoteReference"/>
        </w:rPr>
        <w:footnoteReference w:id="1109"/>
      </w:r>
      <w:r>
        <w:t xml:space="preserve"> Finally, there is nothing in the preambles, public comments, or form instructions to indicate that the regulations were intentionally drafted to exclude ESBTs from the regrouping opportunity. Therefore, it is reasonable to conclude that ESBTs are entitled to the same regrouping opportunity as traditional nongrantor trusts. </w:t>
      </w:r>
    </w:p>
    <w:p w14:paraId="5307C9DC" w14:textId="77777777" w:rsidR="00494B49" w:rsidRDefault="00494B49">
      <w:pPr>
        <w:pStyle w:val="BHead1"/>
      </w:pPr>
      <w:r>
        <w:t>D. Special Rules for Charitable Remainder Trusts</w:t>
      </w:r>
    </w:p>
    <w:p w14:paraId="6CD7EBF7" w14:textId="77777777" w:rsidR="00494B49" w:rsidRDefault="00494B49">
      <w:pPr>
        <w:pStyle w:val="BHead2"/>
      </w:pPr>
      <w:r>
        <w:t>1. Overview — Final 2013 Regulations</w:t>
      </w:r>
    </w:p>
    <w:p w14:paraId="328443EA" w14:textId="77777777" w:rsidR="00494B49" w:rsidRDefault="00494B49">
      <w:pPr>
        <w:pStyle w:val="BNormal"/>
      </w:pPr>
      <w:r>
        <w:t xml:space="preserve">Reg. </w:t>
      </w:r>
      <w:smartTag w:uri="http://www.bna.com/sgml2word/cite" w:element="cite.cfr">
        <w:smartTagPr>
          <w:attr w:name="ref" w:val="cfr\26\1.1411-3(d)(2)"/>
        </w:smartTagPr>
        <w:r>
          <w:t>§1.1411-3(d)(2)</w:t>
        </w:r>
      </w:smartTag>
      <w:r>
        <w:t xml:space="preserve"> of the 2013 Final Regulations provides special rules for applying </w:t>
      </w:r>
      <w:smartTag w:uri="http://www.bna.com/sgml2word/cite" w:element="cite.usc">
        <w:smartTagPr>
          <w:attr w:name="ref" w:val="USC\26\1411"/>
        </w:smartTagPr>
        <w:r>
          <w:t>§1411</w:t>
        </w:r>
      </w:smartTag>
      <w:r>
        <w:t xml:space="preserve"> to charitable remainder trusts (CRTs). The 2013 Final Regulations provide that a CRT will categorize and distribute net investment income based on the existing </w:t>
      </w:r>
      <w:smartTag w:uri="http://www.bna.com/sgml2word/cite" w:element="cite.usc">
        <w:smartTagPr>
          <w:attr w:name="ref" w:val="USC\26\664"/>
        </w:smartTagPr>
        <w:r>
          <w:t>§664</w:t>
        </w:r>
      </w:smartTag>
      <w:r>
        <w:t xml:space="preserve"> category and class system (the “</w:t>
      </w:r>
      <w:smartTag w:uri="http://www.bna.com/sgml2word/cite" w:element="cite.usc">
        <w:smartTagPr>
          <w:attr w:name="ref" w:val="USC\26\664"/>
        </w:smartTagPr>
        <w:r>
          <w:t>§664</w:t>
        </w:r>
      </w:smartTag>
      <w:r>
        <w:t xml:space="preserve"> Method”).</w:t>
      </w:r>
      <w:r>
        <w:rPr>
          <w:rStyle w:val="FootnoteReference"/>
        </w:rPr>
        <w:footnoteReference w:id="1110"/>
      </w:r>
      <w:r>
        <w:t xml:space="preserve"> However, the 2013 Final Regulations reserve Reg. </w:t>
      </w:r>
      <w:smartTag w:uri="http://www.bna.com/sgml2word/cite" w:element="cite.cfr">
        <w:smartTagPr>
          <w:attr w:name="ref" w:val="cfr\26\1.1411-3(d)(3)"/>
        </w:smartTagPr>
        <w:r>
          <w:t>§1.1411-3(d)(3)</w:t>
        </w:r>
      </w:smartTag>
      <w:r>
        <w:t xml:space="preserve"> for rules allowing the CRT to elect between the Simplified Method contained in the </w:t>
      </w:r>
      <w:r>
        <w:lastRenderedPageBreak/>
        <w:t xml:space="preserve">proposed regulations (discussed in </w:t>
      </w:r>
      <w:smartTag w:uri="http://www.bna.com/sgml2word/cite" w:element="cite.bna.reference">
        <w:smartTagPr>
          <w:attr w:name="bna.id.ref" w:val="TM\511.IX.D.5"/>
        </w:smartTagPr>
        <w:r>
          <w:t>IX.D.5.</w:t>
        </w:r>
      </w:smartTag>
      <w:smartTag w:uri="http://www.bna.com/sgml2word/cite" w:element="cite.bna.reference">
        <w:smartTagPr>
          <w:attr w:name="bna.id.ref" w:val="TM\873.IX.D.5"/>
        </w:smartTagPr>
        <w:r>
          <w:t>IX.D.5.</w:t>
        </w:r>
      </w:smartTag>
      <w:r>
        <w:t xml:space="preserve">, below) and the </w:t>
      </w:r>
      <w:smartTag w:uri="http://www.bna.com/sgml2word/cite" w:element="cite.usc">
        <w:smartTagPr>
          <w:attr w:name="ref" w:val="USC\26\664"/>
        </w:smartTagPr>
        <w:r>
          <w:t>§664</w:t>
        </w:r>
      </w:smartTag>
      <w:r>
        <w:t xml:space="preserve"> Method contained in the 2013 Final Regulations (discussed in </w:t>
      </w:r>
      <w:smartTag w:uri="http://www.bna.com/sgml2word/cite" w:element="cite.bna.reference">
        <w:smartTagPr>
          <w:attr w:name="bna.id.ref" w:val="TM\511.IX.D.4"/>
        </w:smartTagPr>
        <w:r>
          <w:t>IX.D.4.</w:t>
        </w:r>
      </w:smartTag>
      <w:smartTag w:uri="http://www.bna.com/sgml2word/cite" w:element="cite.bna.reference">
        <w:smartTagPr>
          <w:attr w:name="bna.id.ref" w:val="TM\873.IX.D.4"/>
        </w:smartTagPr>
        <w:r>
          <w:t>IX.D.4.</w:t>
        </w:r>
      </w:smartTag>
      <w:r>
        <w:t xml:space="preserve">, below). The 2013 Proposed Regulations provide rules to enable a CRT to choose between the Simplified Method and the </w:t>
      </w:r>
      <w:smartTag w:uri="http://www.bna.com/sgml2word/cite" w:element="cite.usc">
        <w:smartTagPr>
          <w:attr w:name="ref" w:val="USC\26\664"/>
        </w:smartTagPr>
        <w:r>
          <w:t>§664</w:t>
        </w:r>
      </w:smartTag>
      <w:r>
        <w:t xml:space="preserve"> Method.</w:t>
      </w:r>
    </w:p>
    <w:p w14:paraId="172E321D" w14:textId="77777777" w:rsidR="00494B49" w:rsidRDefault="00494B49">
      <w:pPr>
        <w:pStyle w:val="BHead2"/>
      </w:pPr>
      <w:r>
        <w:t>2. 2012 Proposed Regulations</w:t>
      </w:r>
    </w:p>
    <w:p w14:paraId="62454EA9" w14:textId="77777777" w:rsidR="00494B49" w:rsidRDefault="00494B49">
      <w:pPr>
        <w:pStyle w:val="BNormal"/>
      </w:pPr>
      <w:r>
        <w:t xml:space="preserve">The method contained in the 2012 Proposed Regulations did not follow the category and class system embodied in </w:t>
      </w:r>
      <w:smartTag w:uri="http://www.bna.com/sgml2word/cite" w:element="cite.usc">
        <w:smartTagPr>
          <w:attr w:name="ref" w:val="USC\26\664"/>
        </w:smartTagPr>
        <w:r>
          <w:t>§664</w:t>
        </w:r>
      </w:smartTag>
      <w:r>
        <w:t xml:space="preserve">, but instead provided that distributions first carried out all accumulated net investment income and then carried out excluded income to the beneficiaries. The Treasury Department and the IRS stated in the 2012 preamble that they considered an alternative method for determining the distributed amount of net investment income in which net investment income would be determined on a class-by-class basis within each of the Reg. </w:t>
      </w:r>
      <w:smartTag w:uri="http://www.bna.com/sgml2word/cite" w:element="cite.cfr">
        <w:smartTagPr>
          <w:attr w:name="ref" w:val="cfr\26\1.664-1(d)(1)"/>
        </w:smartTagPr>
        <w:r>
          <w:t>§1.664-1(d)(1)</w:t>
        </w:r>
      </w:smartTag>
      <w:r>
        <w:t xml:space="preserve"> enumerated categories. However, the 2012 preamble went on to state that although differentiating between net investment income and non-net-investment income (a/k/a Excluded Income within the meaning of Reg. </w:t>
      </w:r>
      <w:smartTag w:uri="http://www.bna.com/sgml2word/cite" w:element="cite.cfr">
        <w:smartTagPr>
          <w:attr w:name="ref" w:val="cfr\26\1.1411-1(d)"/>
        </w:smartTagPr>
        <w:r>
          <w:t>§1.1411-1(d)</w:t>
        </w:r>
      </w:smartTag>
      <w:r>
        <w:t xml:space="preserve">) within each class and category might be considered more consistent with the structure created for charitable remainder trusts by </w:t>
      </w:r>
      <w:smartTag w:uri="http://www.bna.com/sgml2word/cite" w:element="cite.usc">
        <w:smartTagPr>
          <w:attr w:name="ref" w:val="USC\26\664"/>
        </w:smartTagPr>
        <w:r>
          <w:t>§664</w:t>
        </w:r>
      </w:smartTag>
      <w:r>
        <w:t xml:space="preserve"> and the corresponding regulations, the Treasury Department and the IRS thought that the recordkeeping and compliance burden that would be imposed on trustees by this alternative would outweigh the benefits.</w:t>
      </w:r>
    </w:p>
    <w:p w14:paraId="17E79837" w14:textId="77777777" w:rsidR="00494B49" w:rsidRDefault="00494B49">
      <w:pPr>
        <w:pStyle w:val="BNormal"/>
      </w:pPr>
      <w:r>
        <w:t xml:space="preserve">Multiple commentators asked that the 2013 Final Regulations follow the existing rules under </w:t>
      </w:r>
      <w:smartTag w:uri="http://www.bna.com/sgml2word/cite" w:element="cite.usc">
        <w:smartTagPr>
          <w:attr w:name="ref" w:val="USC\26\664"/>
        </w:smartTagPr>
        <w:r>
          <w:t>§664</w:t>
        </w:r>
      </w:smartTag>
      <w:r>
        <w:t xml:space="preserve"> that create subclasses in each category of income as the tax rates on certain types of income are changed from time to time. They said that CRT trustees are already maintaining the appropriate records and are familiar with the existing rules, so compliance would be less complicated than under the new system described in the proposed regulations. Some commentators suggested that the 2013 Final Regulations allow the trustee to elect between the method described in the proposed regulations and the existing rules under </w:t>
      </w:r>
      <w:smartTag w:uri="http://www.bna.com/sgml2word/cite" w:element="cite.usc">
        <w:smartTagPr>
          <w:attr w:name="ref" w:val="USC\26\664"/>
        </w:smartTagPr>
        <w:r>
          <w:t>§664</w:t>
        </w:r>
      </w:smartTag>
      <w:r>
        <w:t xml:space="preserve">. </w:t>
      </w:r>
    </w:p>
    <w:p w14:paraId="2AC74242" w14:textId="77777777" w:rsidR="00494B49" w:rsidRDefault="00494B49">
      <w:pPr>
        <w:pStyle w:val="BHead2"/>
      </w:pPr>
      <w:r>
        <w:t xml:space="preserve">3. Operational Rules for CRTs </w:t>
      </w:r>
    </w:p>
    <w:p w14:paraId="3945B45F" w14:textId="77777777" w:rsidR="00494B49" w:rsidRDefault="00494B49">
      <w:pPr>
        <w:pStyle w:val="BHead3"/>
      </w:pPr>
      <w:r>
        <w:t>a. net investment income tax Definitions</w:t>
      </w:r>
    </w:p>
    <w:p w14:paraId="4225648C" w14:textId="77777777" w:rsidR="00494B49" w:rsidRDefault="00494B49">
      <w:pPr>
        <w:pStyle w:val="BNormal"/>
      </w:pPr>
      <w:r>
        <w:t xml:space="preserve">Reg. </w:t>
      </w:r>
      <w:smartTag w:uri="http://www.bna.com/sgml2word/cite" w:element="cite.cfr">
        <w:smartTagPr>
          <w:attr w:name="ref" w:val="cfr\26\1.1411-3(d)(1)"/>
        </w:smartTagPr>
        <w:r>
          <w:t>§1.1411-3(d)(1)</w:t>
        </w:r>
      </w:smartTag>
      <w:r>
        <w:t xml:space="preserve"> provides three operational rules for CRTs, regardless of whether the CRT uses the default </w:t>
      </w:r>
      <w:smartTag w:uri="http://www.bna.com/sgml2word/cite" w:element="cite.usc">
        <w:smartTagPr>
          <w:attr w:name="ref" w:val="USC\26\664"/>
        </w:smartTagPr>
        <w:r>
          <w:t>§664</w:t>
        </w:r>
      </w:smartTag>
      <w:r>
        <w:t xml:space="preserve"> Method or the Optional Simplified Method. The first two operational rules are functionally similar to the principles of </w:t>
      </w:r>
      <w:smartTag w:uri="http://www.bna.com/sgml2word/cite" w:element="cite.usc">
        <w:smartTagPr>
          <w:attr w:name="ref" w:val="USC\26\664"/>
        </w:smartTagPr>
        <w:r>
          <w:t>§664</w:t>
        </w:r>
      </w:smartTag>
      <w:r>
        <w:t xml:space="preserve"> in Chapter 1. The first operational rule is the character retention rule. Reg. </w:t>
      </w:r>
      <w:smartTag w:uri="http://www.bna.com/sgml2word/cite" w:element="cite.cfr">
        <w:smartTagPr>
          <w:attr w:name="ref" w:val="cfr\26\1.1411-3(d)(1)(i)"/>
        </w:smartTagPr>
        <w:r>
          <w:t>§1.1411-3(d)(1)(i)</w:t>
        </w:r>
      </w:smartTag>
      <w:r>
        <w:t xml:space="preserve"> provides that if one or more items of net investment income comprise all or part of an annuity or unitrust distribution from a CRT, the items retain their character as net investment income in the hands of the recipient of that annuity or unitrust distribution. The second operational rule is the appointment rule. For CRTs with multiple annuity or unitrust beneficiaries, Reg. </w:t>
      </w:r>
      <w:smartTag w:uri="http://www.bna.com/sgml2word/cite" w:element="cite.cfr">
        <w:smartTagPr>
          <w:attr w:name="ref" w:val="cfr\26\1.1411-3(d)(1)(ii)"/>
        </w:smartTagPr>
        <w:r>
          <w:t>§1.1411-3(d)(1)(ii)</w:t>
        </w:r>
      </w:smartTag>
      <w:r>
        <w:t xml:space="preserve"> requires the trust to apportion the net investment income among the beneficiaries based on their respective shares of the total annuity or unitrust amount paid by the trust for that tax year.</w:t>
      </w:r>
    </w:p>
    <w:p w14:paraId="2F8F2601" w14:textId="77777777" w:rsidR="00494B49" w:rsidRDefault="00494B49">
      <w:pPr>
        <w:pStyle w:val="BNormal"/>
      </w:pPr>
      <w:r>
        <w:t xml:space="preserve">The third operational rule is the most significant of the operational rules because it determines the amount of net investment income that a taxable beneficiary could receive from the CRT. To accomplish this tracking mechanism, Reg. </w:t>
      </w:r>
      <w:smartTag w:uri="http://www.bna.com/sgml2word/cite" w:element="cite.cfr">
        <w:smartTagPr>
          <w:attr w:name="ref" w:val="cfr\26\1.1411-3(d)(1)(iii)"/>
        </w:smartTagPr>
        <w:r>
          <w:t>§1.1411-3(d)(1)(iii)</w:t>
        </w:r>
      </w:smartTag>
      <w:r>
        <w:t xml:space="preserve"> creates the term Accumulated Net Investment Income (ANII). The ANII of a CRT is the total amount of net investment income received by the CRT for all tax years that begin after December 31, 2012, less the total amount </w:t>
      </w:r>
      <w:r>
        <w:lastRenderedPageBreak/>
        <w:t xml:space="preserve">of net investment income distributed for all prior tax years of the trust that begin after December 31, 2012. </w:t>
      </w:r>
    </w:p>
    <w:p w14:paraId="21B1B15B" w14:textId="77777777" w:rsidR="00494B49" w:rsidRDefault="00494B49">
      <w:pPr>
        <w:pStyle w:val="BHead3"/>
      </w:pPr>
      <w:r>
        <w:t>b. Section 469 Regrouping</w:t>
      </w:r>
    </w:p>
    <w:p w14:paraId="38EDC45B" w14:textId="77777777" w:rsidR="00494B49" w:rsidRDefault="00494B49">
      <w:pPr>
        <w:pStyle w:val="BNormal"/>
      </w:pPr>
      <w:r>
        <w:t xml:space="preserve">As discussed in </w:t>
      </w:r>
      <w:smartTag w:uri="http://www.bna.com/sgml2word/cite" w:element="cite.bna.reference">
        <w:smartTagPr>
          <w:attr w:name="bna.id.ref" w:val="TM\511.IX.C.3"/>
        </w:smartTagPr>
        <w:r>
          <w:t>IX.C.3.</w:t>
        </w:r>
      </w:smartTag>
      <w:smartTag w:uri="http://www.bna.com/sgml2word/cite" w:element="cite.bna.reference">
        <w:smartTagPr>
          <w:attr w:name="bna.id.ref" w:val="TM\873.IX.C.3"/>
        </w:smartTagPr>
        <w:r>
          <w:t>IX.C.3.</w:t>
        </w:r>
      </w:smartTag>
      <w:r>
        <w:t xml:space="preserve">, above (regarding the regrouping opportunity for ESBTs), linking the special computational rules in Reg. </w:t>
      </w:r>
      <w:smartTag w:uri="http://www.bna.com/sgml2word/cite" w:element="cite.cfr">
        <w:smartTagPr>
          <w:attr w:name="ref" w:val="cfr\26\1.1411-3(d)"/>
        </w:smartTagPr>
        <w:r>
          <w:t>§1.1411-3(d)</w:t>
        </w:r>
      </w:smartTag>
      <w:r>
        <w:t xml:space="preserve"> for charitable remainder trusts (CRT) with the Reg. </w:t>
      </w:r>
      <w:smartTag w:uri="http://www.bna.com/sgml2word/cite" w:element="cite.cfr">
        <w:smartTagPr>
          <w:attr w:name="ref" w:val="cfr\26\1.469-11(b)(3)(iv)"/>
        </w:smartTagPr>
        <w:r>
          <w:t>§1.469-11(b)(3)(iv)</w:t>
        </w:r>
      </w:smartTag>
      <w:r>
        <w:t xml:space="preserve"> regrouping opportunity poses some challenges.</w:t>
      </w:r>
      <w:r>
        <w:rPr>
          <w:rStyle w:val="FootnoteReference"/>
        </w:rPr>
        <w:footnoteReference w:id="1111"/>
      </w:r>
      <w:r>
        <w:t xml:space="preserve"> However, unlike for ESBTs, the literal reading of Reg. </w:t>
      </w:r>
      <w:smartTag w:uri="http://www.bna.com/sgml2word/cite" w:element="cite.cfr">
        <w:smartTagPr>
          <w:attr w:name="ref" w:val="cfr\26\1.469-11(b)(3)(iv)"/>
        </w:smartTagPr>
        <w:r>
          <w:t>§1.469-11(b)(3)(iv)</w:t>
        </w:r>
      </w:smartTag>
      <w:r>
        <w:t xml:space="preserve"> does not provide a CRT the ability to regroup because a CRT does not meet the Eligibility Criteria.</w:t>
      </w:r>
      <w:r>
        <w:rPr>
          <w:rStyle w:val="FootnoteReference"/>
        </w:rPr>
        <w:footnoteReference w:id="1112"/>
      </w:r>
    </w:p>
    <w:p w14:paraId="149297CD" w14:textId="77777777" w:rsidR="00494B49" w:rsidRDefault="00494B49">
      <w:pPr>
        <w:pStyle w:val="BNormal"/>
      </w:pPr>
      <w:r>
        <w:rPr>
          <w:i/>
        </w:rPr>
        <w:t>Comment:</w:t>
      </w:r>
      <w:r>
        <w:t xml:space="preserve"> There are three reasons that a CRT fails to meet the Eligibility Criteria. First, a CRT is not a trust described in Reg. </w:t>
      </w:r>
      <w:smartTag w:uri="http://www.bna.com/sgml2word/cite" w:element="cite.cfr">
        <w:smartTagPr>
          <w:attr w:name="ref" w:val="cfr\26\1.1411-3(a)(1)(i)"/>
        </w:smartTagPr>
        <w:r>
          <w:t>§1.1411-3(a)(1)(i)</w:t>
        </w:r>
      </w:smartTag>
      <w:r>
        <w:t>.</w:t>
      </w:r>
      <w:r>
        <w:rPr>
          <w:rStyle w:val="FootnoteReference"/>
        </w:rPr>
        <w:footnoteReference w:id="1113"/>
      </w:r>
      <w:r>
        <w:t xml:space="preserve"> Second, a CRT does not have a MAGI amount. Third, a CRT does not have a threshold amount described in Reg. </w:t>
      </w:r>
      <w:smartTag w:uri="http://www.bna.com/sgml2word/cite" w:element="cite.cfr">
        <w:smartTagPr>
          <w:attr w:name="ref" w:val="cfr\26\1.1411-3(a)(1)(ii)(B)(2)"/>
        </w:smartTagPr>
        <w:r>
          <w:t>§1.1411-3(a)(1)(ii)(B)(2)</w:t>
        </w:r>
      </w:smartTag>
      <w:r>
        <w:t xml:space="preserve">. Similar to the situation faced by ESBTs with the Reg. </w:t>
      </w:r>
      <w:smartTag w:uri="http://www.bna.com/sgml2word/cite" w:element="cite.cfr">
        <w:smartTagPr>
          <w:attr w:name="ref" w:val="cfr\26\1.469-11(b)(3)(iv)"/>
        </w:smartTagPr>
        <w:r>
          <w:t>§1.469-11(b)(3)(iv)</w:t>
        </w:r>
      </w:smartTag>
      <w:r>
        <w:t xml:space="preserve"> regrouping opportunity, the exclusion of CRTs was likely a drafting oversight. However, the ability to analogize the CRT rules to the traditional taxable nongrantor trusts is lacking to such an extent that a technical correction to Reg. </w:t>
      </w:r>
      <w:smartTag w:uri="http://www.bna.com/sgml2word/cite" w:element="cite.cfr">
        <w:smartTagPr>
          <w:attr w:name="ref" w:val="cfr\26\1.469-11(b)(3)(iv)"/>
        </w:smartTagPr>
        <w:r>
          <w:t>§1.469-11(b)(3)(iv)</w:t>
        </w:r>
      </w:smartTag>
      <w:r>
        <w:t xml:space="preserve"> is likely necessary for CRTs to avail themselves of the regrouping opportunity.</w:t>
      </w:r>
    </w:p>
    <w:p w14:paraId="56D6448D" w14:textId="77777777" w:rsidR="00494B49" w:rsidRDefault="00494B49">
      <w:pPr>
        <w:pStyle w:val="BHead2"/>
      </w:pPr>
      <w:r>
        <w:t>4. Interaction with Section 664 Category and Class System</w:t>
      </w:r>
    </w:p>
    <w:p w14:paraId="7510AE16" w14:textId="77777777" w:rsidR="00494B49" w:rsidRDefault="00494B49">
      <w:pPr>
        <w:pStyle w:val="BNormal"/>
      </w:pPr>
      <w:r>
        <w:t xml:space="preserve">Reg. </w:t>
      </w:r>
      <w:smartTag w:uri="http://www.bna.com/sgml2word/cite" w:element="cite.cfr">
        <w:smartTagPr>
          <w:attr w:name="ref" w:val="cfr\26\1.664-1(d)(1)(i)(a)"/>
        </w:smartTagPr>
        <w:r>
          <w:t>§1.664-1(d)(1)(i)(a)</w:t>
        </w:r>
      </w:smartTag>
      <w:r>
        <w:t xml:space="preserve"> assigns all CRT income to either the ordinary income category, the capital gains category, or the other-income category in the year the trust must take the income into account.</w:t>
      </w:r>
      <w:r>
        <w:rPr>
          <w:rStyle w:val="FootnoteReference"/>
        </w:rPr>
        <w:footnoteReference w:id="1114"/>
      </w:r>
      <w:r>
        <w:t xml:space="preserve"> Reg. </w:t>
      </w:r>
      <w:smartTag w:uri="http://www.bna.com/sgml2word/cite" w:element="cite.cfr">
        <w:smartTagPr>
          <w:attr w:name="ref" w:val="cfr\26\1.664-1(d)(1)(i)(b)"/>
        </w:smartTagPr>
        <w:r>
          <w:t>§1.664-1(d)(1)(i)(b)</w:t>
        </w:r>
      </w:smartTag>
      <w:r>
        <w:t xml:space="preserve"> specifies that all items within the ordinary income and capital gains categories are then assigned to different classes based on the federal income tax rate applicable to each type of income in that category in the year the trust must take the item into account. The ordinary income category could include a class of </w:t>
      </w:r>
      <w:smartTag w:uri="http://www.bna.com/sgml2word/cite" w:element="cite.usc">
        <w:smartTagPr>
          <w:attr w:name="ref" w:val="USC\26\1(h)(11)"/>
        </w:smartTagPr>
        <w:r>
          <w:t>§1(h)(11)</w:t>
        </w:r>
      </w:smartTag>
      <w:r>
        <w:t xml:space="preserve"> qualified dividend income and a class of all other ordinary income. </w:t>
      </w:r>
    </w:p>
    <w:p w14:paraId="1BF36C2B" w14:textId="77777777" w:rsidR="00494B49" w:rsidRDefault="00494B49">
      <w:pPr>
        <w:pStyle w:val="BHead3"/>
      </w:pPr>
      <w:r>
        <w:t>a. Additional Rate</w:t>
      </w:r>
    </w:p>
    <w:p w14:paraId="64896FEE" w14:textId="77777777" w:rsidR="00494B49" w:rsidRDefault="00494B49">
      <w:pPr>
        <w:pStyle w:val="BNormal"/>
      </w:pPr>
      <w:r>
        <w:t xml:space="preserve">As stated above, Reg. </w:t>
      </w:r>
      <w:smartTag w:uri="http://www.bna.com/sgml2word/cite" w:element="cite.cfr">
        <w:smartTagPr>
          <w:attr w:name="ref" w:val="cfr\26\1.1411-3(d)(2)"/>
        </w:smartTagPr>
        <w:r>
          <w:t>§1.1411-3(d)(2)</w:t>
        </w:r>
      </w:smartTag>
      <w:r>
        <w:t xml:space="preserve"> of the 2013 Final Regulations provides rules on the categorization and distribution of net investment income from a CRT based on the existing </w:t>
      </w:r>
      <w:smartTag w:uri="http://www.bna.com/sgml2word/cite" w:element="cite.usc">
        <w:smartTagPr>
          <w:attr w:name="ref" w:val="USC\26\664"/>
        </w:smartTagPr>
        <w:r>
          <w:t>§664</w:t>
        </w:r>
      </w:smartTag>
      <w:r>
        <w:t xml:space="preserve"> category and class system. In general, Reg. </w:t>
      </w:r>
      <w:smartTag w:uri="http://www.bna.com/sgml2word/cite" w:element="cite.cfr">
        <w:smartTagPr>
          <w:attr w:name="ref" w:val="cfr\26\1.1411-3(d)(2)(i)"/>
        </w:smartTagPr>
        <w:r>
          <w:t>§1.1411-3(d)(2)(i)</w:t>
        </w:r>
      </w:smartTag>
      <w:r>
        <w:t xml:space="preserve"> provides that, if a CRT has both excluded income and ANII in an income category, such excluded income and ANII constitute separate classes of income for purposes of Reg. </w:t>
      </w:r>
      <w:smartTag w:uri="http://www.bna.com/sgml2word/cite" w:element="cite.cfr">
        <w:smartTagPr>
          <w:attr w:name="ref" w:val="cfr\26\1.664-1(d)(1)(i)(b)"/>
        </w:smartTagPr>
        <w:r>
          <w:t>§1.664-1(d)(1)(i)(b)</w:t>
        </w:r>
      </w:smartTag>
      <w:r>
        <w:t>.</w:t>
      </w:r>
    </w:p>
    <w:p w14:paraId="0797F427" w14:textId="77777777" w:rsidR="00494B49" w:rsidRDefault="00494B49">
      <w:pPr>
        <w:pStyle w:val="BHead3"/>
      </w:pPr>
      <w:r>
        <w:t xml:space="preserve">b. Special Rules for CRTs with Income from Certain CFCs and Certain PFICs </w:t>
      </w:r>
    </w:p>
    <w:p w14:paraId="6B7E24DA" w14:textId="77777777" w:rsidR="00494B49" w:rsidRDefault="00494B49">
      <w:pPr>
        <w:pStyle w:val="BNormal"/>
      </w:pPr>
      <w:r>
        <w:lastRenderedPageBreak/>
        <w:t xml:space="preserve">The 2013 Final Regulations reserved Reg. </w:t>
      </w:r>
      <w:smartTag w:uri="http://www.bna.com/sgml2word/cite" w:element="cite.cfr">
        <w:smartTagPr>
          <w:attr w:name="ref" w:val="cfr\26\1.1411-3(d)(2)(ii)"/>
        </w:smartTagPr>
        <w:r>
          <w:t>§1.1411-3(d)(2)(ii)</w:t>
        </w:r>
      </w:smartTag>
      <w:r>
        <w:t xml:space="preserve"> for special rules that align the </w:t>
      </w:r>
      <w:smartTag w:uri="http://www.bna.com/sgml2word/cite" w:element="cite.usc">
        <w:smartTagPr>
          <w:attr w:name="ref" w:val="USC\26\664"/>
        </w:smartTagPr>
        <w:r>
          <w:t>§664</w:t>
        </w:r>
      </w:smartTag>
      <w:r>
        <w:t xml:space="preserve"> category and class system contained in Reg. </w:t>
      </w:r>
      <w:smartTag w:uri="http://www.bna.com/sgml2word/cite" w:element="cite.cfr">
        <w:smartTagPr>
          <w:attr w:name="ref" w:val="cfr\26\1.664-1(d)"/>
        </w:smartTagPr>
        <w:r>
          <w:t>§1.664-1(d)</w:t>
        </w:r>
      </w:smartTag>
      <w:r>
        <w:t xml:space="preserve">, and adopted by Reg. </w:t>
      </w:r>
      <w:smartTag w:uri="http://www.bna.com/sgml2word/cite" w:element="cite.cfr">
        <w:smartTagPr>
          <w:attr w:name="ref" w:val="cfr\26\1.1411-3(d)(2)"/>
        </w:smartTagPr>
        <w:r>
          <w:t>§1.1411-3(d)(2)</w:t>
        </w:r>
      </w:smartTag>
      <w:r>
        <w:t xml:space="preserve">, to CRTs that own interests in certain CFCs or PFICs. The special rules generally apply to CRTs that: (i) own CFCs or qualified electing funds (QEFs) with respect to which an election under Reg. </w:t>
      </w:r>
      <w:smartTag w:uri="http://www.bna.com/sgml2word/cite" w:element="cite.cfr">
        <w:smartTagPr>
          <w:attr w:name="ref" w:val="cfr\26\1.1411-10(g)"/>
        </w:smartTagPr>
        <w:r>
          <w:t>§1.1411-10(g)</w:t>
        </w:r>
      </w:smartTag>
      <w:r>
        <w:t xml:space="preserve"> is not in place; or (ii) are subject to the rules of </w:t>
      </w:r>
      <w:smartTag w:uri="http://www.bna.com/sgml2word/cite" w:element="cite.usc">
        <w:smartTagPr>
          <w:attr w:name="ref" w:val="USC\26\1291"/>
        </w:smartTagPr>
        <w:r>
          <w:t>§1291</w:t>
        </w:r>
      </w:smartTag>
      <w:r>
        <w:t xml:space="preserve"> with respect to a PFIC.</w:t>
      </w:r>
    </w:p>
    <w:p w14:paraId="6158B13C" w14:textId="77777777" w:rsidR="00494B49" w:rsidRDefault="00494B49">
      <w:pPr>
        <w:pStyle w:val="BNormal"/>
      </w:pPr>
      <w:r>
        <w:t xml:space="preserve">The rules in Prop. Reg. </w:t>
      </w:r>
      <w:smartTag w:uri="http://www.bna.com/sgml2word/cite" w:element="cite.cfr">
        <w:smartTagPr>
          <w:attr w:name="ref" w:val="prule\cfr\26\1.1411-3(d)(2)(ii)"/>
        </w:smartTagPr>
        <w:r>
          <w:t>§1.1411-3(d)(2)(ii)</w:t>
        </w:r>
      </w:smartTag>
      <w:r>
        <w:t xml:space="preserve"> attempt to coordinate the rules of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The proposed regulations contain three rules that generally apply when a CRT directly or indirectly owns an interest in a CFC or QEF and a Reg. </w:t>
      </w:r>
      <w:smartTag w:uri="http://www.bna.com/sgml2word/cite" w:element="cite.cfr">
        <w:smartTagPr>
          <w:attr w:name="ref" w:val="cfr\26\1.1411-10(g)"/>
        </w:smartTagPr>
        <w:r>
          <w:t>§1.1411-10(g)</w:t>
        </w:r>
      </w:smartTag>
      <w:r>
        <w:t xml:space="preserve"> election is not in effect with respect to the CFC or QEF. As discussed in </w:t>
      </w:r>
      <w:smartTag w:uri="http://www.bna.com/sgml2word/cite" w:element="cite.bna.reference">
        <w:smartTagPr>
          <w:attr w:name="bna.id.ref" w:val="TM\511.VII.A"/>
        </w:smartTagPr>
        <w:r>
          <w:t>VII.A.</w:t>
        </w:r>
      </w:smartTag>
      <w:smartTag w:uri="http://www.bna.com/sgml2word/cite" w:element="cite.bna.reference">
        <w:smartTagPr>
          <w:attr w:name="bna.id.ref" w:val="TM\873.VII.A"/>
        </w:smartTagPr>
        <w:r>
          <w:t>VII.A.</w:t>
        </w:r>
      </w:smartTag>
      <w:r>
        <w:t xml:space="preserve">, above, the anti-deferral regimes for CFCs with Subpart F income and QEFs pose unique problems within the net investment income tax regime. When combined with the pro-deferral regime inherent in the </w:t>
      </w:r>
      <w:smartTag w:uri="http://www.bna.com/sgml2word/cite" w:element="cite.usc">
        <w:smartTagPr>
          <w:attr w:name="ref" w:val="USC\26\664"/>
        </w:smartTagPr>
        <w:r>
          <w:t>§664</w:t>
        </w:r>
      </w:smartTag>
      <w:r>
        <w:t xml:space="preserve"> category and class system and the net investment income tax ordering rules adopted by the 2013 Final Regulations, the proposed rules contained in Prop. Reg. </w:t>
      </w:r>
      <w:smartTag w:uri="http://www.bna.com/sgml2word/cite" w:element="cite.cfr">
        <w:smartTagPr>
          <w:attr w:name="ref" w:val="prule\cfr\26\1.1411-3(d)(2)(ii)"/>
        </w:smartTagPr>
        <w:r>
          <w:t>§1.1411-3(d)(2)(ii)</w:t>
        </w:r>
      </w:smartTag>
      <w:r>
        <w:t xml:space="preserve"> illustrate the uncomfortable marriage of these three seemingly irreconcilable systems. The mechanical rules are the most complex in the entire net investment income tax regulation package, but Examples 2–5 contained in Prop. Reg. </w:t>
      </w:r>
      <w:smartTag w:uri="http://www.bna.com/sgml2word/cite" w:element="cite.cfr">
        <w:smartTagPr>
          <w:attr w:name="ref" w:val="prule\cfr\26\1.1411-3(d)(2)(iii)"/>
        </w:smartTagPr>
        <w:r>
          <w:t>§1.1411-3(d)(2)(iii)</w:t>
        </w:r>
      </w:smartTag>
      <w:r>
        <w:t xml:space="preserve"> attempt to illustrate the unavoidable complexity in mathematical terms.</w:t>
      </w:r>
      <w:r>
        <w:rPr>
          <w:rStyle w:val="FootnoteReference"/>
        </w:rPr>
        <w:footnoteReference w:id="1115"/>
      </w:r>
    </w:p>
    <w:p w14:paraId="22943652" w14:textId="77777777" w:rsidR="00494B49" w:rsidRDefault="00494B49">
      <w:pPr>
        <w:pStyle w:val="BNormal"/>
      </w:pPr>
      <w:r>
        <w:rPr>
          <w:i/>
        </w:rPr>
        <w:t>Comment:</w:t>
      </w:r>
      <w:r>
        <w:t xml:space="preserve"> There are three fundamental points that help the practitioner understand both the mechanics and the underlying reasoning behind the rules in Prop. Reg. </w:t>
      </w:r>
      <w:smartTag w:uri="http://www.bna.com/sgml2word/cite" w:element="cite.cfr">
        <w:smartTagPr>
          <w:attr w:name="ref" w:val="prule\cfr\26\1.1411-3(d)(2)(ii)"/>
        </w:smartTagPr>
        <w:r>
          <w:t>§1.1411-3(d)(2)(ii)</w:t>
        </w:r>
      </w:smartTag>
      <w:r>
        <w:t xml:space="preserve">. However, these points may not be readily apparent from the proposed regulation preamble, regulation text, or associated examples. First, to the extent a CRT receives a </w:t>
      </w:r>
      <w:smartTag w:uri="http://www.bna.com/sgml2word/cite" w:element="cite.usc">
        <w:smartTagPr>
          <w:attr w:name="ref" w:val="USC\26\951"/>
        </w:smartTagPr>
        <w:r>
          <w:t>§951</w:t>
        </w:r>
      </w:smartTag>
      <w:r>
        <w:t xml:space="preserve"> Inclusion</w:t>
      </w:r>
      <w:r>
        <w:rPr>
          <w:rStyle w:val="FootnoteReference"/>
        </w:rPr>
        <w:footnoteReference w:id="1116"/>
      </w:r>
      <w:r>
        <w:t xml:space="preserve"> or </w:t>
      </w:r>
      <w:smartTag w:uri="http://www.bna.com/sgml2word/cite" w:element="cite.usc">
        <w:smartTagPr>
          <w:attr w:name="ref" w:val="USC\26\1293"/>
        </w:smartTagPr>
        <w:r>
          <w:t>§1293</w:t>
        </w:r>
      </w:smartTag>
      <w:r>
        <w:t xml:space="preserve"> Inclusion</w:t>
      </w:r>
      <w:r>
        <w:rPr>
          <w:rStyle w:val="FootnoteReference"/>
        </w:rPr>
        <w:footnoteReference w:id="1117"/>
      </w:r>
      <w:r>
        <w:t xml:space="preserve"> associated with a CFC or PFIC that is not subject to a Reg. </w:t>
      </w:r>
      <w:smartTag w:uri="http://www.bna.com/sgml2word/cite" w:element="cite.cfr">
        <w:smartTagPr>
          <w:attr w:name="ref" w:val="cfr\26\1.1411-10(g)"/>
        </w:smartTagPr>
        <w:r>
          <w:t>§1.1411-10(g)</w:t>
        </w:r>
      </w:smartTag>
      <w:r>
        <w:t xml:space="preserve"> Election, the income is also accompanied by a downward adjustment to MAGI.</w:t>
      </w:r>
      <w:r>
        <w:rPr>
          <w:rStyle w:val="FootnoteReference"/>
        </w:rPr>
        <w:footnoteReference w:id="1118"/>
      </w:r>
      <w:r>
        <w:t xml:space="preserve"> However, because CRTs do not have MAGIs, a CRT must somehow earmark that income during the period in which the income remains undistributed within the </w:t>
      </w:r>
      <w:smartTag w:uri="http://www.bna.com/sgml2word/cite" w:element="cite.usc">
        <w:smartTagPr>
          <w:attr w:name="ref" w:val="USC\26\664(d)"/>
        </w:smartTagPr>
        <w:r>
          <w:t>§664(d)</w:t>
        </w:r>
      </w:smartTag>
      <w:r>
        <w:t xml:space="preserve"> tier system. This earmarking is required because the downward MAGI adjustment must be communicated to the income beneficiary when such income is distributed.</w:t>
      </w:r>
      <w:r>
        <w:rPr>
          <w:rStyle w:val="FootnoteReference"/>
        </w:rPr>
        <w:footnoteReference w:id="1119"/>
      </w:r>
      <w:r>
        <w:t xml:space="preserve"> Second, to the extent that an item of income from a CFC or PFIC is includible in net investment income, but not includible in regular taxable income, the taxpayer must adjust its MAGI upwards accordingly.</w:t>
      </w:r>
      <w:r>
        <w:rPr>
          <w:rStyle w:val="FootnoteReference"/>
        </w:rPr>
        <w:footnoteReference w:id="1120"/>
      </w:r>
      <w:r>
        <w:t xml:space="preserve"> However, given that the general rule for net investment income tax is that the </w:t>
      </w:r>
      <w:smartTag w:uri="http://www.bna.com/sgml2word/cite" w:element="cite.usc">
        <w:smartTagPr>
          <w:attr w:name="ref" w:val="USC\26\1411"/>
        </w:smartTagPr>
        <w:r>
          <w:t>§1411</w:t>
        </w:r>
      </w:smartTag>
      <w:r>
        <w:t xml:space="preserve"> tax is added to the regular tax rate,</w:t>
      </w:r>
      <w:r>
        <w:rPr>
          <w:rStyle w:val="FootnoteReference"/>
        </w:rPr>
        <w:footnoteReference w:id="1121"/>
      </w:r>
      <w:r>
        <w:t xml:space="preserve"> the CRT must somehow account for income with a 0% regular tax rate and a 3.8% net </w:t>
      </w:r>
      <w:r>
        <w:lastRenderedPageBreak/>
        <w:t xml:space="preserve">investment income tax rate, but also must consider whether the income should be accounted for in the ordinary income or capital gain category. It would have been easy to add the 3.8% dividend, which is not taxed for regular tax purposes, to its associated </w:t>
      </w:r>
      <w:smartTag w:uri="http://www.bna.com/sgml2word/cite" w:element="cite.usc">
        <w:smartTagPr>
          <w:attr w:name="ref" w:val="USC\26\951"/>
        </w:smartTagPr>
        <w:r>
          <w:t>§951</w:t>
        </w:r>
      </w:smartTag>
      <w:r>
        <w:t xml:space="preserve"> Inclusions or </w:t>
      </w:r>
      <w:smartTag w:uri="http://www.bna.com/sgml2word/cite" w:element="cite.usc">
        <w:smartTagPr>
          <w:attr w:name="ref" w:val="USC\26\1293"/>
        </w:smartTagPr>
        <w:r>
          <w:t>§1293</w:t>
        </w:r>
      </w:smartTag>
      <w:r>
        <w:t xml:space="preserve"> Inclusion, but this system fails if the inclusion has been distributed to the income beneficiary in a year between the year of inclusion and the year the net investment income tax-defined dividend is received. Finally, to avoid situations in which the </w:t>
      </w:r>
      <w:smartTag w:uri="http://www.bna.com/sgml2word/cite" w:element="cite.usc">
        <w:smartTagPr>
          <w:attr w:name="ref" w:val="USC\26\664"/>
        </w:smartTagPr>
        <w:r>
          <w:t>§664</w:t>
        </w:r>
      </w:smartTag>
      <w:r>
        <w:t xml:space="preserve"> system is burdened with a 3.8% income class within the ordinary income and capital gain categories, the rules provide that when the CRT receives includible net investment income from a CFC or PFIC that is not taxable for regular tax purposes, that fungible income “attaches itself” to any Excluded Income within the classes causing it, in essence, to convert from Excluded Income to Accumulated Net Investment Income (ANII).</w:t>
      </w:r>
      <w:r>
        <w:rPr>
          <w:rStyle w:val="FootnoteReference"/>
        </w:rPr>
        <w:footnoteReference w:id="1122"/>
      </w:r>
      <w:r>
        <w:t xml:space="preserve"> Although not explicit in the regulation text, the rule essentially causes Excluded Income to convert to net investment income — regardless of the reason the income was Excluded Income in the first place. </w:t>
      </w:r>
    </w:p>
    <w:p w14:paraId="2AF4B45E" w14:textId="77777777" w:rsidR="00494B49" w:rsidRDefault="00494B49">
      <w:pPr>
        <w:pStyle w:val="BNormal"/>
      </w:pPr>
      <w:r>
        <w:rPr>
          <w:i/>
        </w:rPr>
        <w:t>Comment:</w:t>
      </w:r>
      <w:r>
        <w:t xml:space="preserve"> Although the 2012 Proposed Regulations did not expressly state that one of the reasons for the Simplified System was to address the treatment of CFCs and QEFs, the rationale for a simple binary net investment income or non-net-investment income system becomes readily apparent once taxpayers consider the complexity of the rules in Prop. Reg. </w:t>
      </w:r>
      <w:smartTag w:uri="http://www.bna.com/sgml2word/cite" w:element="cite.cfr">
        <w:smartTagPr>
          <w:attr w:name="ref" w:val="prule\cfr\26\1.1411-3(d)(2)(ii)"/>
        </w:smartTagPr>
        <w:r>
          <w:t>§1.1411-3(d)(2)(ii)</w:t>
        </w:r>
      </w:smartTag>
      <w:r>
        <w:t xml:space="preserve">. Additionally, the Treasury Department and the IRS likely had the administrative and legal authority to promulgate the coordination rules in Prop. Reg. </w:t>
      </w:r>
      <w:smartTag w:uri="http://www.bna.com/sgml2word/cite" w:element="cite.cfr">
        <w:smartTagPr>
          <w:attr w:name="ref" w:val="prule\cfr\26\1.1411-3(d)(2)(ii)"/>
        </w:smartTagPr>
        <w:r>
          <w:t>§1.1411-3(d)(2)(ii)</w:t>
        </w:r>
      </w:smartTag>
      <w:r>
        <w:t xml:space="preserve"> as part of the 2013 Final Regulations, but declined to do so for several practical reasons. The government viewed the coordination rules as necessary given the uniform recommendation in public comments to adopt the </w:t>
      </w:r>
      <w:smartTag w:uri="http://www.bna.com/sgml2word/cite" w:element="cite.usc">
        <w:smartTagPr>
          <w:attr w:name="ref" w:val="USC\26\664"/>
        </w:smartTagPr>
        <w:r>
          <w:t>§664</w:t>
        </w:r>
      </w:smartTag>
      <w:r>
        <w:t xml:space="preserve"> system within the net investment income tax regime, but wanted public comment on whether there was an easier way to coordinate the systems. It was unlikely that the public commentators considered the intimate mechanics necessary to coordinate the Reg. </w:t>
      </w:r>
      <w:smartTag w:uri="http://www.bna.com/sgml2word/cite" w:element="cite.cfr">
        <w:smartTagPr>
          <w:attr w:name="ref" w:val="cfr\26\1.1411-10"/>
        </w:smartTagPr>
        <w:r>
          <w:t>§1.1411-10</w:t>
        </w:r>
      </w:smartTag>
      <w:r>
        <w:t xml:space="preserve"> rules with their recommendation to adopt the </w:t>
      </w:r>
      <w:smartTag w:uri="http://www.bna.com/sgml2word/cite" w:element="cite.usc">
        <w:smartTagPr>
          <w:attr w:name="ref" w:val="USC\26\664"/>
        </w:smartTagPr>
        <w:r>
          <w:t>§664</w:t>
        </w:r>
      </w:smartTag>
      <w:r>
        <w:t xml:space="preserve"> system, so the proposed regulations showed the commentators the necessary offspring of their recommendation, while also giving taxpayers an ‘out’ by proposing the Optional Simplified Method as an elective regime.</w:t>
      </w:r>
    </w:p>
    <w:p w14:paraId="08B8460E" w14:textId="77777777" w:rsidR="00494B49" w:rsidRDefault="00494B49">
      <w:pPr>
        <w:pStyle w:val="BHead4"/>
      </w:pPr>
      <w:r>
        <w:t xml:space="preserve">(1) Rule One: Regular Tax, but No Net Investment </w:t>
      </w:r>
      <w:r>
        <w:br/>
        <w:t xml:space="preserve">Income </w:t>
      </w:r>
    </w:p>
    <w:p w14:paraId="20643AA4" w14:textId="77777777" w:rsidR="00494B49" w:rsidRDefault="00494B49">
      <w:pPr>
        <w:pStyle w:val="BNormal"/>
      </w:pPr>
      <w:r>
        <w:t xml:space="preserve">The first rule provides that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that are included in gross income for purposes of Chapter 1 for a calendar year and in one or more categories described in Reg. </w:t>
      </w:r>
      <w:smartTag w:uri="http://www.bna.com/sgml2word/cite" w:element="cite.cfr">
        <w:smartTagPr>
          <w:attr w:name="ref" w:val="cfr\26\1.664-1(d)(1)"/>
        </w:smartTagPr>
        <w:r>
          <w:t>§1.664-1(d)(1)</w:t>
        </w:r>
      </w:smartTag>
      <w:r>
        <w:t xml:space="preserve"> are considered Excluded Income</w:t>
      </w:r>
      <w:r>
        <w:rPr>
          <w:rStyle w:val="FootnoteReference"/>
        </w:rPr>
        <w:footnoteReference w:id="1123"/>
      </w:r>
      <w:r>
        <w:t xml:space="preserve"> in the year the amount is included in income for purposes of Chapter 1.</w:t>
      </w:r>
      <w:r>
        <w:rPr>
          <w:rStyle w:val="FootnoteReference"/>
        </w:rPr>
        <w:footnoteReference w:id="1124"/>
      </w:r>
      <w:r>
        <w:t xml:space="preserve"> The consequence of this rule is to treat a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similarly to an IRA distribution or grandfathered pre-2013 income. If such income is subsequently distributed to the beneficiary, the item is included in income but not included in net investment income.</w:t>
      </w:r>
      <w:r>
        <w:rPr>
          <w:rStyle w:val="FootnoteReference"/>
        </w:rPr>
        <w:footnoteReference w:id="1125"/>
      </w:r>
      <w:r>
        <w:t xml:space="preserve"> As the inclusion is treated as “generic” Excluded Income, </w:t>
      </w:r>
      <w:r>
        <w:lastRenderedPageBreak/>
        <w:t>there is no requirement imposed on the CRT to track the associated MAGI adjustment and the beneficiary receiving such income upon distribution will not have a MAGI reduction.</w:t>
      </w:r>
    </w:p>
    <w:p w14:paraId="402A57DB" w14:textId="77777777" w:rsidR="00494B49" w:rsidRDefault="00494B49">
      <w:pPr>
        <w:pStyle w:val="BHead4"/>
      </w:pPr>
      <w:r>
        <w:t>(2) Rule Two: Net Investment Income, but No Regular Tax</w:t>
      </w:r>
    </w:p>
    <w:p w14:paraId="337941D4" w14:textId="77777777" w:rsidR="00494B49" w:rsidRDefault="00494B49">
      <w:pPr>
        <w:pStyle w:val="BNormal"/>
      </w:pPr>
      <w:r>
        <w:t xml:space="preserve">The second rule provides that, when a CRT receives a distribution of previously taxed earnings and profits that is not treated as a dividend for purposes of Chapter 1 under </w:t>
      </w:r>
      <w:smartTag w:uri="http://www.bna.com/sgml2word/cite" w:element="cite.usc">
        <w:smartTagPr>
          <w:attr w:name="ref" w:val="USC\26\959(d)"/>
        </w:smartTagPr>
        <w:r>
          <w:t>§959(d)</w:t>
        </w:r>
      </w:smartTag>
      <w:r>
        <w:t xml:space="preserve"> and </w:t>
      </w:r>
      <w:smartTag w:uri="http://www.bna.com/sgml2word/cite" w:element="cite.usc">
        <w:smartTagPr>
          <w:attr w:name="ref" w:val="USC\26\1293(c)"/>
        </w:smartTagPr>
        <w:r>
          <w:t>§1293(c)</w:t>
        </w:r>
      </w:smartTag>
      <w:r>
        <w:t>, it is taken into account as net investment income for net investment income tax purposes.</w:t>
      </w:r>
      <w:r>
        <w:rPr>
          <w:rStyle w:val="FootnoteReference"/>
        </w:rPr>
        <w:footnoteReference w:id="1126"/>
      </w:r>
      <w:r>
        <w:t xml:space="preserve"> The regulations define this as a “net investment income Inclusion Amount.” For this purpose, the net investment income Inclusion Amount includes net investment income from:</w:t>
      </w:r>
    </w:p>
    <w:p w14:paraId="4DDF309D" w14:textId="77777777" w:rsidR="00494B49" w:rsidRDefault="00494B49">
      <w:pPr>
        <w:pStyle w:val="BListitemorig"/>
      </w:pPr>
      <w:r>
        <w:t>(a) Certain distributions from a CFC or QEF,</w:t>
      </w:r>
      <w:r>
        <w:rPr>
          <w:rStyle w:val="FootnoteReference"/>
        </w:rPr>
        <w:footnoteReference w:id="1127"/>
      </w:r>
    </w:p>
    <w:p w14:paraId="0658E5A2" w14:textId="77777777" w:rsidR="00494B49" w:rsidRDefault="00494B49">
      <w:pPr>
        <w:pStyle w:val="BListitemorig"/>
      </w:pPr>
      <w:r>
        <w:t>(b) Certain distributions from a §1291 Fund,</w:t>
      </w:r>
      <w:r>
        <w:rPr>
          <w:rStyle w:val="FootnoteReference"/>
        </w:rPr>
        <w:footnoteReference w:id="1128"/>
      </w:r>
    </w:p>
    <w:p w14:paraId="1B6E2F3A" w14:textId="77777777" w:rsidR="00494B49" w:rsidRDefault="00494B49">
      <w:pPr>
        <w:pStyle w:val="BListitemorig"/>
      </w:pPr>
      <w:r>
        <w:t>(c) Gain derived from the disposition of a §1291 Fund,</w:t>
      </w:r>
      <w:r>
        <w:rPr>
          <w:rStyle w:val="FootnoteReference"/>
        </w:rPr>
        <w:footnoteReference w:id="1129"/>
      </w:r>
      <w:r>
        <w:t xml:space="preserve"> and </w:t>
      </w:r>
    </w:p>
    <w:p w14:paraId="6D168076" w14:textId="77777777" w:rsidR="00494B49" w:rsidRDefault="00494B49">
      <w:pPr>
        <w:pStyle w:val="BListitemorig"/>
      </w:pPr>
      <w:r>
        <w:t>(d) Distributions from an estate or trust attributable to income or gain derived from a CFC or QEF with respect to which an election under Reg. §1.1411-10(g) is not in effect.</w:t>
      </w:r>
      <w:r>
        <w:rPr>
          <w:rStyle w:val="FootnoteReference"/>
        </w:rPr>
        <w:footnoteReference w:id="1130"/>
      </w:r>
    </w:p>
    <w:p w14:paraId="134B1825" w14:textId="77777777" w:rsidR="00494B49" w:rsidRDefault="00494B49">
      <w:pPr>
        <w:pStyle w:val="BNormal"/>
      </w:pPr>
      <w:r>
        <w:t xml:space="preserve">The CRT must allocate the net investment income Inclusion Amount among the categories described in </w:t>
      </w:r>
      <w:smartTag w:uri="http://www.bna.com/sgml2word/cite" w:element="cite.usc">
        <w:smartTagPr>
          <w:attr w:name="ref" w:val="USC\26\664(b)(1)"/>
        </w:smartTagPr>
        <w:r>
          <w:t>§664(b)(1)</w:t>
        </w:r>
      </w:smartTag>
      <w:r>
        <w:t>-</w:t>
      </w:r>
      <w:smartTag w:uri="http://www.bna.com/sgml2word/cite" w:element="cite.usc">
        <w:smartTagPr>
          <w:attr w:name="ref" w:val="USC\26\664(b)(3)"/>
        </w:smartTagPr>
        <w:r>
          <w:t>§664(b)(3)</w:t>
        </w:r>
      </w:smartTag>
      <w:r>
        <w:t>.</w:t>
      </w:r>
      <w:r>
        <w:rPr>
          <w:rStyle w:val="FootnoteReference"/>
        </w:rPr>
        <w:footnoteReference w:id="1131"/>
      </w:r>
      <w:r>
        <w:t xml:space="preserve"> Specifically, the rule provides that, to the extent the CRT has amounts of Excluded Income in the Ordinary Income Category and the Capital Gain Category under Reg. </w:t>
      </w:r>
      <w:smartTag w:uri="http://www.bna.com/sgml2word/cite" w:element="cite.cfr">
        <w:smartTagPr>
          <w:attr w:name="ref" w:val="cfr\26\1.664-1(d)(1)"/>
        </w:smartTagPr>
        <w:r>
          <w:t>§1.664-1(d)(1)</w:t>
        </w:r>
      </w:smartTag>
      <w:r>
        <w:t>, the net investment income Inclusion Amount is allocated to the CRT’s classes of Excluded Income in the Ordinary Income Category, and then to the classes of Excluded Income in the Capital Gain Category, in turn, until exhaustion of each such class, beginning with the class of Excluded Income within a category with the highest federal income tax rate.</w:t>
      </w:r>
      <w:r>
        <w:rPr>
          <w:rStyle w:val="FootnoteReference"/>
        </w:rPr>
        <w:footnoteReference w:id="1132"/>
      </w:r>
      <w:r>
        <w:t xml:space="preserve"> As illustrated in the examples, the ordering rule would cause the net investment income to ‘attach’ to Excluded Income in the following descending order:</w:t>
      </w:r>
    </w:p>
    <w:p w14:paraId="42E9FEDC" w14:textId="77777777" w:rsidR="00494B49" w:rsidRDefault="00494B49">
      <w:pPr>
        <w:pStyle w:val="BListitembul"/>
      </w:pPr>
      <w:r>
        <w:t>Ordinary income: 39.6% class</w:t>
      </w:r>
    </w:p>
    <w:p w14:paraId="25E31956" w14:textId="77777777" w:rsidR="00494B49" w:rsidRDefault="00494B49">
      <w:pPr>
        <w:pStyle w:val="BListitembul"/>
      </w:pPr>
      <w:r>
        <w:t xml:space="preserve">Ordinary income: 20% class </w:t>
      </w:r>
    </w:p>
    <w:p w14:paraId="144FC2CD" w14:textId="77777777" w:rsidR="00494B49" w:rsidRDefault="00494B49">
      <w:pPr>
        <w:pStyle w:val="BListitembul"/>
      </w:pPr>
      <w:r>
        <w:t>Capital gain: 39.6% short-term capital gain class</w:t>
      </w:r>
    </w:p>
    <w:p w14:paraId="52F0DBAF" w14:textId="77777777" w:rsidR="00494B49" w:rsidRDefault="00494B49">
      <w:pPr>
        <w:pStyle w:val="BListitembul"/>
      </w:pPr>
      <w:r>
        <w:t>Capital gain: 28% collectibles class</w:t>
      </w:r>
    </w:p>
    <w:p w14:paraId="7D289EAA" w14:textId="77777777" w:rsidR="00494B49" w:rsidRDefault="00494B49">
      <w:pPr>
        <w:pStyle w:val="BListitembul"/>
      </w:pPr>
      <w:r>
        <w:t>Capital gain: 25% unrecaptured §1250 gain class</w:t>
      </w:r>
    </w:p>
    <w:p w14:paraId="1A5BD4A6" w14:textId="77777777" w:rsidR="00494B49" w:rsidRDefault="00494B49">
      <w:pPr>
        <w:pStyle w:val="BListitembul"/>
      </w:pPr>
      <w:r>
        <w:t>Capital gain: 20% long-term capital gain class</w:t>
      </w:r>
    </w:p>
    <w:p w14:paraId="4FF9A591" w14:textId="77777777" w:rsidR="00494B49" w:rsidRDefault="00494B49">
      <w:pPr>
        <w:pStyle w:val="BNormal"/>
      </w:pPr>
      <w:r>
        <w:t xml:space="preserve">After the net investment income attaches to all Excluded Income in the category such that all undistributed income within the CRT constitutes net investment income, any remaining net </w:t>
      </w:r>
      <w:r>
        <w:lastRenderedPageBreak/>
        <w:t xml:space="preserve">investment income is placed in the category described in </w:t>
      </w:r>
      <w:smartTag w:uri="http://www.bna.com/sgml2word/cite" w:element="cite.usc">
        <w:smartTagPr>
          <w:attr w:name="ref" w:val="USC\26\664(b)(3)"/>
        </w:smartTagPr>
        <w:r>
          <w:t>§664(b)(3)</w:t>
        </w:r>
      </w:smartTag>
      <w:r>
        <w:t xml:space="preserve"> (the Other Income Category).</w:t>
      </w:r>
      <w:r>
        <w:rPr>
          <w:rStyle w:val="FootnoteReference"/>
        </w:rPr>
        <w:footnoteReference w:id="1133"/>
      </w:r>
      <w:r>
        <w:t xml:space="preserve"> To the extent the CRT distributes amounts from this Other Income Category, that distribution constitutes a distribution described in Reg. </w:t>
      </w:r>
      <w:smartTag w:uri="http://www.bna.com/sgml2word/cite" w:element="cite.cfr">
        <w:smartTagPr>
          <w:attr w:name="ref" w:val="cfr\26\1.1411-10(c)(4)"/>
        </w:smartTagPr>
        <w:r>
          <w:t>§1.1411-10(c)(4)</w:t>
        </w:r>
      </w:smartTag>
      <w:r>
        <w:t xml:space="preserve"> and, therefore, Reg. </w:t>
      </w:r>
      <w:smartTag w:uri="http://www.bna.com/sgml2word/cite" w:element="cite.cfr">
        <w:smartTagPr>
          <w:attr w:name="ref" w:val="cfr\26\1.1411-10(e)(1)"/>
        </w:smartTagPr>
        <w:r>
          <w:t>§1.1411-10(e)(1)</w:t>
        </w:r>
      </w:smartTag>
      <w:r>
        <w:t xml:space="preserve"> causes the beneficiary to increase its MAGI (or AGI for an estate or trust) by the same amount. </w:t>
      </w:r>
    </w:p>
    <w:p w14:paraId="37518D88" w14:textId="77777777" w:rsidR="00494B49" w:rsidRDefault="00494B49">
      <w:pPr>
        <w:pStyle w:val="BNormal"/>
      </w:pPr>
      <w:r>
        <w:t xml:space="preserve">The last phase of the ordinary rule causes the Other Income category to have two classes of income, a 0% rate class (e.g., tax-exempt interest) and a 3.8% rate class. Because the CRT will have to track this class as a separate line item on the return, this is the only class that carries with it a MAGI adjustment for the beneficiary. And, because the first part of the rule “converted” Excluded Income to ANII, there was no need for a MAGI adjustment. </w:t>
      </w:r>
    </w:p>
    <w:p w14:paraId="4EAF7CC9" w14:textId="77777777" w:rsidR="00494B49" w:rsidRDefault="00494B49">
      <w:pPr>
        <w:pStyle w:val="BHead4"/>
      </w:pPr>
      <w:r>
        <w:t xml:space="preserve">(3) Rule Three: Treatment of Gains and Losses </w:t>
      </w:r>
      <w:r>
        <w:br/>
        <w:t>Attributable to Basis Differences</w:t>
      </w:r>
    </w:p>
    <w:p w14:paraId="3D5317D1" w14:textId="77777777" w:rsidR="00494B49" w:rsidRDefault="00494B49">
      <w:pPr>
        <w:pStyle w:val="BNormal"/>
      </w:pPr>
      <w:r>
        <w:t xml:space="preserve">The third rule in Prop. Reg. </w:t>
      </w:r>
      <w:smartTag w:uri="http://www.bna.com/sgml2word/cite" w:element="cite.cfr">
        <w:smartTagPr>
          <w:attr w:name="ref" w:val="prule\cfr\26\1.1411-3(d)(2)(ii)"/>
        </w:smartTagPr>
        <w:r>
          <w:t>§1.1411-3(d)(2)(ii)</w:t>
        </w:r>
      </w:smartTag>
      <w:r>
        <w:t xml:space="preserve"> addresses the differential in gain or loss associated with tax basis disparities between Chapter 1 and the net investment income tax regime caused by the recognition of income under Chapter 1 and of the corresponding net investment income in different tax years. The point of this proposed regulation is to provide similar basis adjustments to Reg. </w:t>
      </w:r>
      <w:smartTag w:uri="http://www.bna.com/sgml2word/cite" w:element="cite.cfr">
        <w:smartTagPr>
          <w:attr w:name="ref" w:val="cfr\26\1.1411-10(d)"/>
        </w:smartTagPr>
        <w:r>
          <w:t>§1.1411-10(d)</w:t>
        </w:r>
      </w:smartTag>
      <w:r>
        <w:t>,</w:t>
      </w:r>
      <w:r>
        <w:rPr>
          <w:rStyle w:val="FootnoteReference"/>
        </w:rPr>
        <w:footnoteReference w:id="1134"/>
      </w:r>
      <w:r>
        <w:t xml:space="preserve"> but to apply them to the ordering rules of the </w:t>
      </w:r>
      <w:smartTag w:uri="http://www.bna.com/sgml2word/cite" w:element="cite.usc">
        <w:smartTagPr>
          <w:attr w:name="ref" w:val="USC\26\664"/>
        </w:smartTagPr>
        <w:r>
          <w:t>§664</w:t>
        </w:r>
      </w:smartTag>
      <w:r>
        <w:t xml:space="preserve"> regime due to the differentiation between capital gains and ordinary income inclusions. </w:t>
      </w:r>
    </w:p>
    <w:p w14:paraId="37C57CE0" w14:textId="77777777" w:rsidR="00494B49" w:rsidRDefault="00494B49">
      <w:pPr>
        <w:pStyle w:val="BNormal"/>
      </w:pPr>
      <w:r>
        <w:t xml:space="preserve">The proposed rules for the allocation of such gain or loss within the </w:t>
      </w:r>
      <w:smartTag w:uri="http://www.bna.com/sgml2word/cite" w:element="cite.usc">
        <w:smartTagPr>
          <w:attr w:name="ref" w:val="USC\26\664"/>
        </w:smartTagPr>
        <w:r>
          <w:t>§664</w:t>
        </w:r>
      </w:smartTag>
      <w:r>
        <w:t xml:space="preserve"> categories and classes generally are consistent with the allocation rules for net investment income Inclusions Amounts, except that the Capital Gain Category is the first category to which the gain or loss is to be allocated, and then the Ordinary Income Category. The ordering rule would cause the net investment income to “attach” to Excluded Income in the following descending order:</w:t>
      </w:r>
    </w:p>
    <w:p w14:paraId="2E546FF3" w14:textId="77777777" w:rsidR="00494B49" w:rsidRDefault="00494B49">
      <w:pPr>
        <w:pStyle w:val="BListitembul"/>
      </w:pPr>
      <w:r>
        <w:t>Capital gain: 39.6% short-term capital gain class</w:t>
      </w:r>
    </w:p>
    <w:p w14:paraId="78577732" w14:textId="77777777" w:rsidR="00494B49" w:rsidRDefault="00494B49">
      <w:pPr>
        <w:pStyle w:val="BListitembul"/>
      </w:pPr>
      <w:r>
        <w:t>Capital gain: 28% collectibles class</w:t>
      </w:r>
    </w:p>
    <w:p w14:paraId="4E84A2AA" w14:textId="77777777" w:rsidR="00494B49" w:rsidRDefault="00494B49">
      <w:pPr>
        <w:pStyle w:val="BListitembul"/>
      </w:pPr>
      <w:r>
        <w:t>Capital gain: 25% unrecaptured §1250 gain class</w:t>
      </w:r>
    </w:p>
    <w:p w14:paraId="51612401" w14:textId="77777777" w:rsidR="00494B49" w:rsidRDefault="00494B49">
      <w:pPr>
        <w:pStyle w:val="BListitembul"/>
      </w:pPr>
      <w:r>
        <w:t>Capital gain: 20% long-term capital gain class</w:t>
      </w:r>
    </w:p>
    <w:p w14:paraId="16AF28CF" w14:textId="77777777" w:rsidR="00494B49" w:rsidRDefault="00494B49">
      <w:pPr>
        <w:pStyle w:val="BListitembul"/>
      </w:pPr>
      <w:r>
        <w:t>Ordinary income: 39.6% class</w:t>
      </w:r>
    </w:p>
    <w:p w14:paraId="58BD5CFF" w14:textId="77777777" w:rsidR="00494B49" w:rsidRDefault="00494B49">
      <w:pPr>
        <w:pStyle w:val="BListitembul"/>
      </w:pPr>
      <w:r>
        <w:t xml:space="preserve">Ordinary income: 20% class </w:t>
      </w:r>
    </w:p>
    <w:p w14:paraId="73A58DA2" w14:textId="77777777" w:rsidR="00494B49" w:rsidRDefault="00494B49">
      <w:pPr>
        <w:pStyle w:val="BNormal"/>
      </w:pPr>
      <w:r>
        <w:rPr>
          <w:i/>
        </w:rPr>
        <w:t>Comment:</w:t>
      </w:r>
      <w:r>
        <w:t xml:space="preserve"> The order of the categories is changed for gains and losses to more closely match the adjustments to the income that produced the net investment income, and to minimize the need for adjustments to MAGI or AGI. Although it would seem intuitive that the regular rules for net investment income Inclusion Amounts would be sufficient, these rules were necessary for two reasons. First, the basis differentials would cause differences only in the Capital Gain category, and thus the Treasury Department and IRS believed it was the most theoretically pure to adjust the Capital Gain category first. Second, and much more mechanically problematic, basis adjustments may result in losses for regular tax purposes that will differ for net investment income tax purposes. Because the rules for loss allocations within categories found in Reg. </w:t>
      </w:r>
      <w:smartTag w:uri="http://www.bna.com/sgml2word/cite" w:element="cite.cfr">
        <w:smartTagPr>
          <w:attr w:name="ref" w:val="cfr\26\1.664-1(d)(1)(iii)"/>
        </w:smartTagPr>
        <w:r>
          <w:t>§1.664-1(d)(1)(iii)</w:t>
        </w:r>
      </w:smartTag>
      <w:r>
        <w:t xml:space="preserve"> are very mechanical, the rules required special mechanics to align the basis differentials with the loss rules. </w:t>
      </w:r>
    </w:p>
    <w:p w14:paraId="31376861" w14:textId="77777777" w:rsidR="00494B49" w:rsidRDefault="00494B49">
      <w:pPr>
        <w:pStyle w:val="BNormal"/>
      </w:pPr>
      <w:r>
        <w:lastRenderedPageBreak/>
        <w:t xml:space="preserve">With respect to gain differences due to basis adjustments (where the net investment income tax gain is higher than regular tax), the rule is similar to the general rule for net investment income Inclusion Amounts discussed above. The only difference between the two rules is that Prop. Reg. </w:t>
      </w:r>
      <w:smartTag w:uri="http://www.bna.com/sgml2word/cite" w:element="cite.cfr">
        <w:smartTagPr>
          <w:attr w:name="ref" w:val="prule\cfr\26\1.1411-3(d)(2)(ii)(C)(1)"/>
        </w:smartTagPr>
        <w:r>
          <w:t>§1.1411-3(d)(2)(ii)(C)(1)</w:t>
        </w:r>
      </w:smartTag>
      <w:r>
        <w:t xml:space="preserve"> requires this additional gain to be allocated within the Capital Gain Category before any allocation within the Ordinary Income Category.</w:t>
      </w:r>
      <w:r>
        <w:rPr>
          <w:rStyle w:val="FootnoteReference"/>
        </w:rPr>
        <w:footnoteReference w:id="1135"/>
      </w:r>
    </w:p>
    <w:p w14:paraId="35AC13B3" w14:textId="77777777" w:rsidR="00494B49" w:rsidRDefault="00494B49">
      <w:pPr>
        <w:pStyle w:val="BNormal"/>
      </w:pPr>
      <w:r>
        <w:t xml:space="preserve">For losses and gains that are lower due to net investment income tax than they are for Chapter 1 purposes, the rules are similar to those for gain differences discussed in the preceding paragraph, but with a different ordering rule. In these cases, the tax basis is higher for net investment income tax purposes (e.g., generating a smaller gain or larger loss for net investment income tax purposes). However, the issue is not simply mathematical. Unlike dividends and gains addressed in Prop. Reg. </w:t>
      </w:r>
      <w:smartTag w:uri="http://www.bna.com/sgml2word/cite" w:element="cite.cfr">
        <w:smartTagPr>
          <w:attr w:name="ref" w:val="prule\cfr\26\1.1411-3(d)(2)(ii)(B)"/>
        </w:smartTagPr>
        <w:r>
          <w:t>§1.1411-3(d)(2)(ii)(B)</w:t>
        </w:r>
      </w:smartTag>
      <w:r>
        <w:t xml:space="preserve"> and </w:t>
      </w:r>
      <w:smartTag w:uri="http://www.bna.com/sgml2word/cite" w:element="cite.cfr">
        <w:smartTagPr>
          <w:attr w:name="ref" w:val="prule\cfr\26\1.1411-3(d)(2)(ii)(C)(1)"/>
        </w:smartTagPr>
        <w:r>
          <w:t>§1.1411-3(d)(2)(ii)(C)(1)</w:t>
        </w:r>
      </w:smartTag>
      <w:r>
        <w:t xml:space="preserve">, respectively, which can require an increase in MAGI (or AGI for an estate or trust), losses are accompanied by a reduction in MAGI (or AGI for an estate or trust) under Reg. </w:t>
      </w:r>
      <w:smartTag w:uri="http://www.bna.com/sgml2word/cite" w:element="cite.cfr">
        <w:smartTagPr>
          <w:attr w:name="ref" w:val="cfr\26\1.1411-10(e)"/>
        </w:smartTagPr>
        <w:r>
          <w:t>§1.1411-10(e)</w:t>
        </w:r>
      </w:smartTag>
      <w:r>
        <w:t xml:space="preserve">. Therefore, the loss ordering rules have one additional element with which to contend. </w:t>
      </w:r>
    </w:p>
    <w:p w14:paraId="257C984A" w14:textId="77777777" w:rsidR="00494B49" w:rsidRDefault="00494B49">
      <w:pPr>
        <w:pStyle w:val="BNormal"/>
      </w:pPr>
      <w:r>
        <w:t>The loss rule generally follows the ordering rule for gains with one exception.</w:t>
      </w:r>
      <w:r>
        <w:rPr>
          <w:rStyle w:val="FootnoteReference"/>
        </w:rPr>
        <w:footnoteReference w:id="1136"/>
      </w:r>
      <w:r>
        <w:t xml:space="preserve"> The loss ordering rule in Prop. Reg. </w:t>
      </w:r>
      <w:smartTag w:uri="http://www.bna.com/sgml2word/cite" w:element="cite.cfr">
        <w:smartTagPr>
          <w:attr w:name="ref" w:val="prule\cfr\26\1.1411-3(d)(2)(ii)(C)(2)"/>
        </w:smartTagPr>
        <w:r>
          <w:t>§1.1411-3(d)(2)(ii)(C)(2)</w:t>
        </w:r>
      </w:smartTag>
      <w:r>
        <w:t xml:space="preserve"> begins with allocating the decrease to the Other Income Category that was created or increased in the current or previous year, presumably due to an allocation under Prop. Reg. </w:t>
      </w:r>
      <w:smartTag w:uri="http://www.bna.com/sgml2word/cite" w:element="cite.cfr">
        <w:smartTagPr>
          <w:attr w:name="ref" w:val="prule\cfr\26\1.1411-3(d)(2)(ii)(B)"/>
        </w:smartTagPr>
        <w:r>
          <w:t>§1.1411-3(d)(2)(ii)(B)</w:t>
        </w:r>
      </w:smartTag>
      <w:r>
        <w:t>. The ordering rule would cause the net investment income to “attach” to Excluded Income in the following descending order:</w:t>
      </w:r>
    </w:p>
    <w:p w14:paraId="37EB15B1" w14:textId="77777777" w:rsidR="00494B49" w:rsidRDefault="00494B49">
      <w:pPr>
        <w:pStyle w:val="BListitembul"/>
      </w:pPr>
      <w:r>
        <w:t>Other income: 3.8% class (0% + 3.8%)</w:t>
      </w:r>
    </w:p>
    <w:p w14:paraId="50ABF3BA" w14:textId="77777777" w:rsidR="00494B49" w:rsidRDefault="00494B49">
      <w:pPr>
        <w:pStyle w:val="BListitembul"/>
      </w:pPr>
      <w:r>
        <w:t>Capital gain: 40.8% short-term capital gain class (37% + 3.8%)</w:t>
      </w:r>
    </w:p>
    <w:p w14:paraId="6FB20AE6" w14:textId="77777777" w:rsidR="00494B49" w:rsidRDefault="00494B49">
      <w:pPr>
        <w:pStyle w:val="BListitembul"/>
      </w:pPr>
      <w:r>
        <w:t>Capital gain: 31.8% collectibles class (28% + 3.8%)</w:t>
      </w:r>
    </w:p>
    <w:p w14:paraId="1C58FBB7" w14:textId="77777777" w:rsidR="00494B49" w:rsidRDefault="00494B49">
      <w:pPr>
        <w:pStyle w:val="BListitembul"/>
      </w:pPr>
      <w:r>
        <w:t>Capital gain: 28.8% unrecaptured §1250 gain class (25% + 3.8%)</w:t>
      </w:r>
    </w:p>
    <w:p w14:paraId="1CBD4D29" w14:textId="77777777" w:rsidR="00494B49" w:rsidRDefault="00494B49">
      <w:pPr>
        <w:pStyle w:val="BListitembul"/>
      </w:pPr>
      <w:r>
        <w:t>Capital gain: 23.8% long-term capital gain class (20% + 3.8%)</w:t>
      </w:r>
    </w:p>
    <w:p w14:paraId="2545E1C8" w14:textId="77777777" w:rsidR="00494B49" w:rsidRDefault="00494B49">
      <w:pPr>
        <w:pStyle w:val="BListitembul"/>
      </w:pPr>
      <w:r>
        <w:t>Ordinary income: 40.8% class (37% + 3.8%)</w:t>
      </w:r>
    </w:p>
    <w:p w14:paraId="04F37EDD" w14:textId="77777777" w:rsidR="00494B49" w:rsidRDefault="00494B49">
      <w:pPr>
        <w:pStyle w:val="BListitembul"/>
      </w:pPr>
      <w:r>
        <w:t>Ordinary income: 23.8% class (20% + 3.8%)</w:t>
      </w:r>
    </w:p>
    <w:p w14:paraId="0C56A986" w14:textId="77777777" w:rsidR="00494B49" w:rsidRDefault="00494B49">
      <w:pPr>
        <w:pStyle w:val="BNormal"/>
      </w:pPr>
      <w:r>
        <w:t xml:space="preserve">The purpose of the different ordering rule is to eliminate the ANII within the Other Income Category first in an effort to reduce the incidence of required MAGI (or AGI for an estate or trust) adjustments by the beneficiary. Once this income is eliminated, the CRT or beneficiary will not have to separately account for a MAGI (or AGI for an estate or trust) increase because the timing differences caused by Reg. </w:t>
      </w:r>
      <w:smartTag w:uri="http://www.bna.com/sgml2word/cite" w:element="cite.cfr">
        <w:smartTagPr>
          <w:attr w:name="ref" w:val="cfr\26\1.1411-10"/>
        </w:smartTagPr>
        <w:r>
          <w:t>§1.1411-10</w:t>
        </w:r>
      </w:smartTag>
      <w:r>
        <w:t xml:space="preserve"> may have been corrected within the </w:t>
      </w:r>
      <w:smartTag w:uri="http://www.bna.com/sgml2word/cite" w:element="cite.usc">
        <w:smartTagPr>
          <w:attr w:name="ref" w:val="USC\26\664"/>
        </w:smartTagPr>
        <w:r>
          <w:t>§664</w:t>
        </w:r>
      </w:smartTag>
      <w:r>
        <w:t xml:space="preserve"> class and category system before the income is distributed to the beneficiary.</w:t>
      </w:r>
    </w:p>
    <w:p w14:paraId="73B226DC" w14:textId="77777777" w:rsidR="00494B49" w:rsidRDefault="00494B49">
      <w:pPr>
        <w:pStyle w:val="BHead2"/>
      </w:pPr>
      <w:r>
        <w:t>5. Optional Simplified Method</w:t>
      </w:r>
    </w:p>
    <w:p w14:paraId="1489B412" w14:textId="77777777" w:rsidR="00494B49" w:rsidRDefault="00494B49">
      <w:pPr>
        <w:pStyle w:val="BNormal"/>
      </w:pPr>
      <w:r>
        <w:t xml:space="preserve">The 2013 Proposed Regulations provide taxpayers with the ability to elect between the </w:t>
      </w:r>
      <w:smartTag w:uri="http://www.bna.com/sgml2word/cite" w:element="cite.usc">
        <w:smartTagPr>
          <w:attr w:name="ref" w:val="USC\26\664"/>
        </w:smartTagPr>
        <w:r>
          <w:t>§664</w:t>
        </w:r>
      </w:smartTag>
      <w:r>
        <w:t xml:space="preserve"> Method in the 2013 Final Regulations and the method contained in the 2012 Proposed Regulations, with one modification and one caveat. This method is referred to as the Simplified Net Investment Income Calculation Method in the instructions to the Form </w:t>
      </w:r>
      <w:smartTag w:uri="http://www.bna.com/sgml2word/cite" w:element="cite.fed.form">
        <w:smartTagPr>
          <w:attr w:name="ref" w:val="irs\form5227"/>
        </w:smartTagPr>
        <w:r>
          <w:t>5227</w:t>
        </w:r>
      </w:smartTag>
      <w:r>
        <w:t xml:space="preserve"> for tax year </w:t>
      </w:r>
      <w:r>
        <w:lastRenderedPageBreak/>
        <w:t>2013 (but is referred to more simply in this Portfolio as the Simplified Method). An election to use the Simplified Method is irrevocable.</w:t>
      </w:r>
      <w:r>
        <w:rPr>
          <w:rStyle w:val="FootnoteReference"/>
        </w:rPr>
        <w:footnoteReference w:id="1137"/>
      </w:r>
    </w:p>
    <w:p w14:paraId="01CDCA9E" w14:textId="77777777" w:rsidR="00494B49" w:rsidRDefault="00494B49">
      <w:pPr>
        <w:pStyle w:val="BNormal"/>
      </w:pPr>
      <w:r>
        <w:t xml:space="preserve">Prop. Reg. </w:t>
      </w:r>
      <w:smartTag w:uri="http://www.bna.com/sgml2word/cite" w:element="cite.cfr">
        <w:smartTagPr>
          <w:attr w:name="ref" w:val="prule\cfr\26\1.1411-3(d)(3)(i)"/>
        </w:smartTagPr>
        <w:r>
          <w:t>§1.1411-3(d)(3)(i)</w:t>
        </w:r>
      </w:smartTag>
      <w:r>
        <w:t xml:space="preserve"> provides that distributions from a CRT to a beneficiary for a tax year consist of net investment income in an amount equal to the lesser of the total amount of the distributions for that year, or the current and accumulated net investment income of the charitable remainder trust.</w:t>
      </w:r>
      <w:r>
        <w:rPr>
          <w:rStyle w:val="FootnoteReference"/>
        </w:rPr>
        <w:footnoteReference w:id="1138"/>
      </w:r>
      <w:r>
        <w:t xml:space="preserve"> Prop. Reg. </w:t>
      </w:r>
      <w:smartTag w:uri="http://www.bna.com/sgml2word/cite" w:element="cite.cfr">
        <w:smartTagPr>
          <w:attr w:name="ref" w:val="prule\cfr\26\1.1411-3(d)(3)(ii)"/>
        </w:smartTagPr>
        <w:r>
          <w:t>§1.1411-3(d)(3)(ii)</w:t>
        </w:r>
      </w:smartTag>
      <w:r>
        <w:t xml:space="preserve"> provides that a CRT that elects to use the Simplified Method is not limited by the general excess deduction rule in Reg. </w:t>
      </w:r>
      <w:smartTag w:uri="http://www.bna.com/sgml2word/cite" w:element="cite.cfr">
        <w:smartTagPr>
          <w:attr w:name="ref" w:val="cfr\26\1.1411-4(f)(1)(ii)"/>
        </w:smartTagPr>
        <w:r>
          <w:t>§1.1411-4(f)(1)(ii)</w:t>
        </w:r>
      </w:smartTag>
      <w:r>
        <w:t>.</w:t>
      </w:r>
      <w:r>
        <w:rPr>
          <w:rStyle w:val="FootnoteReference"/>
        </w:rPr>
        <w:footnoteReference w:id="1139"/>
      </w:r>
      <w:r>
        <w:t xml:space="preserve"> In the case of CRTs, for Chapter 1 purposes, the </w:t>
      </w:r>
      <w:smartTag w:uri="http://www.bna.com/sgml2word/cite" w:element="cite.usc">
        <w:smartTagPr>
          <w:attr w:name="ref" w:val="USC\26\664(d)"/>
        </w:smartTagPr>
        <w:r>
          <w:t>§664(d)</w:t>
        </w:r>
      </w:smartTag>
      <w:r>
        <w:t xml:space="preserve"> regulations allow for losses within each income class to be carried forward to offset income that the CRT earned within the same class in a future year. Therefore, this provision of the Simplified Method retains the Chapter 1 principle that a CRT’s losses are carried forward and offset income in future years.</w:t>
      </w:r>
      <w:r>
        <w:rPr>
          <w:rStyle w:val="FootnoteReference"/>
        </w:rPr>
        <w:footnoteReference w:id="1140"/>
      </w:r>
    </w:p>
    <w:p w14:paraId="4EE2CC17" w14:textId="77777777" w:rsidR="00494B49" w:rsidRDefault="00494B49">
      <w:pPr>
        <w:pStyle w:val="BNormal"/>
      </w:pPr>
      <w:r>
        <w:t xml:space="preserve">Prop. Reg. </w:t>
      </w:r>
      <w:smartTag w:uri="http://www.bna.com/sgml2word/cite" w:element="cite.cfr">
        <w:smartTagPr>
          <w:attr w:name="ref" w:val="prule\cfr\26\1.1411-3(d)(3)(iii)"/>
        </w:smartTagPr>
        <w:r>
          <w:t>§1.1411-3(d)(3)(iii)</w:t>
        </w:r>
      </w:smartTag>
      <w:r>
        <w:t xml:space="preserve"> provides the procedural rules for electing the Simplified Method. A CRT established after December 31, 2012, must make the election on its income tax return for the tax year in which the CRT is established. A CRT established before January 1, 2013, was required to make the election on its income tax return for its first tax year beginning on or after January 1, 2013. The CRT may make the election on an amended return only if neither the tax year for which the election is made, nor any tax year that is affected by the election, for both the CRT and its beneficiaries, is closed by the period of limitations on assessments under </w:t>
      </w:r>
      <w:smartTag w:uri="http://www.bna.com/sgml2word/cite" w:element="cite.usc">
        <w:smartTagPr>
          <w:attr w:name="ref" w:val="USC\26\6501"/>
        </w:smartTagPr>
        <w:r>
          <w:t>§6501</w:t>
        </w:r>
      </w:smartTag>
      <w:r>
        <w:t xml:space="preserve">. </w:t>
      </w:r>
    </w:p>
    <w:p w14:paraId="6DBC6D24" w14:textId="77777777" w:rsidR="00494B49" w:rsidRDefault="00494B49">
      <w:pPr>
        <w:pStyle w:val="BNormal"/>
      </w:pPr>
      <w:r>
        <w:t>Once finalized, this portion of the 2013 Proposed Regulations would be effective for tax years beginning after December 31, 2012.</w:t>
      </w:r>
      <w:r>
        <w:rPr>
          <w:rStyle w:val="FootnoteReference"/>
        </w:rPr>
        <w:footnoteReference w:id="1141"/>
      </w:r>
      <w:r>
        <w:t xml:space="preserve"> However, the preamble to the 2013 Proposed Regulations states “[i]f, after consideration of all comments received in response to these proposed regulations, it appears that there is no significant interest among taxpayers in having the option of using the Simplified Method, the Treasury Department and the IRS may omit this election from the regulations when finalized.”</w:t>
      </w:r>
      <w:r>
        <w:rPr>
          <w:rStyle w:val="FootnoteReference"/>
        </w:rPr>
        <w:footnoteReference w:id="1142"/>
      </w:r>
    </w:p>
    <w:p w14:paraId="70B3E64D" w14:textId="77777777" w:rsidR="00494B49" w:rsidRDefault="00494B49">
      <w:pPr>
        <w:pStyle w:val="BNormal"/>
      </w:pPr>
      <w:r>
        <w:rPr>
          <w:i/>
        </w:rPr>
        <w:t>Comment:</w:t>
      </w:r>
      <w:r>
        <w:t xml:space="preserve"> If the IRS and Treasury Department ultimately determine that there is insufficient interest in the Simplified Method election, and the method is eliminated from the 2013 Final Regulations, those regulations will have to provide rules for transitioning from the Simplified </w:t>
      </w:r>
      <w:r>
        <w:lastRenderedPageBreak/>
        <w:t xml:space="preserve">Method to the </w:t>
      </w:r>
      <w:smartTag w:uri="http://www.bna.com/sgml2word/cite" w:element="cite.usc">
        <w:smartTagPr>
          <w:attr w:name="ref" w:val="USC\26\664"/>
        </w:smartTagPr>
        <w:r>
          <w:t>§664</w:t>
        </w:r>
      </w:smartTag>
      <w:r>
        <w:t xml:space="preserve"> Method. Such guidance could be very specific, or very general (similar to the transition language contained in the 2013 Final Regulations).</w:t>
      </w:r>
      <w:r>
        <w:rPr>
          <w:rStyle w:val="FootnoteReference"/>
        </w:rPr>
        <w:footnoteReference w:id="1143"/>
      </w:r>
    </w:p>
    <w:p w14:paraId="40970B4A" w14:textId="77777777" w:rsidR="00494B49" w:rsidRDefault="00494B49">
      <w:pPr>
        <w:pStyle w:val="BHead2"/>
      </w:pPr>
      <w:r>
        <w:t>6. Comparison Between Section 664 Method and Simplified Method</w:t>
      </w:r>
    </w:p>
    <w:p w14:paraId="7D98DE56" w14:textId="77777777" w:rsidR="00494B49" w:rsidRDefault="00494B49">
      <w:pPr>
        <w:pStyle w:val="BNormal"/>
      </w:pPr>
      <w:r>
        <w:t xml:space="preserve">Although the government received uniform criticism of the Simplified Method when it was proposed as the sole method in the 2012 Proposed Regulations, there are very real computational differences between the two methods. The commentators focused on the simple case of when a testamentary CRT was funded with IRA distributions. They were critical of the rule because it caused net investment income from capital gains earned within the CRT after it received the IRA money to be considered distributed at the same time the beneficiary was being distributed IRA income for regular tax purposes. This was a valid criticism, and the oddity was intentionally highlighted in examples contained in the proposed regulation text. </w:t>
      </w:r>
    </w:p>
    <w:p w14:paraId="6C967BE1" w14:textId="77777777" w:rsidR="00494B49" w:rsidRDefault="00494B49">
      <w:pPr>
        <w:pStyle w:val="BNormal"/>
      </w:pPr>
      <w:r>
        <w:t xml:space="preserve">However, as the commentators focused on this unjust anomaly in recommending that the final regulation adopt the </w:t>
      </w:r>
      <w:smartTag w:uri="http://www.bna.com/sgml2word/cite" w:element="cite.usc">
        <w:smartTagPr>
          <w:attr w:name="ref" w:val="USC\26\664"/>
        </w:smartTagPr>
        <w:r>
          <w:t>§664</w:t>
        </w:r>
      </w:smartTag>
      <w:r>
        <w:t xml:space="preserve"> Method, they made no mention of the other benefits of the Simplified Method, nor the flow-back consequences into Chapter 1 that would occur. This part of the Portfolio outlines the less apparent differences between the two methods, and provides several situations in which the Elective Simplified Method may be a viable option. </w:t>
      </w:r>
    </w:p>
    <w:p w14:paraId="641B63A4" w14:textId="77777777" w:rsidR="00494B49" w:rsidRDefault="00494B49">
      <w:pPr>
        <w:pStyle w:val="BHead3"/>
      </w:pPr>
      <w:r>
        <w:t>a. Pure Netting</w:t>
      </w:r>
    </w:p>
    <w:p w14:paraId="09CA82FE" w14:textId="77777777" w:rsidR="00494B49" w:rsidRDefault="00494B49">
      <w:pPr>
        <w:pStyle w:val="BNormal"/>
      </w:pPr>
      <w:r>
        <w:t xml:space="preserve">The largest advantage that the Elective Simplified Method has over the </w:t>
      </w:r>
      <w:smartTag w:uri="http://www.bna.com/sgml2word/cite" w:element="cite.usc">
        <w:smartTagPr>
          <w:attr w:name="ref" w:val="USC\26\664"/>
        </w:smartTagPr>
        <w:r>
          <w:t>§664</w:t>
        </w:r>
      </w:smartTag>
      <w:r>
        <w:t xml:space="preserve"> Method is the annual netting of net investment income and deductions and the carryforward of excess deductions as a single category-class of income.</w:t>
      </w:r>
      <w:r>
        <w:rPr>
          <w:rStyle w:val="FootnoteReference"/>
        </w:rPr>
        <w:footnoteReference w:id="1144"/>
      </w:r>
      <w:r>
        <w:t xml:space="preserve"> The Elective Simplified Method was intended to operate completely independently of the </w:t>
      </w:r>
      <w:smartTag w:uri="http://www.bna.com/sgml2word/cite" w:element="cite.usc">
        <w:smartTagPr>
          <w:attr w:name="ref" w:val="USC\26\664"/>
        </w:smartTagPr>
        <w:r>
          <w:t>§664</w:t>
        </w:r>
      </w:smartTag>
      <w:r>
        <w:t xml:space="preserve"> category and class system. Under the regular CRT operational rules of allocation of losses,</w:t>
      </w:r>
      <w:r>
        <w:rPr>
          <w:rStyle w:val="FootnoteReference"/>
        </w:rPr>
        <w:footnoteReference w:id="1145"/>
      </w:r>
      <w:r>
        <w:t xml:space="preserve"> losses utilized against current year and accumulated income within the category (ordinary or capital gain), and excess losses are carried forward. The excess losses do not move from one category to another such that, for example, excess capital losses can be used to offset interest income. However, under the Elective Simplified Method, this is allowed to occur because there is no distinction between ordinary income and capital gain, there is only net investment income and Excluded Income. The following example best illustrates the differences in methods: </w:t>
      </w:r>
    </w:p>
    <w:p w14:paraId="390FF9C7" w14:textId="77777777" w:rsidR="00494B49" w:rsidRDefault="00494B49" w:rsidP="00144640">
      <w:pPr>
        <w:pStyle w:val="BExamplepara"/>
      </w:pPr>
      <w:r>
        <w:rPr>
          <w:rStyle w:val="BExamplehead"/>
          <w:rFonts w:eastAsiaTheme="minorHAnsi"/>
          <w:i/>
        </w:rPr>
        <w:t>Example:</w:t>
      </w:r>
      <w:r>
        <w:t xml:space="preserve"> Assume a Charitable Remainder Annuity Trust (CRAT) has $100,000 of interest and dividend income in the current year and $175,000 of long-term capital losses. Assume for this example that the CRAT has no accumulated income from prior years. The CRAT makes a $110,000 annual annuity payment to the beneficiary. </w:t>
      </w:r>
    </w:p>
    <w:p w14:paraId="34EE2747"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86"/>
        <w:gridCol w:w="2452"/>
        <w:gridCol w:w="2470"/>
        <w:gridCol w:w="1942"/>
      </w:tblGrid>
      <w:tr w:rsidR="00494B49" w14:paraId="2AD705B7" w14:textId="77777777">
        <w:trPr>
          <w:gridAfter w:val="1"/>
          <w:wAfter w:w="2520" w:type="dxa"/>
        </w:trPr>
        <w:tc>
          <w:tcPr>
            <w:tcW w:w="3360" w:type="dxa"/>
          </w:tcPr>
          <w:p w14:paraId="2F659C6C" w14:textId="77777777" w:rsidR="00494B49" w:rsidRDefault="00494B49"/>
        </w:tc>
        <w:tc>
          <w:tcPr>
            <w:tcW w:w="3360" w:type="dxa"/>
          </w:tcPr>
          <w:p w14:paraId="682E959A" w14:textId="77777777" w:rsidR="00494B49" w:rsidRDefault="00494B49">
            <w:r>
              <w:t>Regular Tax</w:t>
            </w:r>
          </w:p>
        </w:tc>
        <w:tc>
          <w:tcPr>
            <w:tcW w:w="3360" w:type="dxa"/>
          </w:tcPr>
          <w:p w14:paraId="5E2E21E4" w14:textId="77777777" w:rsidR="00494B49" w:rsidRDefault="00494B49">
            <w:r>
              <w:t xml:space="preserve">Net Investment </w:t>
            </w:r>
            <w:r>
              <w:br/>
              <w:t>Income</w:t>
            </w:r>
          </w:p>
        </w:tc>
      </w:tr>
      <w:tr w:rsidR="00494B49" w14:paraId="3E6E3143" w14:textId="77777777">
        <w:tc>
          <w:tcPr>
            <w:tcW w:w="2520" w:type="dxa"/>
          </w:tcPr>
          <w:p w14:paraId="160307D0" w14:textId="77777777" w:rsidR="00494B49" w:rsidRDefault="00494B49"/>
        </w:tc>
        <w:tc>
          <w:tcPr>
            <w:tcW w:w="2520" w:type="dxa"/>
          </w:tcPr>
          <w:p w14:paraId="0D4F713C" w14:textId="77777777" w:rsidR="00494B49" w:rsidRDefault="00494B49"/>
        </w:tc>
        <w:tc>
          <w:tcPr>
            <w:tcW w:w="2520" w:type="dxa"/>
          </w:tcPr>
          <w:p w14:paraId="3BB7C6E4" w14:textId="77777777" w:rsidR="00494B49" w:rsidRDefault="00494B49">
            <w:smartTag w:uri="http://www.bna.com/sgml2word/cite" w:element="cite.usc">
              <w:smartTagPr>
                <w:attr w:name="ref" w:val="USC\26\664"/>
              </w:smartTagPr>
              <w:r>
                <w:t>§664</w:t>
              </w:r>
            </w:smartTag>
            <w:r>
              <w:t xml:space="preserve"> Method</w:t>
            </w:r>
          </w:p>
        </w:tc>
        <w:tc>
          <w:tcPr>
            <w:tcW w:w="2520" w:type="dxa"/>
          </w:tcPr>
          <w:p w14:paraId="1455E63B" w14:textId="77777777" w:rsidR="00494B49" w:rsidRDefault="00494B49">
            <w:r>
              <w:t>Simplified Method</w:t>
            </w:r>
          </w:p>
        </w:tc>
      </w:tr>
      <w:tr w:rsidR="00494B49" w14:paraId="04C5114F" w14:textId="77777777">
        <w:tc>
          <w:tcPr>
            <w:tcW w:w="2520" w:type="dxa"/>
          </w:tcPr>
          <w:p w14:paraId="2464AA4A" w14:textId="77777777" w:rsidR="00494B49" w:rsidRDefault="00494B49">
            <w:r>
              <w:t>Interest / Dividends</w:t>
            </w:r>
          </w:p>
        </w:tc>
        <w:tc>
          <w:tcPr>
            <w:tcW w:w="2520" w:type="dxa"/>
          </w:tcPr>
          <w:p w14:paraId="44E58F48" w14:textId="77777777" w:rsidR="00494B49" w:rsidRDefault="00494B49">
            <w:r>
              <w:t>$100,000</w:t>
            </w:r>
          </w:p>
        </w:tc>
        <w:tc>
          <w:tcPr>
            <w:tcW w:w="2520" w:type="dxa"/>
          </w:tcPr>
          <w:p w14:paraId="35B6920D" w14:textId="77777777" w:rsidR="00494B49" w:rsidRDefault="00494B49">
            <w:r>
              <w:t>$100,000</w:t>
            </w:r>
          </w:p>
        </w:tc>
        <w:tc>
          <w:tcPr>
            <w:tcW w:w="2520" w:type="dxa"/>
          </w:tcPr>
          <w:p w14:paraId="380DCED8" w14:textId="77777777" w:rsidR="00494B49" w:rsidRDefault="00494B49">
            <w:r>
              <w:t>$100,000</w:t>
            </w:r>
          </w:p>
        </w:tc>
      </w:tr>
      <w:tr w:rsidR="00494B49" w14:paraId="16F8C368" w14:textId="77777777">
        <w:tc>
          <w:tcPr>
            <w:tcW w:w="2520" w:type="dxa"/>
          </w:tcPr>
          <w:p w14:paraId="1735B933" w14:textId="77777777" w:rsidR="00494B49" w:rsidRDefault="00494B49">
            <w:r>
              <w:t>Capital Loss</w:t>
            </w:r>
          </w:p>
        </w:tc>
        <w:tc>
          <w:tcPr>
            <w:tcW w:w="2520" w:type="dxa"/>
          </w:tcPr>
          <w:p w14:paraId="030EA788" w14:textId="77777777" w:rsidR="00494B49" w:rsidRDefault="00494B49">
            <w:r>
              <w:t>($175,000)</w:t>
            </w:r>
          </w:p>
        </w:tc>
        <w:tc>
          <w:tcPr>
            <w:tcW w:w="2520" w:type="dxa"/>
          </w:tcPr>
          <w:p w14:paraId="643DC340" w14:textId="77777777" w:rsidR="00494B49" w:rsidRDefault="00494B49">
            <w:r>
              <w:t>($175,000)</w:t>
            </w:r>
          </w:p>
        </w:tc>
        <w:tc>
          <w:tcPr>
            <w:tcW w:w="2520" w:type="dxa"/>
          </w:tcPr>
          <w:p w14:paraId="30786CF5" w14:textId="77777777" w:rsidR="00494B49" w:rsidRDefault="00494B49">
            <w:r>
              <w:t>($175,000)</w:t>
            </w:r>
          </w:p>
        </w:tc>
      </w:tr>
      <w:tr w:rsidR="00494B49" w14:paraId="489B4AD6" w14:textId="77777777">
        <w:tc>
          <w:tcPr>
            <w:tcW w:w="2520" w:type="dxa"/>
          </w:tcPr>
          <w:p w14:paraId="606D1C6F" w14:textId="77777777" w:rsidR="00494B49" w:rsidRDefault="00494B49">
            <w:r>
              <w:lastRenderedPageBreak/>
              <w:t>Net Investment Income Available for Distribution</w:t>
            </w:r>
          </w:p>
        </w:tc>
        <w:tc>
          <w:tcPr>
            <w:tcW w:w="2520" w:type="dxa"/>
          </w:tcPr>
          <w:p w14:paraId="54E8BC3E" w14:textId="77777777" w:rsidR="00494B49" w:rsidRDefault="00494B49"/>
        </w:tc>
        <w:tc>
          <w:tcPr>
            <w:tcW w:w="2520" w:type="dxa"/>
          </w:tcPr>
          <w:p w14:paraId="7F8A8244" w14:textId="77777777" w:rsidR="00494B49" w:rsidRDefault="00494B49">
            <w:r>
              <w:t>$100,000</w:t>
            </w:r>
          </w:p>
        </w:tc>
        <w:tc>
          <w:tcPr>
            <w:tcW w:w="2520" w:type="dxa"/>
          </w:tcPr>
          <w:p w14:paraId="7FB4728B" w14:textId="77777777" w:rsidR="00494B49" w:rsidRDefault="00494B49">
            <w:r>
              <w:t>($75,000)</w:t>
            </w:r>
          </w:p>
        </w:tc>
      </w:tr>
    </w:tbl>
    <w:p w14:paraId="0892D5D4" w14:textId="77777777" w:rsidR="00494B49" w:rsidRDefault="00494B49">
      <w:pPr>
        <w:pStyle w:val="BNormal"/>
      </w:pPr>
    </w:p>
    <w:p w14:paraId="0421D094" w14:textId="77777777" w:rsidR="00494B49" w:rsidRDefault="00494B49">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$100,000 of Excluded Income. </w:t>
      </w:r>
    </w:p>
    <w:p w14:paraId="204B77D6" w14:textId="77777777" w:rsidR="00494B49" w:rsidRDefault="00494B49" w:rsidP="00144640">
      <w:pPr>
        <w:pStyle w:val="BExamplepara"/>
      </w:pPr>
      <w:r>
        <w:t xml:space="preserve">In Year 2, assume that the CRAT has $100,000 of interest and dividend income in the current year and no capital losses. </w:t>
      </w:r>
    </w:p>
    <w:p w14:paraId="0A411DD1"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91"/>
        <w:gridCol w:w="2457"/>
        <w:gridCol w:w="2475"/>
        <w:gridCol w:w="1927"/>
      </w:tblGrid>
      <w:tr w:rsidR="00494B49" w14:paraId="43A8532C" w14:textId="77777777">
        <w:trPr>
          <w:gridAfter w:val="1"/>
          <w:wAfter w:w="2520" w:type="dxa"/>
        </w:trPr>
        <w:tc>
          <w:tcPr>
            <w:tcW w:w="3360" w:type="dxa"/>
          </w:tcPr>
          <w:p w14:paraId="7F21A2EE" w14:textId="77777777" w:rsidR="00494B49" w:rsidRDefault="00494B49"/>
        </w:tc>
        <w:tc>
          <w:tcPr>
            <w:tcW w:w="3360" w:type="dxa"/>
          </w:tcPr>
          <w:p w14:paraId="487473A8" w14:textId="77777777" w:rsidR="00494B49" w:rsidRDefault="00494B49">
            <w:r>
              <w:t>Regular Tax</w:t>
            </w:r>
          </w:p>
        </w:tc>
        <w:tc>
          <w:tcPr>
            <w:tcW w:w="3360" w:type="dxa"/>
          </w:tcPr>
          <w:p w14:paraId="3685BCCA" w14:textId="77777777" w:rsidR="00494B49" w:rsidRDefault="00494B49">
            <w:r>
              <w:t xml:space="preserve">Net Investment </w:t>
            </w:r>
            <w:r>
              <w:br/>
              <w:t>Income</w:t>
            </w:r>
          </w:p>
        </w:tc>
      </w:tr>
      <w:tr w:rsidR="00494B49" w14:paraId="40892FCF" w14:textId="77777777">
        <w:tc>
          <w:tcPr>
            <w:tcW w:w="2520" w:type="dxa"/>
          </w:tcPr>
          <w:p w14:paraId="2B8B84E5" w14:textId="77777777" w:rsidR="00494B49" w:rsidRDefault="00494B49"/>
        </w:tc>
        <w:tc>
          <w:tcPr>
            <w:tcW w:w="2520" w:type="dxa"/>
          </w:tcPr>
          <w:p w14:paraId="22760ABA" w14:textId="77777777" w:rsidR="00494B49" w:rsidRDefault="00494B49"/>
        </w:tc>
        <w:tc>
          <w:tcPr>
            <w:tcW w:w="2520" w:type="dxa"/>
          </w:tcPr>
          <w:p w14:paraId="25864AA1" w14:textId="77777777" w:rsidR="00494B49" w:rsidRDefault="00494B49">
            <w:smartTag w:uri="http://www.bna.com/sgml2word/cite" w:element="cite.usc">
              <w:smartTagPr>
                <w:attr w:name="ref" w:val="USC\26\664"/>
              </w:smartTagPr>
              <w:r>
                <w:t>§664</w:t>
              </w:r>
            </w:smartTag>
            <w:r>
              <w:t xml:space="preserve"> Method</w:t>
            </w:r>
          </w:p>
        </w:tc>
        <w:tc>
          <w:tcPr>
            <w:tcW w:w="2520" w:type="dxa"/>
          </w:tcPr>
          <w:p w14:paraId="2BE9B9C9" w14:textId="77777777" w:rsidR="00494B49" w:rsidRDefault="00494B49">
            <w:r>
              <w:t>Simplified Method</w:t>
            </w:r>
          </w:p>
        </w:tc>
      </w:tr>
      <w:tr w:rsidR="00494B49" w14:paraId="3BF984FC" w14:textId="77777777">
        <w:tc>
          <w:tcPr>
            <w:tcW w:w="2520" w:type="dxa"/>
          </w:tcPr>
          <w:p w14:paraId="69FBDF3B" w14:textId="77777777" w:rsidR="00494B49" w:rsidRDefault="00494B49">
            <w:r>
              <w:t>Carryover</w:t>
            </w:r>
          </w:p>
        </w:tc>
        <w:tc>
          <w:tcPr>
            <w:tcW w:w="2520" w:type="dxa"/>
          </w:tcPr>
          <w:p w14:paraId="7EAFBBC3" w14:textId="77777777" w:rsidR="00494B49" w:rsidRDefault="00494B49">
            <w:r>
              <w:t>($175,000)</w:t>
            </w:r>
          </w:p>
        </w:tc>
        <w:tc>
          <w:tcPr>
            <w:tcW w:w="2520" w:type="dxa"/>
          </w:tcPr>
          <w:p w14:paraId="36C3262B" w14:textId="77777777" w:rsidR="00494B49" w:rsidRDefault="00494B49">
            <w:r>
              <w:t>($175,000)</w:t>
            </w:r>
          </w:p>
        </w:tc>
        <w:tc>
          <w:tcPr>
            <w:tcW w:w="2520" w:type="dxa"/>
          </w:tcPr>
          <w:p w14:paraId="779C230C" w14:textId="77777777" w:rsidR="00494B49" w:rsidRDefault="00494B49">
            <w:r>
              <w:t>($75,000)</w:t>
            </w:r>
          </w:p>
        </w:tc>
      </w:tr>
      <w:tr w:rsidR="00494B49" w14:paraId="653DFB0F" w14:textId="77777777">
        <w:tc>
          <w:tcPr>
            <w:tcW w:w="2520" w:type="dxa"/>
          </w:tcPr>
          <w:p w14:paraId="6E6F9AAD" w14:textId="77777777" w:rsidR="00494B49" w:rsidRDefault="00494B49">
            <w:r>
              <w:t>Interest / Dividends</w:t>
            </w:r>
          </w:p>
        </w:tc>
        <w:tc>
          <w:tcPr>
            <w:tcW w:w="2520" w:type="dxa"/>
          </w:tcPr>
          <w:p w14:paraId="4A8DC49A" w14:textId="77777777" w:rsidR="00494B49" w:rsidRDefault="00494B49">
            <w:r>
              <w:t>$100,000</w:t>
            </w:r>
          </w:p>
        </w:tc>
        <w:tc>
          <w:tcPr>
            <w:tcW w:w="2520" w:type="dxa"/>
          </w:tcPr>
          <w:p w14:paraId="3BBC1532" w14:textId="77777777" w:rsidR="00494B49" w:rsidRDefault="00494B49">
            <w:r>
              <w:t>$100,000</w:t>
            </w:r>
          </w:p>
        </w:tc>
        <w:tc>
          <w:tcPr>
            <w:tcW w:w="2520" w:type="dxa"/>
          </w:tcPr>
          <w:p w14:paraId="3986036B" w14:textId="77777777" w:rsidR="00494B49" w:rsidRDefault="00494B49">
            <w:r>
              <w:t>$100,000</w:t>
            </w:r>
          </w:p>
        </w:tc>
      </w:tr>
      <w:tr w:rsidR="00494B49" w14:paraId="22027ED1" w14:textId="77777777">
        <w:tc>
          <w:tcPr>
            <w:tcW w:w="2520" w:type="dxa"/>
          </w:tcPr>
          <w:p w14:paraId="15D54A77" w14:textId="77777777" w:rsidR="00494B49" w:rsidRDefault="00494B49">
            <w:r>
              <w:t>Capital Loss</w:t>
            </w:r>
          </w:p>
        </w:tc>
        <w:tc>
          <w:tcPr>
            <w:tcW w:w="2520" w:type="dxa"/>
          </w:tcPr>
          <w:p w14:paraId="32966CCE" w14:textId="77777777" w:rsidR="00494B49" w:rsidRDefault="00494B49"/>
        </w:tc>
        <w:tc>
          <w:tcPr>
            <w:tcW w:w="2520" w:type="dxa"/>
          </w:tcPr>
          <w:p w14:paraId="4FD8EFCE" w14:textId="77777777" w:rsidR="00494B49" w:rsidRDefault="00494B49">
            <w:r>
              <w:t>($175,000)</w:t>
            </w:r>
          </w:p>
        </w:tc>
        <w:tc>
          <w:tcPr>
            <w:tcW w:w="2520" w:type="dxa"/>
          </w:tcPr>
          <w:p w14:paraId="50748AED" w14:textId="77777777" w:rsidR="00494B49" w:rsidRDefault="00494B49"/>
        </w:tc>
      </w:tr>
      <w:tr w:rsidR="00494B49" w14:paraId="56C2BA98" w14:textId="77777777">
        <w:tc>
          <w:tcPr>
            <w:tcW w:w="2520" w:type="dxa"/>
          </w:tcPr>
          <w:p w14:paraId="54C7CDCC" w14:textId="77777777" w:rsidR="00494B49" w:rsidRDefault="00494B49">
            <w:r>
              <w:t>Net Investment Income Available for Distribution</w:t>
            </w:r>
          </w:p>
        </w:tc>
        <w:tc>
          <w:tcPr>
            <w:tcW w:w="2520" w:type="dxa"/>
          </w:tcPr>
          <w:p w14:paraId="102EFBF4" w14:textId="77777777" w:rsidR="00494B49" w:rsidRDefault="00494B49"/>
        </w:tc>
        <w:tc>
          <w:tcPr>
            <w:tcW w:w="2520" w:type="dxa"/>
          </w:tcPr>
          <w:p w14:paraId="7584883E" w14:textId="77777777" w:rsidR="00494B49" w:rsidRDefault="00494B49">
            <w:r>
              <w:t>$100,000</w:t>
            </w:r>
          </w:p>
        </w:tc>
        <w:tc>
          <w:tcPr>
            <w:tcW w:w="2520" w:type="dxa"/>
          </w:tcPr>
          <w:p w14:paraId="786BB319" w14:textId="77777777" w:rsidR="00494B49" w:rsidRDefault="00494B49">
            <w:r>
              <w:t>$25,000</w:t>
            </w:r>
          </w:p>
        </w:tc>
      </w:tr>
    </w:tbl>
    <w:p w14:paraId="077D4472" w14:textId="77777777" w:rsidR="00494B49" w:rsidRDefault="00494B49">
      <w:pPr>
        <w:pStyle w:val="BNormal"/>
      </w:pPr>
    </w:p>
    <w:p w14:paraId="6BB77A1D" w14:textId="77777777" w:rsidR="00494B49" w:rsidRDefault="00494B49">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$25,000 of net investment income and $85,000 of Excluded Income (which would be shown as a negative adjustment of $75,000 on the Schedule K-1 because the $10,000 of nontaxable income would not likely be included on the Schedule K-1, so no adjustment would be needed). </w:t>
      </w:r>
    </w:p>
    <w:p w14:paraId="78D4AD48" w14:textId="77777777" w:rsidR="00494B49" w:rsidRDefault="00494B49" w:rsidP="00144640">
      <w:pPr>
        <w:pStyle w:val="BExamplepara"/>
      </w:pPr>
      <w:r>
        <w:t xml:space="preserve">In Year 3, assume that the CRAT has $60,000 of interest and dividend income in the current year and $80,000 of long-term capital gain. </w:t>
      </w:r>
    </w:p>
    <w:p w14:paraId="1208A20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91"/>
        <w:gridCol w:w="2457"/>
        <w:gridCol w:w="2475"/>
        <w:gridCol w:w="1927"/>
      </w:tblGrid>
      <w:tr w:rsidR="00494B49" w14:paraId="1898DC5F" w14:textId="77777777">
        <w:trPr>
          <w:gridAfter w:val="1"/>
          <w:wAfter w:w="2520" w:type="dxa"/>
        </w:trPr>
        <w:tc>
          <w:tcPr>
            <w:tcW w:w="3360" w:type="dxa"/>
          </w:tcPr>
          <w:p w14:paraId="703C147E" w14:textId="77777777" w:rsidR="00494B49" w:rsidRDefault="00494B49"/>
        </w:tc>
        <w:tc>
          <w:tcPr>
            <w:tcW w:w="3360" w:type="dxa"/>
          </w:tcPr>
          <w:p w14:paraId="4BEB29F2" w14:textId="77777777" w:rsidR="00494B49" w:rsidRDefault="00494B49">
            <w:r>
              <w:t>Regular Tax</w:t>
            </w:r>
          </w:p>
        </w:tc>
        <w:tc>
          <w:tcPr>
            <w:tcW w:w="3360" w:type="dxa"/>
          </w:tcPr>
          <w:p w14:paraId="17B512A4" w14:textId="77777777" w:rsidR="00494B49" w:rsidRDefault="00494B49">
            <w:r>
              <w:t xml:space="preserve">Net Investment </w:t>
            </w:r>
            <w:r>
              <w:br/>
              <w:t>Income</w:t>
            </w:r>
          </w:p>
        </w:tc>
      </w:tr>
      <w:tr w:rsidR="00494B49" w14:paraId="36313DD7" w14:textId="77777777">
        <w:tc>
          <w:tcPr>
            <w:tcW w:w="2520" w:type="dxa"/>
          </w:tcPr>
          <w:p w14:paraId="3B4AE43B" w14:textId="77777777" w:rsidR="00494B49" w:rsidRDefault="00494B49"/>
        </w:tc>
        <w:tc>
          <w:tcPr>
            <w:tcW w:w="2520" w:type="dxa"/>
          </w:tcPr>
          <w:p w14:paraId="43227C5B" w14:textId="77777777" w:rsidR="00494B49" w:rsidRDefault="00494B49"/>
        </w:tc>
        <w:tc>
          <w:tcPr>
            <w:tcW w:w="2520" w:type="dxa"/>
          </w:tcPr>
          <w:p w14:paraId="1D098F7E" w14:textId="77777777" w:rsidR="00494B49" w:rsidRDefault="00494B49">
            <w:smartTag w:uri="http://www.bna.com/sgml2word/cite" w:element="cite.usc">
              <w:smartTagPr>
                <w:attr w:name="ref" w:val="USC\26\664"/>
              </w:smartTagPr>
              <w:r>
                <w:t>§664</w:t>
              </w:r>
            </w:smartTag>
            <w:r>
              <w:t xml:space="preserve"> Method</w:t>
            </w:r>
          </w:p>
        </w:tc>
        <w:tc>
          <w:tcPr>
            <w:tcW w:w="2520" w:type="dxa"/>
          </w:tcPr>
          <w:p w14:paraId="12D2A5D9" w14:textId="77777777" w:rsidR="00494B49" w:rsidRDefault="00494B49">
            <w:r>
              <w:t>Simplified Method</w:t>
            </w:r>
          </w:p>
        </w:tc>
      </w:tr>
      <w:tr w:rsidR="00494B49" w14:paraId="435AD382" w14:textId="77777777">
        <w:tc>
          <w:tcPr>
            <w:tcW w:w="2520" w:type="dxa"/>
          </w:tcPr>
          <w:p w14:paraId="1A1E29F0" w14:textId="77777777" w:rsidR="00494B49" w:rsidRDefault="00494B49">
            <w:r>
              <w:t>Carryover</w:t>
            </w:r>
          </w:p>
        </w:tc>
        <w:tc>
          <w:tcPr>
            <w:tcW w:w="2520" w:type="dxa"/>
          </w:tcPr>
          <w:p w14:paraId="123BA4F2" w14:textId="77777777" w:rsidR="00494B49" w:rsidRDefault="00494B49">
            <w:r>
              <w:t>($175,000)</w:t>
            </w:r>
          </w:p>
        </w:tc>
        <w:tc>
          <w:tcPr>
            <w:tcW w:w="2520" w:type="dxa"/>
          </w:tcPr>
          <w:p w14:paraId="153399B4" w14:textId="77777777" w:rsidR="00494B49" w:rsidRDefault="00494B49">
            <w:r>
              <w:t>($175,000)</w:t>
            </w:r>
          </w:p>
        </w:tc>
        <w:tc>
          <w:tcPr>
            <w:tcW w:w="2520" w:type="dxa"/>
          </w:tcPr>
          <w:p w14:paraId="779C544C" w14:textId="77777777" w:rsidR="00494B49" w:rsidRDefault="00494B49">
            <w:r>
              <w:t>None</w:t>
            </w:r>
          </w:p>
        </w:tc>
      </w:tr>
      <w:tr w:rsidR="00494B49" w14:paraId="35E07CEC" w14:textId="77777777">
        <w:tc>
          <w:tcPr>
            <w:tcW w:w="2520" w:type="dxa"/>
          </w:tcPr>
          <w:p w14:paraId="0E70EB49" w14:textId="77777777" w:rsidR="00494B49" w:rsidRDefault="00494B49">
            <w:r>
              <w:t>Interest / Dividends</w:t>
            </w:r>
          </w:p>
        </w:tc>
        <w:tc>
          <w:tcPr>
            <w:tcW w:w="2520" w:type="dxa"/>
          </w:tcPr>
          <w:p w14:paraId="1CFF06D2" w14:textId="77777777" w:rsidR="00494B49" w:rsidRDefault="00494B49">
            <w:r>
              <w:t>$60,000</w:t>
            </w:r>
          </w:p>
        </w:tc>
        <w:tc>
          <w:tcPr>
            <w:tcW w:w="2520" w:type="dxa"/>
          </w:tcPr>
          <w:p w14:paraId="7EB55BB6" w14:textId="77777777" w:rsidR="00494B49" w:rsidRDefault="00494B49">
            <w:r>
              <w:t>$60,000</w:t>
            </w:r>
          </w:p>
        </w:tc>
        <w:tc>
          <w:tcPr>
            <w:tcW w:w="2520" w:type="dxa"/>
          </w:tcPr>
          <w:p w14:paraId="0E8C4284" w14:textId="77777777" w:rsidR="00494B49" w:rsidRDefault="00494B49">
            <w:r>
              <w:t>$60,000</w:t>
            </w:r>
          </w:p>
        </w:tc>
      </w:tr>
      <w:tr w:rsidR="00494B49" w14:paraId="1D437DBB" w14:textId="77777777">
        <w:tc>
          <w:tcPr>
            <w:tcW w:w="2520" w:type="dxa"/>
          </w:tcPr>
          <w:p w14:paraId="002541B4" w14:textId="77777777" w:rsidR="00494B49" w:rsidRDefault="00494B49">
            <w:r>
              <w:t>Capital Gain</w:t>
            </w:r>
          </w:p>
        </w:tc>
        <w:tc>
          <w:tcPr>
            <w:tcW w:w="2520" w:type="dxa"/>
          </w:tcPr>
          <w:p w14:paraId="3056534F" w14:textId="77777777" w:rsidR="00494B49" w:rsidRDefault="00494B49">
            <w:r>
              <w:t>$80,000</w:t>
            </w:r>
          </w:p>
        </w:tc>
        <w:tc>
          <w:tcPr>
            <w:tcW w:w="2520" w:type="dxa"/>
          </w:tcPr>
          <w:p w14:paraId="7AC6CB06" w14:textId="77777777" w:rsidR="00494B49" w:rsidRDefault="00494B49">
            <w:r>
              <w:t>$80,000</w:t>
            </w:r>
          </w:p>
        </w:tc>
        <w:tc>
          <w:tcPr>
            <w:tcW w:w="2520" w:type="dxa"/>
          </w:tcPr>
          <w:p w14:paraId="37679ECA" w14:textId="77777777" w:rsidR="00494B49" w:rsidRDefault="00494B49">
            <w:r>
              <w:t>$80,000</w:t>
            </w:r>
          </w:p>
        </w:tc>
      </w:tr>
      <w:tr w:rsidR="00494B49" w14:paraId="48800421" w14:textId="77777777">
        <w:tc>
          <w:tcPr>
            <w:tcW w:w="2520" w:type="dxa"/>
          </w:tcPr>
          <w:p w14:paraId="413B3A50" w14:textId="77777777" w:rsidR="00494B49" w:rsidRDefault="00494B49">
            <w:r>
              <w:t>Net Investment Income Available for Distribution</w:t>
            </w:r>
          </w:p>
        </w:tc>
        <w:tc>
          <w:tcPr>
            <w:tcW w:w="2520" w:type="dxa"/>
          </w:tcPr>
          <w:p w14:paraId="1838DE90" w14:textId="77777777" w:rsidR="00494B49" w:rsidRDefault="00494B49">
            <w:r>
              <w:t>$60,000</w:t>
            </w:r>
          </w:p>
        </w:tc>
        <w:tc>
          <w:tcPr>
            <w:tcW w:w="2520" w:type="dxa"/>
          </w:tcPr>
          <w:p w14:paraId="58BF0970" w14:textId="77777777" w:rsidR="00494B49" w:rsidRDefault="00494B49">
            <w:r>
              <w:t>$60,000</w:t>
            </w:r>
          </w:p>
        </w:tc>
        <w:tc>
          <w:tcPr>
            <w:tcW w:w="2520" w:type="dxa"/>
          </w:tcPr>
          <w:p w14:paraId="33D9E056" w14:textId="77777777" w:rsidR="00494B49" w:rsidRDefault="00494B49">
            <w:r>
              <w:t>$140,000</w:t>
            </w:r>
          </w:p>
        </w:tc>
      </w:tr>
    </w:tbl>
    <w:p w14:paraId="722B4B5D" w14:textId="77777777" w:rsidR="00494B49" w:rsidRDefault="00494B49">
      <w:pPr>
        <w:pStyle w:val="BNormal"/>
      </w:pPr>
    </w:p>
    <w:p w14:paraId="01F725C7" w14:textId="77777777" w:rsidR="00494B49" w:rsidRDefault="00494B49">
      <w:pPr>
        <w:pStyle w:val="BExamplepara"/>
      </w:pPr>
      <w:r>
        <w:t xml:space="preserve">When the $110,000 annual annuity payment is made to the beneficiary, the beneficiary will be treated as receiving $60,000 of interest and dividends for regular tax purposes, and $50,000 of nontaxable income. The $80,000 of capital gain is absorbed by the capital loss </w:t>
      </w:r>
      <w:r>
        <w:lastRenderedPageBreak/>
        <w:t xml:space="preserve">from Year 1. Under the </w:t>
      </w:r>
      <w:smartTag w:uri="http://www.bna.com/sgml2word/cite" w:element="cite.usc">
        <w:smartTagPr>
          <w:attr w:name="ref" w:val="USC\26\664"/>
        </w:smartTagPr>
        <w:r>
          <w:t>§664</w:t>
        </w:r>
      </w:smartTag>
      <w:r>
        <w:t xml:space="preserve"> Method, the beneficiary will receive $60,000 of net investment income and $50,000 of Excluded Income. Under the Simplified Method, the beneficiary will receive $110,000 of net investment income. </w:t>
      </w:r>
    </w:p>
    <w:p w14:paraId="0170E17E" w14:textId="77777777" w:rsidR="00494B49" w:rsidRDefault="00494B49">
      <w:pPr>
        <w:pStyle w:val="BNormal"/>
      </w:pPr>
      <w:r>
        <w:rPr>
          <w:i/>
        </w:rPr>
        <w:t>Observation:</w:t>
      </w:r>
      <w:r>
        <w:t xml:space="preserve"> Because the beneficiary’s net investment income tax is calculated on the lesser of MAGI or net investment income, the Simplified Method will provide the beneficiary the most advantageous outcome over the three years. Based on the facts in the above example, the Simplified Method saved $6,650 in net investment income tax liability. When viewing the entire CRT distribution in a vacuum (assuming that the beneficiary has no other net investment income and MAGI in excess of the threshold):</w:t>
      </w:r>
    </w:p>
    <w:p w14:paraId="628759F8" w14:textId="77777777" w:rsidR="00494B49" w:rsidRDefault="00494B49" w:rsidP="00144640">
      <w:pPr>
        <w:pStyle w:val="BExamplepara"/>
        <w:rPr>
          <w:i/>
        </w:rPr>
      </w:pPr>
      <w:r>
        <w:t xml:space="preserve"> </w:t>
      </w:r>
      <w:r>
        <w:rPr>
          <w:i/>
        </w:rPr>
        <w:t>Section 664 Method</w:t>
      </w:r>
    </w:p>
    <w:p w14:paraId="7D935C98"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842"/>
        <w:gridCol w:w="1883"/>
        <w:gridCol w:w="1883"/>
        <w:gridCol w:w="1883"/>
        <w:gridCol w:w="1859"/>
      </w:tblGrid>
      <w:tr w:rsidR="00494B49" w14:paraId="743A39E9" w14:textId="77777777">
        <w:tc>
          <w:tcPr>
            <w:tcW w:w="2016" w:type="dxa"/>
          </w:tcPr>
          <w:p w14:paraId="19543AB1" w14:textId="77777777" w:rsidR="00494B49" w:rsidRDefault="00494B49"/>
        </w:tc>
        <w:tc>
          <w:tcPr>
            <w:tcW w:w="2016" w:type="dxa"/>
          </w:tcPr>
          <w:p w14:paraId="4F5C5B5C" w14:textId="77777777" w:rsidR="00494B49" w:rsidRDefault="00494B49">
            <w:r>
              <w:t>NII</w:t>
            </w:r>
          </w:p>
        </w:tc>
        <w:tc>
          <w:tcPr>
            <w:tcW w:w="2016" w:type="dxa"/>
          </w:tcPr>
          <w:p w14:paraId="2529C811" w14:textId="77777777" w:rsidR="00494B49" w:rsidRDefault="00494B49">
            <w:r>
              <w:t>MAGI</w:t>
            </w:r>
          </w:p>
        </w:tc>
        <w:tc>
          <w:tcPr>
            <w:tcW w:w="2016" w:type="dxa"/>
          </w:tcPr>
          <w:p w14:paraId="4EED0061" w14:textId="77777777" w:rsidR="00494B49" w:rsidRDefault="00494B49">
            <w:r>
              <w:t>Lesser of</w:t>
            </w:r>
          </w:p>
        </w:tc>
        <w:tc>
          <w:tcPr>
            <w:tcW w:w="2016" w:type="dxa"/>
          </w:tcPr>
          <w:p w14:paraId="753458A9" w14:textId="77777777" w:rsidR="00494B49" w:rsidRDefault="00494B49">
            <w:r>
              <w:t>Tax @ 3.8%</w:t>
            </w:r>
          </w:p>
        </w:tc>
      </w:tr>
      <w:tr w:rsidR="00494B49" w14:paraId="70A00036" w14:textId="77777777">
        <w:tc>
          <w:tcPr>
            <w:tcW w:w="2016" w:type="dxa"/>
          </w:tcPr>
          <w:p w14:paraId="78CC9CD9" w14:textId="77777777" w:rsidR="00494B49" w:rsidRDefault="00494B49">
            <w:r>
              <w:t>Year 1</w:t>
            </w:r>
          </w:p>
        </w:tc>
        <w:tc>
          <w:tcPr>
            <w:tcW w:w="2016" w:type="dxa"/>
          </w:tcPr>
          <w:p w14:paraId="5CAA1EC0" w14:textId="77777777" w:rsidR="00494B49" w:rsidRDefault="00494B49">
            <w:r>
              <w:t>$100,000</w:t>
            </w:r>
          </w:p>
        </w:tc>
        <w:tc>
          <w:tcPr>
            <w:tcW w:w="2016" w:type="dxa"/>
          </w:tcPr>
          <w:p w14:paraId="056A9793" w14:textId="77777777" w:rsidR="00494B49" w:rsidRDefault="00494B49">
            <w:r>
              <w:t>$100,000</w:t>
            </w:r>
          </w:p>
        </w:tc>
        <w:tc>
          <w:tcPr>
            <w:tcW w:w="2016" w:type="dxa"/>
          </w:tcPr>
          <w:p w14:paraId="6545A47D" w14:textId="77777777" w:rsidR="00494B49" w:rsidRDefault="00494B49">
            <w:r>
              <w:t>$100,000</w:t>
            </w:r>
          </w:p>
        </w:tc>
        <w:tc>
          <w:tcPr>
            <w:tcW w:w="2016" w:type="dxa"/>
          </w:tcPr>
          <w:p w14:paraId="3BC43131" w14:textId="77777777" w:rsidR="00494B49" w:rsidRDefault="00494B49">
            <w:r>
              <w:t>$3,800</w:t>
            </w:r>
          </w:p>
        </w:tc>
      </w:tr>
      <w:tr w:rsidR="00494B49" w14:paraId="44E0C0E0" w14:textId="77777777">
        <w:tc>
          <w:tcPr>
            <w:tcW w:w="2016" w:type="dxa"/>
          </w:tcPr>
          <w:p w14:paraId="45350889" w14:textId="77777777" w:rsidR="00494B49" w:rsidRDefault="00494B49">
            <w:r>
              <w:t>Year 2</w:t>
            </w:r>
          </w:p>
        </w:tc>
        <w:tc>
          <w:tcPr>
            <w:tcW w:w="2016" w:type="dxa"/>
          </w:tcPr>
          <w:p w14:paraId="1E953F6C" w14:textId="77777777" w:rsidR="00494B49" w:rsidRDefault="00494B49">
            <w:r>
              <w:t>$100,000</w:t>
            </w:r>
          </w:p>
        </w:tc>
        <w:tc>
          <w:tcPr>
            <w:tcW w:w="2016" w:type="dxa"/>
          </w:tcPr>
          <w:p w14:paraId="5EAEC8EE" w14:textId="77777777" w:rsidR="00494B49" w:rsidRDefault="00494B49">
            <w:r>
              <w:t>$100,000</w:t>
            </w:r>
          </w:p>
        </w:tc>
        <w:tc>
          <w:tcPr>
            <w:tcW w:w="2016" w:type="dxa"/>
          </w:tcPr>
          <w:p w14:paraId="725F433A" w14:textId="77777777" w:rsidR="00494B49" w:rsidRDefault="00494B49">
            <w:r>
              <w:t>$100,000</w:t>
            </w:r>
          </w:p>
        </w:tc>
        <w:tc>
          <w:tcPr>
            <w:tcW w:w="2016" w:type="dxa"/>
          </w:tcPr>
          <w:p w14:paraId="4BA2F012" w14:textId="77777777" w:rsidR="00494B49" w:rsidRDefault="00494B49">
            <w:r>
              <w:t>$3,800</w:t>
            </w:r>
          </w:p>
        </w:tc>
      </w:tr>
      <w:tr w:rsidR="00494B49" w14:paraId="05629731" w14:textId="77777777">
        <w:tc>
          <w:tcPr>
            <w:tcW w:w="2016" w:type="dxa"/>
          </w:tcPr>
          <w:p w14:paraId="7D541F26" w14:textId="77777777" w:rsidR="00494B49" w:rsidRDefault="00494B49">
            <w:r>
              <w:t>Year 3</w:t>
            </w:r>
          </w:p>
        </w:tc>
        <w:tc>
          <w:tcPr>
            <w:tcW w:w="2016" w:type="dxa"/>
          </w:tcPr>
          <w:p w14:paraId="1F3BE37A" w14:textId="77777777" w:rsidR="00494B49" w:rsidRDefault="00494B49">
            <w:r>
              <w:t>$60,000</w:t>
            </w:r>
          </w:p>
        </w:tc>
        <w:tc>
          <w:tcPr>
            <w:tcW w:w="2016" w:type="dxa"/>
          </w:tcPr>
          <w:p w14:paraId="57927DBC" w14:textId="77777777" w:rsidR="00494B49" w:rsidRDefault="00494B49">
            <w:r>
              <w:t>$60,000</w:t>
            </w:r>
          </w:p>
        </w:tc>
        <w:tc>
          <w:tcPr>
            <w:tcW w:w="2016" w:type="dxa"/>
          </w:tcPr>
          <w:p w14:paraId="29EE7AE7" w14:textId="77777777" w:rsidR="00494B49" w:rsidRDefault="00494B49">
            <w:r>
              <w:t>$60,000</w:t>
            </w:r>
          </w:p>
        </w:tc>
        <w:tc>
          <w:tcPr>
            <w:tcW w:w="2016" w:type="dxa"/>
          </w:tcPr>
          <w:p w14:paraId="3CEDAF15" w14:textId="77777777" w:rsidR="00494B49" w:rsidRDefault="00494B49">
            <w:r>
              <w:t>$2,280</w:t>
            </w:r>
          </w:p>
        </w:tc>
      </w:tr>
      <w:tr w:rsidR="00494B49" w14:paraId="4BE81FB2" w14:textId="77777777">
        <w:tc>
          <w:tcPr>
            <w:tcW w:w="2016" w:type="dxa"/>
          </w:tcPr>
          <w:p w14:paraId="324EEF1F" w14:textId="77777777" w:rsidR="00494B49" w:rsidRDefault="00494B49">
            <w:r>
              <w:t>Total</w:t>
            </w:r>
          </w:p>
        </w:tc>
        <w:tc>
          <w:tcPr>
            <w:tcW w:w="2016" w:type="dxa"/>
          </w:tcPr>
          <w:p w14:paraId="19383435" w14:textId="77777777" w:rsidR="00494B49" w:rsidRDefault="00494B49"/>
        </w:tc>
        <w:tc>
          <w:tcPr>
            <w:tcW w:w="2016" w:type="dxa"/>
          </w:tcPr>
          <w:p w14:paraId="1C3794B8" w14:textId="77777777" w:rsidR="00494B49" w:rsidRDefault="00494B49"/>
        </w:tc>
        <w:tc>
          <w:tcPr>
            <w:tcW w:w="2016" w:type="dxa"/>
          </w:tcPr>
          <w:p w14:paraId="1B512AEA" w14:textId="77777777" w:rsidR="00494B49" w:rsidRDefault="00494B49"/>
        </w:tc>
        <w:tc>
          <w:tcPr>
            <w:tcW w:w="2016" w:type="dxa"/>
          </w:tcPr>
          <w:p w14:paraId="13E82535" w14:textId="77777777" w:rsidR="00494B49" w:rsidRDefault="00494B49">
            <w:r>
              <w:t>$9,880</w:t>
            </w:r>
          </w:p>
        </w:tc>
      </w:tr>
    </w:tbl>
    <w:p w14:paraId="2314C768" w14:textId="77777777" w:rsidR="00494B49" w:rsidRDefault="00494B49">
      <w:pPr>
        <w:pStyle w:val="BNormal"/>
      </w:pPr>
    </w:p>
    <w:p w14:paraId="6F32AF27" w14:textId="77777777" w:rsidR="00494B49" w:rsidRDefault="00494B49" w:rsidP="00144640">
      <w:pPr>
        <w:pStyle w:val="BExamplepara"/>
        <w:rPr>
          <w:i/>
        </w:rPr>
      </w:pPr>
      <w:r>
        <w:t xml:space="preserve"> </w:t>
      </w:r>
      <w:r>
        <w:rPr>
          <w:i/>
        </w:rPr>
        <w:t>Elective Simplified Method</w:t>
      </w:r>
    </w:p>
    <w:p w14:paraId="06766B3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844"/>
        <w:gridCol w:w="1885"/>
        <w:gridCol w:w="1885"/>
        <w:gridCol w:w="1874"/>
        <w:gridCol w:w="1862"/>
      </w:tblGrid>
      <w:tr w:rsidR="00494B49" w14:paraId="417EE103" w14:textId="77777777">
        <w:tc>
          <w:tcPr>
            <w:tcW w:w="2016" w:type="dxa"/>
          </w:tcPr>
          <w:p w14:paraId="07FC2D85" w14:textId="77777777" w:rsidR="00494B49" w:rsidRDefault="00494B49"/>
        </w:tc>
        <w:tc>
          <w:tcPr>
            <w:tcW w:w="2016" w:type="dxa"/>
          </w:tcPr>
          <w:p w14:paraId="706B098D" w14:textId="77777777" w:rsidR="00494B49" w:rsidRDefault="00494B49">
            <w:r>
              <w:t>NII</w:t>
            </w:r>
          </w:p>
        </w:tc>
        <w:tc>
          <w:tcPr>
            <w:tcW w:w="2016" w:type="dxa"/>
          </w:tcPr>
          <w:p w14:paraId="555A55F1" w14:textId="77777777" w:rsidR="00494B49" w:rsidRDefault="00494B49">
            <w:r>
              <w:t>MAGI</w:t>
            </w:r>
          </w:p>
        </w:tc>
        <w:tc>
          <w:tcPr>
            <w:tcW w:w="2016" w:type="dxa"/>
          </w:tcPr>
          <w:p w14:paraId="059FD1CD" w14:textId="77777777" w:rsidR="00494B49" w:rsidRDefault="00494B49">
            <w:r>
              <w:t>Lesser of</w:t>
            </w:r>
          </w:p>
        </w:tc>
        <w:tc>
          <w:tcPr>
            <w:tcW w:w="2016" w:type="dxa"/>
          </w:tcPr>
          <w:p w14:paraId="5F405161" w14:textId="77777777" w:rsidR="00494B49" w:rsidRDefault="00494B49">
            <w:r>
              <w:t>Tax @ 3.8%</w:t>
            </w:r>
          </w:p>
        </w:tc>
      </w:tr>
      <w:tr w:rsidR="00494B49" w14:paraId="4CFB3D1B" w14:textId="77777777">
        <w:tc>
          <w:tcPr>
            <w:tcW w:w="2016" w:type="dxa"/>
          </w:tcPr>
          <w:p w14:paraId="3B8B03B6" w14:textId="77777777" w:rsidR="00494B49" w:rsidRDefault="00494B49">
            <w:r>
              <w:t>Year 1</w:t>
            </w:r>
          </w:p>
        </w:tc>
        <w:tc>
          <w:tcPr>
            <w:tcW w:w="2016" w:type="dxa"/>
          </w:tcPr>
          <w:p w14:paraId="5F1A2BDE" w14:textId="77777777" w:rsidR="00494B49" w:rsidRDefault="00494B49">
            <w:r>
              <w:t>$0</w:t>
            </w:r>
          </w:p>
        </w:tc>
        <w:tc>
          <w:tcPr>
            <w:tcW w:w="2016" w:type="dxa"/>
          </w:tcPr>
          <w:p w14:paraId="0A11B9D2" w14:textId="77777777" w:rsidR="00494B49" w:rsidRDefault="00494B49">
            <w:r>
              <w:t>$100,000</w:t>
            </w:r>
          </w:p>
        </w:tc>
        <w:tc>
          <w:tcPr>
            <w:tcW w:w="2016" w:type="dxa"/>
          </w:tcPr>
          <w:p w14:paraId="65125C6B" w14:textId="77777777" w:rsidR="00494B49" w:rsidRDefault="00494B49">
            <w:r>
              <w:t>$0</w:t>
            </w:r>
          </w:p>
        </w:tc>
        <w:tc>
          <w:tcPr>
            <w:tcW w:w="2016" w:type="dxa"/>
          </w:tcPr>
          <w:p w14:paraId="0C705861" w14:textId="77777777" w:rsidR="00494B49" w:rsidRDefault="00494B49">
            <w:r>
              <w:t>$0</w:t>
            </w:r>
          </w:p>
        </w:tc>
      </w:tr>
      <w:tr w:rsidR="00494B49" w14:paraId="5B56EF6A" w14:textId="77777777">
        <w:tc>
          <w:tcPr>
            <w:tcW w:w="2016" w:type="dxa"/>
          </w:tcPr>
          <w:p w14:paraId="5D6413AB" w14:textId="77777777" w:rsidR="00494B49" w:rsidRDefault="00494B49">
            <w:r>
              <w:t>Year 2</w:t>
            </w:r>
          </w:p>
        </w:tc>
        <w:tc>
          <w:tcPr>
            <w:tcW w:w="2016" w:type="dxa"/>
          </w:tcPr>
          <w:p w14:paraId="63535F4F" w14:textId="77777777" w:rsidR="00494B49" w:rsidRDefault="00494B49">
            <w:r>
              <w:t>$25,000</w:t>
            </w:r>
          </w:p>
        </w:tc>
        <w:tc>
          <w:tcPr>
            <w:tcW w:w="2016" w:type="dxa"/>
          </w:tcPr>
          <w:p w14:paraId="107C51E3" w14:textId="77777777" w:rsidR="00494B49" w:rsidRDefault="00494B49">
            <w:r>
              <w:t>$100,000</w:t>
            </w:r>
          </w:p>
        </w:tc>
        <w:tc>
          <w:tcPr>
            <w:tcW w:w="2016" w:type="dxa"/>
          </w:tcPr>
          <w:p w14:paraId="0C5E326E" w14:textId="77777777" w:rsidR="00494B49" w:rsidRDefault="00494B49">
            <w:r>
              <w:t>$25,000</w:t>
            </w:r>
          </w:p>
        </w:tc>
        <w:tc>
          <w:tcPr>
            <w:tcW w:w="2016" w:type="dxa"/>
          </w:tcPr>
          <w:p w14:paraId="14C16BF2" w14:textId="77777777" w:rsidR="00494B49" w:rsidRDefault="00494B49">
            <w:r>
              <w:t>$950</w:t>
            </w:r>
          </w:p>
        </w:tc>
      </w:tr>
      <w:tr w:rsidR="00494B49" w14:paraId="2912BF62" w14:textId="77777777">
        <w:tc>
          <w:tcPr>
            <w:tcW w:w="2016" w:type="dxa"/>
          </w:tcPr>
          <w:p w14:paraId="312BA0CE" w14:textId="77777777" w:rsidR="00494B49" w:rsidRDefault="00494B49">
            <w:r>
              <w:t>Year 3</w:t>
            </w:r>
          </w:p>
        </w:tc>
        <w:tc>
          <w:tcPr>
            <w:tcW w:w="2016" w:type="dxa"/>
          </w:tcPr>
          <w:p w14:paraId="71C4DCDE" w14:textId="77777777" w:rsidR="00494B49" w:rsidRDefault="00494B49">
            <w:r>
              <w:t>$110,000</w:t>
            </w:r>
          </w:p>
        </w:tc>
        <w:tc>
          <w:tcPr>
            <w:tcW w:w="2016" w:type="dxa"/>
          </w:tcPr>
          <w:p w14:paraId="285A2F47" w14:textId="77777777" w:rsidR="00494B49" w:rsidRDefault="00494B49">
            <w:r>
              <w:t>$60,000</w:t>
            </w:r>
          </w:p>
        </w:tc>
        <w:tc>
          <w:tcPr>
            <w:tcW w:w="2016" w:type="dxa"/>
          </w:tcPr>
          <w:p w14:paraId="26D48FBC" w14:textId="77777777" w:rsidR="00494B49" w:rsidRDefault="00494B49">
            <w:r>
              <w:t>$60,000</w:t>
            </w:r>
          </w:p>
        </w:tc>
        <w:tc>
          <w:tcPr>
            <w:tcW w:w="2016" w:type="dxa"/>
          </w:tcPr>
          <w:p w14:paraId="439AEA13" w14:textId="77777777" w:rsidR="00494B49" w:rsidRDefault="00494B49">
            <w:r>
              <w:t>$2,280</w:t>
            </w:r>
          </w:p>
        </w:tc>
      </w:tr>
      <w:tr w:rsidR="00494B49" w14:paraId="75BC849A" w14:textId="77777777">
        <w:tc>
          <w:tcPr>
            <w:tcW w:w="2016" w:type="dxa"/>
          </w:tcPr>
          <w:p w14:paraId="4F44DC55" w14:textId="77777777" w:rsidR="00494B49" w:rsidRDefault="00494B49">
            <w:r>
              <w:t>Total</w:t>
            </w:r>
          </w:p>
        </w:tc>
        <w:tc>
          <w:tcPr>
            <w:tcW w:w="2016" w:type="dxa"/>
          </w:tcPr>
          <w:p w14:paraId="1FC57888" w14:textId="77777777" w:rsidR="00494B49" w:rsidRDefault="00494B49"/>
        </w:tc>
        <w:tc>
          <w:tcPr>
            <w:tcW w:w="2016" w:type="dxa"/>
          </w:tcPr>
          <w:p w14:paraId="75ADB01A" w14:textId="77777777" w:rsidR="00494B49" w:rsidRDefault="00494B49"/>
        </w:tc>
        <w:tc>
          <w:tcPr>
            <w:tcW w:w="2016" w:type="dxa"/>
          </w:tcPr>
          <w:p w14:paraId="2349C637" w14:textId="77777777" w:rsidR="00494B49" w:rsidRDefault="00494B49"/>
        </w:tc>
        <w:tc>
          <w:tcPr>
            <w:tcW w:w="2016" w:type="dxa"/>
          </w:tcPr>
          <w:p w14:paraId="6045EDB1" w14:textId="77777777" w:rsidR="00494B49" w:rsidRDefault="00494B49">
            <w:r>
              <w:t>$3,230</w:t>
            </w:r>
          </w:p>
        </w:tc>
      </w:tr>
    </w:tbl>
    <w:p w14:paraId="5C37F7F6" w14:textId="77777777" w:rsidR="00494B49" w:rsidRDefault="00494B49">
      <w:pPr>
        <w:pStyle w:val="BNormal"/>
      </w:pPr>
    </w:p>
    <w:p w14:paraId="6A30877C" w14:textId="77777777" w:rsidR="00494B49" w:rsidRDefault="00494B49">
      <w:pPr>
        <w:pStyle w:val="BHead3"/>
      </w:pPr>
      <w:r>
        <w:t>b. Differences in Distribution Ordering Rules and Loss Netting Rules</w:t>
      </w:r>
    </w:p>
    <w:p w14:paraId="62CA8832" w14:textId="77777777" w:rsidR="00494B49" w:rsidRDefault="00494B49">
      <w:pPr>
        <w:pStyle w:val="BHead4"/>
      </w:pPr>
      <w:r>
        <w:t xml:space="preserve">(1) Ordering of Distributions from Ordinary Income </w:t>
      </w:r>
    </w:p>
    <w:p w14:paraId="0ED7D270" w14:textId="77777777" w:rsidR="00494B49" w:rsidRDefault="00494B49" w:rsidP="00144640">
      <w:pPr>
        <w:pStyle w:val="BNormal"/>
      </w:pPr>
      <w:r>
        <w:t>Ordinary income is composed of two classes for purposes of characterizing and ordering distributions: (1) qualified dividends, and (2) all other ordinary income. If the trust has both classes of ordinary income, distributions are treated as made first from the all other ordinary income class, and second from the qualified dividends class. The following chart, an excerpt from the 2017 Form 5227 Instructions,</w:t>
      </w:r>
      <w:r>
        <w:rPr>
          <w:rStyle w:val="FootnoteReference"/>
        </w:rPr>
        <w:footnoteReference w:id="1146"/>
      </w:r>
      <w:r>
        <w:t xml:space="preserve"> highlights the difference in distribution ordering rules depending on whether the CRT elects to use the Simplified Method (referred to as the “Simplified Net Investment Income Calculation” or SNIIC Election in the instructions):</w:t>
      </w:r>
    </w:p>
    <w:p w14:paraId="08B0D83A" w14:textId="77777777" w:rsidR="00494B49" w:rsidRDefault="00494B49" w:rsidP="00144640">
      <w:pPr>
        <w:pStyle w:val="BNormal"/>
      </w:pPr>
    </w:p>
    <w:tbl>
      <w:tblPr>
        <w:tblStyle w:val="TableGrid"/>
        <w:tblW w:w="9355" w:type="dxa"/>
        <w:tblLook w:val="04A0" w:firstRow="1" w:lastRow="0" w:firstColumn="1" w:lastColumn="0" w:noHBand="0" w:noVBand="1"/>
      </w:tblPr>
      <w:tblGrid>
        <w:gridCol w:w="4496"/>
        <w:gridCol w:w="1382"/>
        <w:gridCol w:w="1920"/>
        <w:gridCol w:w="7"/>
        <w:gridCol w:w="1550"/>
      </w:tblGrid>
      <w:tr w:rsidR="00494B49" w14:paraId="3D5B3E57" w14:textId="77777777" w:rsidTr="00F150FE">
        <w:tc>
          <w:tcPr>
            <w:tcW w:w="4496" w:type="dxa"/>
          </w:tcPr>
          <w:p w14:paraId="0363CBC4" w14:textId="77777777" w:rsidR="00494B49" w:rsidRDefault="00494B49"/>
        </w:tc>
        <w:tc>
          <w:tcPr>
            <w:tcW w:w="1382" w:type="dxa"/>
          </w:tcPr>
          <w:p w14:paraId="268CD581" w14:textId="77777777" w:rsidR="00494B49" w:rsidRDefault="00494B49"/>
        </w:tc>
        <w:tc>
          <w:tcPr>
            <w:tcW w:w="1927" w:type="dxa"/>
            <w:gridSpan w:val="2"/>
          </w:tcPr>
          <w:p w14:paraId="03E76B4B" w14:textId="77777777" w:rsidR="00494B49" w:rsidRDefault="00494B49">
            <w:r>
              <w:t xml:space="preserve"> </w:t>
            </w:r>
            <w:r>
              <w:rPr>
                <w:b/>
              </w:rPr>
              <w:t>Section 664 Method</w:t>
            </w:r>
          </w:p>
        </w:tc>
        <w:tc>
          <w:tcPr>
            <w:tcW w:w="1545" w:type="dxa"/>
          </w:tcPr>
          <w:p w14:paraId="600BBCEA" w14:textId="77777777" w:rsidR="00494B49" w:rsidRDefault="00494B49">
            <w:r>
              <w:t xml:space="preserve"> </w:t>
            </w:r>
            <w:r>
              <w:rPr>
                <w:b/>
              </w:rPr>
              <w:t>SNIIC Election Method</w:t>
            </w:r>
          </w:p>
        </w:tc>
      </w:tr>
      <w:tr w:rsidR="00494B49" w14:paraId="16592F52" w14:textId="77777777" w:rsidTr="00F150FE">
        <w:trPr>
          <w:gridAfter w:val="4"/>
          <w:wAfter w:w="4859" w:type="dxa"/>
        </w:trPr>
        <w:tc>
          <w:tcPr>
            <w:tcW w:w="4496" w:type="dxa"/>
          </w:tcPr>
          <w:p w14:paraId="70736792" w14:textId="77777777" w:rsidR="00494B49" w:rsidRDefault="00494B49">
            <w:r>
              <w:t>Distributions of all other ordinary income</w:t>
            </w:r>
          </w:p>
        </w:tc>
      </w:tr>
      <w:tr w:rsidR="00494B49" w14:paraId="0E9907E4" w14:textId="77777777" w:rsidTr="00F150FE">
        <w:tc>
          <w:tcPr>
            <w:tcW w:w="4496" w:type="dxa"/>
          </w:tcPr>
          <w:p w14:paraId="76792A30" w14:textId="77777777" w:rsidR="00494B49" w:rsidRDefault="00494B49"/>
        </w:tc>
        <w:tc>
          <w:tcPr>
            <w:tcW w:w="1382" w:type="dxa"/>
          </w:tcPr>
          <w:p w14:paraId="215465A1" w14:textId="77777777" w:rsidR="00494B49" w:rsidRDefault="00494B49"/>
        </w:tc>
        <w:tc>
          <w:tcPr>
            <w:tcW w:w="1927" w:type="dxa"/>
            <w:gridSpan w:val="2"/>
          </w:tcPr>
          <w:p w14:paraId="3DCBA46F" w14:textId="77777777" w:rsidR="00494B49" w:rsidRDefault="00494B49">
            <w:r>
              <w:t xml:space="preserve">First, ordinary income that is net investment </w:t>
            </w:r>
            <w:r>
              <w:lastRenderedPageBreak/>
              <w:t>income (43.4% rate), then</w:t>
            </w:r>
          </w:p>
        </w:tc>
        <w:tc>
          <w:tcPr>
            <w:tcW w:w="1545" w:type="dxa"/>
          </w:tcPr>
          <w:p w14:paraId="48701316" w14:textId="77777777" w:rsidR="00494B49" w:rsidRDefault="00494B49">
            <w:r>
              <w:lastRenderedPageBreak/>
              <w:t>All in ordinary income class</w:t>
            </w:r>
          </w:p>
        </w:tc>
      </w:tr>
      <w:tr w:rsidR="00F150FE" w14:paraId="6719F53D" w14:textId="63408590" w:rsidTr="00F150FE">
        <w:tc>
          <w:tcPr>
            <w:tcW w:w="4496" w:type="dxa"/>
          </w:tcPr>
          <w:p w14:paraId="1FD06197" w14:textId="77777777" w:rsidR="00494B49" w:rsidRDefault="00494B49"/>
        </w:tc>
        <w:tc>
          <w:tcPr>
            <w:tcW w:w="1382" w:type="dxa"/>
          </w:tcPr>
          <w:p w14:paraId="183C9455" w14:textId="77777777" w:rsidR="00494B49" w:rsidRDefault="00494B49"/>
        </w:tc>
        <w:tc>
          <w:tcPr>
            <w:tcW w:w="1927" w:type="dxa"/>
            <w:gridSpan w:val="2"/>
          </w:tcPr>
          <w:p w14:paraId="67133660" w14:textId="77777777" w:rsidR="00494B49" w:rsidRDefault="00494B49">
            <w:r>
              <w:t>Ordinary income that is Excluded Income (39.6% rate)</w:t>
            </w:r>
          </w:p>
        </w:tc>
        <w:tc>
          <w:tcPr>
            <w:tcW w:w="1545" w:type="dxa"/>
            <w:shd w:val="clear" w:color="auto" w:fill="auto"/>
          </w:tcPr>
          <w:p w14:paraId="3D50D076" w14:textId="77777777" w:rsidR="00F150FE" w:rsidRDefault="00F150FE"/>
        </w:tc>
      </w:tr>
      <w:tr w:rsidR="00F150FE" w14:paraId="1E81CEDB" w14:textId="1548CF72" w:rsidTr="00F150FE">
        <w:tc>
          <w:tcPr>
            <w:tcW w:w="4496" w:type="dxa"/>
          </w:tcPr>
          <w:p w14:paraId="69E2025E" w14:textId="77777777" w:rsidR="00494B49" w:rsidRDefault="00494B49">
            <w:r>
              <w:t>Distributions from the qualified dividend class:</w:t>
            </w:r>
          </w:p>
        </w:tc>
        <w:tc>
          <w:tcPr>
            <w:tcW w:w="1382" w:type="dxa"/>
            <w:shd w:val="clear" w:color="auto" w:fill="auto"/>
          </w:tcPr>
          <w:p w14:paraId="79FCFA3C" w14:textId="77777777" w:rsidR="00F150FE" w:rsidRDefault="00F150FE"/>
        </w:tc>
        <w:tc>
          <w:tcPr>
            <w:tcW w:w="1920" w:type="dxa"/>
            <w:shd w:val="clear" w:color="auto" w:fill="auto"/>
          </w:tcPr>
          <w:p w14:paraId="47AB64DA" w14:textId="77777777" w:rsidR="00F150FE" w:rsidRDefault="00F150FE"/>
        </w:tc>
        <w:tc>
          <w:tcPr>
            <w:tcW w:w="1552" w:type="dxa"/>
            <w:gridSpan w:val="2"/>
            <w:shd w:val="clear" w:color="auto" w:fill="auto"/>
          </w:tcPr>
          <w:p w14:paraId="254B107F" w14:textId="77777777" w:rsidR="00F150FE" w:rsidRDefault="00F150FE"/>
        </w:tc>
      </w:tr>
      <w:tr w:rsidR="00494B49" w14:paraId="2E012017" w14:textId="77777777" w:rsidTr="00F150FE">
        <w:tc>
          <w:tcPr>
            <w:tcW w:w="4496" w:type="dxa"/>
          </w:tcPr>
          <w:p w14:paraId="74E960F3" w14:textId="77777777" w:rsidR="00494B49" w:rsidRDefault="00494B49"/>
        </w:tc>
        <w:tc>
          <w:tcPr>
            <w:tcW w:w="1382" w:type="dxa"/>
          </w:tcPr>
          <w:p w14:paraId="38394FBA" w14:textId="77777777" w:rsidR="00494B49" w:rsidRDefault="00494B49"/>
        </w:tc>
        <w:tc>
          <w:tcPr>
            <w:tcW w:w="1927" w:type="dxa"/>
            <w:gridSpan w:val="2"/>
          </w:tcPr>
          <w:p w14:paraId="09B45962" w14:textId="77777777" w:rsidR="00494B49" w:rsidRDefault="00494B49">
            <w:r>
              <w:t>First, qualified dividends that are net investment income (23.8% rate), then</w:t>
            </w:r>
          </w:p>
        </w:tc>
        <w:tc>
          <w:tcPr>
            <w:tcW w:w="1545" w:type="dxa"/>
          </w:tcPr>
          <w:p w14:paraId="66D5AAAA" w14:textId="77777777" w:rsidR="00494B49" w:rsidRDefault="00494B49">
            <w:r>
              <w:t>All qualified dividends</w:t>
            </w:r>
          </w:p>
        </w:tc>
      </w:tr>
      <w:tr w:rsidR="00F150FE" w14:paraId="16802724" w14:textId="4BC4A7EF" w:rsidTr="00F150FE">
        <w:tc>
          <w:tcPr>
            <w:tcW w:w="4496" w:type="dxa"/>
          </w:tcPr>
          <w:p w14:paraId="7C38CE25" w14:textId="77777777" w:rsidR="00494B49" w:rsidRDefault="00494B49"/>
        </w:tc>
        <w:tc>
          <w:tcPr>
            <w:tcW w:w="1382" w:type="dxa"/>
          </w:tcPr>
          <w:p w14:paraId="2A495FB2" w14:textId="77777777" w:rsidR="00494B49" w:rsidRDefault="00494B49"/>
        </w:tc>
        <w:tc>
          <w:tcPr>
            <w:tcW w:w="1927" w:type="dxa"/>
            <w:gridSpan w:val="2"/>
          </w:tcPr>
          <w:p w14:paraId="5BE90C0D" w14:textId="77777777" w:rsidR="00494B49" w:rsidRDefault="00494B49">
            <w:r>
              <w:t>Qualified dividends that are Excluded Income (20% rate)</w:t>
            </w:r>
          </w:p>
        </w:tc>
        <w:tc>
          <w:tcPr>
            <w:tcW w:w="1550" w:type="dxa"/>
            <w:shd w:val="clear" w:color="auto" w:fill="auto"/>
          </w:tcPr>
          <w:p w14:paraId="526B66D2" w14:textId="77777777" w:rsidR="00F150FE" w:rsidRDefault="00F150FE"/>
        </w:tc>
      </w:tr>
    </w:tbl>
    <w:p w14:paraId="4D6A5071" w14:textId="77777777" w:rsidR="00494B49" w:rsidRDefault="00494B49">
      <w:pPr>
        <w:pStyle w:val="BNormal"/>
      </w:pPr>
    </w:p>
    <w:p w14:paraId="029CDA05" w14:textId="77777777" w:rsidR="00494B49" w:rsidRDefault="00494B49">
      <w:pPr>
        <w:pStyle w:val="BHead4"/>
      </w:pPr>
      <w:r>
        <w:t xml:space="preserve">(2) Ordering of Distributions from Capital Gains </w:t>
      </w:r>
    </w:p>
    <w:p w14:paraId="5664928F" w14:textId="77777777" w:rsidR="00494B49" w:rsidRDefault="00494B49" w:rsidP="00144640">
      <w:pPr>
        <w:pStyle w:val="BNormal"/>
      </w:pPr>
      <w:r>
        <w:t xml:space="preserve">The following rules apply to undistributed long-term capital gains on assets held more than one year: If, in any tax year of the trust, the trust has both undistributed short-term capital gain and undistributed long-term capital gain, the short-term capital gain is deemed distributed before any long-term capital gain. The following chart, an excerpt from the 2017 </w:t>
      </w:r>
      <w:smartTag w:uri="http://www.bna.com/sgml2word/cite" w:element="cite.fed.form">
        <w:smartTagPr>
          <w:attr w:name="ref" w:val="irs\form5227"/>
        </w:smartTagPr>
        <w:r>
          <w:t>Form 5227 Instruction</w:t>
        </w:r>
      </w:smartTag>
      <w:r>
        <w:t xml:space="preserve">s </w:t>
      </w:r>
      <w:r>
        <w:rPr>
          <w:rStyle w:val="FootnoteReference"/>
        </w:rPr>
        <w:footnoteReference w:id="1147"/>
      </w:r>
      <w:r>
        <w:t xml:space="preserve"> highlights the difference in distribution ordering rules depending on whether the CRT elects to use the Simplified Method:</w:t>
      </w:r>
    </w:p>
    <w:p w14:paraId="6B576040" w14:textId="77777777" w:rsidR="00494B49" w:rsidRDefault="00494B49" w:rsidP="00144640">
      <w:pPr>
        <w:pStyle w:val="BNormal"/>
      </w:pPr>
    </w:p>
    <w:tbl>
      <w:tblPr>
        <w:tblStyle w:val="TableGrid"/>
        <w:tblW w:w="9356" w:type="dxa"/>
        <w:tblLook w:val="04A0" w:firstRow="1" w:lastRow="0" w:firstColumn="1" w:lastColumn="0" w:noHBand="0" w:noVBand="1"/>
      </w:tblPr>
      <w:tblGrid>
        <w:gridCol w:w="4392"/>
        <w:gridCol w:w="1380"/>
        <w:gridCol w:w="1944"/>
        <w:gridCol w:w="1634"/>
        <w:gridCol w:w="6"/>
      </w:tblGrid>
      <w:tr w:rsidR="00494B49" w14:paraId="4D225CA4" w14:textId="77777777" w:rsidTr="00F150FE">
        <w:trPr>
          <w:gridAfter w:val="1"/>
          <w:wAfter w:w="6" w:type="dxa"/>
        </w:trPr>
        <w:tc>
          <w:tcPr>
            <w:tcW w:w="4392" w:type="dxa"/>
          </w:tcPr>
          <w:p w14:paraId="1214621A" w14:textId="77777777" w:rsidR="00494B49" w:rsidRDefault="00494B49"/>
        </w:tc>
        <w:tc>
          <w:tcPr>
            <w:tcW w:w="1380" w:type="dxa"/>
          </w:tcPr>
          <w:p w14:paraId="330433D2" w14:textId="77777777" w:rsidR="00494B49" w:rsidRDefault="00494B49"/>
        </w:tc>
        <w:tc>
          <w:tcPr>
            <w:tcW w:w="1944" w:type="dxa"/>
          </w:tcPr>
          <w:p w14:paraId="4344D7DB" w14:textId="77777777" w:rsidR="00494B49" w:rsidRDefault="00494B49">
            <w:r>
              <w:t xml:space="preserve"> </w:t>
            </w:r>
            <w:r>
              <w:rPr>
                <w:b/>
              </w:rPr>
              <w:t>Section 664 Method</w:t>
            </w:r>
          </w:p>
        </w:tc>
        <w:tc>
          <w:tcPr>
            <w:tcW w:w="1634" w:type="dxa"/>
          </w:tcPr>
          <w:p w14:paraId="4319BADC" w14:textId="77777777" w:rsidR="00494B49" w:rsidRDefault="00494B49">
            <w:r>
              <w:t xml:space="preserve"> </w:t>
            </w:r>
            <w:r>
              <w:rPr>
                <w:b/>
              </w:rPr>
              <w:t>SNIIC Election Method</w:t>
            </w:r>
          </w:p>
        </w:tc>
      </w:tr>
      <w:tr w:rsidR="00494B49" w14:paraId="1AD78C5E" w14:textId="77777777" w:rsidTr="00F150FE">
        <w:trPr>
          <w:gridAfter w:val="4"/>
          <w:wAfter w:w="4964" w:type="dxa"/>
        </w:trPr>
        <w:tc>
          <w:tcPr>
            <w:tcW w:w="4392" w:type="dxa"/>
          </w:tcPr>
          <w:p w14:paraId="3A48EDCC" w14:textId="77777777" w:rsidR="00494B49" w:rsidRDefault="00494B49">
            <w:r>
              <w:t>Any short-term capital gains are deemed to be distributed in the following order:</w:t>
            </w:r>
          </w:p>
        </w:tc>
      </w:tr>
      <w:tr w:rsidR="00494B49" w14:paraId="0C3A5DDC" w14:textId="77777777" w:rsidTr="00F150FE">
        <w:trPr>
          <w:gridAfter w:val="1"/>
          <w:wAfter w:w="6" w:type="dxa"/>
        </w:trPr>
        <w:tc>
          <w:tcPr>
            <w:tcW w:w="4392" w:type="dxa"/>
          </w:tcPr>
          <w:p w14:paraId="5A30C325" w14:textId="77777777" w:rsidR="00494B49" w:rsidRDefault="00494B49"/>
        </w:tc>
        <w:tc>
          <w:tcPr>
            <w:tcW w:w="1380" w:type="dxa"/>
          </w:tcPr>
          <w:p w14:paraId="1BBB49D8" w14:textId="77777777" w:rsidR="00494B49" w:rsidRDefault="00494B49"/>
        </w:tc>
        <w:tc>
          <w:tcPr>
            <w:tcW w:w="1944" w:type="dxa"/>
          </w:tcPr>
          <w:p w14:paraId="7B0CB06B" w14:textId="77777777" w:rsidR="00494B49" w:rsidRDefault="00494B49">
            <w:r>
              <w:t>– First, short-term capital gain class that is net investment income (43.4% rate), then</w:t>
            </w:r>
          </w:p>
        </w:tc>
        <w:tc>
          <w:tcPr>
            <w:tcW w:w="1634" w:type="dxa"/>
          </w:tcPr>
          <w:p w14:paraId="30D8E79E" w14:textId="77777777" w:rsidR="00494B49" w:rsidRDefault="00494B49">
            <w:r>
              <w:t>Short-term capital gains</w:t>
            </w:r>
          </w:p>
        </w:tc>
      </w:tr>
      <w:tr w:rsidR="00F150FE" w14:paraId="333D4922" w14:textId="7D546ED0" w:rsidTr="00F150FE">
        <w:tc>
          <w:tcPr>
            <w:tcW w:w="4392" w:type="dxa"/>
          </w:tcPr>
          <w:p w14:paraId="362F8302" w14:textId="77777777" w:rsidR="00494B49" w:rsidRDefault="00494B49"/>
        </w:tc>
        <w:tc>
          <w:tcPr>
            <w:tcW w:w="1380" w:type="dxa"/>
          </w:tcPr>
          <w:p w14:paraId="57C1C582" w14:textId="77777777" w:rsidR="00494B49" w:rsidRDefault="00494B49"/>
        </w:tc>
        <w:tc>
          <w:tcPr>
            <w:tcW w:w="1944" w:type="dxa"/>
          </w:tcPr>
          <w:p w14:paraId="3FC2E7A4" w14:textId="77777777" w:rsidR="00494B49" w:rsidRDefault="00494B49">
            <w:r>
              <w:t>– Short-term capital gain class that is Excluded Income (39.6% rate)</w:t>
            </w:r>
          </w:p>
        </w:tc>
        <w:tc>
          <w:tcPr>
            <w:tcW w:w="1640" w:type="dxa"/>
            <w:gridSpan w:val="2"/>
            <w:shd w:val="clear" w:color="auto" w:fill="auto"/>
          </w:tcPr>
          <w:p w14:paraId="2B2C0A50" w14:textId="77777777" w:rsidR="00F150FE" w:rsidRDefault="00F150FE"/>
        </w:tc>
      </w:tr>
      <w:tr w:rsidR="00494B49" w14:paraId="09FE9632" w14:textId="77777777" w:rsidTr="00F150FE">
        <w:trPr>
          <w:gridAfter w:val="4"/>
          <w:wAfter w:w="4964" w:type="dxa"/>
        </w:trPr>
        <w:tc>
          <w:tcPr>
            <w:tcW w:w="4392" w:type="dxa"/>
          </w:tcPr>
          <w:p w14:paraId="512B6CED" w14:textId="77777777" w:rsidR="00494B49" w:rsidRDefault="00494B49">
            <w:r>
              <w:t>Any long-term capital gains are deemed to be distributed in the following order:</w:t>
            </w:r>
          </w:p>
        </w:tc>
      </w:tr>
      <w:tr w:rsidR="00494B49" w14:paraId="0443A6F3" w14:textId="77777777" w:rsidTr="00F150FE">
        <w:trPr>
          <w:gridAfter w:val="1"/>
          <w:wAfter w:w="6" w:type="dxa"/>
        </w:trPr>
        <w:tc>
          <w:tcPr>
            <w:tcW w:w="4392" w:type="dxa"/>
          </w:tcPr>
          <w:p w14:paraId="06D4A454" w14:textId="77777777" w:rsidR="00494B49" w:rsidRDefault="00494B49"/>
        </w:tc>
        <w:tc>
          <w:tcPr>
            <w:tcW w:w="1380" w:type="dxa"/>
          </w:tcPr>
          <w:p w14:paraId="26B0EBC8" w14:textId="77777777" w:rsidR="00494B49" w:rsidRDefault="00494B49"/>
        </w:tc>
        <w:tc>
          <w:tcPr>
            <w:tcW w:w="1944" w:type="dxa"/>
          </w:tcPr>
          <w:p w14:paraId="6C521326" w14:textId="77777777" w:rsidR="00494B49" w:rsidRDefault="00494B49">
            <w:r>
              <w:t>– The 28% long-term capital gain class that is net investment income (31.8% rate) is deemed distributed, then</w:t>
            </w:r>
          </w:p>
        </w:tc>
        <w:tc>
          <w:tcPr>
            <w:tcW w:w="1634" w:type="dxa"/>
          </w:tcPr>
          <w:p w14:paraId="23B57B30" w14:textId="77777777" w:rsidR="00494B49" w:rsidRDefault="00494B49">
            <w:r>
              <w:t>The 28% long-term capital gain class is deemed distributed, then</w:t>
            </w:r>
          </w:p>
        </w:tc>
      </w:tr>
      <w:tr w:rsidR="00F150FE" w14:paraId="41D8E676" w14:textId="53947681" w:rsidTr="00F150FE">
        <w:tc>
          <w:tcPr>
            <w:tcW w:w="4392" w:type="dxa"/>
          </w:tcPr>
          <w:p w14:paraId="326868D5" w14:textId="77777777" w:rsidR="00494B49" w:rsidRDefault="00494B49"/>
        </w:tc>
        <w:tc>
          <w:tcPr>
            <w:tcW w:w="1380" w:type="dxa"/>
          </w:tcPr>
          <w:p w14:paraId="6A8A81D4" w14:textId="77777777" w:rsidR="00494B49" w:rsidRDefault="00494B49"/>
        </w:tc>
        <w:tc>
          <w:tcPr>
            <w:tcW w:w="1944" w:type="dxa"/>
          </w:tcPr>
          <w:p w14:paraId="5EA382AC" w14:textId="77777777" w:rsidR="00494B49" w:rsidRDefault="00494B49">
            <w:r>
              <w:t xml:space="preserve">– The </w:t>
            </w:r>
            <w:smartTag w:uri="http://www.bna.com/sgml2word/cite" w:element="cite.usc">
              <w:smartTagPr>
                <w:attr w:name="ref" w:val="USC\26\1250"/>
              </w:smartTagPr>
              <w:r>
                <w:t>§1250</w:t>
              </w:r>
            </w:smartTag>
            <w:r>
              <w:t xml:space="preserve"> long-term capital gain class that is net investment income (28.8% rate) is deemed distributed, then </w:t>
            </w:r>
          </w:p>
        </w:tc>
        <w:tc>
          <w:tcPr>
            <w:tcW w:w="1640" w:type="dxa"/>
            <w:gridSpan w:val="2"/>
            <w:shd w:val="clear" w:color="auto" w:fill="auto"/>
          </w:tcPr>
          <w:p w14:paraId="01930BBB" w14:textId="77777777" w:rsidR="00F150FE" w:rsidRDefault="00F150FE"/>
        </w:tc>
      </w:tr>
      <w:tr w:rsidR="00494B49" w14:paraId="5B991E81" w14:textId="77777777" w:rsidTr="00F150FE">
        <w:trPr>
          <w:gridAfter w:val="1"/>
          <w:wAfter w:w="6" w:type="dxa"/>
        </w:trPr>
        <w:tc>
          <w:tcPr>
            <w:tcW w:w="4392" w:type="dxa"/>
          </w:tcPr>
          <w:p w14:paraId="390E1EE0" w14:textId="77777777" w:rsidR="00494B49" w:rsidRDefault="00494B49"/>
        </w:tc>
        <w:tc>
          <w:tcPr>
            <w:tcW w:w="1380" w:type="dxa"/>
          </w:tcPr>
          <w:p w14:paraId="6DC34154" w14:textId="77777777" w:rsidR="00494B49" w:rsidRDefault="00494B49"/>
        </w:tc>
        <w:tc>
          <w:tcPr>
            <w:tcW w:w="1944" w:type="dxa"/>
          </w:tcPr>
          <w:p w14:paraId="76AE1811" w14:textId="77777777" w:rsidR="00494B49" w:rsidRDefault="00494B49">
            <w:r>
              <w:t>– The 28% long-term capital gain class that is Excluded Income (28% rate) is deemed distributed, then</w:t>
            </w:r>
          </w:p>
        </w:tc>
        <w:tc>
          <w:tcPr>
            <w:tcW w:w="1634" w:type="dxa"/>
          </w:tcPr>
          <w:p w14:paraId="0FDE3B64" w14:textId="77777777" w:rsidR="00494B49" w:rsidRDefault="00494B49">
            <w:r>
              <w:t xml:space="preserve">The </w:t>
            </w:r>
            <w:smartTag w:uri="http://www.bna.com/sgml2word/cite" w:element="cite.usc">
              <w:smartTagPr>
                <w:attr w:name="ref" w:val="USC\26\1250"/>
              </w:smartTagPr>
              <w:r>
                <w:t>§1250</w:t>
              </w:r>
            </w:smartTag>
            <w:r>
              <w:t xml:space="preserve"> long-term capital gain class is deemed distributed, then finally </w:t>
            </w:r>
          </w:p>
        </w:tc>
      </w:tr>
      <w:tr w:rsidR="00965E39" w14:paraId="79F7F966" w14:textId="2F6CED55" w:rsidTr="00965E39">
        <w:tc>
          <w:tcPr>
            <w:tcW w:w="4392" w:type="dxa"/>
          </w:tcPr>
          <w:p w14:paraId="1C341707" w14:textId="77777777" w:rsidR="00494B49" w:rsidRDefault="00494B49"/>
        </w:tc>
        <w:tc>
          <w:tcPr>
            <w:tcW w:w="1380" w:type="dxa"/>
          </w:tcPr>
          <w:p w14:paraId="15642B0E" w14:textId="77777777" w:rsidR="00494B49" w:rsidRDefault="00494B49"/>
        </w:tc>
        <w:tc>
          <w:tcPr>
            <w:tcW w:w="1944" w:type="dxa"/>
          </w:tcPr>
          <w:p w14:paraId="3ED484D0" w14:textId="77777777" w:rsidR="00494B49" w:rsidRDefault="00494B49">
            <w:r>
              <w:t xml:space="preserve">– The </w:t>
            </w:r>
            <w:smartTag w:uri="http://www.bna.com/sgml2word/cite" w:element="cite.usc">
              <w:smartTagPr>
                <w:attr w:name="ref" w:val="USC\26\1250"/>
              </w:smartTagPr>
              <w:r>
                <w:t>§1250</w:t>
              </w:r>
            </w:smartTag>
            <w:r>
              <w:t xml:space="preserve"> long-term capital gain class that is Excluded Income (25% rate) is deemed distributed, then</w:t>
            </w:r>
          </w:p>
        </w:tc>
        <w:tc>
          <w:tcPr>
            <w:tcW w:w="1640" w:type="dxa"/>
            <w:gridSpan w:val="2"/>
            <w:shd w:val="clear" w:color="auto" w:fill="auto"/>
          </w:tcPr>
          <w:p w14:paraId="00D9ACBA" w14:textId="77777777" w:rsidR="00965E39" w:rsidRDefault="00965E39"/>
        </w:tc>
      </w:tr>
      <w:tr w:rsidR="00494B49" w14:paraId="14B01DC5" w14:textId="77777777" w:rsidTr="00F150FE">
        <w:trPr>
          <w:gridAfter w:val="1"/>
          <w:wAfter w:w="6" w:type="dxa"/>
        </w:trPr>
        <w:tc>
          <w:tcPr>
            <w:tcW w:w="4392" w:type="dxa"/>
          </w:tcPr>
          <w:p w14:paraId="3927B617" w14:textId="77777777" w:rsidR="00494B49" w:rsidRDefault="00494B49"/>
        </w:tc>
        <w:tc>
          <w:tcPr>
            <w:tcW w:w="1380" w:type="dxa"/>
          </w:tcPr>
          <w:p w14:paraId="438169E5" w14:textId="77777777" w:rsidR="00494B49" w:rsidRDefault="00494B49"/>
        </w:tc>
        <w:tc>
          <w:tcPr>
            <w:tcW w:w="1944" w:type="dxa"/>
          </w:tcPr>
          <w:p w14:paraId="56C8525A" w14:textId="77777777" w:rsidR="00494B49" w:rsidRDefault="00494B49">
            <w:r>
              <w:t>– The all other long-term capital gain class that is net investment income (23.8% rate) is deemed distributed, then finally</w:t>
            </w:r>
          </w:p>
        </w:tc>
        <w:tc>
          <w:tcPr>
            <w:tcW w:w="1634" w:type="dxa"/>
          </w:tcPr>
          <w:p w14:paraId="5E0C3091" w14:textId="77777777" w:rsidR="00494B49" w:rsidRDefault="00494B49">
            <w:r>
              <w:t xml:space="preserve">All other long-term capital gain class. </w:t>
            </w:r>
          </w:p>
        </w:tc>
      </w:tr>
      <w:tr w:rsidR="00965E39" w14:paraId="42149DD1" w14:textId="058BFF6B" w:rsidTr="00965E39">
        <w:tc>
          <w:tcPr>
            <w:tcW w:w="4392" w:type="dxa"/>
          </w:tcPr>
          <w:p w14:paraId="4372C20B" w14:textId="77777777" w:rsidR="00494B49" w:rsidRDefault="00494B49"/>
        </w:tc>
        <w:tc>
          <w:tcPr>
            <w:tcW w:w="1380" w:type="dxa"/>
          </w:tcPr>
          <w:p w14:paraId="248AF1AC" w14:textId="77777777" w:rsidR="00494B49" w:rsidRDefault="00494B49"/>
        </w:tc>
        <w:tc>
          <w:tcPr>
            <w:tcW w:w="1944" w:type="dxa"/>
          </w:tcPr>
          <w:p w14:paraId="01660684" w14:textId="77777777" w:rsidR="00494B49" w:rsidRDefault="00494B49">
            <w:r>
              <w:t>– The all other long-term capital gain class is deemed distributed</w:t>
            </w:r>
          </w:p>
        </w:tc>
        <w:tc>
          <w:tcPr>
            <w:tcW w:w="1640" w:type="dxa"/>
            <w:gridSpan w:val="2"/>
            <w:shd w:val="clear" w:color="auto" w:fill="auto"/>
          </w:tcPr>
          <w:p w14:paraId="66D25DFF" w14:textId="77777777" w:rsidR="00965E39" w:rsidRDefault="00965E39"/>
        </w:tc>
      </w:tr>
    </w:tbl>
    <w:p w14:paraId="2BF726AE" w14:textId="77777777" w:rsidR="00494B49" w:rsidRDefault="00494B49">
      <w:pPr>
        <w:pStyle w:val="BNormal"/>
      </w:pPr>
    </w:p>
    <w:p w14:paraId="4393B8A7" w14:textId="77777777" w:rsidR="00494B49" w:rsidRDefault="00494B49">
      <w:pPr>
        <w:pStyle w:val="BHead4"/>
      </w:pPr>
      <w:r>
        <w:t xml:space="preserve">(3) Capital Gain and Loss Netting Rules </w:t>
      </w:r>
    </w:p>
    <w:p w14:paraId="151FB789" w14:textId="77777777" w:rsidR="00494B49" w:rsidRDefault="00494B49" w:rsidP="00144640">
      <w:pPr>
        <w:pStyle w:val="BNormal"/>
      </w:pPr>
      <w:r>
        <w:t xml:space="preserve">Reg. </w:t>
      </w:r>
      <w:smartTag w:uri="http://www.bna.com/sgml2word/cite" w:element="cite.cfr">
        <w:smartTagPr>
          <w:attr w:name="ref" w:val="cfr\26\1.664-1(d)(1)(iv)"/>
        </w:smartTagPr>
        <w:r>
          <w:t>§1.664-1(d)(1)(iv)</w:t>
        </w:r>
      </w:smartTag>
      <w:r>
        <w:t xml:space="preserve"> describes how capital gains and losses are netted. The capital gains are determined on a cumulative net basis under Reg. </w:t>
      </w:r>
      <w:smartTag w:uri="http://www.bna.com/sgml2word/cite" w:element="cite.cfr">
        <w:smartTagPr>
          <w:attr w:name="ref" w:val="cfr\26\1.664-1(d)(1)"/>
        </w:smartTagPr>
        <w:r>
          <w:t>§1.664-1(d)(1)</w:t>
        </w:r>
      </w:smartTag>
      <w:r>
        <w:t xml:space="preserve"> without regard to </w:t>
      </w:r>
      <w:smartTag w:uri="http://www.bna.com/sgml2word/cite" w:element="cite.usc">
        <w:smartTagPr>
          <w:attr w:name="ref" w:val="USC\26\1212"/>
        </w:smartTagPr>
        <w:r>
          <w:t>§1212</w:t>
        </w:r>
      </w:smartTag>
      <w:r>
        <w:t>. Each year, current and undistributed gains and losses within each class are netted to determine the net gain or loss for that class.</w:t>
      </w:r>
      <w:r>
        <w:rPr>
          <w:rStyle w:val="FootnoteReference"/>
        </w:rPr>
        <w:footnoteReference w:id="1148"/>
      </w:r>
      <w:r>
        <w:t xml:space="preserve"> Because the </w:t>
      </w:r>
      <w:smartTag w:uri="http://www.bna.com/sgml2word/cite" w:element="cite.usc">
        <w:smartTagPr>
          <w:attr w:name="ref" w:val="USC\26\664"/>
        </w:smartTagPr>
        <w:r>
          <w:t>§664</w:t>
        </w:r>
      </w:smartTag>
      <w:r>
        <w:t xml:space="preserve"> Method under Reg. </w:t>
      </w:r>
      <w:smartTag w:uri="http://www.bna.com/sgml2word/cite" w:element="cite.cfr">
        <w:smartTagPr>
          <w:attr w:name="ref" w:val="cfr\26\1.1411-3(d)(2)"/>
        </w:smartTagPr>
        <w:r>
          <w:t>§1.1411-3(d)(2)</w:t>
        </w:r>
      </w:smartTag>
      <w:r>
        <w:t xml:space="preserve"> adds a 3.8% rate to the existing rates in Chapter 1, the new rate class within each category causes differences in the Reg. </w:t>
      </w:r>
      <w:smartTag w:uri="http://www.bna.com/sgml2word/cite" w:element="cite.cfr">
        <w:smartTagPr>
          <w:attr w:name="ref" w:val="cfr\26\1.664-1(d)(1)"/>
        </w:smartTagPr>
        <w:r>
          <w:t>§1.664-1(d)(1)</w:t>
        </w:r>
      </w:smartTag>
      <w:r>
        <w:t xml:space="preserve"> capital gain and loss netting rules depending on whether the </w:t>
      </w:r>
      <w:smartTag w:uri="http://www.bna.com/sgml2word/cite" w:element="cite.usc">
        <w:smartTagPr>
          <w:attr w:name="ref" w:val="USC\26\664"/>
        </w:smartTagPr>
        <w:r>
          <w:t>§664</w:t>
        </w:r>
      </w:smartTag>
      <w:r>
        <w:t xml:space="preserve"> Method or Simplified Method is used. The following chart, an excerpt from the 2017 </w:t>
      </w:r>
      <w:smartTag w:uri="http://www.bna.com/sgml2word/cite" w:element="cite.fed.form">
        <w:smartTagPr>
          <w:attr w:name="ref" w:val="irs\form5227"/>
        </w:smartTagPr>
        <w:r>
          <w:t>Form 5227 Instructions</w:t>
        </w:r>
      </w:smartTag>
      <w:r>
        <w:t>,</w:t>
      </w:r>
      <w:r>
        <w:rPr>
          <w:rStyle w:val="FootnoteReference"/>
        </w:rPr>
        <w:footnoteReference w:id="1149"/>
      </w:r>
      <w:r>
        <w:t xml:space="preserve"> illustrates the differences in netting rules between the two methods: </w:t>
      </w:r>
    </w:p>
    <w:p w14:paraId="7CD0C694" w14:textId="77777777" w:rsidR="00494B49" w:rsidRDefault="00494B49" w:rsidP="00144640">
      <w:pPr>
        <w:pStyle w:val="BNormal"/>
      </w:pPr>
    </w:p>
    <w:tbl>
      <w:tblPr>
        <w:tblStyle w:val="TableGrid"/>
        <w:tblW w:w="0" w:type="auto"/>
        <w:tblLook w:val="04A0" w:firstRow="1" w:lastRow="0" w:firstColumn="1" w:lastColumn="0" w:noHBand="0" w:noVBand="1"/>
      </w:tblPr>
      <w:tblGrid>
        <w:gridCol w:w="2561"/>
        <w:gridCol w:w="2919"/>
        <w:gridCol w:w="2140"/>
        <w:gridCol w:w="1730"/>
      </w:tblGrid>
      <w:tr w:rsidR="00494B49" w14:paraId="239854D3" w14:textId="77777777" w:rsidTr="00965E39">
        <w:tc>
          <w:tcPr>
            <w:tcW w:w="2561" w:type="dxa"/>
          </w:tcPr>
          <w:p w14:paraId="705F045D" w14:textId="77777777" w:rsidR="00494B49" w:rsidRDefault="00494B49"/>
        </w:tc>
        <w:tc>
          <w:tcPr>
            <w:tcW w:w="2919" w:type="dxa"/>
          </w:tcPr>
          <w:p w14:paraId="08375382" w14:textId="77777777" w:rsidR="00494B49" w:rsidRDefault="00494B49"/>
        </w:tc>
        <w:tc>
          <w:tcPr>
            <w:tcW w:w="2140" w:type="dxa"/>
          </w:tcPr>
          <w:p w14:paraId="4D8B4F1C" w14:textId="77777777" w:rsidR="00494B49" w:rsidRDefault="00494B49">
            <w:r>
              <w:t xml:space="preserve"> </w:t>
            </w:r>
            <w:r>
              <w:rPr>
                <w:b/>
              </w:rPr>
              <w:t>Section 664 Method</w:t>
            </w:r>
          </w:p>
        </w:tc>
        <w:tc>
          <w:tcPr>
            <w:tcW w:w="1730" w:type="dxa"/>
          </w:tcPr>
          <w:p w14:paraId="7466B771" w14:textId="77777777" w:rsidR="00494B49" w:rsidRDefault="00494B49">
            <w:r>
              <w:t xml:space="preserve"> </w:t>
            </w:r>
            <w:r>
              <w:rPr>
                <w:b/>
              </w:rPr>
              <w:t>SNIIC Election Method</w:t>
            </w:r>
          </w:p>
        </w:tc>
      </w:tr>
      <w:tr w:rsidR="00965E39" w14:paraId="79C1E6C4" w14:textId="5C70ED8C" w:rsidTr="00965E39">
        <w:tc>
          <w:tcPr>
            <w:tcW w:w="2561" w:type="dxa"/>
          </w:tcPr>
          <w:p w14:paraId="25FAF659" w14:textId="77777777" w:rsidR="00494B49" w:rsidRDefault="00494B49">
            <w:r>
              <w:t>(1)</w:t>
            </w:r>
          </w:p>
        </w:tc>
        <w:tc>
          <w:tcPr>
            <w:tcW w:w="2919" w:type="dxa"/>
          </w:tcPr>
          <w:p w14:paraId="27C98A0D" w14:textId="77777777" w:rsidR="00494B49" w:rsidRDefault="00494B49">
            <w:r>
              <w:t xml:space="preserve">Among the long-term capital gain and loss classes: </w:t>
            </w:r>
          </w:p>
        </w:tc>
        <w:tc>
          <w:tcPr>
            <w:tcW w:w="2140" w:type="dxa"/>
            <w:shd w:val="clear" w:color="auto" w:fill="auto"/>
          </w:tcPr>
          <w:p w14:paraId="2EC1D0B8" w14:textId="77777777" w:rsidR="00965E39" w:rsidRDefault="00965E39"/>
        </w:tc>
        <w:tc>
          <w:tcPr>
            <w:tcW w:w="1730" w:type="dxa"/>
            <w:shd w:val="clear" w:color="auto" w:fill="auto"/>
          </w:tcPr>
          <w:p w14:paraId="7355F15E" w14:textId="77777777" w:rsidR="00965E39" w:rsidRDefault="00965E39"/>
        </w:tc>
      </w:tr>
      <w:tr w:rsidR="00965E39" w14:paraId="430C8F11" w14:textId="28B5F1E7" w:rsidTr="00965E39">
        <w:tc>
          <w:tcPr>
            <w:tcW w:w="2561" w:type="dxa"/>
          </w:tcPr>
          <w:p w14:paraId="1EBEE970" w14:textId="77777777" w:rsidR="00494B49" w:rsidRDefault="00494B49"/>
        </w:tc>
        <w:tc>
          <w:tcPr>
            <w:tcW w:w="2919" w:type="dxa"/>
          </w:tcPr>
          <w:p w14:paraId="1D0E2776" w14:textId="77777777" w:rsidR="00494B49" w:rsidRDefault="00494B49">
            <w:r>
              <w:t>(a) A net loss from the 28% long-term capital gain class that is net investment income (31.8% rate) reduces net gains in the following order:</w:t>
            </w:r>
          </w:p>
        </w:tc>
        <w:tc>
          <w:tcPr>
            <w:tcW w:w="2140" w:type="dxa"/>
            <w:shd w:val="clear" w:color="auto" w:fill="auto"/>
          </w:tcPr>
          <w:p w14:paraId="47D09A22" w14:textId="77777777" w:rsidR="00965E39" w:rsidRDefault="00965E39"/>
        </w:tc>
        <w:tc>
          <w:tcPr>
            <w:tcW w:w="1730" w:type="dxa"/>
            <w:shd w:val="clear" w:color="auto" w:fill="auto"/>
          </w:tcPr>
          <w:p w14:paraId="670E05CE" w14:textId="77777777" w:rsidR="00965E39" w:rsidRDefault="00965E39"/>
        </w:tc>
      </w:tr>
      <w:tr w:rsidR="00494B49" w14:paraId="12C77253" w14:textId="77777777" w:rsidTr="00965E39">
        <w:tc>
          <w:tcPr>
            <w:tcW w:w="2561" w:type="dxa"/>
          </w:tcPr>
          <w:p w14:paraId="53D957AA" w14:textId="77777777" w:rsidR="00494B49" w:rsidRDefault="00494B49"/>
        </w:tc>
        <w:tc>
          <w:tcPr>
            <w:tcW w:w="2919" w:type="dxa"/>
          </w:tcPr>
          <w:p w14:paraId="54050274" w14:textId="77777777" w:rsidR="00494B49" w:rsidRDefault="00494B49"/>
        </w:tc>
        <w:tc>
          <w:tcPr>
            <w:tcW w:w="2140" w:type="dxa"/>
          </w:tcPr>
          <w:p w14:paraId="5F3BF2FB" w14:textId="77777777" w:rsidR="00494B49" w:rsidRDefault="00494B49">
            <w:r>
              <w:t xml:space="preserve">– First,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tcPr>
          <w:p w14:paraId="19E57508" w14:textId="77777777" w:rsidR="00494B49" w:rsidRDefault="00494B49">
            <w:r>
              <w:t>Not Applicable</w:t>
            </w:r>
          </w:p>
        </w:tc>
      </w:tr>
      <w:tr w:rsidR="00965E39" w14:paraId="44B2F794" w14:textId="3D6C8EBE" w:rsidTr="00965E39">
        <w:tc>
          <w:tcPr>
            <w:tcW w:w="2561" w:type="dxa"/>
          </w:tcPr>
          <w:p w14:paraId="08799965" w14:textId="77777777" w:rsidR="00494B49" w:rsidRDefault="00494B49"/>
        </w:tc>
        <w:tc>
          <w:tcPr>
            <w:tcW w:w="2919" w:type="dxa"/>
          </w:tcPr>
          <w:p w14:paraId="3BFE76DB" w14:textId="77777777" w:rsidR="00494B49" w:rsidRDefault="00494B49"/>
        </w:tc>
        <w:tc>
          <w:tcPr>
            <w:tcW w:w="2140" w:type="dxa"/>
          </w:tcPr>
          <w:p w14:paraId="2C228E1F" w14:textId="77777777" w:rsidR="00494B49" w:rsidRDefault="00494B49">
            <w:r>
              <w:t>– Net gain from the 28% long-term capital gain class that is Excluded Income (28% rate), then</w:t>
            </w:r>
          </w:p>
        </w:tc>
        <w:tc>
          <w:tcPr>
            <w:tcW w:w="1730" w:type="dxa"/>
            <w:shd w:val="clear" w:color="auto" w:fill="auto"/>
          </w:tcPr>
          <w:p w14:paraId="08ACD4C9" w14:textId="77777777" w:rsidR="00965E39" w:rsidRDefault="00965E39"/>
        </w:tc>
      </w:tr>
      <w:tr w:rsidR="00965E39" w14:paraId="30BA878B" w14:textId="172C18BE" w:rsidTr="00965E39">
        <w:tc>
          <w:tcPr>
            <w:tcW w:w="2561" w:type="dxa"/>
          </w:tcPr>
          <w:p w14:paraId="20D0CB13" w14:textId="77777777" w:rsidR="00494B49" w:rsidRDefault="00494B49"/>
        </w:tc>
        <w:tc>
          <w:tcPr>
            <w:tcW w:w="2919" w:type="dxa"/>
          </w:tcPr>
          <w:p w14:paraId="050B575F" w14:textId="77777777" w:rsidR="00494B49" w:rsidRDefault="00494B49"/>
        </w:tc>
        <w:tc>
          <w:tcPr>
            <w:tcW w:w="2140" w:type="dxa"/>
          </w:tcPr>
          <w:p w14:paraId="1F238538"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tcPr>
          <w:p w14:paraId="11BDE7A6" w14:textId="77777777" w:rsidR="00965E39" w:rsidRDefault="00965E39"/>
        </w:tc>
      </w:tr>
      <w:tr w:rsidR="00965E39" w14:paraId="398C2D4E" w14:textId="5B5EB371" w:rsidTr="00965E39">
        <w:tc>
          <w:tcPr>
            <w:tcW w:w="2561" w:type="dxa"/>
          </w:tcPr>
          <w:p w14:paraId="7EEE9CEF" w14:textId="77777777" w:rsidR="00494B49" w:rsidRDefault="00494B49"/>
        </w:tc>
        <w:tc>
          <w:tcPr>
            <w:tcW w:w="2919" w:type="dxa"/>
          </w:tcPr>
          <w:p w14:paraId="23077AEE" w14:textId="77777777" w:rsidR="00494B49" w:rsidRDefault="00494B49"/>
        </w:tc>
        <w:tc>
          <w:tcPr>
            <w:tcW w:w="2140" w:type="dxa"/>
          </w:tcPr>
          <w:p w14:paraId="7103CAE8" w14:textId="77777777" w:rsidR="00494B49" w:rsidRDefault="00494B49">
            <w:r>
              <w:t>– Net gain from the all other long-term capital gain class that is net investment income (23.8% rate), and finally</w:t>
            </w:r>
          </w:p>
        </w:tc>
        <w:tc>
          <w:tcPr>
            <w:tcW w:w="1730" w:type="dxa"/>
            <w:shd w:val="clear" w:color="auto" w:fill="auto"/>
          </w:tcPr>
          <w:p w14:paraId="5B16DD13" w14:textId="77777777" w:rsidR="00965E39" w:rsidRDefault="00965E39"/>
        </w:tc>
      </w:tr>
      <w:tr w:rsidR="00965E39" w14:paraId="0E80CCEB" w14:textId="244BCE6A" w:rsidTr="00965E39">
        <w:tc>
          <w:tcPr>
            <w:tcW w:w="2561" w:type="dxa"/>
          </w:tcPr>
          <w:p w14:paraId="51B2C919" w14:textId="77777777" w:rsidR="00494B49" w:rsidRDefault="00494B49"/>
        </w:tc>
        <w:tc>
          <w:tcPr>
            <w:tcW w:w="2919" w:type="dxa"/>
          </w:tcPr>
          <w:p w14:paraId="52D9B406" w14:textId="77777777" w:rsidR="00494B49" w:rsidRDefault="00494B49"/>
        </w:tc>
        <w:tc>
          <w:tcPr>
            <w:tcW w:w="2140" w:type="dxa"/>
          </w:tcPr>
          <w:p w14:paraId="04DC3242" w14:textId="77777777" w:rsidR="00494B49" w:rsidRDefault="00494B49">
            <w:r>
              <w:t>– Net gain from the all other long-term capital gain class that is Excluded Income (20% rate).</w:t>
            </w:r>
          </w:p>
        </w:tc>
        <w:tc>
          <w:tcPr>
            <w:tcW w:w="1730" w:type="dxa"/>
            <w:shd w:val="clear" w:color="auto" w:fill="auto"/>
          </w:tcPr>
          <w:p w14:paraId="0B3A6C70" w14:textId="77777777" w:rsidR="00965E39" w:rsidRDefault="00965E39"/>
        </w:tc>
      </w:tr>
      <w:tr w:rsidR="00965E39" w14:paraId="110B920B" w14:textId="044E3D1E" w:rsidTr="00965E39">
        <w:tc>
          <w:tcPr>
            <w:tcW w:w="2561" w:type="dxa"/>
          </w:tcPr>
          <w:p w14:paraId="7E421D06" w14:textId="77777777" w:rsidR="00494B49" w:rsidRDefault="00494B49"/>
        </w:tc>
        <w:tc>
          <w:tcPr>
            <w:tcW w:w="2919" w:type="dxa"/>
          </w:tcPr>
          <w:p w14:paraId="49605E39" w14:textId="77777777" w:rsidR="00494B49" w:rsidRDefault="00494B49">
            <w:r>
              <w:t>(b) A net loss from the 28% long-term capital gain class that is Excluded Income (28% rate) reduces net gains in the following order:</w:t>
            </w:r>
          </w:p>
        </w:tc>
        <w:tc>
          <w:tcPr>
            <w:tcW w:w="2140" w:type="dxa"/>
            <w:shd w:val="clear" w:color="auto" w:fill="auto"/>
          </w:tcPr>
          <w:p w14:paraId="77F14DA9" w14:textId="77777777" w:rsidR="00965E39" w:rsidRDefault="00965E39"/>
        </w:tc>
        <w:tc>
          <w:tcPr>
            <w:tcW w:w="1730" w:type="dxa"/>
            <w:shd w:val="clear" w:color="auto" w:fill="auto"/>
          </w:tcPr>
          <w:p w14:paraId="488B5514" w14:textId="77777777" w:rsidR="00965E39" w:rsidRDefault="00965E39"/>
        </w:tc>
      </w:tr>
      <w:tr w:rsidR="00494B49" w14:paraId="1DE42B43" w14:textId="77777777" w:rsidTr="00965E39">
        <w:tc>
          <w:tcPr>
            <w:tcW w:w="2561" w:type="dxa"/>
          </w:tcPr>
          <w:p w14:paraId="03EE619A" w14:textId="77777777" w:rsidR="00494B49" w:rsidRDefault="00494B49"/>
        </w:tc>
        <w:tc>
          <w:tcPr>
            <w:tcW w:w="2919" w:type="dxa"/>
          </w:tcPr>
          <w:p w14:paraId="6B230DDC" w14:textId="77777777" w:rsidR="00494B49" w:rsidRDefault="00494B49"/>
        </w:tc>
        <w:tc>
          <w:tcPr>
            <w:tcW w:w="2140" w:type="dxa"/>
          </w:tcPr>
          <w:p w14:paraId="3AD7A49D" w14:textId="77777777" w:rsidR="00494B49" w:rsidRDefault="00494B49">
            <w:r>
              <w:t>– First, net gain from the 28% long-term capital gain class that is net investment income (31.8% rate), then</w:t>
            </w:r>
          </w:p>
        </w:tc>
        <w:tc>
          <w:tcPr>
            <w:tcW w:w="1730" w:type="dxa"/>
          </w:tcPr>
          <w:p w14:paraId="7DD2DFE4" w14:textId="77777777" w:rsidR="00494B49" w:rsidRDefault="00494B49">
            <w:r>
              <w:t xml:space="preserve">First, gain from the </w:t>
            </w:r>
            <w:smartTag w:uri="http://www.bna.com/sgml2word/cite" w:element="cite.usc">
              <w:smartTagPr>
                <w:attr w:name="ref" w:val="USC\26\1250"/>
              </w:smartTagPr>
              <w:r>
                <w:t>§1250</w:t>
              </w:r>
            </w:smartTag>
            <w:r>
              <w:t xml:space="preserve"> long-term capital gain class, then</w:t>
            </w:r>
          </w:p>
        </w:tc>
      </w:tr>
      <w:tr w:rsidR="00965E39" w14:paraId="6C7C9AFB" w14:textId="696BDA9D" w:rsidTr="00965E39">
        <w:tc>
          <w:tcPr>
            <w:tcW w:w="2561" w:type="dxa"/>
          </w:tcPr>
          <w:p w14:paraId="555C5F83" w14:textId="77777777" w:rsidR="00494B49" w:rsidRDefault="00494B49"/>
        </w:tc>
        <w:tc>
          <w:tcPr>
            <w:tcW w:w="2919" w:type="dxa"/>
          </w:tcPr>
          <w:p w14:paraId="53C90AF1" w14:textId="77777777" w:rsidR="00494B49" w:rsidRDefault="00494B49"/>
        </w:tc>
        <w:tc>
          <w:tcPr>
            <w:tcW w:w="2140" w:type="dxa"/>
          </w:tcPr>
          <w:p w14:paraId="62B59E09"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69AEB0B2" w14:textId="77777777" w:rsidR="00965E39" w:rsidRDefault="00965E39"/>
        </w:tc>
      </w:tr>
      <w:tr w:rsidR="00494B49" w14:paraId="12E99517" w14:textId="77777777" w:rsidTr="00965E39">
        <w:tc>
          <w:tcPr>
            <w:tcW w:w="2561" w:type="dxa"/>
          </w:tcPr>
          <w:p w14:paraId="0352759D" w14:textId="77777777" w:rsidR="00494B49" w:rsidRDefault="00494B49"/>
        </w:tc>
        <w:tc>
          <w:tcPr>
            <w:tcW w:w="2919" w:type="dxa"/>
          </w:tcPr>
          <w:p w14:paraId="0D76C734" w14:textId="77777777" w:rsidR="00494B49" w:rsidRDefault="00494B49"/>
        </w:tc>
        <w:tc>
          <w:tcPr>
            <w:tcW w:w="2140" w:type="dxa"/>
          </w:tcPr>
          <w:p w14:paraId="20C4CE17"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tcPr>
          <w:p w14:paraId="39231BAD" w14:textId="77777777" w:rsidR="00494B49" w:rsidRDefault="00494B49">
            <w:r>
              <w:t>Net gain from the all other long-term capital gain class.</w:t>
            </w:r>
          </w:p>
        </w:tc>
      </w:tr>
      <w:tr w:rsidR="00965E39" w14:paraId="653A986E" w14:textId="6DBD7993" w:rsidTr="00965E39">
        <w:tc>
          <w:tcPr>
            <w:tcW w:w="2561" w:type="dxa"/>
          </w:tcPr>
          <w:p w14:paraId="260953A5" w14:textId="77777777" w:rsidR="00494B49" w:rsidRDefault="00494B49"/>
        </w:tc>
        <w:tc>
          <w:tcPr>
            <w:tcW w:w="2919" w:type="dxa"/>
          </w:tcPr>
          <w:p w14:paraId="4EDAB4EF" w14:textId="77777777" w:rsidR="00494B49" w:rsidRDefault="00494B49"/>
        </w:tc>
        <w:tc>
          <w:tcPr>
            <w:tcW w:w="2140" w:type="dxa"/>
          </w:tcPr>
          <w:p w14:paraId="375C266B" w14:textId="77777777" w:rsidR="00494B49" w:rsidRDefault="00494B49">
            <w:r>
              <w:t>– Net gain from the all other long-term capital gain class that is net investment income (23.8% rate), and finally</w:t>
            </w:r>
          </w:p>
        </w:tc>
        <w:tc>
          <w:tcPr>
            <w:tcW w:w="1730" w:type="dxa"/>
            <w:shd w:val="clear" w:color="auto" w:fill="auto"/>
          </w:tcPr>
          <w:p w14:paraId="18EDDF3C" w14:textId="77777777" w:rsidR="00965E39" w:rsidRDefault="00965E39"/>
        </w:tc>
      </w:tr>
      <w:tr w:rsidR="00965E39" w14:paraId="008739BC" w14:textId="5F8BE771" w:rsidTr="00965E39">
        <w:tc>
          <w:tcPr>
            <w:tcW w:w="2561" w:type="dxa"/>
          </w:tcPr>
          <w:p w14:paraId="13F6B1B2" w14:textId="77777777" w:rsidR="00494B49" w:rsidRDefault="00494B49"/>
        </w:tc>
        <w:tc>
          <w:tcPr>
            <w:tcW w:w="2919" w:type="dxa"/>
          </w:tcPr>
          <w:p w14:paraId="7A0BA532" w14:textId="77777777" w:rsidR="00494B49" w:rsidRDefault="00494B49"/>
        </w:tc>
        <w:tc>
          <w:tcPr>
            <w:tcW w:w="2140" w:type="dxa"/>
          </w:tcPr>
          <w:p w14:paraId="2BCD5D76" w14:textId="77777777" w:rsidR="00494B49" w:rsidRDefault="00494B49">
            <w:r>
              <w:t>– Net gain from the all other long-term capital gain class that is Excluded Income (20% rate).</w:t>
            </w:r>
          </w:p>
        </w:tc>
        <w:tc>
          <w:tcPr>
            <w:tcW w:w="1730" w:type="dxa"/>
            <w:shd w:val="clear" w:color="auto" w:fill="auto"/>
          </w:tcPr>
          <w:p w14:paraId="153AC4FA" w14:textId="77777777" w:rsidR="00965E39" w:rsidRDefault="00965E39"/>
        </w:tc>
      </w:tr>
      <w:tr w:rsidR="00965E39" w14:paraId="457206B7" w14:textId="0AA36604" w:rsidTr="00965E39">
        <w:tc>
          <w:tcPr>
            <w:tcW w:w="2561" w:type="dxa"/>
          </w:tcPr>
          <w:p w14:paraId="5EBE87CF" w14:textId="77777777" w:rsidR="00494B49" w:rsidRDefault="00494B49"/>
        </w:tc>
        <w:tc>
          <w:tcPr>
            <w:tcW w:w="2919" w:type="dxa"/>
          </w:tcPr>
          <w:p w14:paraId="4E6CF7FA" w14:textId="77777777" w:rsidR="00494B49" w:rsidRDefault="00494B49">
            <w:r>
              <w:t>(c) A net loss from the all other long-term capital gain class that is net investment income (23.8% rate) reduces net gains in the following order:</w:t>
            </w:r>
          </w:p>
        </w:tc>
        <w:tc>
          <w:tcPr>
            <w:tcW w:w="2140" w:type="dxa"/>
            <w:shd w:val="clear" w:color="auto" w:fill="auto"/>
          </w:tcPr>
          <w:p w14:paraId="6CBC0665" w14:textId="77777777" w:rsidR="00965E39" w:rsidRDefault="00965E39"/>
        </w:tc>
        <w:tc>
          <w:tcPr>
            <w:tcW w:w="1730" w:type="dxa"/>
            <w:shd w:val="clear" w:color="auto" w:fill="auto"/>
          </w:tcPr>
          <w:p w14:paraId="398D6DF6" w14:textId="77777777" w:rsidR="00965E39" w:rsidRDefault="00965E39"/>
        </w:tc>
      </w:tr>
      <w:tr w:rsidR="00494B49" w14:paraId="14019CB7" w14:textId="77777777" w:rsidTr="00965E39">
        <w:tc>
          <w:tcPr>
            <w:tcW w:w="2561" w:type="dxa"/>
          </w:tcPr>
          <w:p w14:paraId="42786C9A" w14:textId="77777777" w:rsidR="00494B49" w:rsidRDefault="00494B49"/>
        </w:tc>
        <w:tc>
          <w:tcPr>
            <w:tcW w:w="2919" w:type="dxa"/>
          </w:tcPr>
          <w:p w14:paraId="20EB2CC9" w14:textId="77777777" w:rsidR="00494B49" w:rsidRDefault="00494B49"/>
        </w:tc>
        <w:tc>
          <w:tcPr>
            <w:tcW w:w="2140" w:type="dxa"/>
          </w:tcPr>
          <w:p w14:paraId="7921D084" w14:textId="77777777" w:rsidR="00494B49" w:rsidRDefault="00494B49">
            <w:r>
              <w:t>– First, net gain from the 28% long-term capital gain class that is net investment income (31.8% rate), then</w:t>
            </w:r>
          </w:p>
        </w:tc>
        <w:tc>
          <w:tcPr>
            <w:tcW w:w="1730" w:type="dxa"/>
          </w:tcPr>
          <w:p w14:paraId="21494C52" w14:textId="77777777" w:rsidR="00494B49" w:rsidRDefault="00494B49">
            <w:r>
              <w:t>Not Applicable</w:t>
            </w:r>
          </w:p>
        </w:tc>
      </w:tr>
      <w:tr w:rsidR="00965E39" w14:paraId="75B37E2F" w14:textId="2E1B2F9A" w:rsidTr="00965E39">
        <w:tc>
          <w:tcPr>
            <w:tcW w:w="2561" w:type="dxa"/>
          </w:tcPr>
          <w:p w14:paraId="1CE5D16E" w14:textId="77777777" w:rsidR="00494B49" w:rsidRDefault="00494B49"/>
        </w:tc>
        <w:tc>
          <w:tcPr>
            <w:tcW w:w="2919" w:type="dxa"/>
          </w:tcPr>
          <w:p w14:paraId="37A01E3C" w14:textId="77777777" w:rsidR="00494B49" w:rsidRDefault="00494B49"/>
        </w:tc>
        <w:tc>
          <w:tcPr>
            <w:tcW w:w="2140" w:type="dxa"/>
          </w:tcPr>
          <w:p w14:paraId="14B4C342"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63FDE476" w14:textId="77777777" w:rsidR="00965E39" w:rsidRDefault="00965E39"/>
        </w:tc>
      </w:tr>
      <w:tr w:rsidR="00965E39" w14:paraId="41B2E9E5" w14:textId="359227EB" w:rsidTr="00965E39">
        <w:tc>
          <w:tcPr>
            <w:tcW w:w="2561" w:type="dxa"/>
          </w:tcPr>
          <w:p w14:paraId="01FCCEA8" w14:textId="77777777" w:rsidR="00494B49" w:rsidRDefault="00494B49"/>
        </w:tc>
        <w:tc>
          <w:tcPr>
            <w:tcW w:w="2919" w:type="dxa"/>
          </w:tcPr>
          <w:p w14:paraId="5A90C6FD" w14:textId="77777777" w:rsidR="00494B49" w:rsidRDefault="00494B49"/>
        </w:tc>
        <w:tc>
          <w:tcPr>
            <w:tcW w:w="2140" w:type="dxa"/>
          </w:tcPr>
          <w:p w14:paraId="7F2ECE72" w14:textId="77777777" w:rsidR="00494B49" w:rsidRDefault="00494B49">
            <w:r>
              <w:t>– Net gain from the 28% long-term capital gain class that is Excluded Income (28% rate), then</w:t>
            </w:r>
          </w:p>
        </w:tc>
        <w:tc>
          <w:tcPr>
            <w:tcW w:w="1730" w:type="dxa"/>
            <w:shd w:val="clear" w:color="auto" w:fill="auto"/>
          </w:tcPr>
          <w:p w14:paraId="43123F82" w14:textId="77777777" w:rsidR="00965E39" w:rsidRDefault="00965E39"/>
        </w:tc>
      </w:tr>
      <w:tr w:rsidR="00965E39" w14:paraId="3A7FE347" w14:textId="34A9D5A6" w:rsidTr="00965E39">
        <w:tc>
          <w:tcPr>
            <w:tcW w:w="2561" w:type="dxa"/>
          </w:tcPr>
          <w:p w14:paraId="07C3C10C" w14:textId="77777777" w:rsidR="00494B49" w:rsidRDefault="00494B49"/>
        </w:tc>
        <w:tc>
          <w:tcPr>
            <w:tcW w:w="2919" w:type="dxa"/>
          </w:tcPr>
          <w:p w14:paraId="7BD1AE71" w14:textId="77777777" w:rsidR="00494B49" w:rsidRDefault="00494B49"/>
        </w:tc>
        <w:tc>
          <w:tcPr>
            <w:tcW w:w="2140" w:type="dxa"/>
          </w:tcPr>
          <w:p w14:paraId="361E1106"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and finally </w:t>
            </w:r>
          </w:p>
        </w:tc>
        <w:tc>
          <w:tcPr>
            <w:tcW w:w="1730" w:type="dxa"/>
            <w:shd w:val="clear" w:color="auto" w:fill="auto"/>
          </w:tcPr>
          <w:p w14:paraId="72760B08" w14:textId="77777777" w:rsidR="00965E39" w:rsidRDefault="00965E39"/>
        </w:tc>
      </w:tr>
      <w:tr w:rsidR="00965E39" w14:paraId="189474D0" w14:textId="08ACC5E1" w:rsidTr="00965E39">
        <w:tc>
          <w:tcPr>
            <w:tcW w:w="2561" w:type="dxa"/>
          </w:tcPr>
          <w:p w14:paraId="573EFB4D" w14:textId="77777777" w:rsidR="00494B49" w:rsidRDefault="00494B49"/>
        </w:tc>
        <w:tc>
          <w:tcPr>
            <w:tcW w:w="2919" w:type="dxa"/>
          </w:tcPr>
          <w:p w14:paraId="263B9104" w14:textId="77777777" w:rsidR="00494B49" w:rsidRDefault="00494B49"/>
        </w:tc>
        <w:tc>
          <w:tcPr>
            <w:tcW w:w="2140" w:type="dxa"/>
          </w:tcPr>
          <w:p w14:paraId="56370A56" w14:textId="77777777" w:rsidR="00494B49" w:rsidRDefault="00494B49">
            <w:r>
              <w:t>– Net gain from the all other long-term capital gain class that is Excluded Income (20% rate).</w:t>
            </w:r>
          </w:p>
        </w:tc>
        <w:tc>
          <w:tcPr>
            <w:tcW w:w="1730" w:type="dxa"/>
            <w:shd w:val="clear" w:color="auto" w:fill="auto"/>
          </w:tcPr>
          <w:p w14:paraId="672FED27" w14:textId="77777777" w:rsidR="00965E39" w:rsidRDefault="00965E39"/>
        </w:tc>
      </w:tr>
      <w:tr w:rsidR="00965E39" w14:paraId="521D59D0" w14:textId="44DB85C1" w:rsidTr="00965E39">
        <w:tc>
          <w:tcPr>
            <w:tcW w:w="2561" w:type="dxa"/>
          </w:tcPr>
          <w:p w14:paraId="125214CD" w14:textId="77777777" w:rsidR="00494B49" w:rsidRDefault="00494B49"/>
        </w:tc>
        <w:tc>
          <w:tcPr>
            <w:tcW w:w="2919" w:type="dxa"/>
          </w:tcPr>
          <w:p w14:paraId="71F4A9A7" w14:textId="77777777" w:rsidR="00494B49" w:rsidRDefault="00494B49">
            <w:r>
              <w:t>(d) A net loss from the all other long-term capital gain class that is Excluded Income (20% rate) reduces net gains in the following order:</w:t>
            </w:r>
          </w:p>
        </w:tc>
        <w:tc>
          <w:tcPr>
            <w:tcW w:w="2140" w:type="dxa"/>
            <w:shd w:val="clear" w:color="auto" w:fill="auto"/>
          </w:tcPr>
          <w:p w14:paraId="4961B7F8" w14:textId="77777777" w:rsidR="00965E39" w:rsidRDefault="00965E39"/>
        </w:tc>
        <w:tc>
          <w:tcPr>
            <w:tcW w:w="1730" w:type="dxa"/>
            <w:shd w:val="clear" w:color="auto" w:fill="auto"/>
          </w:tcPr>
          <w:p w14:paraId="34A713BB" w14:textId="77777777" w:rsidR="00965E39" w:rsidRDefault="00965E39"/>
        </w:tc>
      </w:tr>
      <w:tr w:rsidR="00494B49" w14:paraId="535F48BD" w14:textId="77777777" w:rsidTr="00965E39">
        <w:tc>
          <w:tcPr>
            <w:tcW w:w="2561" w:type="dxa"/>
          </w:tcPr>
          <w:p w14:paraId="4B0B5B00" w14:textId="77777777" w:rsidR="00494B49" w:rsidRDefault="00494B49"/>
        </w:tc>
        <w:tc>
          <w:tcPr>
            <w:tcW w:w="2919" w:type="dxa"/>
          </w:tcPr>
          <w:p w14:paraId="0DAEF20F" w14:textId="77777777" w:rsidR="00494B49" w:rsidRDefault="00494B49"/>
        </w:tc>
        <w:tc>
          <w:tcPr>
            <w:tcW w:w="2140" w:type="dxa"/>
          </w:tcPr>
          <w:p w14:paraId="0B88E1E0" w14:textId="77777777" w:rsidR="00494B49" w:rsidRDefault="00494B49">
            <w:r>
              <w:t>– First, net gain from the 28% long-term capital gain class that is net investment income (31.8% rate), then</w:t>
            </w:r>
          </w:p>
        </w:tc>
        <w:tc>
          <w:tcPr>
            <w:tcW w:w="1730" w:type="dxa"/>
          </w:tcPr>
          <w:p w14:paraId="1D4DF93D" w14:textId="77777777" w:rsidR="00494B49" w:rsidRDefault="00494B49">
            <w:r>
              <w:t>First, net gain from the 28% long-term capital gain class, then</w:t>
            </w:r>
          </w:p>
        </w:tc>
      </w:tr>
      <w:tr w:rsidR="00965E39" w14:paraId="5E2BB595" w14:textId="1E326194" w:rsidTr="00965E39">
        <w:tc>
          <w:tcPr>
            <w:tcW w:w="2561" w:type="dxa"/>
          </w:tcPr>
          <w:p w14:paraId="0976619E" w14:textId="77777777" w:rsidR="00494B49" w:rsidRDefault="00494B49"/>
        </w:tc>
        <w:tc>
          <w:tcPr>
            <w:tcW w:w="2919" w:type="dxa"/>
          </w:tcPr>
          <w:p w14:paraId="1D8B8D8B" w14:textId="77777777" w:rsidR="00494B49" w:rsidRDefault="00494B49"/>
        </w:tc>
        <w:tc>
          <w:tcPr>
            <w:tcW w:w="2140" w:type="dxa"/>
          </w:tcPr>
          <w:p w14:paraId="0DC1C83E"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0DD63506" w14:textId="77777777" w:rsidR="00965E39" w:rsidRDefault="00965E39"/>
        </w:tc>
      </w:tr>
      <w:tr w:rsidR="00494B49" w14:paraId="40C2FF8B" w14:textId="77777777" w:rsidTr="00965E39">
        <w:tc>
          <w:tcPr>
            <w:tcW w:w="2561" w:type="dxa"/>
          </w:tcPr>
          <w:p w14:paraId="4DE204C6" w14:textId="77777777" w:rsidR="00494B49" w:rsidRDefault="00494B49"/>
        </w:tc>
        <w:tc>
          <w:tcPr>
            <w:tcW w:w="2919" w:type="dxa"/>
          </w:tcPr>
          <w:p w14:paraId="72DDEC21" w14:textId="77777777" w:rsidR="00494B49" w:rsidRDefault="00494B49"/>
        </w:tc>
        <w:tc>
          <w:tcPr>
            <w:tcW w:w="2140" w:type="dxa"/>
          </w:tcPr>
          <w:p w14:paraId="46B8A3C7" w14:textId="77777777" w:rsidR="00494B49" w:rsidRDefault="00494B49">
            <w:r>
              <w:t>– Net gain from the 28% long-term capital gain class that is Excluded Income (28% rate), then</w:t>
            </w:r>
          </w:p>
        </w:tc>
        <w:tc>
          <w:tcPr>
            <w:tcW w:w="1730" w:type="dxa"/>
          </w:tcPr>
          <w:p w14:paraId="346FD173"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w:t>
            </w:r>
          </w:p>
        </w:tc>
      </w:tr>
      <w:tr w:rsidR="00965E39" w14:paraId="5894858F" w14:textId="6DBCDAE1" w:rsidTr="00965E39">
        <w:tc>
          <w:tcPr>
            <w:tcW w:w="2561" w:type="dxa"/>
          </w:tcPr>
          <w:p w14:paraId="13D25E60" w14:textId="77777777" w:rsidR="00494B49" w:rsidRDefault="00494B49"/>
        </w:tc>
        <w:tc>
          <w:tcPr>
            <w:tcW w:w="2919" w:type="dxa"/>
          </w:tcPr>
          <w:p w14:paraId="087B4B6A" w14:textId="77777777" w:rsidR="00494B49" w:rsidRDefault="00494B49"/>
        </w:tc>
        <w:tc>
          <w:tcPr>
            <w:tcW w:w="2140" w:type="dxa"/>
          </w:tcPr>
          <w:p w14:paraId="7D08E05F"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and finally </w:t>
            </w:r>
          </w:p>
        </w:tc>
        <w:tc>
          <w:tcPr>
            <w:tcW w:w="1730" w:type="dxa"/>
            <w:shd w:val="clear" w:color="auto" w:fill="auto"/>
          </w:tcPr>
          <w:p w14:paraId="0125D052" w14:textId="77777777" w:rsidR="00965E39" w:rsidRDefault="00965E39"/>
        </w:tc>
      </w:tr>
      <w:tr w:rsidR="00965E39" w14:paraId="5D8A8C8F" w14:textId="22B58087" w:rsidTr="00965E39">
        <w:tc>
          <w:tcPr>
            <w:tcW w:w="2561" w:type="dxa"/>
          </w:tcPr>
          <w:p w14:paraId="54D4B243" w14:textId="77777777" w:rsidR="00494B49" w:rsidRDefault="00494B49"/>
        </w:tc>
        <w:tc>
          <w:tcPr>
            <w:tcW w:w="2919" w:type="dxa"/>
          </w:tcPr>
          <w:p w14:paraId="7EC7A315" w14:textId="77777777" w:rsidR="00494B49" w:rsidRDefault="00494B49"/>
        </w:tc>
        <w:tc>
          <w:tcPr>
            <w:tcW w:w="2140" w:type="dxa"/>
          </w:tcPr>
          <w:p w14:paraId="4BC8484D" w14:textId="77777777" w:rsidR="00494B49" w:rsidRDefault="00494B49">
            <w:r>
              <w:t xml:space="preserve">– Net gain from the all other long-term capital gain class that is net investment income (23.8% rate). </w:t>
            </w:r>
          </w:p>
        </w:tc>
        <w:tc>
          <w:tcPr>
            <w:tcW w:w="1730" w:type="dxa"/>
            <w:shd w:val="clear" w:color="auto" w:fill="auto"/>
          </w:tcPr>
          <w:p w14:paraId="2810915D" w14:textId="77777777" w:rsidR="00965E39" w:rsidRDefault="00965E39"/>
        </w:tc>
      </w:tr>
      <w:tr w:rsidR="00965E39" w14:paraId="048798B2" w14:textId="64540CB4" w:rsidTr="00965E39">
        <w:tc>
          <w:tcPr>
            <w:tcW w:w="2561" w:type="dxa"/>
          </w:tcPr>
          <w:p w14:paraId="273F3AF1" w14:textId="77777777" w:rsidR="00494B49" w:rsidRDefault="00494B49">
            <w:r>
              <w:t>(2)</w:t>
            </w:r>
          </w:p>
        </w:tc>
        <w:tc>
          <w:tcPr>
            <w:tcW w:w="2919" w:type="dxa"/>
          </w:tcPr>
          <w:p w14:paraId="3FC50618" w14:textId="77777777" w:rsidR="00494B49" w:rsidRDefault="00494B49">
            <w:r>
              <w:t xml:space="preserve">Among the short-term and long-term gain and loss classes: </w:t>
            </w:r>
          </w:p>
        </w:tc>
        <w:tc>
          <w:tcPr>
            <w:tcW w:w="2140" w:type="dxa"/>
            <w:shd w:val="clear" w:color="auto" w:fill="auto"/>
          </w:tcPr>
          <w:p w14:paraId="4A2E179B" w14:textId="77777777" w:rsidR="00965E39" w:rsidRDefault="00965E39"/>
        </w:tc>
        <w:tc>
          <w:tcPr>
            <w:tcW w:w="1730" w:type="dxa"/>
            <w:shd w:val="clear" w:color="auto" w:fill="auto"/>
          </w:tcPr>
          <w:p w14:paraId="07783E25" w14:textId="77777777" w:rsidR="00965E39" w:rsidRDefault="00965E39"/>
        </w:tc>
      </w:tr>
      <w:tr w:rsidR="00965E39" w14:paraId="11D3311B" w14:textId="2AF4C25F" w:rsidTr="00965E39">
        <w:tc>
          <w:tcPr>
            <w:tcW w:w="2561" w:type="dxa"/>
          </w:tcPr>
          <w:p w14:paraId="60F98D33" w14:textId="77777777" w:rsidR="00494B49" w:rsidRDefault="00494B49"/>
        </w:tc>
        <w:tc>
          <w:tcPr>
            <w:tcW w:w="2919" w:type="dxa"/>
          </w:tcPr>
          <w:p w14:paraId="60AAC1A1" w14:textId="77777777" w:rsidR="00494B49" w:rsidRDefault="00494B49">
            <w:r>
              <w:t>(a) A net short-term capital loss that is net investment income (43.4% rate) is applied to reduce the net short-term and net long-term capital gain classes as follows:</w:t>
            </w:r>
          </w:p>
        </w:tc>
        <w:tc>
          <w:tcPr>
            <w:tcW w:w="2140" w:type="dxa"/>
            <w:shd w:val="clear" w:color="auto" w:fill="auto"/>
          </w:tcPr>
          <w:p w14:paraId="41BF5606" w14:textId="77777777" w:rsidR="00965E39" w:rsidRDefault="00965E39"/>
        </w:tc>
        <w:tc>
          <w:tcPr>
            <w:tcW w:w="1730" w:type="dxa"/>
            <w:shd w:val="clear" w:color="auto" w:fill="auto"/>
          </w:tcPr>
          <w:p w14:paraId="0AD18172" w14:textId="77777777" w:rsidR="00965E39" w:rsidRDefault="00965E39"/>
        </w:tc>
      </w:tr>
      <w:tr w:rsidR="00494B49" w14:paraId="49B28F7A" w14:textId="77777777" w:rsidTr="00965E39">
        <w:tc>
          <w:tcPr>
            <w:tcW w:w="2561" w:type="dxa"/>
          </w:tcPr>
          <w:p w14:paraId="6E0F96B2" w14:textId="77777777" w:rsidR="00494B49" w:rsidRDefault="00494B49"/>
        </w:tc>
        <w:tc>
          <w:tcPr>
            <w:tcW w:w="2919" w:type="dxa"/>
          </w:tcPr>
          <w:p w14:paraId="67152C37" w14:textId="77777777" w:rsidR="00494B49" w:rsidRDefault="00494B49"/>
        </w:tc>
        <w:tc>
          <w:tcPr>
            <w:tcW w:w="2140" w:type="dxa"/>
          </w:tcPr>
          <w:p w14:paraId="324E1612" w14:textId="77777777" w:rsidR="00494B49" w:rsidRDefault="00494B49">
            <w:r>
              <w:t xml:space="preserve">– First, short-term capital gain class that is </w:t>
            </w:r>
            <w:r>
              <w:lastRenderedPageBreak/>
              <w:t xml:space="preserve">Excluded Income (39.6% rate), then </w:t>
            </w:r>
          </w:p>
        </w:tc>
        <w:tc>
          <w:tcPr>
            <w:tcW w:w="1730" w:type="dxa"/>
          </w:tcPr>
          <w:p w14:paraId="78B16D14" w14:textId="77777777" w:rsidR="00494B49" w:rsidRDefault="00494B49">
            <w:r>
              <w:lastRenderedPageBreak/>
              <w:t xml:space="preserve">First, net gain from the 28% long-term </w:t>
            </w:r>
            <w:r>
              <w:lastRenderedPageBreak/>
              <w:t>capital gain class, then</w:t>
            </w:r>
          </w:p>
        </w:tc>
      </w:tr>
      <w:tr w:rsidR="00965E39" w14:paraId="19626CAB" w14:textId="225F981B" w:rsidTr="00965E39">
        <w:tc>
          <w:tcPr>
            <w:tcW w:w="2561" w:type="dxa"/>
          </w:tcPr>
          <w:p w14:paraId="623714DC" w14:textId="77777777" w:rsidR="00494B49" w:rsidRDefault="00494B49"/>
        </w:tc>
        <w:tc>
          <w:tcPr>
            <w:tcW w:w="2919" w:type="dxa"/>
          </w:tcPr>
          <w:p w14:paraId="76281815" w14:textId="77777777" w:rsidR="00494B49" w:rsidRDefault="00494B49"/>
        </w:tc>
        <w:tc>
          <w:tcPr>
            <w:tcW w:w="2140" w:type="dxa"/>
          </w:tcPr>
          <w:p w14:paraId="7B30C780" w14:textId="77777777" w:rsidR="00494B49" w:rsidRDefault="00494B49">
            <w:r>
              <w:t>– Net gain from the 28% long-term capital gain class that is net investment income (31.8% rate), then</w:t>
            </w:r>
          </w:p>
        </w:tc>
        <w:tc>
          <w:tcPr>
            <w:tcW w:w="1730" w:type="dxa"/>
            <w:shd w:val="clear" w:color="auto" w:fill="auto"/>
          </w:tcPr>
          <w:p w14:paraId="485B054C" w14:textId="77777777" w:rsidR="00965E39" w:rsidRDefault="00965E39"/>
        </w:tc>
      </w:tr>
      <w:tr w:rsidR="00494B49" w14:paraId="6C5E2E4B" w14:textId="77777777" w:rsidTr="00965E39">
        <w:tc>
          <w:tcPr>
            <w:tcW w:w="2561" w:type="dxa"/>
          </w:tcPr>
          <w:p w14:paraId="6FEF96A3" w14:textId="77777777" w:rsidR="00494B49" w:rsidRDefault="00494B49"/>
        </w:tc>
        <w:tc>
          <w:tcPr>
            <w:tcW w:w="2919" w:type="dxa"/>
          </w:tcPr>
          <w:p w14:paraId="5572E619" w14:textId="77777777" w:rsidR="00494B49" w:rsidRDefault="00494B49"/>
        </w:tc>
        <w:tc>
          <w:tcPr>
            <w:tcW w:w="2140" w:type="dxa"/>
          </w:tcPr>
          <w:p w14:paraId="33F222BA"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tcPr>
          <w:p w14:paraId="6B2B04A5"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w:t>
            </w:r>
          </w:p>
        </w:tc>
      </w:tr>
      <w:tr w:rsidR="00965E39" w14:paraId="4BC026AE" w14:textId="66E70501" w:rsidTr="00965E39">
        <w:tc>
          <w:tcPr>
            <w:tcW w:w="2561" w:type="dxa"/>
          </w:tcPr>
          <w:p w14:paraId="7422D2ED" w14:textId="77777777" w:rsidR="00494B49" w:rsidRDefault="00494B49"/>
        </w:tc>
        <w:tc>
          <w:tcPr>
            <w:tcW w:w="2919" w:type="dxa"/>
          </w:tcPr>
          <w:p w14:paraId="7702CCA6" w14:textId="77777777" w:rsidR="00494B49" w:rsidRDefault="00494B49"/>
        </w:tc>
        <w:tc>
          <w:tcPr>
            <w:tcW w:w="2140" w:type="dxa"/>
          </w:tcPr>
          <w:p w14:paraId="4171F491" w14:textId="77777777" w:rsidR="00494B49" w:rsidRDefault="00494B49">
            <w:r>
              <w:t>– Net gain from the 28% long-term capital gain class that is Excluded Income (28% rate), then</w:t>
            </w:r>
          </w:p>
        </w:tc>
        <w:tc>
          <w:tcPr>
            <w:tcW w:w="1730" w:type="dxa"/>
            <w:shd w:val="clear" w:color="auto" w:fill="auto"/>
          </w:tcPr>
          <w:p w14:paraId="47B7F3BE" w14:textId="77777777" w:rsidR="00965E39" w:rsidRDefault="00965E39"/>
        </w:tc>
      </w:tr>
      <w:tr w:rsidR="00965E39" w14:paraId="57F754CB" w14:textId="770EADF1" w:rsidTr="00965E39">
        <w:tc>
          <w:tcPr>
            <w:tcW w:w="2561" w:type="dxa"/>
          </w:tcPr>
          <w:p w14:paraId="2598D068" w14:textId="77777777" w:rsidR="00494B49" w:rsidRDefault="00494B49"/>
        </w:tc>
        <w:tc>
          <w:tcPr>
            <w:tcW w:w="2919" w:type="dxa"/>
          </w:tcPr>
          <w:p w14:paraId="727FEE89" w14:textId="77777777" w:rsidR="00494B49" w:rsidRDefault="00494B49"/>
        </w:tc>
        <w:tc>
          <w:tcPr>
            <w:tcW w:w="2140" w:type="dxa"/>
          </w:tcPr>
          <w:p w14:paraId="30EEE5EC"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tcPr>
          <w:p w14:paraId="0933E24D" w14:textId="77777777" w:rsidR="00965E39" w:rsidRDefault="00965E39"/>
        </w:tc>
      </w:tr>
      <w:tr w:rsidR="00494B49" w14:paraId="3BA8B9CB" w14:textId="77777777" w:rsidTr="00965E39">
        <w:tc>
          <w:tcPr>
            <w:tcW w:w="2561" w:type="dxa"/>
          </w:tcPr>
          <w:p w14:paraId="467CC337" w14:textId="77777777" w:rsidR="00494B49" w:rsidRDefault="00494B49"/>
        </w:tc>
        <w:tc>
          <w:tcPr>
            <w:tcW w:w="2919" w:type="dxa"/>
          </w:tcPr>
          <w:p w14:paraId="3B59FC28" w14:textId="77777777" w:rsidR="00494B49" w:rsidRDefault="00494B49"/>
        </w:tc>
        <w:tc>
          <w:tcPr>
            <w:tcW w:w="2140" w:type="dxa"/>
          </w:tcPr>
          <w:p w14:paraId="062B68F2" w14:textId="77777777" w:rsidR="00494B49" w:rsidRDefault="00494B49">
            <w:r>
              <w:t>– Net gain from the all other long-term capital gain class that is net investment income (23.8% rate), and finally</w:t>
            </w:r>
          </w:p>
        </w:tc>
        <w:tc>
          <w:tcPr>
            <w:tcW w:w="1730" w:type="dxa"/>
          </w:tcPr>
          <w:p w14:paraId="4A65BA4B" w14:textId="77777777" w:rsidR="00494B49" w:rsidRDefault="00494B49">
            <w:r>
              <w:t>Net gain from the all other long-term capital gain class, and finally</w:t>
            </w:r>
          </w:p>
        </w:tc>
      </w:tr>
      <w:tr w:rsidR="00965E39" w14:paraId="34E9CEF2" w14:textId="267D5F3E" w:rsidTr="00965E39">
        <w:tc>
          <w:tcPr>
            <w:tcW w:w="2561" w:type="dxa"/>
          </w:tcPr>
          <w:p w14:paraId="52EC85D3" w14:textId="77777777" w:rsidR="00494B49" w:rsidRDefault="00494B49"/>
        </w:tc>
        <w:tc>
          <w:tcPr>
            <w:tcW w:w="2919" w:type="dxa"/>
          </w:tcPr>
          <w:p w14:paraId="56D6CAC4" w14:textId="77777777" w:rsidR="00494B49" w:rsidRDefault="00494B49"/>
        </w:tc>
        <w:tc>
          <w:tcPr>
            <w:tcW w:w="2140" w:type="dxa"/>
          </w:tcPr>
          <w:p w14:paraId="092D9640" w14:textId="77777777" w:rsidR="00494B49" w:rsidRDefault="00494B49">
            <w:r>
              <w:t>– Net gain from the all other long-term capital gain class that is Excluded Income (20% rate).</w:t>
            </w:r>
          </w:p>
        </w:tc>
        <w:tc>
          <w:tcPr>
            <w:tcW w:w="1730" w:type="dxa"/>
            <w:shd w:val="clear" w:color="auto" w:fill="auto"/>
          </w:tcPr>
          <w:p w14:paraId="32BB9B00" w14:textId="77777777" w:rsidR="00965E39" w:rsidRDefault="00965E39"/>
        </w:tc>
      </w:tr>
      <w:tr w:rsidR="00965E39" w14:paraId="3E9B7810" w14:textId="1C0F76F6" w:rsidTr="00965E39">
        <w:tc>
          <w:tcPr>
            <w:tcW w:w="2561" w:type="dxa"/>
          </w:tcPr>
          <w:p w14:paraId="08B4EE83" w14:textId="77777777" w:rsidR="00494B49" w:rsidRDefault="00494B49"/>
        </w:tc>
        <w:tc>
          <w:tcPr>
            <w:tcW w:w="2919" w:type="dxa"/>
          </w:tcPr>
          <w:p w14:paraId="202ECDD7" w14:textId="77777777" w:rsidR="00494B49" w:rsidRDefault="00494B49">
            <w:r>
              <w:t>(b) A net short-term capital loss that is Excluded Income (39.6% rate) is applied to reduce the net short-term and net long-term capital gain classes as follows:</w:t>
            </w:r>
          </w:p>
        </w:tc>
        <w:tc>
          <w:tcPr>
            <w:tcW w:w="2140" w:type="dxa"/>
            <w:shd w:val="clear" w:color="auto" w:fill="auto"/>
          </w:tcPr>
          <w:p w14:paraId="51BB5DEF" w14:textId="77777777" w:rsidR="00965E39" w:rsidRDefault="00965E39"/>
        </w:tc>
        <w:tc>
          <w:tcPr>
            <w:tcW w:w="1730" w:type="dxa"/>
            <w:shd w:val="clear" w:color="auto" w:fill="auto"/>
          </w:tcPr>
          <w:p w14:paraId="18538CBE" w14:textId="77777777" w:rsidR="00965E39" w:rsidRDefault="00965E39"/>
        </w:tc>
      </w:tr>
      <w:tr w:rsidR="00494B49" w14:paraId="197DDC84" w14:textId="77777777" w:rsidTr="00965E39">
        <w:tc>
          <w:tcPr>
            <w:tcW w:w="2561" w:type="dxa"/>
          </w:tcPr>
          <w:p w14:paraId="6D59D82C" w14:textId="77777777" w:rsidR="00494B49" w:rsidRDefault="00494B49"/>
        </w:tc>
        <w:tc>
          <w:tcPr>
            <w:tcW w:w="2919" w:type="dxa"/>
          </w:tcPr>
          <w:p w14:paraId="2AC71270" w14:textId="77777777" w:rsidR="00494B49" w:rsidRDefault="00494B49"/>
        </w:tc>
        <w:tc>
          <w:tcPr>
            <w:tcW w:w="2140" w:type="dxa"/>
          </w:tcPr>
          <w:p w14:paraId="321B0F4E" w14:textId="77777777" w:rsidR="00494B49" w:rsidRDefault="00494B49">
            <w:r>
              <w:t xml:space="preserve">– First, short-term capital gain class that is net investment income (43.4% rate), then </w:t>
            </w:r>
          </w:p>
        </w:tc>
        <w:tc>
          <w:tcPr>
            <w:tcW w:w="1730" w:type="dxa"/>
          </w:tcPr>
          <w:p w14:paraId="5326FB27" w14:textId="77777777" w:rsidR="00494B49" w:rsidRDefault="00494B49"/>
        </w:tc>
      </w:tr>
      <w:tr w:rsidR="00494B49" w14:paraId="61870D8B" w14:textId="77777777" w:rsidTr="00965E39">
        <w:tc>
          <w:tcPr>
            <w:tcW w:w="2561" w:type="dxa"/>
          </w:tcPr>
          <w:p w14:paraId="0C816329" w14:textId="77777777" w:rsidR="00494B49" w:rsidRDefault="00494B49"/>
        </w:tc>
        <w:tc>
          <w:tcPr>
            <w:tcW w:w="2919" w:type="dxa"/>
          </w:tcPr>
          <w:p w14:paraId="5AC5E001" w14:textId="77777777" w:rsidR="00494B49" w:rsidRDefault="00494B49"/>
        </w:tc>
        <w:tc>
          <w:tcPr>
            <w:tcW w:w="2140" w:type="dxa"/>
          </w:tcPr>
          <w:p w14:paraId="742F6478" w14:textId="77777777" w:rsidR="00494B49" w:rsidRDefault="00494B49">
            <w:r>
              <w:t>– Net gain from the 28% long-term capital gain class that is net investment income (31.8% rate), then</w:t>
            </w:r>
          </w:p>
        </w:tc>
        <w:tc>
          <w:tcPr>
            <w:tcW w:w="1730" w:type="dxa"/>
          </w:tcPr>
          <w:p w14:paraId="592E5531" w14:textId="77777777" w:rsidR="00494B49" w:rsidRDefault="00494B49">
            <w:r>
              <w:t>First, net gain from the 28% long-term capital gain class, then</w:t>
            </w:r>
          </w:p>
        </w:tc>
      </w:tr>
      <w:tr w:rsidR="00965E39" w14:paraId="5BE14D7F" w14:textId="584B128A" w:rsidTr="00965E39">
        <w:tc>
          <w:tcPr>
            <w:tcW w:w="2561" w:type="dxa"/>
          </w:tcPr>
          <w:p w14:paraId="151F780C" w14:textId="77777777" w:rsidR="00494B49" w:rsidRDefault="00494B49"/>
        </w:tc>
        <w:tc>
          <w:tcPr>
            <w:tcW w:w="2919" w:type="dxa"/>
          </w:tcPr>
          <w:p w14:paraId="734D2312" w14:textId="77777777" w:rsidR="00494B49" w:rsidRDefault="00494B49"/>
        </w:tc>
        <w:tc>
          <w:tcPr>
            <w:tcW w:w="2140" w:type="dxa"/>
          </w:tcPr>
          <w:p w14:paraId="71476B03"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531316D7" w14:textId="77777777" w:rsidR="00965E39" w:rsidRDefault="00965E39"/>
        </w:tc>
      </w:tr>
      <w:tr w:rsidR="00494B49" w14:paraId="28FB2994" w14:textId="77777777" w:rsidTr="00965E39">
        <w:tc>
          <w:tcPr>
            <w:tcW w:w="2561" w:type="dxa"/>
          </w:tcPr>
          <w:p w14:paraId="6D66E144" w14:textId="77777777" w:rsidR="00494B49" w:rsidRDefault="00494B49"/>
        </w:tc>
        <w:tc>
          <w:tcPr>
            <w:tcW w:w="2919" w:type="dxa"/>
          </w:tcPr>
          <w:p w14:paraId="1EDCEFA2" w14:textId="77777777" w:rsidR="00494B49" w:rsidRDefault="00494B49"/>
        </w:tc>
        <w:tc>
          <w:tcPr>
            <w:tcW w:w="2140" w:type="dxa"/>
          </w:tcPr>
          <w:p w14:paraId="1CE1CC22" w14:textId="77777777" w:rsidR="00494B49" w:rsidRDefault="00494B49">
            <w:r>
              <w:t>– Net gain from the 28% long-term capital gain class that is Excluded Income (28% rate), then</w:t>
            </w:r>
          </w:p>
        </w:tc>
        <w:tc>
          <w:tcPr>
            <w:tcW w:w="1730" w:type="dxa"/>
          </w:tcPr>
          <w:p w14:paraId="1D60E342"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 finally</w:t>
            </w:r>
          </w:p>
        </w:tc>
      </w:tr>
      <w:tr w:rsidR="00965E39" w14:paraId="600C52FA" w14:textId="1E6026BA" w:rsidTr="00965E39">
        <w:tc>
          <w:tcPr>
            <w:tcW w:w="2561" w:type="dxa"/>
          </w:tcPr>
          <w:p w14:paraId="4676DAFF" w14:textId="77777777" w:rsidR="00494B49" w:rsidRDefault="00494B49"/>
        </w:tc>
        <w:tc>
          <w:tcPr>
            <w:tcW w:w="2919" w:type="dxa"/>
          </w:tcPr>
          <w:p w14:paraId="58BC465F" w14:textId="77777777" w:rsidR="00494B49" w:rsidRDefault="00494B49"/>
        </w:tc>
        <w:tc>
          <w:tcPr>
            <w:tcW w:w="2140" w:type="dxa"/>
          </w:tcPr>
          <w:p w14:paraId="49E48D44"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tcPr>
          <w:p w14:paraId="69BA6145" w14:textId="77777777" w:rsidR="00965E39" w:rsidRDefault="00965E39"/>
        </w:tc>
      </w:tr>
      <w:tr w:rsidR="00494B49" w14:paraId="4014676A" w14:textId="77777777" w:rsidTr="00965E39">
        <w:tc>
          <w:tcPr>
            <w:tcW w:w="2561" w:type="dxa"/>
          </w:tcPr>
          <w:p w14:paraId="53D82287" w14:textId="77777777" w:rsidR="00494B49" w:rsidRDefault="00494B49"/>
        </w:tc>
        <w:tc>
          <w:tcPr>
            <w:tcW w:w="2919" w:type="dxa"/>
          </w:tcPr>
          <w:p w14:paraId="25B1697D" w14:textId="77777777" w:rsidR="00494B49" w:rsidRDefault="00494B49"/>
        </w:tc>
        <w:tc>
          <w:tcPr>
            <w:tcW w:w="2140" w:type="dxa"/>
          </w:tcPr>
          <w:p w14:paraId="2228AF16" w14:textId="77777777" w:rsidR="00494B49" w:rsidRDefault="00494B49">
            <w:r>
              <w:t>– Net gain from the all other long-term capital gain class that is net investment income (23.8% rate), and finally</w:t>
            </w:r>
          </w:p>
        </w:tc>
        <w:tc>
          <w:tcPr>
            <w:tcW w:w="1730" w:type="dxa"/>
          </w:tcPr>
          <w:p w14:paraId="0DD1AE32" w14:textId="77777777" w:rsidR="00494B49" w:rsidRDefault="00494B49">
            <w:r>
              <w:t>Net gain from the all other long-term capital gain class.</w:t>
            </w:r>
          </w:p>
        </w:tc>
      </w:tr>
      <w:tr w:rsidR="00965E39" w14:paraId="394D618F" w14:textId="2E327AA5" w:rsidTr="00965E39">
        <w:tc>
          <w:tcPr>
            <w:tcW w:w="2561" w:type="dxa"/>
          </w:tcPr>
          <w:p w14:paraId="69D030A3" w14:textId="77777777" w:rsidR="00494B49" w:rsidRDefault="00494B49"/>
        </w:tc>
        <w:tc>
          <w:tcPr>
            <w:tcW w:w="2919" w:type="dxa"/>
          </w:tcPr>
          <w:p w14:paraId="72E6C2F7" w14:textId="77777777" w:rsidR="00494B49" w:rsidRDefault="00494B49"/>
        </w:tc>
        <w:tc>
          <w:tcPr>
            <w:tcW w:w="2140" w:type="dxa"/>
          </w:tcPr>
          <w:p w14:paraId="19D27133" w14:textId="77777777" w:rsidR="00494B49" w:rsidRDefault="00494B49">
            <w:r>
              <w:t>– Net gain from the all other long-term capital gain class that is Excluded Income (20% rate).</w:t>
            </w:r>
          </w:p>
        </w:tc>
        <w:tc>
          <w:tcPr>
            <w:tcW w:w="1730" w:type="dxa"/>
            <w:shd w:val="clear" w:color="auto" w:fill="auto"/>
          </w:tcPr>
          <w:p w14:paraId="6197D8F7" w14:textId="77777777" w:rsidR="00965E39" w:rsidRDefault="00965E39"/>
        </w:tc>
      </w:tr>
      <w:tr w:rsidR="00965E39" w14:paraId="1FB5934B" w14:textId="798765D5" w:rsidTr="00965E39">
        <w:tc>
          <w:tcPr>
            <w:tcW w:w="2561" w:type="dxa"/>
          </w:tcPr>
          <w:p w14:paraId="68A46EFB" w14:textId="77777777" w:rsidR="00494B49" w:rsidRDefault="00494B49">
            <w:r>
              <w:t>(3)</w:t>
            </w:r>
          </w:p>
        </w:tc>
        <w:tc>
          <w:tcPr>
            <w:tcW w:w="2919" w:type="dxa"/>
          </w:tcPr>
          <w:p w14:paraId="074290B1" w14:textId="77777777" w:rsidR="00494B49" w:rsidRDefault="00494B49">
            <w:r>
              <w:t>An overall net long-term capital loss reduces any net short-term capital gain as follows:</w:t>
            </w:r>
          </w:p>
        </w:tc>
        <w:tc>
          <w:tcPr>
            <w:tcW w:w="2140" w:type="dxa"/>
            <w:shd w:val="clear" w:color="auto" w:fill="auto"/>
          </w:tcPr>
          <w:p w14:paraId="49EBE39A" w14:textId="77777777" w:rsidR="00965E39" w:rsidRDefault="00965E39"/>
        </w:tc>
        <w:tc>
          <w:tcPr>
            <w:tcW w:w="1730" w:type="dxa"/>
            <w:shd w:val="clear" w:color="auto" w:fill="auto"/>
          </w:tcPr>
          <w:p w14:paraId="5A5A82E1" w14:textId="77777777" w:rsidR="00965E39" w:rsidRDefault="00965E39"/>
        </w:tc>
      </w:tr>
      <w:tr w:rsidR="00494B49" w14:paraId="2097D75B" w14:textId="77777777" w:rsidTr="00965E39">
        <w:tc>
          <w:tcPr>
            <w:tcW w:w="2561" w:type="dxa"/>
          </w:tcPr>
          <w:p w14:paraId="13E0788B" w14:textId="77777777" w:rsidR="00494B49" w:rsidRDefault="00494B49"/>
        </w:tc>
        <w:tc>
          <w:tcPr>
            <w:tcW w:w="2919" w:type="dxa"/>
          </w:tcPr>
          <w:p w14:paraId="257D2D3C" w14:textId="77777777" w:rsidR="00494B49" w:rsidRDefault="00494B49"/>
        </w:tc>
        <w:tc>
          <w:tcPr>
            <w:tcW w:w="2140" w:type="dxa"/>
          </w:tcPr>
          <w:p w14:paraId="4E3D2E3D" w14:textId="77777777" w:rsidR="00494B49" w:rsidRDefault="00494B49">
            <w:r>
              <w:t>– First, any net short-term capital gain that is net investment income (43.4% rate), then</w:t>
            </w:r>
          </w:p>
        </w:tc>
        <w:tc>
          <w:tcPr>
            <w:tcW w:w="1730" w:type="dxa"/>
          </w:tcPr>
          <w:p w14:paraId="1C23B307" w14:textId="77777777" w:rsidR="00494B49" w:rsidRDefault="00494B49">
            <w:r>
              <w:t>Overall net long-term capital loss reduces any net short-term capital gain</w:t>
            </w:r>
          </w:p>
        </w:tc>
      </w:tr>
      <w:tr w:rsidR="00965E39" w14:paraId="4D6B132A" w14:textId="5D5BDE28" w:rsidTr="00965E39">
        <w:tc>
          <w:tcPr>
            <w:tcW w:w="2561" w:type="dxa"/>
          </w:tcPr>
          <w:p w14:paraId="7C2D804B" w14:textId="77777777" w:rsidR="00494B49" w:rsidRDefault="00494B49"/>
        </w:tc>
        <w:tc>
          <w:tcPr>
            <w:tcW w:w="2919" w:type="dxa"/>
          </w:tcPr>
          <w:p w14:paraId="789FACF6" w14:textId="77777777" w:rsidR="00494B49" w:rsidRDefault="00494B49"/>
        </w:tc>
        <w:tc>
          <w:tcPr>
            <w:tcW w:w="2140" w:type="dxa"/>
          </w:tcPr>
          <w:p w14:paraId="20BB52FA" w14:textId="77777777" w:rsidR="00494B49" w:rsidRDefault="00494B49">
            <w:r>
              <w:t>– Any net short-term capital gain that is Excluded Income (39.6% rate).</w:t>
            </w:r>
          </w:p>
        </w:tc>
        <w:tc>
          <w:tcPr>
            <w:tcW w:w="1730" w:type="dxa"/>
            <w:shd w:val="clear" w:color="auto" w:fill="auto"/>
          </w:tcPr>
          <w:p w14:paraId="28669E5E" w14:textId="77777777" w:rsidR="00965E39" w:rsidRDefault="00965E39"/>
        </w:tc>
      </w:tr>
    </w:tbl>
    <w:p w14:paraId="1FCB2400" w14:textId="77777777" w:rsidR="00494B49" w:rsidRDefault="00494B49">
      <w:pPr>
        <w:pStyle w:val="BNormal"/>
      </w:pPr>
    </w:p>
    <w:p w14:paraId="4F30E380" w14:textId="77777777" w:rsidR="00494B49" w:rsidRDefault="00494B49">
      <w:pPr>
        <w:pStyle w:val="BHead4"/>
      </w:pPr>
      <w:r>
        <w:t>(4) Application of the Loss Carryover Rules</w:t>
      </w:r>
    </w:p>
    <w:p w14:paraId="219474A0" w14:textId="77777777" w:rsidR="00494B49" w:rsidRDefault="00494B49" w:rsidP="00144640">
      <w:pPr>
        <w:pStyle w:val="BNormal"/>
      </w:pPr>
      <w:r>
        <w:t xml:space="preserve">Reg. </w:t>
      </w:r>
      <w:smartTag w:uri="http://www.bna.com/sgml2word/cite" w:element="cite.cfr">
        <w:smartTagPr>
          <w:attr w:name="ref" w:val="cfr\26\1.664-1(d)(1)(iii)(a)"/>
        </w:smartTagPr>
        <w:r>
          <w:t>§1.664-1(d)(1)(iii)(a)</w:t>
        </w:r>
      </w:smartTag>
      <w:r>
        <w:t xml:space="preserve"> provides that ordinary losses in the current year are used first to reduce undistributed ordinary income for prior years that is in the same class as the loss. Any excess is then used to reduce current and undistributed ordinary income from other classes, beginning with the class subject to the highest federal income tax rate and ending with the class subject to the lowest rate. If any further excess remains, it is carried forward indefinitely to reduce ordinary income in future years. If a CRT has a net loss or net gain at the end of the tax year after applying Reg. </w:t>
      </w:r>
      <w:smartTag w:uri="http://www.bna.com/sgml2word/cite" w:element="cite.cfr">
        <w:smartTagPr>
          <w:attr w:name="ref" w:val="cfr\26\1.664-1(d)(1)(iv)"/>
        </w:smartTagPr>
        <w:r>
          <w:t>§1.664-1(d)(1)(iv)</w:t>
        </w:r>
      </w:smartTag>
      <w:r>
        <w:t xml:space="preserve"> and the gain or loss is not treated as distributed from the capital gains category under the Reg. </w:t>
      </w:r>
      <w:smartTag w:uri="http://www.bna.com/sgml2word/cite" w:element="cite.cfr">
        <w:smartTagPr>
          <w:attr w:name="ref" w:val="cfr\26\1.664-1(d)(1)(ii)(a)"/>
        </w:smartTagPr>
        <w:r>
          <w:t>§1.664-1(d)(1)(ii)(a)</w:t>
        </w:r>
      </w:smartTag>
      <w:r>
        <w:t xml:space="preserve"> tier provisions, then Reg. </w:t>
      </w:r>
      <w:smartTag w:uri="http://www.bna.com/sgml2word/cite" w:element="cite.cfr">
        <w:smartTagPr>
          <w:attr w:name="ref" w:val="cfr\26\1.664-1(d)(1)(v)"/>
        </w:smartTagPr>
        <w:r>
          <w:t>§1.664-1(d)(1)(v)</w:t>
        </w:r>
      </w:smartTag>
      <w:r>
        <w:t xml:space="preserve"> provides that such net gain or loss is carried forward to succeeding tax years. It retains its character as gain or loss from its particular class in the succeeding years. The following chart, an excerpt from the 2017 </w:t>
      </w:r>
      <w:smartTag w:uri="http://www.bna.com/sgml2word/cite" w:element="cite.fed.form">
        <w:smartTagPr>
          <w:attr w:name="ref" w:val="irs\form5227"/>
        </w:smartTagPr>
        <w:r>
          <w:t>Form 5227 Instruction</w:t>
        </w:r>
      </w:smartTag>
      <w:r>
        <w:t>s,</w:t>
      </w:r>
      <w:r>
        <w:rPr>
          <w:rStyle w:val="FootnoteReference"/>
        </w:rPr>
        <w:footnoteReference w:id="1150"/>
      </w:r>
      <w:r>
        <w:t xml:space="preserve"> illustrates the differences in the loss carryover rules between the two methods:</w:t>
      </w:r>
    </w:p>
    <w:p w14:paraId="574AF0C5" w14:textId="77777777" w:rsidR="00494B49" w:rsidRDefault="00494B49" w:rsidP="00144640">
      <w:pPr>
        <w:pStyle w:val="BNormal"/>
      </w:pPr>
    </w:p>
    <w:tbl>
      <w:tblPr>
        <w:tblStyle w:val="TableGrid"/>
        <w:tblW w:w="0" w:type="auto"/>
        <w:tblLook w:val="04A0" w:firstRow="1" w:lastRow="0" w:firstColumn="1" w:lastColumn="0" w:noHBand="0" w:noVBand="1"/>
      </w:tblPr>
      <w:tblGrid>
        <w:gridCol w:w="4314"/>
        <w:gridCol w:w="1416"/>
        <w:gridCol w:w="1970"/>
        <w:gridCol w:w="1650"/>
      </w:tblGrid>
      <w:tr w:rsidR="00494B49" w14:paraId="44AC3B8C" w14:textId="77777777" w:rsidTr="00965E39">
        <w:tc>
          <w:tcPr>
            <w:tcW w:w="4314" w:type="dxa"/>
          </w:tcPr>
          <w:p w14:paraId="71039CD1" w14:textId="77777777" w:rsidR="00494B49" w:rsidRDefault="00494B49"/>
        </w:tc>
        <w:tc>
          <w:tcPr>
            <w:tcW w:w="1416" w:type="dxa"/>
          </w:tcPr>
          <w:p w14:paraId="32A3E34E" w14:textId="77777777" w:rsidR="00494B49" w:rsidRDefault="00494B49"/>
        </w:tc>
        <w:tc>
          <w:tcPr>
            <w:tcW w:w="1970" w:type="dxa"/>
          </w:tcPr>
          <w:p w14:paraId="5453F808" w14:textId="77777777" w:rsidR="00494B49" w:rsidRDefault="00494B49">
            <w:r>
              <w:t xml:space="preserve"> </w:t>
            </w:r>
            <w:r>
              <w:rPr>
                <w:b/>
              </w:rPr>
              <w:t>Section 664 Method</w:t>
            </w:r>
          </w:p>
        </w:tc>
        <w:tc>
          <w:tcPr>
            <w:tcW w:w="1650" w:type="dxa"/>
          </w:tcPr>
          <w:p w14:paraId="345F3CCC" w14:textId="77777777" w:rsidR="00494B49" w:rsidRDefault="00494B49">
            <w:r>
              <w:t xml:space="preserve"> </w:t>
            </w:r>
            <w:r>
              <w:rPr>
                <w:b/>
              </w:rPr>
              <w:t>SNIIC Election Method</w:t>
            </w:r>
          </w:p>
        </w:tc>
      </w:tr>
      <w:tr w:rsidR="00494B49" w14:paraId="10DBBC6C" w14:textId="77777777" w:rsidTr="00965E39">
        <w:trPr>
          <w:gridAfter w:val="3"/>
          <w:wAfter w:w="5036" w:type="dxa"/>
        </w:trPr>
        <w:tc>
          <w:tcPr>
            <w:tcW w:w="4314" w:type="dxa"/>
          </w:tcPr>
          <w:p w14:paraId="1E7530BE" w14:textId="77777777" w:rsidR="00494B49" w:rsidRDefault="00494B49">
            <w:r>
              <w:t xml:space="preserve">If the trust has capital losses that exceed capital gains for any tax year: </w:t>
            </w:r>
          </w:p>
        </w:tc>
      </w:tr>
      <w:tr w:rsidR="00494B49" w14:paraId="18CAED64" w14:textId="77777777" w:rsidTr="00965E39">
        <w:tc>
          <w:tcPr>
            <w:tcW w:w="4314" w:type="dxa"/>
          </w:tcPr>
          <w:p w14:paraId="58D83514" w14:textId="77777777" w:rsidR="00494B49" w:rsidRDefault="00494B49"/>
        </w:tc>
        <w:tc>
          <w:tcPr>
            <w:tcW w:w="1416" w:type="dxa"/>
          </w:tcPr>
          <w:p w14:paraId="797922CB" w14:textId="77777777" w:rsidR="00494B49" w:rsidRDefault="00494B49"/>
        </w:tc>
        <w:tc>
          <w:tcPr>
            <w:tcW w:w="1970" w:type="dxa"/>
          </w:tcPr>
          <w:p w14:paraId="3738C07B" w14:textId="77777777" w:rsidR="00494B49" w:rsidRDefault="00494B49">
            <w:r>
              <w:t xml:space="preserve">– The excess of the 43.4% rate net short-term capital loss over the net long-term capital gain for that year is a 43.4% rate short-term capital </w:t>
            </w:r>
            <w:r>
              <w:lastRenderedPageBreak/>
              <w:t>loss carryover to the next tax year.</w:t>
            </w:r>
          </w:p>
        </w:tc>
        <w:tc>
          <w:tcPr>
            <w:tcW w:w="1650" w:type="dxa"/>
          </w:tcPr>
          <w:p w14:paraId="173CF68B" w14:textId="77777777" w:rsidR="00494B49" w:rsidRDefault="00494B49">
            <w:r>
              <w:lastRenderedPageBreak/>
              <w:t xml:space="preserve">The excess of the net short-term capital loss over the net long-term capital gain for that year is a short-term capital </w:t>
            </w:r>
            <w:r>
              <w:lastRenderedPageBreak/>
              <w:t xml:space="preserve">loss carryover to the next tax year. </w:t>
            </w:r>
          </w:p>
        </w:tc>
      </w:tr>
      <w:tr w:rsidR="00965E39" w14:paraId="24548784" w14:textId="03D63CF7" w:rsidTr="00965E39">
        <w:tc>
          <w:tcPr>
            <w:tcW w:w="4314" w:type="dxa"/>
          </w:tcPr>
          <w:p w14:paraId="3C01E654" w14:textId="77777777" w:rsidR="00494B49" w:rsidRDefault="00494B49"/>
        </w:tc>
        <w:tc>
          <w:tcPr>
            <w:tcW w:w="1416" w:type="dxa"/>
          </w:tcPr>
          <w:p w14:paraId="2FEDE58E" w14:textId="77777777" w:rsidR="00494B49" w:rsidRDefault="00494B49"/>
        </w:tc>
        <w:tc>
          <w:tcPr>
            <w:tcW w:w="1970" w:type="dxa"/>
          </w:tcPr>
          <w:p w14:paraId="548C4589" w14:textId="77777777" w:rsidR="00494B49" w:rsidRDefault="00494B49">
            <w:r>
              <w:t xml:space="preserve">– The excess of the 39.6% rate net short-term capital loss over the net long-term capital gain for that year is a 39.6% rate short-term capital loss carryover to the next tax year. </w:t>
            </w:r>
          </w:p>
        </w:tc>
        <w:tc>
          <w:tcPr>
            <w:tcW w:w="1650" w:type="dxa"/>
            <w:shd w:val="clear" w:color="auto" w:fill="auto"/>
          </w:tcPr>
          <w:p w14:paraId="4CED87C7" w14:textId="77777777" w:rsidR="00965E39" w:rsidRDefault="00965E39"/>
        </w:tc>
      </w:tr>
      <w:tr w:rsidR="00494B49" w14:paraId="6D326A31" w14:textId="77777777" w:rsidTr="00965E39">
        <w:tc>
          <w:tcPr>
            <w:tcW w:w="4314" w:type="dxa"/>
          </w:tcPr>
          <w:p w14:paraId="59DF9843" w14:textId="77777777" w:rsidR="00494B49" w:rsidRDefault="00494B49"/>
        </w:tc>
        <w:tc>
          <w:tcPr>
            <w:tcW w:w="1416" w:type="dxa"/>
          </w:tcPr>
          <w:p w14:paraId="71E11CDA" w14:textId="77777777" w:rsidR="00494B49" w:rsidRDefault="00494B49"/>
        </w:tc>
        <w:tc>
          <w:tcPr>
            <w:tcW w:w="1970" w:type="dxa"/>
          </w:tcPr>
          <w:p w14:paraId="641CC138" w14:textId="77777777" w:rsidR="00494B49" w:rsidRDefault="00494B49">
            <w:r>
              <w:t>– The excess of the 23.8% net long-term capital loss over the net short-term capital gain for that year is a 23.8% long-term capital loss carryover to the next tax year.</w:t>
            </w:r>
          </w:p>
        </w:tc>
        <w:tc>
          <w:tcPr>
            <w:tcW w:w="1650" w:type="dxa"/>
          </w:tcPr>
          <w:p w14:paraId="3E2D5C15" w14:textId="77777777" w:rsidR="00494B49" w:rsidRDefault="00494B49">
            <w:r>
              <w:t>The excess of the net long-term capital loss over the net short-term capital gain for that year is a long-term capital loss carryover to the next tax year.</w:t>
            </w:r>
          </w:p>
        </w:tc>
      </w:tr>
      <w:tr w:rsidR="00965E39" w14:paraId="78537048" w14:textId="4F7EB209" w:rsidTr="00965E39">
        <w:tc>
          <w:tcPr>
            <w:tcW w:w="4314" w:type="dxa"/>
          </w:tcPr>
          <w:p w14:paraId="4220CE77" w14:textId="77777777" w:rsidR="00494B49" w:rsidRDefault="00494B49"/>
        </w:tc>
        <w:tc>
          <w:tcPr>
            <w:tcW w:w="1416" w:type="dxa"/>
          </w:tcPr>
          <w:p w14:paraId="7F9D7E06" w14:textId="77777777" w:rsidR="00494B49" w:rsidRDefault="00494B49"/>
        </w:tc>
        <w:tc>
          <w:tcPr>
            <w:tcW w:w="1970" w:type="dxa"/>
          </w:tcPr>
          <w:p w14:paraId="57F8A15E" w14:textId="77777777" w:rsidR="00494B49" w:rsidRDefault="00494B49">
            <w:r>
              <w:t>– The excess of the 20% net long-term capital loss over the net short-term capital gain for that year is a 20% long-term capital loss carryover to the next tax year.</w:t>
            </w:r>
          </w:p>
        </w:tc>
        <w:tc>
          <w:tcPr>
            <w:tcW w:w="1650" w:type="dxa"/>
            <w:shd w:val="clear" w:color="auto" w:fill="auto"/>
          </w:tcPr>
          <w:p w14:paraId="4A80EDD1" w14:textId="77777777" w:rsidR="00965E39" w:rsidRDefault="00965E39"/>
        </w:tc>
      </w:tr>
      <w:tr w:rsidR="00494B49" w14:paraId="1CA91BDC" w14:textId="77777777" w:rsidTr="00965E39">
        <w:trPr>
          <w:gridAfter w:val="3"/>
          <w:wAfter w:w="5036" w:type="dxa"/>
        </w:trPr>
        <w:tc>
          <w:tcPr>
            <w:tcW w:w="4314" w:type="dxa"/>
          </w:tcPr>
          <w:p w14:paraId="340771E5" w14:textId="77777777" w:rsidR="00494B49" w:rsidRDefault="00494B49">
            <w:r>
              <w:t xml:space="preserve">If the trust has capital gains that exceed capital losses for any tax year: </w:t>
            </w:r>
          </w:p>
        </w:tc>
      </w:tr>
      <w:tr w:rsidR="00494B49" w14:paraId="72686F96" w14:textId="77777777" w:rsidTr="00965E39">
        <w:tc>
          <w:tcPr>
            <w:tcW w:w="4314" w:type="dxa"/>
          </w:tcPr>
          <w:p w14:paraId="1E9E8D35" w14:textId="77777777" w:rsidR="00494B49" w:rsidRDefault="00494B49"/>
        </w:tc>
        <w:tc>
          <w:tcPr>
            <w:tcW w:w="1416" w:type="dxa"/>
          </w:tcPr>
          <w:p w14:paraId="439BEC44" w14:textId="77777777" w:rsidR="00494B49" w:rsidRDefault="00494B49"/>
        </w:tc>
        <w:tc>
          <w:tcPr>
            <w:tcW w:w="1970" w:type="dxa"/>
          </w:tcPr>
          <w:p w14:paraId="4FC3C784" w14:textId="77777777" w:rsidR="00494B49" w:rsidRDefault="00494B49">
            <w:r>
              <w:t>– The excess of the 43.4% rate net short-term capital gain over the net long-term capital loss for that year is, to the extent not deemed distributed, a 43.4% rate short-term capital gain carryover to the next tax year.</w:t>
            </w:r>
          </w:p>
        </w:tc>
        <w:tc>
          <w:tcPr>
            <w:tcW w:w="1650" w:type="dxa"/>
          </w:tcPr>
          <w:p w14:paraId="24C9F27D" w14:textId="77777777" w:rsidR="00494B49" w:rsidRDefault="00494B49">
            <w:r>
              <w:t>The excess of the net short-term capital gain over the net long-term capital loss for that year is, to the extent not deemed distributed, a short-term capital gain carryover to the next tax year.</w:t>
            </w:r>
          </w:p>
        </w:tc>
      </w:tr>
      <w:tr w:rsidR="00965E39" w14:paraId="1FCD87B8" w14:textId="4F305001" w:rsidTr="00965E39">
        <w:tc>
          <w:tcPr>
            <w:tcW w:w="4314" w:type="dxa"/>
          </w:tcPr>
          <w:p w14:paraId="2B8DC6F4" w14:textId="77777777" w:rsidR="00494B49" w:rsidRDefault="00494B49"/>
        </w:tc>
        <w:tc>
          <w:tcPr>
            <w:tcW w:w="1416" w:type="dxa"/>
          </w:tcPr>
          <w:p w14:paraId="7916430C" w14:textId="77777777" w:rsidR="00494B49" w:rsidRDefault="00494B49"/>
        </w:tc>
        <w:tc>
          <w:tcPr>
            <w:tcW w:w="1970" w:type="dxa"/>
          </w:tcPr>
          <w:p w14:paraId="66171D57" w14:textId="77777777" w:rsidR="00494B49" w:rsidRDefault="00494B49">
            <w:r>
              <w:t>– The excess of the 39.6% rate net short-term capital gain over the net long-term capital loss for that year is, to the extent not deemed distributed, a 39.6% rate short-term capital gain carryover to the next tax year.</w:t>
            </w:r>
          </w:p>
        </w:tc>
        <w:tc>
          <w:tcPr>
            <w:tcW w:w="1650" w:type="dxa"/>
            <w:shd w:val="clear" w:color="auto" w:fill="auto"/>
          </w:tcPr>
          <w:p w14:paraId="0B7A117B" w14:textId="77777777" w:rsidR="00965E39" w:rsidRDefault="00965E39"/>
        </w:tc>
      </w:tr>
      <w:tr w:rsidR="00494B49" w14:paraId="4310347D" w14:textId="77777777" w:rsidTr="00965E39">
        <w:tc>
          <w:tcPr>
            <w:tcW w:w="4314" w:type="dxa"/>
          </w:tcPr>
          <w:p w14:paraId="2ADC7403" w14:textId="77777777" w:rsidR="00494B49" w:rsidRDefault="00494B49"/>
        </w:tc>
        <w:tc>
          <w:tcPr>
            <w:tcW w:w="1416" w:type="dxa"/>
          </w:tcPr>
          <w:p w14:paraId="665B6C95" w14:textId="77777777" w:rsidR="00494B49" w:rsidRDefault="00494B49"/>
        </w:tc>
        <w:tc>
          <w:tcPr>
            <w:tcW w:w="1970" w:type="dxa"/>
          </w:tcPr>
          <w:p w14:paraId="5C6173A2" w14:textId="77777777" w:rsidR="00494B49" w:rsidRDefault="00494B49">
            <w:r>
              <w:t xml:space="preserve">– The excess of the 31.8% rate net long-term capital gain over the net short-term capital loss for that </w:t>
            </w:r>
            <w:r>
              <w:lastRenderedPageBreak/>
              <w:t>year is, to the extent not deemed distributed, a 31.8% rate long-term capital gain carryover to the next tax year.</w:t>
            </w:r>
          </w:p>
        </w:tc>
        <w:tc>
          <w:tcPr>
            <w:tcW w:w="1650" w:type="dxa"/>
          </w:tcPr>
          <w:p w14:paraId="219DF016" w14:textId="77777777" w:rsidR="00494B49" w:rsidRDefault="00494B49">
            <w:r>
              <w:lastRenderedPageBreak/>
              <w:t xml:space="preserve">The excess of the net long-term capital gain over the net short-term capital loss for </w:t>
            </w:r>
            <w:r>
              <w:lastRenderedPageBreak/>
              <w:t>that year is, to the extent not deemed distributed, a long-term capital gain carryover to the next tax year.</w:t>
            </w:r>
          </w:p>
        </w:tc>
      </w:tr>
      <w:tr w:rsidR="00965E39" w14:paraId="0ABCB565" w14:textId="40D4E1B7" w:rsidTr="00965E39">
        <w:tc>
          <w:tcPr>
            <w:tcW w:w="4314" w:type="dxa"/>
          </w:tcPr>
          <w:p w14:paraId="5FBA7799" w14:textId="77777777" w:rsidR="00494B49" w:rsidRDefault="00494B49"/>
        </w:tc>
        <w:tc>
          <w:tcPr>
            <w:tcW w:w="1416" w:type="dxa"/>
          </w:tcPr>
          <w:p w14:paraId="0F8B20C5" w14:textId="77777777" w:rsidR="00494B49" w:rsidRDefault="00494B49"/>
        </w:tc>
        <w:tc>
          <w:tcPr>
            <w:tcW w:w="1970" w:type="dxa"/>
          </w:tcPr>
          <w:p w14:paraId="6774E687" w14:textId="77777777" w:rsidR="00494B49" w:rsidRDefault="00494B49">
            <w:r>
              <w:t>– The excess of the 28.8% rate net long-term capital gain over the net short-term capital loss for that year is, to the extent not deemed distributed, a 28.8% rate long-term capital gain carryover to the next tax year.</w:t>
            </w:r>
          </w:p>
        </w:tc>
        <w:tc>
          <w:tcPr>
            <w:tcW w:w="1650" w:type="dxa"/>
            <w:shd w:val="clear" w:color="auto" w:fill="auto"/>
          </w:tcPr>
          <w:p w14:paraId="41E408B7" w14:textId="77777777" w:rsidR="00965E39" w:rsidRDefault="00965E39"/>
        </w:tc>
      </w:tr>
      <w:tr w:rsidR="00965E39" w14:paraId="2C4E0359" w14:textId="0F61ED8C" w:rsidTr="00965E39">
        <w:tc>
          <w:tcPr>
            <w:tcW w:w="4314" w:type="dxa"/>
          </w:tcPr>
          <w:p w14:paraId="048789D5" w14:textId="77777777" w:rsidR="00494B49" w:rsidRDefault="00494B49"/>
        </w:tc>
        <w:tc>
          <w:tcPr>
            <w:tcW w:w="1416" w:type="dxa"/>
          </w:tcPr>
          <w:p w14:paraId="5EBF7550" w14:textId="77777777" w:rsidR="00494B49" w:rsidRDefault="00494B49"/>
        </w:tc>
        <w:tc>
          <w:tcPr>
            <w:tcW w:w="1970" w:type="dxa"/>
          </w:tcPr>
          <w:p w14:paraId="72045C18" w14:textId="77777777" w:rsidR="00494B49" w:rsidRDefault="00494B49">
            <w:r>
              <w:t>– The excess of the 28% rate net long-term capital gain over the net short-term capital loss for that year is, to the extent not deemed distributed, a 28% rate long-term capital gain carryover to the next tax year.</w:t>
            </w:r>
          </w:p>
        </w:tc>
        <w:tc>
          <w:tcPr>
            <w:tcW w:w="1650" w:type="dxa"/>
            <w:shd w:val="clear" w:color="auto" w:fill="auto"/>
          </w:tcPr>
          <w:p w14:paraId="3AE2CE9B" w14:textId="77777777" w:rsidR="00965E39" w:rsidRDefault="00965E39"/>
        </w:tc>
      </w:tr>
      <w:tr w:rsidR="00965E39" w14:paraId="5EE83D1A" w14:textId="2A1CD35F" w:rsidTr="00965E39">
        <w:tc>
          <w:tcPr>
            <w:tcW w:w="4314" w:type="dxa"/>
          </w:tcPr>
          <w:p w14:paraId="47E34646" w14:textId="77777777" w:rsidR="00494B49" w:rsidRDefault="00494B49"/>
        </w:tc>
        <w:tc>
          <w:tcPr>
            <w:tcW w:w="1416" w:type="dxa"/>
          </w:tcPr>
          <w:p w14:paraId="750BB635" w14:textId="77777777" w:rsidR="00494B49" w:rsidRDefault="00494B49"/>
        </w:tc>
        <w:tc>
          <w:tcPr>
            <w:tcW w:w="1970" w:type="dxa"/>
          </w:tcPr>
          <w:p w14:paraId="5D59F3BB" w14:textId="77777777" w:rsidR="00494B49" w:rsidRDefault="00494B49">
            <w:r>
              <w:t>– The excess of the 25% rate net long-term capital gain over the net short-term capital loss for that year is, to the extent not deemed distributed, a 25% rate long-term capital gain carryover to the next tax year.</w:t>
            </w:r>
          </w:p>
        </w:tc>
        <w:tc>
          <w:tcPr>
            <w:tcW w:w="1650" w:type="dxa"/>
            <w:shd w:val="clear" w:color="auto" w:fill="auto"/>
          </w:tcPr>
          <w:p w14:paraId="2EE5ACCB" w14:textId="77777777" w:rsidR="00965E39" w:rsidRDefault="00965E39"/>
        </w:tc>
      </w:tr>
      <w:tr w:rsidR="004F1258" w14:paraId="06705450" w14:textId="5AAEACB1" w:rsidTr="004F1258">
        <w:tc>
          <w:tcPr>
            <w:tcW w:w="4314" w:type="dxa"/>
          </w:tcPr>
          <w:p w14:paraId="0E7CE511" w14:textId="77777777" w:rsidR="00494B49" w:rsidRDefault="00494B49"/>
        </w:tc>
        <w:tc>
          <w:tcPr>
            <w:tcW w:w="1416" w:type="dxa"/>
          </w:tcPr>
          <w:p w14:paraId="686C6FC0" w14:textId="77777777" w:rsidR="00494B49" w:rsidRDefault="00494B49"/>
        </w:tc>
        <w:tc>
          <w:tcPr>
            <w:tcW w:w="1970" w:type="dxa"/>
          </w:tcPr>
          <w:p w14:paraId="230809E5" w14:textId="77777777" w:rsidR="00494B49" w:rsidRDefault="00494B49">
            <w:r>
              <w:t>– The excess of the 23.8% rate net long-term capital gain over the net short-term capital loss for that year is, to the extent not deemed distributed, a 23.8% rate long-term capital gain carryover to the next tax year.</w:t>
            </w:r>
          </w:p>
        </w:tc>
        <w:tc>
          <w:tcPr>
            <w:tcW w:w="1650" w:type="dxa"/>
            <w:shd w:val="clear" w:color="auto" w:fill="auto"/>
          </w:tcPr>
          <w:p w14:paraId="7A23FB3B" w14:textId="77777777" w:rsidR="004F1258" w:rsidRDefault="004F1258"/>
        </w:tc>
      </w:tr>
      <w:tr w:rsidR="004F1258" w14:paraId="4FBBB6B3" w14:textId="516A0D14" w:rsidTr="004F1258">
        <w:tc>
          <w:tcPr>
            <w:tcW w:w="4314" w:type="dxa"/>
          </w:tcPr>
          <w:p w14:paraId="1E5F246E" w14:textId="77777777" w:rsidR="00494B49" w:rsidRDefault="00494B49"/>
        </w:tc>
        <w:tc>
          <w:tcPr>
            <w:tcW w:w="1416" w:type="dxa"/>
          </w:tcPr>
          <w:p w14:paraId="43055F9C" w14:textId="77777777" w:rsidR="00494B49" w:rsidRDefault="00494B49"/>
        </w:tc>
        <w:tc>
          <w:tcPr>
            <w:tcW w:w="1970" w:type="dxa"/>
          </w:tcPr>
          <w:p w14:paraId="4031C0BC" w14:textId="77777777" w:rsidR="00494B49" w:rsidRDefault="00494B49">
            <w:r>
              <w:t xml:space="preserve">– The excess of the 20% rate net long-term capital gain over the net short-term capital loss for that year is, to the extent not deemed </w:t>
            </w:r>
            <w:r>
              <w:lastRenderedPageBreak/>
              <w:t>distributed, a 20% rate long-term capital gain carryover to the next tax year.</w:t>
            </w:r>
          </w:p>
        </w:tc>
        <w:tc>
          <w:tcPr>
            <w:tcW w:w="1650" w:type="dxa"/>
            <w:shd w:val="clear" w:color="auto" w:fill="auto"/>
          </w:tcPr>
          <w:p w14:paraId="6C84A1D6" w14:textId="77777777" w:rsidR="004F1258" w:rsidRDefault="004F1258"/>
        </w:tc>
      </w:tr>
    </w:tbl>
    <w:p w14:paraId="6F5CD906" w14:textId="77777777" w:rsidR="00494B49" w:rsidRDefault="00494B49">
      <w:pPr>
        <w:pStyle w:val="BNormal"/>
      </w:pPr>
    </w:p>
    <w:p w14:paraId="57FEBFE0" w14:textId="77777777" w:rsidR="00494B49" w:rsidRDefault="00494B49">
      <w:pPr>
        <w:pStyle w:val="BHead3"/>
      </w:pPr>
      <w:r>
        <w:t>c. Decision Factors for Simplified Method</w:t>
      </w:r>
    </w:p>
    <w:p w14:paraId="6313E896" w14:textId="77777777" w:rsidR="00494B49" w:rsidRDefault="00494B49">
      <w:pPr>
        <w:pStyle w:val="BNormal"/>
      </w:pPr>
      <w:r>
        <w:t xml:space="preserve">In addition to the differences in the loss ordering rules discussed immediately above, there are a few additional factors that may be relevant in analyzing whether the CRT should elect the Simplified Method. </w:t>
      </w:r>
    </w:p>
    <w:p w14:paraId="0DCEB822" w14:textId="77777777" w:rsidR="00494B49" w:rsidRDefault="00494B49">
      <w:pPr>
        <w:pStyle w:val="BHead4"/>
      </w:pPr>
      <w:r>
        <w:t>(1) New CRTs — Current and Future Income Likely to Be Net Investment Income</w:t>
      </w:r>
    </w:p>
    <w:p w14:paraId="4E7AAA92" w14:textId="77777777" w:rsidR="00494B49" w:rsidRDefault="00494B49">
      <w:pPr>
        <w:pStyle w:val="BNormal"/>
      </w:pPr>
      <w:r>
        <w:t xml:space="preserve">If, upon formation of a new CRT, it is anticipated that all current and future income will be net investment income to the beneficiary when distributed, and all expenses will be deductible in calculating regular taxable income and net investment income, the Simplified Method is unlikely to produce a result different from the </w:t>
      </w:r>
      <w:smartTag w:uri="http://www.bna.com/sgml2word/cite" w:element="cite.usc">
        <w:smartTagPr>
          <w:attr w:name="ref" w:val="USC\26\664"/>
        </w:smartTagPr>
        <w:r>
          <w:t>§664</w:t>
        </w:r>
      </w:smartTag>
      <w:r>
        <w:t xml:space="preserve"> Method. In this case, the ultimate distributions to the beneficiary will be fully taxable for regular tax purposes and included in net investment income in the same year, and in the same amounts, so the taxability to the beneficiary will be substantially similar, if not identical, under both methods. Therefore, the trustee should look to other factors discussed below. </w:t>
      </w:r>
    </w:p>
    <w:p w14:paraId="52EE820C" w14:textId="77777777" w:rsidR="00494B49" w:rsidRDefault="00494B49">
      <w:pPr>
        <w:pStyle w:val="BHead4"/>
      </w:pPr>
      <w:r>
        <w:t>(2) CRTs with Unrealized Losses</w:t>
      </w:r>
    </w:p>
    <w:p w14:paraId="22FFEC7D" w14:textId="77777777" w:rsidR="00494B49" w:rsidRDefault="00494B49">
      <w:pPr>
        <w:pStyle w:val="BNormal"/>
      </w:pPr>
      <w:r>
        <w:t xml:space="preserve">Because the Simplified Method calculates the net investment income in a vacuum each year, a CRT with unrealized losses (especially capital losses) will be able to offset net investment income from interest and dividends. The Simplified Method is particularly valuable when the CRT has large undistributed capital gains and unrealized capital losses. The benefit of the Simplified Method in this situation is best illustrated in the following example: </w:t>
      </w:r>
    </w:p>
    <w:p w14:paraId="4F2040FD" w14:textId="77777777" w:rsidR="00494B49" w:rsidRDefault="00494B49" w:rsidP="00144640">
      <w:pPr>
        <w:pStyle w:val="BExamplepara"/>
      </w:pPr>
      <w:r>
        <w:rPr>
          <w:rStyle w:val="BExamplehead"/>
          <w:rFonts w:eastAsiaTheme="minorHAnsi"/>
          <w:i/>
        </w:rPr>
        <w:t>Example:</w:t>
      </w:r>
      <w:r>
        <w:t xml:space="preserve"> Assume that a CRAT has $5 million in undistributed long-term gain from a year preceding Year 1 (which is, therefore, Excluded Income to the beneficiary if, and when, distributed). In addition, the trust’s annual income from interest and dividends (both qualified and nonqualified) is $100,000, and the CRT realizes $125,000 of capital losses from its investment portfolio (deductible for net investment income tax purposes). The annual required annuity payment is $110,000. </w:t>
      </w:r>
    </w:p>
    <w:p w14:paraId="236A11FD"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38"/>
        <w:gridCol w:w="2420"/>
        <w:gridCol w:w="2492"/>
        <w:gridCol w:w="2000"/>
      </w:tblGrid>
      <w:tr w:rsidR="00494B49" w14:paraId="74C3768E" w14:textId="77777777">
        <w:trPr>
          <w:gridAfter w:val="1"/>
          <w:wAfter w:w="2520" w:type="dxa"/>
        </w:trPr>
        <w:tc>
          <w:tcPr>
            <w:tcW w:w="3360" w:type="dxa"/>
          </w:tcPr>
          <w:p w14:paraId="3740D5DA" w14:textId="77777777" w:rsidR="00494B49" w:rsidRDefault="00494B49"/>
        </w:tc>
        <w:tc>
          <w:tcPr>
            <w:tcW w:w="3360" w:type="dxa"/>
          </w:tcPr>
          <w:p w14:paraId="4D58D5D9" w14:textId="77777777" w:rsidR="00494B49" w:rsidRDefault="00494B49">
            <w:r>
              <w:t xml:space="preserve"> </w:t>
            </w:r>
            <w:r>
              <w:rPr>
                <w:b/>
              </w:rPr>
              <w:t>Section 664 Method</w:t>
            </w:r>
          </w:p>
        </w:tc>
        <w:tc>
          <w:tcPr>
            <w:tcW w:w="3360" w:type="dxa"/>
          </w:tcPr>
          <w:p w14:paraId="6410D4E0" w14:textId="77777777" w:rsidR="00494B49" w:rsidRDefault="00494B49">
            <w:r>
              <w:t xml:space="preserve"> </w:t>
            </w:r>
            <w:r>
              <w:rPr>
                <w:b/>
              </w:rPr>
              <w:t>Simplified Method</w:t>
            </w:r>
          </w:p>
        </w:tc>
      </w:tr>
      <w:tr w:rsidR="00494B49" w14:paraId="417DEBC1" w14:textId="77777777">
        <w:tc>
          <w:tcPr>
            <w:tcW w:w="2520" w:type="dxa"/>
          </w:tcPr>
          <w:p w14:paraId="09A815FB" w14:textId="77777777" w:rsidR="00494B49" w:rsidRDefault="00494B49"/>
        </w:tc>
        <w:tc>
          <w:tcPr>
            <w:tcW w:w="2520" w:type="dxa"/>
          </w:tcPr>
          <w:p w14:paraId="10600358" w14:textId="77777777" w:rsidR="00494B49" w:rsidRDefault="00494B49">
            <w:r>
              <w:t>Excluded Income</w:t>
            </w:r>
          </w:p>
        </w:tc>
        <w:tc>
          <w:tcPr>
            <w:tcW w:w="2520" w:type="dxa"/>
          </w:tcPr>
          <w:p w14:paraId="4E6D138B" w14:textId="77777777" w:rsidR="00494B49" w:rsidRDefault="00494B49">
            <w:r>
              <w:t>Accumulated NII</w:t>
            </w:r>
          </w:p>
        </w:tc>
        <w:tc>
          <w:tcPr>
            <w:tcW w:w="2520" w:type="dxa"/>
          </w:tcPr>
          <w:p w14:paraId="4993ADC3" w14:textId="77777777" w:rsidR="00494B49" w:rsidRDefault="00494B49">
            <w:r>
              <w:t>Accumulated NII</w:t>
            </w:r>
          </w:p>
        </w:tc>
      </w:tr>
      <w:tr w:rsidR="00494B49" w14:paraId="1EAD3000" w14:textId="77777777">
        <w:tc>
          <w:tcPr>
            <w:tcW w:w="2520" w:type="dxa"/>
          </w:tcPr>
          <w:p w14:paraId="16CA23C2" w14:textId="77777777" w:rsidR="00494B49" w:rsidRDefault="00494B49">
            <w:r>
              <w:t>Beginning Balance 1/1/Year 1</w:t>
            </w:r>
          </w:p>
        </w:tc>
        <w:tc>
          <w:tcPr>
            <w:tcW w:w="2520" w:type="dxa"/>
          </w:tcPr>
          <w:p w14:paraId="63CA7861" w14:textId="77777777" w:rsidR="00494B49" w:rsidRDefault="00494B49">
            <w:r>
              <w:t>$5,000,000</w:t>
            </w:r>
          </w:p>
        </w:tc>
        <w:tc>
          <w:tcPr>
            <w:tcW w:w="2520" w:type="dxa"/>
          </w:tcPr>
          <w:p w14:paraId="69791633" w14:textId="77777777" w:rsidR="00494B49" w:rsidRDefault="00494B49">
            <w:r>
              <w:t>$0</w:t>
            </w:r>
          </w:p>
        </w:tc>
        <w:tc>
          <w:tcPr>
            <w:tcW w:w="2520" w:type="dxa"/>
          </w:tcPr>
          <w:p w14:paraId="6555911F" w14:textId="77777777" w:rsidR="00494B49" w:rsidRDefault="00494B49">
            <w:r>
              <w:t>$0</w:t>
            </w:r>
          </w:p>
        </w:tc>
      </w:tr>
      <w:tr w:rsidR="00494B49" w14:paraId="26C8E21A" w14:textId="77777777">
        <w:tc>
          <w:tcPr>
            <w:tcW w:w="2520" w:type="dxa"/>
          </w:tcPr>
          <w:p w14:paraId="75172C64" w14:textId="77777777" w:rsidR="00494B49" w:rsidRDefault="00494B49">
            <w:r>
              <w:t xml:space="preserve">Interest and </w:t>
            </w:r>
            <w:r>
              <w:br/>
              <w:t>Dividends</w:t>
            </w:r>
          </w:p>
        </w:tc>
        <w:tc>
          <w:tcPr>
            <w:tcW w:w="2520" w:type="dxa"/>
          </w:tcPr>
          <w:p w14:paraId="150EE19B" w14:textId="77777777" w:rsidR="00494B49" w:rsidRDefault="00494B49"/>
        </w:tc>
        <w:tc>
          <w:tcPr>
            <w:tcW w:w="2520" w:type="dxa"/>
          </w:tcPr>
          <w:p w14:paraId="76F1B2B9" w14:textId="77777777" w:rsidR="00494B49" w:rsidRDefault="00494B49">
            <w:r>
              <w:t>$100,000</w:t>
            </w:r>
          </w:p>
        </w:tc>
        <w:tc>
          <w:tcPr>
            <w:tcW w:w="2520" w:type="dxa"/>
          </w:tcPr>
          <w:p w14:paraId="316264FC" w14:textId="77777777" w:rsidR="00494B49" w:rsidRDefault="00494B49">
            <w:r>
              <w:t>$100,000</w:t>
            </w:r>
          </w:p>
        </w:tc>
      </w:tr>
      <w:tr w:rsidR="00494B49" w14:paraId="5974D0BE" w14:textId="77777777">
        <w:tc>
          <w:tcPr>
            <w:tcW w:w="2520" w:type="dxa"/>
          </w:tcPr>
          <w:p w14:paraId="0396CF06" w14:textId="77777777" w:rsidR="00494B49" w:rsidRDefault="00494B49">
            <w:r>
              <w:t>Realized Capital Losses</w:t>
            </w:r>
          </w:p>
        </w:tc>
        <w:tc>
          <w:tcPr>
            <w:tcW w:w="2520" w:type="dxa"/>
          </w:tcPr>
          <w:p w14:paraId="4B90C8E9" w14:textId="77777777" w:rsidR="00494B49" w:rsidRDefault="00494B49">
            <w:r>
              <w:t>($125,000)</w:t>
            </w:r>
          </w:p>
        </w:tc>
        <w:tc>
          <w:tcPr>
            <w:tcW w:w="2520" w:type="dxa"/>
          </w:tcPr>
          <w:p w14:paraId="0C78612C" w14:textId="77777777" w:rsidR="00494B49" w:rsidRDefault="00494B49">
            <w:r>
              <w:t>$0</w:t>
            </w:r>
          </w:p>
        </w:tc>
        <w:tc>
          <w:tcPr>
            <w:tcW w:w="2520" w:type="dxa"/>
          </w:tcPr>
          <w:p w14:paraId="01349640" w14:textId="77777777" w:rsidR="00494B49" w:rsidRDefault="00494B49">
            <w:r>
              <w:t>($125,000)</w:t>
            </w:r>
          </w:p>
        </w:tc>
      </w:tr>
      <w:tr w:rsidR="00494B49" w14:paraId="43EEB11A" w14:textId="77777777">
        <w:tc>
          <w:tcPr>
            <w:tcW w:w="2520" w:type="dxa"/>
          </w:tcPr>
          <w:p w14:paraId="7178EB67" w14:textId="77777777" w:rsidR="00494B49" w:rsidRDefault="00494B49">
            <w:r>
              <w:t>Ending Balance 12/31/Year 1</w:t>
            </w:r>
          </w:p>
        </w:tc>
        <w:tc>
          <w:tcPr>
            <w:tcW w:w="2520" w:type="dxa"/>
          </w:tcPr>
          <w:p w14:paraId="46EBC6AE" w14:textId="77777777" w:rsidR="00494B49" w:rsidRDefault="00494B49">
            <w:r>
              <w:t>$4,875,000</w:t>
            </w:r>
          </w:p>
        </w:tc>
        <w:tc>
          <w:tcPr>
            <w:tcW w:w="2520" w:type="dxa"/>
          </w:tcPr>
          <w:p w14:paraId="5E31C937" w14:textId="77777777" w:rsidR="00494B49" w:rsidRDefault="00494B49">
            <w:r>
              <w:t>$100,000</w:t>
            </w:r>
          </w:p>
        </w:tc>
        <w:tc>
          <w:tcPr>
            <w:tcW w:w="2520" w:type="dxa"/>
          </w:tcPr>
          <w:p w14:paraId="3701322D" w14:textId="77777777" w:rsidR="00494B49" w:rsidRDefault="00494B49">
            <w:r>
              <w:t>($25,000)</w:t>
            </w:r>
          </w:p>
        </w:tc>
      </w:tr>
      <w:tr w:rsidR="00494B49" w14:paraId="498D64C6" w14:textId="77777777">
        <w:tc>
          <w:tcPr>
            <w:tcW w:w="2520" w:type="dxa"/>
          </w:tcPr>
          <w:p w14:paraId="370D1A99" w14:textId="77777777" w:rsidR="00494B49" w:rsidRDefault="00494B49">
            <w:r>
              <w:t xml:space="preserve">Year 1 Beneficiary </w:t>
            </w:r>
            <w:r>
              <w:br/>
              <w:t xml:space="preserve">Distribution </w:t>
            </w:r>
          </w:p>
        </w:tc>
        <w:tc>
          <w:tcPr>
            <w:tcW w:w="2520" w:type="dxa"/>
          </w:tcPr>
          <w:p w14:paraId="0CC2257E" w14:textId="77777777" w:rsidR="00494B49" w:rsidRDefault="00494B49">
            <w:r>
              <w:t>$10,000</w:t>
            </w:r>
          </w:p>
        </w:tc>
        <w:tc>
          <w:tcPr>
            <w:tcW w:w="2520" w:type="dxa"/>
          </w:tcPr>
          <w:p w14:paraId="0F25184F" w14:textId="77777777" w:rsidR="00494B49" w:rsidRDefault="00494B49">
            <w:r>
              <w:t>$100,000</w:t>
            </w:r>
          </w:p>
        </w:tc>
        <w:tc>
          <w:tcPr>
            <w:tcW w:w="2520" w:type="dxa"/>
          </w:tcPr>
          <w:p w14:paraId="1D2257C2" w14:textId="77777777" w:rsidR="00494B49" w:rsidRDefault="00494B49">
            <w:r>
              <w:t>$0</w:t>
            </w:r>
          </w:p>
        </w:tc>
      </w:tr>
    </w:tbl>
    <w:p w14:paraId="505FDBB7" w14:textId="77777777" w:rsidR="00494B49" w:rsidRDefault="00494B49">
      <w:pPr>
        <w:pStyle w:val="BNormal"/>
      </w:pPr>
    </w:p>
    <w:p w14:paraId="087CE8E1" w14:textId="77777777" w:rsidR="00494B49" w:rsidRDefault="00494B49">
      <w:pPr>
        <w:pStyle w:val="BExamplepara"/>
      </w:pPr>
      <w:r>
        <w:lastRenderedPageBreak/>
        <w:t xml:space="preserve">Using the Simplified Method, the beneficiary would have no net investment income associated with the Year 1 distribution because the capital losses would directly offset the interest and dividend income. The CRAT would have negative accumulated net investment income carryforward into Year 2. </w:t>
      </w:r>
    </w:p>
    <w:p w14:paraId="3AFEBAB5" w14:textId="77777777" w:rsidR="00494B49" w:rsidRDefault="00494B49">
      <w:pPr>
        <w:pStyle w:val="BExamplepara"/>
      </w:pPr>
      <w:r>
        <w:t xml:space="preserve">Under the </w:t>
      </w:r>
      <w:smartTag w:uri="http://www.bna.com/sgml2word/cite" w:element="cite.usc">
        <w:smartTagPr>
          <w:attr w:name="ref" w:val="USC\26\664"/>
        </w:smartTagPr>
        <w:r>
          <w:t>§664</w:t>
        </w:r>
      </w:smartTag>
      <w:r>
        <w:t xml:space="preserve"> Method, the capital losses would not offset the interest and dividends in the ordinary income category, and therefore these amounts would represent net investment income to the beneficiary. Furthermore, the capital losses would, using the loss ordering rules described above, offset the $5 million of Excluded Income. Therefore, the beneficiary would have $100,000 of net investment income. </w:t>
      </w:r>
    </w:p>
    <w:p w14:paraId="594D89B8" w14:textId="77777777" w:rsidR="00494B49" w:rsidRDefault="00494B49">
      <w:pPr>
        <w:pStyle w:val="BExamplepara"/>
      </w:pPr>
      <w:r>
        <w:t xml:space="preserve">For regular income tax purposes in Year 1, the beneficiary would receive $100,000 of interest and dividend income and $10,000 of long-term capital gain under both methods. </w:t>
      </w:r>
    </w:p>
    <w:p w14:paraId="0EA93B21" w14:textId="77777777" w:rsidR="00494B49" w:rsidRDefault="00494B49" w:rsidP="00144640">
      <w:pPr>
        <w:pStyle w:val="BExamplepara"/>
      </w:pPr>
      <w:r>
        <w:t xml:space="preserve">Assume for Year 2, the CRAT receives another $100,000 of interest and dividends and recognizes $5,000 of long term capital gain. </w:t>
      </w:r>
    </w:p>
    <w:p w14:paraId="0D4E07F4"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38"/>
        <w:gridCol w:w="2420"/>
        <w:gridCol w:w="2492"/>
        <w:gridCol w:w="2000"/>
      </w:tblGrid>
      <w:tr w:rsidR="00494B49" w14:paraId="06C2663B" w14:textId="77777777">
        <w:trPr>
          <w:gridAfter w:val="1"/>
          <w:wAfter w:w="2520" w:type="dxa"/>
        </w:trPr>
        <w:tc>
          <w:tcPr>
            <w:tcW w:w="3360" w:type="dxa"/>
          </w:tcPr>
          <w:p w14:paraId="0593E081" w14:textId="77777777" w:rsidR="00494B49" w:rsidRDefault="00494B49"/>
        </w:tc>
        <w:tc>
          <w:tcPr>
            <w:tcW w:w="3360" w:type="dxa"/>
          </w:tcPr>
          <w:p w14:paraId="15186592" w14:textId="77777777" w:rsidR="00494B49" w:rsidRDefault="00494B49">
            <w:r>
              <w:t xml:space="preserve"> </w:t>
            </w:r>
            <w:r>
              <w:rPr>
                <w:b/>
              </w:rPr>
              <w:t>Section 664 Method</w:t>
            </w:r>
          </w:p>
        </w:tc>
        <w:tc>
          <w:tcPr>
            <w:tcW w:w="3360" w:type="dxa"/>
          </w:tcPr>
          <w:p w14:paraId="63FD480F" w14:textId="77777777" w:rsidR="00494B49" w:rsidRDefault="00494B49">
            <w:r>
              <w:t xml:space="preserve"> </w:t>
            </w:r>
            <w:r>
              <w:rPr>
                <w:b/>
              </w:rPr>
              <w:t>Simplified Method</w:t>
            </w:r>
          </w:p>
        </w:tc>
      </w:tr>
      <w:tr w:rsidR="00494B49" w14:paraId="3AEC6B2B" w14:textId="77777777">
        <w:tc>
          <w:tcPr>
            <w:tcW w:w="2520" w:type="dxa"/>
          </w:tcPr>
          <w:p w14:paraId="6AD8A5CB" w14:textId="77777777" w:rsidR="00494B49" w:rsidRDefault="00494B49"/>
        </w:tc>
        <w:tc>
          <w:tcPr>
            <w:tcW w:w="2520" w:type="dxa"/>
          </w:tcPr>
          <w:p w14:paraId="145D5E13" w14:textId="77777777" w:rsidR="00494B49" w:rsidRDefault="00494B49">
            <w:r>
              <w:t>Excluded Income</w:t>
            </w:r>
          </w:p>
        </w:tc>
        <w:tc>
          <w:tcPr>
            <w:tcW w:w="2520" w:type="dxa"/>
          </w:tcPr>
          <w:p w14:paraId="5CEEC628" w14:textId="77777777" w:rsidR="00494B49" w:rsidRDefault="00494B49">
            <w:r>
              <w:t>Accumulated NII</w:t>
            </w:r>
          </w:p>
        </w:tc>
        <w:tc>
          <w:tcPr>
            <w:tcW w:w="2520" w:type="dxa"/>
          </w:tcPr>
          <w:p w14:paraId="4F34E2C4" w14:textId="77777777" w:rsidR="00494B49" w:rsidRDefault="00494B49">
            <w:r>
              <w:t>Accumulated NII</w:t>
            </w:r>
          </w:p>
        </w:tc>
      </w:tr>
      <w:tr w:rsidR="00494B49" w14:paraId="4440D1CE" w14:textId="77777777">
        <w:tc>
          <w:tcPr>
            <w:tcW w:w="2520" w:type="dxa"/>
          </w:tcPr>
          <w:p w14:paraId="1AD83507" w14:textId="77777777" w:rsidR="00494B49" w:rsidRDefault="00494B49">
            <w:r>
              <w:t>Beginning Balance 1/1/Year 2</w:t>
            </w:r>
          </w:p>
        </w:tc>
        <w:tc>
          <w:tcPr>
            <w:tcW w:w="2520" w:type="dxa"/>
          </w:tcPr>
          <w:p w14:paraId="7377104D" w14:textId="77777777" w:rsidR="00494B49" w:rsidRDefault="00494B49">
            <w:r>
              <w:t>$4,865,000</w:t>
            </w:r>
          </w:p>
        </w:tc>
        <w:tc>
          <w:tcPr>
            <w:tcW w:w="2520" w:type="dxa"/>
          </w:tcPr>
          <w:p w14:paraId="39B9541B" w14:textId="77777777" w:rsidR="00494B49" w:rsidRDefault="00494B49">
            <w:r>
              <w:t>$0</w:t>
            </w:r>
          </w:p>
        </w:tc>
        <w:tc>
          <w:tcPr>
            <w:tcW w:w="2520" w:type="dxa"/>
          </w:tcPr>
          <w:p w14:paraId="15DC6CA6" w14:textId="77777777" w:rsidR="00494B49" w:rsidRDefault="00494B49">
            <w:r>
              <w:t>($25,000)</w:t>
            </w:r>
          </w:p>
        </w:tc>
      </w:tr>
      <w:tr w:rsidR="00494B49" w14:paraId="4AAC3FA2" w14:textId="77777777">
        <w:tc>
          <w:tcPr>
            <w:tcW w:w="2520" w:type="dxa"/>
          </w:tcPr>
          <w:p w14:paraId="05BD99D7" w14:textId="77777777" w:rsidR="00494B49" w:rsidRDefault="00494B49">
            <w:r>
              <w:t>Interest &amp; Dividends</w:t>
            </w:r>
          </w:p>
        </w:tc>
        <w:tc>
          <w:tcPr>
            <w:tcW w:w="2520" w:type="dxa"/>
          </w:tcPr>
          <w:p w14:paraId="55C383F4" w14:textId="77777777" w:rsidR="00494B49" w:rsidRDefault="00494B49"/>
        </w:tc>
        <w:tc>
          <w:tcPr>
            <w:tcW w:w="2520" w:type="dxa"/>
          </w:tcPr>
          <w:p w14:paraId="48A9FFFB" w14:textId="77777777" w:rsidR="00494B49" w:rsidRDefault="00494B49">
            <w:r>
              <w:t>$100,000</w:t>
            </w:r>
          </w:p>
        </w:tc>
        <w:tc>
          <w:tcPr>
            <w:tcW w:w="2520" w:type="dxa"/>
          </w:tcPr>
          <w:p w14:paraId="3CCE1FF1" w14:textId="77777777" w:rsidR="00494B49" w:rsidRDefault="00494B49">
            <w:r>
              <w:t>$100,000</w:t>
            </w:r>
          </w:p>
        </w:tc>
      </w:tr>
      <w:tr w:rsidR="00494B49" w14:paraId="599DBF08" w14:textId="77777777">
        <w:tc>
          <w:tcPr>
            <w:tcW w:w="2520" w:type="dxa"/>
          </w:tcPr>
          <w:p w14:paraId="4D1216F2" w14:textId="77777777" w:rsidR="00494B49" w:rsidRDefault="00494B49">
            <w:r>
              <w:t>Realized Capital Gains</w:t>
            </w:r>
          </w:p>
        </w:tc>
        <w:tc>
          <w:tcPr>
            <w:tcW w:w="2520" w:type="dxa"/>
          </w:tcPr>
          <w:p w14:paraId="4A072DBC" w14:textId="77777777" w:rsidR="00494B49" w:rsidRDefault="00494B49"/>
        </w:tc>
        <w:tc>
          <w:tcPr>
            <w:tcW w:w="2520" w:type="dxa"/>
          </w:tcPr>
          <w:p w14:paraId="10726DC0" w14:textId="77777777" w:rsidR="00494B49" w:rsidRDefault="00494B49">
            <w:r>
              <w:t>$5,000</w:t>
            </w:r>
          </w:p>
        </w:tc>
        <w:tc>
          <w:tcPr>
            <w:tcW w:w="2520" w:type="dxa"/>
          </w:tcPr>
          <w:p w14:paraId="10E91A2C" w14:textId="77777777" w:rsidR="00494B49" w:rsidRDefault="00494B49">
            <w:r>
              <w:t>$5,000</w:t>
            </w:r>
          </w:p>
        </w:tc>
      </w:tr>
      <w:tr w:rsidR="00494B49" w14:paraId="581E8048" w14:textId="77777777">
        <w:tc>
          <w:tcPr>
            <w:tcW w:w="2520" w:type="dxa"/>
          </w:tcPr>
          <w:p w14:paraId="13B686D4" w14:textId="77777777" w:rsidR="00494B49" w:rsidRDefault="00494B49">
            <w:r>
              <w:t>Ending Balance 12/31/Year 2</w:t>
            </w:r>
          </w:p>
        </w:tc>
        <w:tc>
          <w:tcPr>
            <w:tcW w:w="2520" w:type="dxa"/>
          </w:tcPr>
          <w:p w14:paraId="5C5F1C3A" w14:textId="77777777" w:rsidR="00494B49" w:rsidRDefault="00494B49">
            <w:r>
              <w:t>$4,865,000</w:t>
            </w:r>
          </w:p>
        </w:tc>
        <w:tc>
          <w:tcPr>
            <w:tcW w:w="2520" w:type="dxa"/>
          </w:tcPr>
          <w:p w14:paraId="47CAB32A" w14:textId="77777777" w:rsidR="00494B49" w:rsidRDefault="00494B49">
            <w:r>
              <w:t>$105,000</w:t>
            </w:r>
          </w:p>
        </w:tc>
        <w:tc>
          <w:tcPr>
            <w:tcW w:w="2520" w:type="dxa"/>
          </w:tcPr>
          <w:p w14:paraId="464820C8" w14:textId="77777777" w:rsidR="00494B49" w:rsidRDefault="00494B49">
            <w:r>
              <w:t>$80,000</w:t>
            </w:r>
          </w:p>
        </w:tc>
      </w:tr>
      <w:tr w:rsidR="00494B49" w14:paraId="68734F5D" w14:textId="77777777">
        <w:tc>
          <w:tcPr>
            <w:tcW w:w="2520" w:type="dxa"/>
          </w:tcPr>
          <w:p w14:paraId="252C2C04" w14:textId="77777777" w:rsidR="00494B49" w:rsidRDefault="00494B49">
            <w:r>
              <w:t xml:space="preserve">Year 2 Beneficiary </w:t>
            </w:r>
            <w:r>
              <w:br/>
              <w:t xml:space="preserve">Distribution </w:t>
            </w:r>
          </w:p>
        </w:tc>
        <w:tc>
          <w:tcPr>
            <w:tcW w:w="2520" w:type="dxa"/>
          </w:tcPr>
          <w:p w14:paraId="2AA15179" w14:textId="77777777" w:rsidR="00494B49" w:rsidRDefault="00494B49">
            <w:r>
              <w:t>$5,000</w:t>
            </w:r>
          </w:p>
        </w:tc>
        <w:tc>
          <w:tcPr>
            <w:tcW w:w="2520" w:type="dxa"/>
          </w:tcPr>
          <w:p w14:paraId="09BF5565" w14:textId="77777777" w:rsidR="00494B49" w:rsidRDefault="00494B49">
            <w:r>
              <w:t>$105,000</w:t>
            </w:r>
          </w:p>
        </w:tc>
        <w:tc>
          <w:tcPr>
            <w:tcW w:w="2520" w:type="dxa"/>
          </w:tcPr>
          <w:p w14:paraId="0C3BAD48" w14:textId="77777777" w:rsidR="00494B49" w:rsidRDefault="00494B49">
            <w:r>
              <w:t>$80,000</w:t>
            </w:r>
          </w:p>
        </w:tc>
      </w:tr>
    </w:tbl>
    <w:p w14:paraId="2AB88312" w14:textId="77777777" w:rsidR="00494B49" w:rsidRDefault="00494B49">
      <w:pPr>
        <w:pStyle w:val="BNormal"/>
      </w:pPr>
    </w:p>
    <w:p w14:paraId="03890CAE" w14:textId="77777777" w:rsidR="00494B49" w:rsidRDefault="00494B49">
      <w:pPr>
        <w:pStyle w:val="BExamplepara"/>
      </w:pPr>
      <w:r>
        <w:t xml:space="preserve">Using the Simplified Method, the beneficiary would have $80,000 of net investment income associated with the Year 2 distribution because the carryover from Year 1 associated with the capital losses would directly offset the Year 2 interest, dividend, and capital gain income. </w:t>
      </w:r>
    </w:p>
    <w:p w14:paraId="3BB81919" w14:textId="77777777" w:rsidR="00494B49" w:rsidRDefault="00494B49">
      <w:pPr>
        <w:pStyle w:val="BExamplepara"/>
      </w:pPr>
      <w:r>
        <w:t xml:space="preserve">Under the </w:t>
      </w:r>
      <w:smartTag w:uri="http://www.bna.com/sgml2word/cite" w:element="cite.usc">
        <w:smartTagPr>
          <w:attr w:name="ref" w:val="USC\26\664"/>
        </w:smartTagPr>
        <w:r>
          <w:t>§664</w:t>
        </w:r>
      </w:smartTag>
      <w:r>
        <w:t xml:space="preserve"> Method, the $5,000 of capital gain is net investment income. There is no mechanism within the regulations for the Year 2 capital gain to “restore” the amount of Excluded Income that the $25,000 capital losses reduced in Year 1. Therefore, the beneficiary would have $105,000 of net investment income. </w:t>
      </w:r>
    </w:p>
    <w:p w14:paraId="20A79C2A" w14:textId="77777777" w:rsidR="00494B49" w:rsidRDefault="00494B49">
      <w:pPr>
        <w:pStyle w:val="BExamplepara"/>
      </w:pPr>
      <w:r>
        <w:t>For regular income tax purposes in Year 2, similar to Year 1, the beneficiary would receive $100,000 of interest and dividend income and $10,000 of long-term capital gain under both methods.</w:t>
      </w:r>
    </w:p>
    <w:p w14:paraId="591EC70E" w14:textId="77777777" w:rsidR="00494B49" w:rsidRDefault="00494B49" w:rsidP="00144640">
      <w:pPr>
        <w:pStyle w:val="BExamplepara"/>
      </w:pPr>
      <w:r>
        <w:t xml:space="preserve">The following chart is a summary of the regular income tax and net investment income reported by the beneficiary over Year 1 and Year 2: </w:t>
      </w:r>
    </w:p>
    <w:p w14:paraId="0CC74F1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152"/>
        <w:gridCol w:w="2127"/>
        <w:gridCol w:w="2184"/>
        <w:gridCol w:w="1468"/>
        <w:gridCol w:w="1419"/>
      </w:tblGrid>
      <w:tr w:rsidR="00494B49" w14:paraId="12E8DFC4" w14:textId="77777777">
        <w:trPr>
          <w:gridAfter w:val="2"/>
          <w:wAfter w:w="4032" w:type="dxa"/>
        </w:trPr>
        <w:tc>
          <w:tcPr>
            <w:tcW w:w="3360" w:type="dxa"/>
          </w:tcPr>
          <w:p w14:paraId="5531C127" w14:textId="77777777" w:rsidR="00494B49" w:rsidRDefault="00494B49"/>
        </w:tc>
        <w:tc>
          <w:tcPr>
            <w:tcW w:w="3360" w:type="dxa"/>
          </w:tcPr>
          <w:p w14:paraId="70CBDDEA" w14:textId="77777777" w:rsidR="00494B49" w:rsidRDefault="00494B49">
            <w:r>
              <w:t xml:space="preserve"> </w:t>
            </w:r>
            <w:r>
              <w:rPr>
                <w:b/>
              </w:rPr>
              <w:t>Section 664 Method</w:t>
            </w:r>
          </w:p>
        </w:tc>
        <w:tc>
          <w:tcPr>
            <w:tcW w:w="3360" w:type="dxa"/>
          </w:tcPr>
          <w:p w14:paraId="580D57A9" w14:textId="77777777" w:rsidR="00494B49" w:rsidRDefault="00494B49">
            <w:r>
              <w:t xml:space="preserve"> </w:t>
            </w:r>
            <w:r>
              <w:rPr>
                <w:b/>
              </w:rPr>
              <w:t>Simplified Method</w:t>
            </w:r>
          </w:p>
        </w:tc>
      </w:tr>
      <w:tr w:rsidR="00494B49" w14:paraId="75E1E679" w14:textId="77777777">
        <w:tc>
          <w:tcPr>
            <w:tcW w:w="2016" w:type="dxa"/>
          </w:tcPr>
          <w:p w14:paraId="0ADD0EDD" w14:textId="77777777" w:rsidR="00494B49" w:rsidRDefault="00494B49"/>
        </w:tc>
        <w:tc>
          <w:tcPr>
            <w:tcW w:w="2016" w:type="dxa"/>
          </w:tcPr>
          <w:p w14:paraId="5D8FF1A6" w14:textId="77777777" w:rsidR="00494B49" w:rsidRDefault="00494B49">
            <w:r>
              <w:t>Regular Tax</w:t>
            </w:r>
          </w:p>
        </w:tc>
        <w:tc>
          <w:tcPr>
            <w:tcW w:w="2016" w:type="dxa"/>
          </w:tcPr>
          <w:p w14:paraId="76366470" w14:textId="77777777" w:rsidR="00494B49" w:rsidRDefault="00494B49">
            <w:r>
              <w:t>NII</w:t>
            </w:r>
          </w:p>
        </w:tc>
        <w:tc>
          <w:tcPr>
            <w:tcW w:w="2016" w:type="dxa"/>
          </w:tcPr>
          <w:p w14:paraId="1FB8158D" w14:textId="77777777" w:rsidR="00494B49" w:rsidRDefault="00494B49">
            <w:r>
              <w:t>Regular Tax</w:t>
            </w:r>
          </w:p>
        </w:tc>
        <w:tc>
          <w:tcPr>
            <w:tcW w:w="2016" w:type="dxa"/>
          </w:tcPr>
          <w:p w14:paraId="741F753F" w14:textId="77777777" w:rsidR="00494B49" w:rsidRDefault="00494B49">
            <w:r>
              <w:t>NII</w:t>
            </w:r>
          </w:p>
        </w:tc>
      </w:tr>
      <w:tr w:rsidR="00494B49" w14:paraId="639DF855" w14:textId="77777777">
        <w:tc>
          <w:tcPr>
            <w:tcW w:w="2016" w:type="dxa"/>
          </w:tcPr>
          <w:p w14:paraId="7653A212" w14:textId="77777777" w:rsidR="00494B49" w:rsidRDefault="00494B49">
            <w:r>
              <w:lastRenderedPageBreak/>
              <w:t xml:space="preserve">Year 1 Interest &amp; </w:t>
            </w:r>
            <w:r>
              <w:br/>
              <w:t>Dividends</w:t>
            </w:r>
          </w:p>
        </w:tc>
        <w:tc>
          <w:tcPr>
            <w:tcW w:w="2016" w:type="dxa"/>
          </w:tcPr>
          <w:p w14:paraId="017D7EF5" w14:textId="77777777" w:rsidR="00494B49" w:rsidRDefault="00494B49">
            <w:r>
              <w:t>$100,000</w:t>
            </w:r>
          </w:p>
        </w:tc>
        <w:tc>
          <w:tcPr>
            <w:tcW w:w="2016" w:type="dxa"/>
          </w:tcPr>
          <w:p w14:paraId="467C3E91" w14:textId="77777777" w:rsidR="00494B49" w:rsidRDefault="00494B49">
            <w:r>
              <w:t>$100,000</w:t>
            </w:r>
          </w:p>
        </w:tc>
        <w:tc>
          <w:tcPr>
            <w:tcW w:w="2016" w:type="dxa"/>
          </w:tcPr>
          <w:p w14:paraId="2779180C" w14:textId="77777777" w:rsidR="00494B49" w:rsidRDefault="00494B49">
            <w:r>
              <w:t>$100,000</w:t>
            </w:r>
          </w:p>
        </w:tc>
        <w:tc>
          <w:tcPr>
            <w:tcW w:w="2016" w:type="dxa"/>
          </w:tcPr>
          <w:p w14:paraId="6B9C3B5B" w14:textId="77777777" w:rsidR="00494B49" w:rsidRDefault="00494B49">
            <w:r>
              <w:t>$0</w:t>
            </w:r>
          </w:p>
        </w:tc>
      </w:tr>
      <w:tr w:rsidR="00494B49" w14:paraId="24488DFF" w14:textId="77777777">
        <w:tc>
          <w:tcPr>
            <w:tcW w:w="2016" w:type="dxa"/>
          </w:tcPr>
          <w:p w14:paraId="3E4CD2D5" w14:textId="77777777" w:rsidR="00494B49" w:rsidRDefault="00494B49">
            <w:r>
              <w:t>Year 1 Long-term Capital Gains</w:t>
            </w:r>
          </w:p>
        </w:tc>
        <w:tc>
          <w:tcPr>
            <w:tcW w:w="2016" w:type="dxa"/>
          </w:tcPr>
          <w:p w14:paraId="24411C2F" w14:textId="77777777" w:rsidR="00494B49" w:rsidRDefault="00494B49">
            <w:r>
              <w:t>$10,000</w:t>
            </w:r>
          </w:p>
        </w:tc>
        <w:tc>
          <w:tcPr>
            <w:tcW w:w="2016" w:type="dxa"/>
          </w:tcPr>
          <w:p w14:paraId="70E2F2A4" w14:textId="77777777" w:rsidR="00494B49" w:rsidRDefault="00494B49"/>
        </w:tc>
        <w:tc>
          <w:tcPr>
            <w:tcW w:w="2016" w:type="dxa"/>
          </w:tcPr>
          <w:p w14:paraId="4D8366ED" w14:textId="77777777" w:rsidR="00494B49" w:rsidRDefault="00494B49">
            <w:r>
              <w:t>$10,000</w:t>
            </w:r>
          </w:p>
        </w:tc>
        <w:tc>
          <w:tcPr>
            <w:tcW w:w="2016" w:type="dxa"/>
          </w:tcPr>
          <w:p w14:paraId="45107AEC" w14:textId="77777777" w:rsidR="00494B49" w:rsidRDefault="00494B49">
            <w:r>
              <w:t>$0</w:t>
            </w:r>
          </w:p>
        </w:tc>
      </w:tr>
      <w:tr w:rsidR="00494B49" w14:paraId="21D730B7" w14:textId="77777777">
        <w:tc>
          <w:tcPr>
            <w:tcW w:w="2016" w:type="dxa"/>
          </w:tcPr>
          <w:p w14:paraId="0E7C3673" w14:textId="77777777" w:rsidR="00494B49" w:rsidRDefault="00494B49">
            <w:r>
              <w:t xml:space="preserve">Year 2 Interest &amp; </w:t>
            </w:r>
            <w:r>
              <w:br/>
              <w:t>Dividends</w:t>
            </w:r>
          </w:p>
        </w:tc>
        <w:tc>
          <w:tcPr>
            <w:tcW w:w="2016" w:type="dxa"/>
          </w:tcPr>
          <w:p w14:paraId="4E417FD7" w14:textId="77777777" w:rsidR="00494B49" w:rsidRDefault="00494B49">
            <w:r>
              <w:t>$100,000</w:t>
            </w:r>
          </w:p>
        </w:tc>
        <w:tc>
          <w:tcPr>
            <w:tcW w:w="2016" w:type="dxa"/>
          </w:tcPr>
          <w:p w14:paraId="41D23F6F" w14:textId="77777777" w:rsidR="00494B49" w:rsidRDefault="00494B49">
            <w:r>
              <w:t>$100,000</w:t>
            </w:r>
          </w:p>
        </w:tc>
        <w:tc>
          <w:tcPr>
            <w:tcW w:w="2016" w:type="dxa"/>
          </w:tcPr>
          <w:p w14:paraId="39D8677B" w14:textId="77777777" w:rsidR="00494B49" w:rsidRDefault="00494B49">
            <w:r>
              <w:t>$100,000</w:t>
            </w:r>
          </w:p>
        </w:tc>
        <w:tc>
          <w:tcPr>
            <w:tcW w:w="2016" w:type="dxa"/>
          </w:tcPr>
          <w:p w14:paraId="3E06B193" w14:textId="77777777" w:rsidR="00494B49" w:rsidRDefault="00494B49">
            <w:r>
              <w:t>$80,000</w:t>
            </w:r>
          </w:p>
        </w:tc>
      </w:tr>
      <w:tr w:rsidR="00494B49" w14:paraId="1B4BB166" w14:textId="77777777">
        <w:tc>
          <w:tcPr>
            <w:tcW w:w="2016" w:type="dxa"/>
          </w:tcPr>
          <w:p w14:paraId="5774ADED" w14:textId="77777777" w:rsidR="00494B49" w:rsidRDefault="00494B49">
            <w:r>
              <w:t>Year 2 Long-term Capital Gains</w:t>
            </w:r>
          </w:p>
        </w:tc>
        <w:tc>
          <w:tcPr>
            <w:tcW w:w="2016" w:type="dxa"/>
          </w:tcPr>
          <w:p w14:paraId="324147F2" w14:textId="77777777" w:rsidR="00494B49" w:rsidRDefault="00494B49">
            <w:r>
              <w:t>$10,000</w:t>
            </w:r>
          </w:p>
        </w:tc>
        <w:tc>
          <w:tcPr>
            <w:tcW w:w="2016" w:type="dxa"/>
          </w:tcPr>
          <w:p w14:paraId="0D71E981" w14:textId="77777777" w:rsidR="00494B49" w:rsidRDefault="00494B49">
            <w:r>
              <w:t>$5,000</w:t>
            </w:r>
          </w:p>
        </w:tc>
        <w:tc>
          <w:tcPr>
            <w:tcW w:w="2016" w:type="dxa"/>
          </w:tcPr>
          <w:p w14:paraId="6617C47D" w14:textId="77777777" w:rsidR="00494B49" w:rsidRDefault="00494B49">
            <w:r>
              <w:t>$10,000</w:t>
            </w:r>
          </w:p>
        </w:tc>
        <w:tc>
          <w:tcPr>
            <w:tcW w:w="2016" w:type="dxa"/>
          </w:tcPr>
          <w:p w14:paraId="38D9EC51" w14:textId="77777777" w:rsidR="00494B49" w:rsidRDefault="00494B49">
            <w:r>
              <w:t>$0</w:t>
            </w:r>
          </w:p>
        </w:tc>
      </w:tr>
      <w:tr w:rsidR="00494B49" w14:paraId="3FD6F98F" w14:textId="77777777">
        <w:tc>
          <w:tcPr>
            <w:tcW w:w="2016" w:type="dxa"/>
          </w:tcPr>
          <w:p w14:paraId="41E164F4" w14:textId="77777777" w:rsidR="00494B49" w:rsidRDefault="00494B49">
            <w:r>
              <w:t>Total Year 1–Year 2</w:t>
            </w:r>
          </w:p>
        </w:tc>
        <w:tc>
          <w:tcPr>
            <w:tcW w:w="2016" w:type="dxa"/>
          </w:tcPr>
          <w:p w14:paraId="7EEAC8BE" w14:textId="77777777" w:rsidR="00494B49" w:rsidRDefault="00494B49">
            <w:r>
              <w:t>$220,000</w:t>
            </w:r>
          </w:p>
        </w:tc>
        <w:tc>
          <w:tcPr>
            <w:tcW w:w="2016" w:type="dxa"/>
          </w:tcPr>
          <w:p w14:paraId="102414A4" w14:textId="77777777" w:rsidR="00494B49" w:rsidRDefault="00494B49">
            <w:r>
              <w:t>$205,000</w:t>
            </w:r>
          </w:p>
        </w:tc>
        <w:tc>
          <w:tcPr>
            <w:tcW w:w="2016" w:type="dxa"/>
          </w:tcPr>
          <w:p w14:paraId="5338958B" w14:textId="77777777" w:rsidR="00494B49" w:rsidRDefault="00494B49">
            <w:r>
              <w:t>$220,000</w:t>
            </w:r>
          </w:p>
        </w:tc>
        <w:tc>
          <w:tcPr>
            <w:tcW w:w="2016" w:type="dxa"/>
          </w:tcPr>
          <w:p w14:paraId="3CCDD7A7" w14:textId="77777777" w:rsidR="00494B49" w:rsidRDefault="00494B49">
            <w:r>
              <w:t>$80,000</w:t>
            </w:r>
          </w:p>
        </w:tc>
      </w:tr>
    </w:tbl>
    <w:p w14:paraId="3530BF43" w14:textId="77777777" w:rsidR="00494B49" w:rsidRDefault="00494B49">
      <w:pPr>
        <w:pStyle w:val="BNormal"/>
      </w:pPr>
    </w:p>
    <w:p w14:paraId="2A263ECA" w14:textId="77777777" w:rsidR="00494B49" w:rsidRDefault="00494B49">
      <w:pPr>
        <w:pStyle w:val="BExamplepara"/>
      </w:pPr>
      <w:r>
        <w:t xml:space="preserve">As shown in the chart, the beneficiary’s aggregate net investment income for Year 1 and Year 2 was only $80,000 under the Simplified Method, compared to $205,000 under the </w:t>
      </w:r>
      <w:smartTag w:uri="http://www.bna.com/sgml2word/cite" w:element="cite.usc">
        <w:smartTagPr>
          <w:attr w:name="ref" w:val="USC\26\664"/>
        </w:smartTagPr>
        <w:r>
          <w:t>§664</w:t>
        </w:r>
      </w:smartTag>
      <w:r>
        <w:t xml:space="preserve"> Method. </w:t>
      </w:r>
    </w:p>
    <w:p w14:paraId="18438FDF" w14:textId="77777777" w:rsidR="00494B49" w:rsidRDefault="00494B49">
      <w:pPr>
        <w:pStyle w:val="BHead4"/>
      </w:pPr>
      <w:r>
        <w:t>(3) CRTs with Direct or Indirect Ownership in CFCs/PFICs</w:t>
      </w:r>
    </w:p>
    <w:p w14:paraId="72F3123C" w14:textId="77777777" w:rsidR="00494B49" w:rsidRDefault="00494B49">
      <w:pPr>
        <w:pStyle w:val="BNormal"/>
      </w:pPr>
      <w:r>
        <w:t xml:space="preserve">As discussed in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xml:space="preserve">, above, the computational rules are extremely complicated for CRTs with ownership interests in certain CFCs and PFICs. This extreme complexity was one of the reasons the Treasury Department and IRS created the Simplified Method. Much of the complexity can be eliminated if the CRT makes a Reg. </w:t>
      </w:r>
      <w:smartTag w:uri="http://www.bna.com/sgml2word/cite" w:element="cite.cfr">
        <w:smartTagPr>
          <w:attr w:name="ref" w:val="cfr\26\1.1411-10(g)"/>
        </w:smartTagPr>
        <w:r>
          <w:t>§1.1411-10(g)</w:t>
        </w:r>
      </w:smartTag>
      <w:r>
        <w:t xml:space="preserve"> election for CFCs and QEFs.</w:t>
      </w:r>
      <w:r>
        <w:rPr>
          <w:rStyle w:val="FootnoteReference"/>
        </w:rPr>
        <w:footnoteReference w:id="1151"/>
      </w:r>
      <w:r>
        <w:t xml:space="preserve"> However, if the CFC and QEF investments are large, and the annual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large, then there is a valid justification to not make the Reg. </w:t>
      </w:r>
      <w:smartTag w:uri="http://www.bna.com/sgml2word/cite" w:element="cite.cfr">
        <w:smartTagPr>
          <w:attr w:name="ref" w:val="cfr\26\1.1411-10(g)"/>
        </w:smartTagPr>
        <w:r>
          <w:t>§1.1411-10(g)</w:t>
        </w:r>
      </w:smartTag>
      <w:r>
        <w:t xml:space="preserve"> election while electing to use the Simplified Method. In this case, the regular income tax rules applicable to the accumulation and distribution of the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applied independent of the net investment income tax rules.</w:t>
      </w:r>
    </w:p>
    <w:p w14:paraId="720F78C9" w14:textId="77777777" w:rsidR="00494B49" w:rsidRDefault="00494B49">
      <w:pPr>
        <w:pStyle w:val="BNormal"/>
      </w:pPr>
      <w:r>
        <w:t xml:space="preserve">Under the Simplified Method, the annual </w:t>
      </w:r>
      <w:smartTag w:uri="http://www.bna.com/sgml2word/cite" w:element="cite.usc">
        <w:smartTagPr>
          <w:attr w:name="ref" w:val="USC\26\951(a)"/>
        </w:smartTagPr>
        <w:r>
          <w:t>§951(a)</w:t>
        </w:r>
      </w:smartTag>
      <w:r>
        <w:t xml:space="preserve"> inclusions and/or </w:t>
      </w:r>
      <w:smartTag w:uri="http://www.bna.com/sgml2word/cite" w:element="cite.usc">
        <w:smartTagPr>
          <w:attr w:name="ref" w:val="USC\26\1293(a)(1)"/>
        </w:smartTagPr>
        <w:r>
          <w:t>§1293(a)(1)</w:t>
        </w:r>
      </w:smartTag>
      <w:r>
        <w:t xml:space="preserve"> inclusions will not be included in net investment income. Under the Simplified Method, the CRTs accumulated net investment income will only take into account the actual distributions from the CFCs and QEFs in the year distributed. This provides a significant deferral opportunity with little additional complexity. This combination could also lead to a permanent exclusion from net investment income if the CRT terminates before distributions occur and the CFCs or QEFs are distributed to the tax-exempt remaindermen.</w:t>
      </w:r>
    </w:p>
    <w:p w14:paraId="5699B3ED" w14:textId="77777777" w:rsidR="00494B49" w:rsidRDefault="00494B49">
      <w:pPr>
        <w:pStyle w:val="BHead4"/>
      </w:pPr>
      <w:r>
        <w:t xml:space="preserve">(4) NIMCRUTs Nearing End of Stated Term </w:t>
      </w:r>
    </w:p>
    <w:p w14:paraId="61985D24" w14:textId="77777777" w:rsidR="00494B49" w:rsidRDefault="00494B49">
      <w:pPr>
        <w:pStyle w:val="BNormal"/>
      </w:pPr>
      <w:r>
        <w:t>The traditional allure of a NIMCRUT is the ability to significantly defer the accumulated income distribution by closely managing trust accounting income.</w:t>
      </w:r>
      <w:r>
        <w:rPr>
          <w:rStyle w:val="FootnoteReference"/>
        </w:rPr>
        <w:footnoteReference w:id="1152"/>
      </w:r>
      <w:r>
        <w:t xml:space="preserve"> Using this strategy, in the final year of the NIMCRUT, the trust often recognizes a significant amount of trust accounting income that will enable the CRT to distribute multiple years of income in a single year, immediately before the trust terminates and the remaining assets are distributed to the tax-exempt remaindermen. Many of these NIMCRUTs are structured with 20-year terms and will contain large amounts of undistributed ordinary income and capital gain. </w:t>
      </w:r>
    </w:p>
    <w:p w14:paraId="2D3A2A50" w14:textId="77777777" w:rsidR="00494B49" w:rsidRDefault="00494B49" w:rsidP="00144640">
      <w:pPr>
        <w:pStyle w:val="BHead4"/>
        <w:keepNext/>
        <w:keepLines/>
      </w:pPr>
      <w:r>
        <w:lastRenderedPageBreak/>
        <w:t>(5) CRTs with No Undistributed Income</w:t>
      </w:r>
    </w:p>
    <w:p w14:paraId="2B75F8AF" w14:textId="77777777" w:rsidR="00494B49" w:rsidRDefault="00494B49" w:rsidP="00144640">
      <w:pPr>
        <w:pStyle w:val="BNormal"/>
        <w:keepNext/>
        <w:keepLines/>
      </w:pPr>
      <w:r>
        <w:t xml:space="preserve">If a CRT has no undistributed income from years preceding 2013, or is a new trust created after 2012, the Simplified Method and the </w:t>
      </w:r>
      <w:smartTag w:uri="http://www.bna.com/sgml2word/cite" w:element="cite.usc">
        <w:smartTagPr>
          <w:attr w:name="ref" w:val="USC\26\664"/>
        </w:smartTagPr>
        <w:r>
          <w:t>§664</w:t>
        </w:r>
      </w:smartTag>
      <w:r>
        <w:t xml:space="preserve"> Method should yield almost identical results in the long term. In a vast majority of CRTs, the assets transferred will be NII-producing assets (such as low-basis publicly traded securities or partnership interests that hold such items) and the net taxable income of the CRT will likely closely approximate the net investment income on an annual basis, or over a long-term basis. Therefore, the Simplified Method may be desirable for the sake of shear simplicity. </w:t>
      </w:r>
    </w:p>
    <w:p w14:paraId="67D21F33" w14:textId="77777777" w:rsidR="00494B49" w:rsidRDefault="00494B49">
      <w:pPr>
        <w:pStyle w:val="BNormal"/>
      </w:pPr>
      <w:r>
        <w:t>The one exception to the rule arises if the CRT is funded with an interest in an individual retirement account (or a similar retirement plan). In this case, the Simplified Method may be detrimental to the income beneficiary in the short term. In this situation, or any other case where the trust is expected to receive a significantly large amount of Excluded Income, the NII-first rule in the Simplified Method will cause preferential rate income (such as qualified dividends and NII-includible long-term capital gains) to leapfrog over the Excluded Income with a higher regular income tax rate income (such as an IRA distribution). In this case, the IRA income distributed first will possibly be subject to a 3.8% tax due to the Simplified Method’s NII-first rule.</w:t>
      </w:r>
    </w:p>
    <w:p w14:paraId="0303C844" w14:textId="77777777" w:rsidR="00494B49" w:rsidRDefault="00494B49">
      <w:pPr>
        <w:pStyle w:val="BHead4"/>
      </w:pPr>
      <w:r>
        <w:t xml:space="preserve">(6) CRTs with Non-Net-Investment Income Deductible Expenses and No Excluded Income </w:t>
      </w:r>
    </w:p>
    <w:p w14:paraId="432678EC" w14:textId="77777777" w:rsidR="00494B49" w:rsidRDefault="00494B49">
      <w:pPr>
        <w:pStyle w:val="BNormal"/>
      </w:pPr>
      <w:r>
        <w:t xml:space="preserve">An unusual situation occurs when a CRT has non-net-investment income deductible expenses but none of the Excluded Income that makes the Simplified Method more desirable than the </w:t>
      </w:r>
      <w:smartTag w:uri="http://www.bna.com/sgml2word/cite" w:element="cite.usc">
        <w:smartTagPr>
          <w:attr w:name="ref" w:val="USC\26\664"/>
        </w:smartTagPr>
        <w:r>
          <w:t>§664</w:t>
        </w:r>
      </w:smartTag>
      <w:r>
        <w:t xml:space="preserve"> Method. Although these situations are rare, the subdivision of each of the </w:t>
      </w:r>
      <w:smartTag w:uri="http://www.bna.com/sgml2word/cite" w:element="cite.usc">
        <w:smartTagPr>
          <w:attr w:name="ref" w:val="USC\26\664"/>
        </w:smartTagPr>
        <w:r>
          <w:t>§664</w:t>
        </w:r>
      </w:smartTag>
      <w:r>
        <w:t xml:space="preserve"> income classes creates the possibility that an expense that is deductible for regular tax purposes, but not for net investment income tax purposes, will be allocated to a class of income where it causes that class to yield an end-of-year negative balance. If, under the Reg. </w:t>
      </w:r>
      <w:smartTag w:uri="http://www.bna.com/sgml2word/cite" w:element="cite.cfr">
        <w:smartTagPr>
          <w:attr w:name="ref" w:val="cfr\26\1.664-1(d)"/>
        </w:smartTagPr>
        <w:r>
          <w:t>§1.664-1(d)</w:t>
        </w:r>
      </w:smartTag>
      <w:r>
        <w:t xml:space="preserve"> expense ordering rules, the “loss” in such class has no other non-net-investment income classes to offset, it remains suspended and must be carried over to the next year. In the future year, if the expense has no other non-net-investment income to offset within the category, it remains suspended and could be carried forward indefinitely. Because distributions from a CRT only provide income to the beneficiary from classes of income with positive balances, the negative balances in the non-net-investment income classes may become, essentially, nondeductible. </w:t>
      </w:r>
    </w:p>
    <w:p w14:paraId="35F9D39F" w14:textId="77777777" w:rsidR="00494B49" w:rsidRDefault="00494B49">
      <w:pPr>
        <w:pStyle w:val="BHead2"/>
      </w:pPr>
      <w:r>
        <w:t>7. Compliance Considerations</w:t>
      </w:r>
    </w:p>
    <w:p w14:paraId="4C385C18" w14:textId="77777777" w:rsidR="00494B49" w:rsidRDefault="00494B49">
      <w:pPr>
        <w:pStyle w:val="BNormal"/>
      </w:pPr>
      <w:r>
        <w:t xml:space="preserve">In January 2013, the IRS amended </w:t>
      </w:r>
      <w:smartTag w:uri="http://www.bna.com/sgml2word/cite" w:element="cite.fed.form">
        <w:smartTagPr>
          <w:attr w:name="ref" w:val="irs\form5227"/>
        </w:smartTagPr>
        <w:r>
          <w:t>Form 5227</w:t>
        </w:r>
      </w:smartTag>
      <w:r>
        <w:t xml:space="preserve"> </w:t>
      </w:r>
      <w:r>
        <w:rPr>
          <w:i/>
        </w:rPr>
        <w:t>Split-Interest Trust Information Return</w:t>
      </w:r>
      <w:r>
        <w:t xml:space="preserve"> and the associated instructions to take into account the new information reporting required by Reg. </w:t>
      </w:r>
      <w:smartTag w:uri="http://www.bna.com/sgml2word/cite" w:element="cite.cfr">
        <w:smartTagPr>
          <w:attr w:name="ref" w:val="cfr\26\1.1411-3(d)"/>
        </w:smartTagPr>
        <w:r>
          <w:t>§1.1411-3(d)</w:t>
        </w:r>
      </w:smartTag>
      <w:r>
        <w:t>. The changes were mainly to Part 2 (</w:t>
      </w:r>
      <w:r>
        <w:rPr>
          <w:i/>
        </w:rPr>
        <w:t>Schedule of Distributable Income</w:t>
      </w:r>
      <w:r>
        <w:t>) and Schedule A (</w:t>
      </w:r>
      <w:r>
        <w:rPr>
          <w:i/>
        </w:rPr>
        <w:t>Distributions, Assets, and Donor Information</w:t>
      </w:r>
      <w:r>
        <w:t xml:space="preserve">). The format of the form was retained, but the columns representing the categories of income were simply subdivided into net investment income and Excluded Income. A new portion was added to Schedule A to track undistributed net investment income under the Simplified Method. </w:t>
      </w:r>
    </w:p>
    <w:p w14:paraId="2931DCB0" w14:textId="77777777" w:rsidR="00494B49" w:rsidRDefault="00494B49">
      <w:pPr>
        <w:pStyle w:val="BNormal"/>
      </w:pPr>
      <w:r>
        <w:t>In general, to the extent the trust distributes more tax income than net investment income (e.g., due to the distribution of grandfathered income accumulated before January 1, 2013), the amount of net investment income reported on Schedule A, Part II-A (</w:t>
      </w:r>
      <w:r>
        <w:rPr>
          <w:i/>
        </w:rPr>
        <w:t>Current Distributions Schedule</w:t>
      </w:r>
      <w:r>
        <w:t xml:space="preserve">) will be less than the taxable income items. If this occurs, the beneficiary’s Schedule K-1 should </w:t>
      </w:r>
      <w:r>
        <w:lastRenderedPageBreak/>
        <w:t xml:space="preserve">report a negative adjustment for net investment income tax purposes in Box 14, Code H equaling the difference between taxable income and net investment income allocated to them on Schedule A, Part II-A. The only instance in which net investment income on Schedule A, Part II-A can exceed taxable income reported on Schedule A, Part II-A is when the CRT owns </w:t>
      </w:r>
      <w:smartTag w:uri="http://www.bna.com/sgml2word/cite" w:element="cite.usc">
        <w:smartTagPr>
          <w:attr w:name="ref" w:val="USC\26\1291"/>
        </w:smartTagPr>
        <w:r>
          <w:t>§1291</w:t>
        </w:r>
      </w:smartTag>
      <w:r>
        <w:t xml:space="preserve"> Funds and/or CFC or QEFs with no </w:t>
      </w:r>
      <w:smartTag w:uri="http://www.bna.com/sgml2word/cite" w:element="cite.cfr">
        <w:smartTagPr>
          <w:attr w:name="ref" w:val="cfr\26\1.1411-10(g)"/>
        </w:smartTagPr>
        <w:r>
          <w:t>10(g)</w:t>
        </w:r>
      </w:smartTag>
      <w:r>
        <w:t xml:space="preserve"> Election in place. In that case, and only that case, will the beneficiary’s Schedule K-1 report a positive adjustment for net investment income tax purposes in Box 14, Code H equaling the difference between taxable income and net investment income allocated to them on Schedule A, Part II-A. The CRT must also go one step further and notify the beneficiary that a positive adjustment is also required to their MAGI.</w:t>
      </w:r>
    </w:p>
    <w:p w14:paraId="78EC08DA" w14:textId="77777777" w:rsidR="00494B49" w:rsidRDefault="00494B49">
      <w:pPr>
        <w:pStyle w:val="BChapterName"/>
      </w:pPr>
      <w:r>
        <w:t>X. Application of §1411 Outside of Chapter 2A</w:t>
      </w:r>
    </w:p>
    <w:p w14:paraId="121C86E3" w14:textId="77777777" w:rsidR="00494B49" w:rsidRDefault="00494B49">
      <w:pPr>
        <w:pStyle w:val="BHead1"/>
      </w:pPr>
      <w:r>
        <w:t>A. Tax Penalties, Interest and Estimated Taxes</w:t>
      </w:r>
    </w:p>
    <w:p w14:paraId="6B6F7752" w14:textId="77777777" w:rsidR="00494B49" w:rsidRDefault="00494B49">
      <w:pPr>
        <w:pStyle w:val="BNormal"/>
      </w:pPr>
      <w:r>
        <w:t>The Code contains numerous provisions under which penalties and interest may be imposed on a taxpayer with a net investment income tax (NIIT) liability. Although a discussion of the application of each penalty to a NIIT liability is beyond the scope of this Portfolio, this section analyzes several common penalties and this discussion may aid in the analysis of other penalties not covered here.</w:t>
      </w:r>
    </w:p>
    <w:p w14:paraId="2E418238" w14:textId="77777777" w:rsidR="00494B49" w:rsidRDefault="00494B49">
      <w:pPr>
        <w:pStyle w:val="BHead2"/>
      </w:pPr>
      <w:r>
        <w:t>1. Interest and Estimated Taxes</w:t>
      </w:r>
    </w:p>
    <w:p w14:paraId="222D7AE2" w14:textId="77777777" w:rsidR="00494B49" w:rsidRDefault="00494B49">
      <w:pPr>
        <w:pStyle w:val="BHead3"/>
      </w:pPr>
      <w:r>
        <w:t xml:space="preserve">a. Estimated Taxes </w:t>
      </w:r>
    </w:p>
    <w:p w14:paraId="45CFF017" w14:textId="77777777" w:rsidR="00494B49" w:rsidRDefault="00494B49">
      <w:pPr>
        <w:pStyle w:val="BNormal"/>
      </w:pPr>
      <w:r>
        <w:t xml:space="preserve">The net investment income tax under </w:t>
      </w:r>
      <w:smartTag w:uri="http://www.bna.com/sgml2word/cite" w:element="cite.usc">
        <w:smartTagPr>
          <w:attr w:name="ref" w:val="USC\26\1411"/>
        </w:smartTagPr>
        <w:r>
          <w:t>§1411</w:t>
        </w:r>
      </w:smartTag>
      <w:r>
        <w:t xml:space="preserve"> is subject to the estimated tax provisions.</w:t>
      </w:r>
      <w:r>
        <w:rPr>
          <w:rStyle w:val="FootnoteReference"/>
        </w:rPr>
        <w:footnoteReference w:id="1153"/>
      </w:r>
    </w:p>
    <w:p w14:paraId="553A80D7" w14:textId="77777777" w:rsidR="00494B49" w:rsidRDefault="00494B49">
      <w:pPr>
        <w:pStyle w:val="BHead3"/>
      </w:pPr>
      <w:r>
        <w:t>b. Interest on Underpayments</w:t>
      </w:r>
    </w:p>
    <w:p w14:paraId="406D93D1" w14:textId="77777777" w:rsidR="00494B49" w:rsidRDefault="00494B49">
      <w:pPr>
        <w:pStyle w:val="BNormal"/>
      </w:pPr>
      <w:smartTag w:uri="http://www.bna.com/sgml2word/cite" w:element="cite.usc">
        <w:smartTagPr>
          <w:attr w:name="ref" w:val="USC\26\6601"/>
        </w:smartTagPr>
        <w:r>
          <w:t>Section 6601</w:t>
        </w:r>
      </w:smartTag>
      <w:r>
        <w:t xml:space="preserve"> imposes interest on any tax imposed by Title 26 (whether required to be shown on a return, or to be paid by stamp, or by some other method) that is not paid on or before the last date prescribed for payment. The interest imposed on that underpaid tax amount is payable at a rate established under </w:t>
      </w:r>
      <w:smartTag w:uri="http://www.bna.com/sgml2word/cite" w:element="cite.usc">
        <w:smartTagPr>
          <w:attr w:name="ref" w:val="USC\26\6621"/>
        </w:smartTagPr>
        <w:r>
          <w:t>§6621</w:t>
        </w:r>
      </w:smartTag>
      <w:r>
        <w:t xml:space="preserve"> and accrues from the last date payment could have been timely made through the date the tax payment is actually made.</w:t>
      </w:r>
      <w:r>
        <w:rPr>
          <w:rStyle w:val="FootnoteReference"/>
        </w:rPr>
        <w:footnoteReference w:id="1154"/>
      </w:r>
    </w:p>
    <w:p w14:paraId="46CC9F5A" w14:textId="77777777" w:rsidR="00494B49" w:rsidRDefault="00494B49">
      <w:pPr>
        <w:pStyle w:val="BNormal"/>
      </w:pPr>
      <w:r>
        <w:t xml:space="preserve">Because </w:t>
      </w:r>
      <w:smartTag w:uri="http://www.bna.com/sgml2word/cite" w:element="cite.usc">
        <w:smartTagPr>
          <w:attr w:name="ref" w:val="USC\26\6601(a)"/>
        </w:smartTagPr>
        <w:r>
          <w:t>§6601(a)</w:t>
        </w:r>
      </w:smartTag>
      <w:r>
        <w:t xml:space="preserve"> applies to any tax imposed by Title 26, which includes a taxpayer’s NIIT liability, a taxpayer will be charged underpayment interest on any unpaid NIIT liability.</w:t>
      </w:r>
    </w:p>
    <w:p w14:paraId="330A2526" w14:textId="77777777" w:rsidR="00494B49" w:rsidRDefault="00494B49">
      <w:pPr>
        <w:pStyle w:val="BHead3"/>
      </w:pPr>
      <w:r>
        <w:t>c. Interest on Overpayments</w:t>
      </w:r>
    </w:p>
    <w:p w14:paraId="273FFA66" w14:textId="77777777" w:rsidR="00494B49" w:rsidRDefault="00494B49">
      <w:pPr>
        <w:pStyle w:val="BNormal"/>
      </w:pPr>
      <w:smartTag w:uri="http://www.bna.com/sgml2word/cite" w:element="cite.usc">
        <w:smartTagPr>
          <w:attr w:name="ref" w:val="USC\26\6611(a)"/>
        </w:smartTagPr>
        <w:r>
          <w:t>Section 6611(a)</w:t>
        </w:r>
      </w:smartTag>
      <w:r>
        <w:t xml:space="preserve"> provides that the IRS will pay a taxpayer interest on any overpayment of internal revenue tax (see below for definitional comment) at the overpayment rate established under </w:t>
      </w:r>
      <w:smartTag w:uri="http://www.bna.com/sgml2word/cite" w:element="cite.usc">
        <w:smartTagPr>
          <w:attr w:name="ref" w:val="USC\26\6621"/>
        </w:smartTagPr>
        <w:r>
          <w:t>§6621</w:t>
        </w:r>
      </w:smartTag>
      <w:r>
        <w:t>.</w:t>
      </w:r>
      <w:r>
        <w:rPr>
          <w:rStyle w:val="FootnoteReference"/>
        </w:rPr>
        <w:footnoteReference w:id="1155"/>
      </w:r>
      <w:r>
        <w:t xml:space="preserve"> However, any overpayment of tax imposed by Subtitle A of the Code that results from </w:t>
      </w:r>
      <w:r>
        <w:lastRenderedPageBreak/>
        <w:t>the carryback of net operating losses (NOLs) is deemed not to have been made before the end of the tax year in which the loss or credit arises.</w:t>
      </w:r>
      <w:r>
        <w:rPr>
          <w:rStyle w:val="FootnoteReference"/>
        </w:rPr>
        <w:footnoteReference w:id="1156"/>
      </w:r>
    </w:p>
    <w:p w14:paraId="5C75DB7E" w14:textId="77777777" w:rsidR="00494B49" w:rsidRDefault="00494B49">
      <w:pPr>
        <w:pStyle w:val="BNormal"/>
      </w:pPr>
      <w:r>
        <w:t xml:space="preserve">Although the definition of any “internal revenue tax” is not as precise as the definition of tax when dealing with underpayments within </w:t>
      </w:r>
      <w:smartTag w:uri="http://www.bna.com/sgml2word/cite" w:element="cite.usc">
        <w:smartTagPr>
          <w:attr w:name="ref" w:val="USC\26\6601"/>
        </w:smartTagPr>
        <w:r>
          <w:t>§6601</w:t>
        </w:r>
      </w:smartTag>
      <w:r>
        <w:t xml:space="preserve">, it appears that an overpayment of a NIIT liability should be taken into account in calculating interest allowed by </w:t>
      </w:r>
      <w:smartTag w:uri="http://www.bna.com/sgml2word/cite" w:element="cite.usc">
        <w:smartTagPr>
          <w:attr w:name="ref" w:val="USC\26\6611(a)"/>
        </w:smartTagPr>
        <w:r>
          <w:t>§6611(a)</w:t>
        </w:r>
      </w:smartTag>
      <w:r>
        <w:t>. The special rules relating to interest applicable to the carryback of NOLs would also apply to any NIIT refund attributable to such carryback.</w:t>
      </w:r>
    </w:p>
    <w:p w14:paraId="307252B5" w14:textId="77777777" w:rsidR="00494B49" w:rsidRDefault="00494B49">
      <w:pPr>
        <w:pStyle w:val="BHead2"/>
      </w:pPr>
      <w:r>
        <w:t>2. Penalties</w:t>
      </w:r>
    </w:p>
    <w:p w14:paraId="2CDBACBE" w14:textId="77777777" w:rsidR="00494B49" w:rsidRDefault="00494B49">
      <w:pPr>
        <w:pStyle w:val="BHead3"/>
      </w:pPr>
      <w:r>
        <w:t xml:space="preserve">a. Section 6662 Accuracy-Related Penalty </w:t>
      </w:r>
    </w:p>
    <w:p w14:paraId="027EB757" w14:textId="77777777" w:rsidR="00494B49" w:rsidRDefault="00494B49">
      <w:pPr>
        <w:pStyle w:val="BNormal"/>
      </w:pPr>
      <w:smartTag w:uri="http://www.bna.com/sgml2word/cite" w:element="cite.usc">
        <w:smartTagPr>
          <w:attr w:name="ref" w:val="USC\26\6662(a)"/>
        </w:smartTagPr>
        <w:r>
          <w:t>Section 6662(a)</w:t>
        </w:r>
      </w:smartTag>
      <w:r>
        <w:t xml:space="preserve"> provides a 20% accuracy-related penalty on any portion of an underpayment of tax required to be shown on a return that is attributable to one or more of the types of misconduct described in that section.</w:t>
      </w:r>
      <w:r>
        <w:rPr>
          <w:rStyle w:val="FootnoteReference"/>
        </w:rPr>
        <w:footnoteReference w:id="1157"/>
      </w:r>
      <w:r>
        <w:t xml:space="preserve"> One of the most common types of accuracy-related penalty, a penalty for substantial understatement of income tax, generally applies if the amount of the understatement for the tax year exceeds the greater of: (1) 10% of the tax required to be shown on the return for the tax year; or (2) $5,000.</w:t>
      </w:r>
      <w:r>
        <w:rPr>
          <w:rStyle w:val="FootnoteReference"/>
        </w:rPr>
        <w:footnoteReference w:id="1158"/>
      </w:r>
      <w:r>
        <w:t xml:space="preserve"> For a more detailed discussion of the accuracy-related penalty imposed under </w:t>
      </w:r>
      <w:smartTag w:uri="http://www.bna.com/sgml2word/cite" w:element="cite.usc">
        <w:smartTagPr>
          <w:attr w:name="ref" w:val="USC\26\6662"/>
        </w:smartTagPr>
        <w:r>
          <w:t>§6662</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p w14:paraId="524C2E91" w14:textId="77777777" w:rsidR="00494B49" w:rsidRDefault="00494B49">
      <w:pPr>
        <w:pStyle w:val="BNormal"/>
      </w:pPr>
      <w:r>
        <w:t xml:space="preserve">Reg. </w:t>
      </w:r>
      <w:smartTag w:uri="http://www.bna.com/sgml2word/cite" w:element="cite.cfr">
        <w:smartTagPr>
          <w:attr w:name="ref" w:val="cfr\26\1.6664-2(a)"/>
        </w:smartTagPr>
        <w:r>
          <w:t>§1.6664-2(a)</w:t>
        </w:r>
      </w:smartTag>
      <w:r>
        <w:t xml:space="preserve"> provides that the accuracy-related penalty may be imposed if an underpayment of income tax for purposes of </w:t>
      </w:r>
      <w:smartTag w:uri="http://www.bna.com/sgml2word/cite" w:element="cite.usc">
        <w:smartTagPr>
          <w:attr w:name="ref" w:val="USC\26\6662"/>
        </w:smartTagPr>
        <w:r>
          <w:t>§6662</w:t>
        </w:r>
      </w:smartTag>
      <w:r>
        <w:t xml:space="preserve"> exceeds the excess of (1) the sum of: (i) the amount shown as the tax on the taxpayer’s return</w:t>
      </w:r>
      <w:r>
        <w:rPr>
          <w:rStyle w:val="FootnoteReference"/>
        </w:rPr>
        <w:footnoteReference w:id="1159"/>
      </w:r>
      <w:r>
        <w:t xml:space="preserve"> plus (ii) amounts not shown as tax on the return that have been previously assessed (or collected without assessment),</w:t>
      </w:r>
      <w:r>
        <w:rPr>
          <w:rStyle w:val="FootnoteReference"/>
        </w:rPr>
        <w:footnoteReference w:id="1160"/>
      </w:r>
      <w:r>
        <w:t xml:space="preserve"> over (2) the amount of rebates</w:t>
      </w:r>
      <w:r>
        <w:rPr>
          <w:rStyle w:val="FootnoteReference"/>
        </w:rPr>
        <w:footnoteReference w:id="1161"/>
      </w:r>
      <w:r>
        <w:t xml:space="preserve"> made. For purposes of Reg. </w:t>
      </w:r>
      <w:smartTag w:uri="http://www.bna.com/sgml2word/cite" w:element="cite.cfr">
        <w:smartTagPr>
          <w:attr w:name="ref" w:val="cfr\26\1.6664-2(a)"/>
        </w:smartTagPr>
        <w:r>
          <w:t>§1.6664-2(a)</w:t>
        </w:r>
      </w:smartTag>
      <w:r>
        <w:t xml:space="preserve">, and consequently </w:t>
      </w:r>
      <w:smartTag w:uri="http://www.bna.com/sgml2word/cite" w:element="cite.usc">
        <w:smartTagPr>
          <w:attr w:name="ref" w:val="USC\26\6662"/>
        </w:smartTagPr>
        <w:r>
          <w:t>§6662</w:t>
        </w:r>
      </w:smartTag>
      <w:r>
        <w:t>, the “amount of income tax imposed” is the amount of tax imposed on the taxpayer under Subtitle A for the tax year.</w:t>
      </w:r>
      <w:r>
        <w:rPr>
          <w:rStyle w:val="FootnoteReference"/>
        </w:rPr>
        <w:footnoteReference w:id="1162"/>
      </w:r>
    </w:p>
    <w:p w14:paraId="4FA33FBA" w14:textId="77777777" w:rsidR="00494B49" w:rsidRDefault="00494B49">
      <w:pPr>
        <w:pStyle w:val="BNormal"/>
      </w:pPr>
      <w:r>
        <w:t xml:space="preserve">Because </w:t>
      </w:r>
      <w:smartTag w:uri="http://www.bna.com/sgml2word/cite" w:element="cite.usc">
        <w:smartTagPr>
          <w:attr w:name="ref" w:val="USC\26\1411"/>
        </w:smartTagPr>
        <w:r>
          <w:t>§1411</w:t>
        </w:r>
      </w:smartTag>
      <w:r>
        <w:t xml:space="preserve"> is located in Chapter 2A, and Chapter 2A is within Subtitle A of Title 26, any NIIT liability is an “amount of income tax imposed” by Subtitle A under Reg. </w:t>
      </w:r>
      <w:smartTag w:uri="http://www.bna.com/sgml2word/cite" w:element="cite.cfr">
        <w:smartTagPr>
          <w:attr w:name="ref" w:val="cfr\26\1.6664-2(c)"/>
        </w:smartTagPr>
        <w:r>
          <w:t>§1.6664-2(c)</w:t>
        </w:r>
      </w:smartTag>
      <w:r>
        <w:t xml:space="preserve">, and </w:t>
      </w:r>
      <w:r>
        <w:lastRenderedPageBreak/>
        <w:t xml:space="preserve">therefore any underpayment of NIIT could be taken into account in computing any </w:t>
      </w:r>
      <w:smartTag w:uri="http://www.bna.com/sgml2word/cite" w:element="cite.usc">
        <w:smartTagPr>
          <w:attr w:name="ref" w:val="USC\26\6662"/>
        </w:smartTagPr>
        <w:r>
          <w:t>§6662</w:t>
        </w:r>
      </w:smartTag>
      <w:r>
        <w:t xml:space="preserve"> accuracy-related penalty.</w:t>
      </w:r>
    </w:p>
    <w:p w14:paraId="44D0A540" w14:textId="77777777" w:rsidR="00494B49" w:rsidRDefault="00494B49">
      <w:pPr>
        <w:pStyle w:val="BHead3"/>
      </w:pPr>
      <w:r>
        <w:t>b. Tax Return Preparer Penalty Under Section 6694</w:t>
      </w:r>
    </w:p>
    <w:p w14:paraId="13606A8F" w14:textId="77777777" w:rsidR="00494B49" w:rsidRDefault="00494B49">
      <w:pPr>
        <w:pStyle w:val="BNormal"/>
      </w:pPr>
      <w:r>
        <w:t>A “tax return preparer” is anyone who prepares or assists in preparing federal tax returns for compensation. Penalties may be imposed for understatements of tax liability caused by the work of these preparers.</w:t>
      </w:r>
      <w:r>
        <w:rPr>
          <w:rStyle w:val="FootnoteReference"/>
        </w:rPr>
        <w:footnoteReference w:id="1163"/>
      </w:r>
    </w:p>
    <w:p w14:paraId="74E4AF69" w14:textId="77777777" w:rsidR="00494B49" w:rsidRDefault="00494B49">
      <w:pPr>
        <w:pStyle w:val="BNormal"/>
      </w:pPr>
      <w:smartTag w:uri="http://www.bna.com/sgml2word/cite" w:element="cite.usc">
        <w:smartTagPr>
          <w:attr w:name="ref" w:val="USC\26\6694"/>
        </w:smartTagPr>
        <w:r>
          <w:t>Section 6694</w:t>
        </w:r>
      </w:smartTag>
      <w:r>
        <w:t xml:space="preserve"> provides that a tax return preparer who prepares any return or claim for refund that understates tax liability due to an unreasonable tax position and knew (or reasonably should have known) the position was unreasonable is subject to a penalty for each return or claim for refund in an amount equal to the greater of $1,000 or 50% of the income derived (or to be derived).</w:t>
      </w:r>
      <w:r>
        <w:rPr>
          <w:rStyle w:val="FootnoteReference"/>
        </w:rPr>
        <w:footnoteReference w:id="1164"/>
      </w:r>
      <w:r>
        <w:t xml:space="preserve"> In this context, an “unreasonable tax position” generally lacks substantial authority, is not disclosed, and does not have a reasonable basis, or is a tax shelter</w:t>
      </w:r>
      <w:r>
        <w:rPr>
          <w:rStyle w:val="FootnoteReference"/>
        </w:rPr>
        <w:footnoteReference w:id="1165"/>
      </w:r>
      <w:r>
        <w:t xml:space="preserve"> or reportable transaction subject to </w:t>
      </w:r>
      <w:smartTag w:uri="http://www.bna.com/sgml2word/cite" w:element="cite.usc">
        <w:smartTagPr>
          <w:attr w:name="ref" w:val="USC\26\6662A"/>
        </w:smartTagPr>
        <w:r>
          <w:t>§6662A</w:t>
        </w:r>
      </w:smartTag>
      <w:r>
        <w:t xml:space="preserve"> (unless it is reasonable to believe that, more likely than not, the position would be sustained on its merits).</w:t>
      </w:r>
      <w:r>
        <w:rPr>
          <w:rStyle w:val="FootnoteReference"/>
        </w:rPr>
        <w:footnoteReference w:id="1166"/>
      </w:r>
      <w:r>
        <w:t xml:space="preserve"> In the context of the paid preparer penalty, the term “understatement of liability” means any understatement of the net amount payable with respect to any tax imposed by Title 26 or any overstatement of the net amount creditable or refundable with respect to any such tax.</w:t>
      </w:r>
      <w:r>
        <w:rPr>
          <w:rStyle w:val="FootnoteReference"/>
        </w:rPr>
        <w:footnoteReference w:id="1167"/>
      </w:r>
    </w:p>
    <w:p w14:paraId="042A4995" w14:textId="77777777" w:rsidR="00494B49" w:rsidRDefault="00494B49">
      <w:pPr>
        <w:pStyle w:val="BNormal"/>
      </w:pPr>
      <w:r>
        <w:t xml:space="preserve">Because the definition of “understatement of liability” in </w:t>
      </w:r>
      <w:smartTag w:uri="http://www.bna.com/sgml2word/cite" w:element="cite.usc">
        <w:smartTagPr>
          <w:attr w:name="ref" w:val="USC\26\6694"/>
        </w:smartTagPr>
        <w:r>
          <w:t>§6694</w:t>
        </w:r>
      </w:smartTag>
      <w:r>
        <w:t xml:space="preserve"> includes any understatement of tax imposed by Title 26, the definition includes a taxpayer’s NIIT liability.</w:t>
      </w:r>
    </w:p>
    <w:p w14:paraId="6555851C" w14:textId="77777777" w:rsidR="00494B49" w:rsidRDefault="00494B49">
      <w:pPr>
        <w:pStyle w:val="BHead1"/>
      </w:pPr>
      <w:r>
        <w:t>B. Deferred Interest Charge Regimes</w:t>
      </w:r>
    </w:p>
    <w:p w14:paraId="1CE074EA" w14:textId="77777777" w:rsidR="00494B49" w:rsidRDefault="00494B49">
      <w:pPr>
        <w:pStyle w:val="BNormal"/>
      </w:pPr>
      <w:r>
        <w:t>There are several deferred taxation regimes within Chapter 1 of the Code that impose interest on the deferred tax. Though this section does not discuss every deferred tax regime, the analysis is likely useful in analyzing other interest charge regimes.</w:t>
      </w:r>
    </w:p>
    <w:p w14:paraId="69F20481" w14:textId="77777777" w:rsidR="00494B49" w:rsidRDefault="00494B49">
      <w:pPr>
        <w:pStyle w:val="BHead2"/>
      </w:pPr>
      <w:r>
        <w:t xml:space="preserve">1. Interest Charge — Domestic International Sales Corporations (IC-DISCs) </w:t>
      </w:r>
    </w:p>
    <w:p w14:paraId="04A3BE5B" w14:textId="77777777" w:rsidR="00494B49" w:rsidRDefault="00494B49">
      <w:pPr>
        <w:pStyle w:val="BNormal"/>
      </w:pPr>
      <w:r>
        <w:t>Interest charge domestic international sales corporations (IC-DISCs) are U.S. C corporations formed with IRS approval that meet certain requirements solely to earn tax-exempt income with respect to the export of U.S. products.</w:t>
      </w:r>
      <w:r>
        <w:rPr>
          <w:rStyle w:val="FootnoteReference"/>
        </w:rPr>
        <w:footnoteReference w:id="1168"/>
      </w:r>
      <w:r>
        <w:t xml:space="preserve"> An IC-DISC pays no federal income taxes, but its shareholders are subject to tax on actual or deemed distributions of the IC-DISC’s income.</w:t>
      </w:r>
      <w:r>
        <w:rPr>
          <w:rStyle w:val="FootnoteReference"/>
        </w:rPr>
        <w:footnoteReference w:id="1169"/>
      </w:r>
    </w:p>
    <w:p w14:paraId="18CA5558" w14:textId="77777777" w:rsidR="00494B49" w:rsidRDefault="00494B49">
      <w:pPr>
        <w:pStyle w:val="BNormal"/>
      </w:pPr>
      <w:r>
        <w:t>In general, a shareholder of an IC-DISC pays interest for each tax year in an amount equal to the product of the shareholder’s DISC-related deferred tax liability for the year and the base period T-bill rate.</w:t>
      </w:r>
      <w:r>
        <w:rPr>
          <w:rStyle w:val="FootnoteReference"/>
        </w:rPr>
        <w:footnoteReference w:id="1170"/>
      </w:r>
      <w:r>
        <w:t xml:space="preserve"> The term “shareholder’s DISC-related deferred tax liability” means the excess of (i) the amount that the shareholder’s tax liability for the tax year would be if the shareholder’s deferred DISC income were included in gross income as ordinary income, over (ii) the </w:t>
      </w:r>
      <w:r>
        <w:lastRenderedPageBreak/>
        <w:t>shareholder’s actual tax liability for the tax year.</w:t>
      </w:r>
      <w:r>
        <w:rPr>
          <w:rStyle w:val="FootnoteReference"/>
        </w:rPr>
        <w:footnoteReference w:id="1171"/>
      </w:r>
      <w:r>
        <w:t xml:space="preserve"> The term “tax liability” means the amount of the tax imposed by Chapter 1 for the tax year reduced by credits allowable against the tax.</w:t>
      </w:r>
      <w:r>
        <w:rPr>
          <w:rStyle w:val="FootnoteReference"/>
        </w:rPr>
        <w:footnoteReference w:id="1172"/>
      </w:r>
    </w:p>
    <w:p w14:paraId="2538D1DC" w14:textId="77777777" w:rsidR="00494B49" w:rsidRDefault="00494B49">
      <w:pPr>
        <w:pStyle w:val="BNormal"/>
      </w:pPr>
      <w:r>
        <w:t xml:space="preserve">Because the </w:t>
      </w:r>
      <w:smartTag w:uri="http://www.bna.com/sgml2word/cite" w:element="cite.usc">
        <w:smartTagPr>
          <w:attr w:name="ref" w:val="USC\26\995(f)(2)(C)"/>
        </w:smartTagPr>
        <w:r>
          <w:t>§995(f)(2)(C)</w:t>
        </w:r>
      </w:smartTag>
      <w:r>
        <w:t xml:space="preserve"> definition of tax liability is limited to Chapter 1, the shareholder’s net investment income tax (NIIT) does not go into the calculation of the shareholder’s interest charge on its DISC-related deferred tax liability.</w:t>
      </w:r>
    </w:p>
    <w:p w14:paraId="0FD7A3F1" w14:textId="77777777" w:rsidR="00494B49" w:rsidRDefault="00494B49">
      <w:pPr>
        <w:pStyle w:val="BHead2"/>
      </w:pPr>
      <w:r>
        <w:t>2. Nondealer Installment Sales Under Section 453A</w:t>
      </w:r>
    </w:p>
    <w:p w14:paraId="5EB8FECF" w14:textId="77777777" w:rsidR="00494B49" w:rsidRDefault="00494B49">
      <w:pPr>
        <w:pStyle w:val="BNormal"/>
      </w:pPr>
      <w:r>
        <w:t>An installment sale is a sale of property in which a taxpayer receives at least one payment after the tax year of the sale.</w:t>
      </w:r>
      <w:r>
        <w:rPr>
          <w:rStyle w:val="FootnoteReference"/>
        </w:rPr>
        <w:footnoteReference w:id="1173"/>
      </w:r>
      <w:r>
        <w:t xml:space="preserve"> In some cases, the payments outstanding after the tax year of the sale can be substantial and, therefore, can trigger interest charges.</w:t>
      </w:r>
    </w:p>
    <w:p w14:paraId="7A14361E" w14:textId="77777777" w:rsidR="00494B49" w:rsidRDefault="00494B49">
      <w:pPr>
        <w:pStyle w:val="BNormal"/>
      </w:pPr>
      <w:smartTag w:uri="http://www.bna.com/sgml2word/cite" w:element="cite.usc">
        <w:smartTagPr>
          <w:attr w:name="ref" w:val="USC\26\453A"/>
        </w:smartTagPr>
        <w:r>
          <w:t>Section 453A</w:t>
        </w:r>
      </w:smartTag>
      <w:r>
        <w:t xml:space="preserve"> imposes interest on deferred tax liabilities of taxpayers that have installment sales with selling prices exceeding $150,000 and have outstanding sales balances exceeding $5 million.</w:t>
      </w:r>
      <w:r>
        <w:rPr>
          <w:rStyle w:val="FootnoteReference"/>
        </w:rPr>
        <w:footnoteReference w:id="1174"/>
      </w:r>
    </w:p>
    <w:p w14:paraId="746D24D1" w14:textId="77777777" w:rsidR="00494B49" w:rsidRDefault="00494B49">
      <w:pPr>
        <w:pStyle w:val="BNormal"/>
      </w:pPr>
      <w:r>
        <w:t xml:space="preserve">Under </w:t>
      </w:r>
      <w:smartTag w:uri="http://www.bna.com/sgml2word/cite" w:element="cite.usc">
        <w:smartTagPr>
          <w:attr w:name="ref" w:val="USC\26\453A(c)(2)"/>
        </w:smartTagPr>
        <w:r>
          <w:t>§453A(c)(2)</w:t>
        </w:r>
      </w:smartTag>
      <w:r>
        <w:t xml:space="preserve">, the interest for any tax year is equal to the product of: (A) the applicable percentage of the deferred tax liability with respect to the obligation, multiplied by (B) the underpayment rate in effect under </w:t>
      </w:r>
      <w:smartTag w:uri="http://www.bna.com/sgml2word/cite" w:element="cite.usc">
        <w:smartTagPr>
          <w:attr w:name="ref" w:val="USC\26\6621(a)(2)"/>
        </w:smartTagPr>
        <w:r>
          <w:t>§6621(a)(2)</w:t>
        </w:r>
      </w:smartTag>
      <w:r>
        <w:t xml:space="preserve"> for the month in which the tax year ends. For this purpose, the term “deferred tax liability” means, with respect to any tax year, the product of: (A) the amount of gain with respect to an obligation which has not been recognized as of the close of the tax year, multiplied by (B) the maximum tax rate in effect under </w:t>
      </w:r>
      <w:smartTag w:uri="http://www.bna.com/sgml2word/cite" w:element="cite.usc">
        <w:smartTagPr>
          <w:attr w:name="ref" w:val="USC\26\1"/>
        </w:smartTagPr>
        <w:r>
          <w:t>§1</w:t>
        </w:r>
      </w:smartTag>
      <w:r>
        <w:t xml:space="preserve"> (or </w:t>
      </w:r>
      <w:smartTag w:uri="http://www.bna.com/sgml2word/cite" w:element="cite.usc">
        <w:smartTagPr>
          <w:attr w:name="ref" w:val="usc\26\11"/>
        </w:smartTagPr>
        <w:r>
          <w:t>§11</w:t>
        </w:r>
      </w:smartTag>
      <w:r>
        <w:t>) for the tax year, whichever is appropriate.</w:t>
      </w:r>
      <w:r>
        <w:rPr>
          <w:rStyle w:val="FootnoteReference"/>
        </w:rPr>
        <w:footnoteReference w:id="1175"/>
      </w:r>
    </w:p>
    <w:p w14:paraId="1A2A52F3" w14:textId="77777777" w:rsidR="00494B49" w:rsidRDefault="00494B49">
      <w:pPr>
        <w:pStyle w:val="BNormal"/>
      </w:pPr>
      <w:r>
        <w:t xml:space="preserve">Because </w:t>
      </w:r>
      <w:smartTag w:uri="http://www.bna.com/sgml2word/cite" w:element="cite.usc">
        <w:smartTagPr>
          <w:attr w:name="ref" w:val="USC\26\453A(c)(3)"/>
        </w:smartTagPr>
        <w:r>
          <w:t>§453A(c)(3)</w:t>
        </w:r>
      </w:smartTag>
      <w:r>
        <w:t xml:space="preserve">’s definition of deferred tax liability is calculated only with reference to tax rates in </w:t>
      </w:r>
      <w:smartTag w:uri="http://www.bna.com/sgml2word/cite" w:element="cite.usc">
        <w:smartTagPr>
          <w:attr w:name="ref" w:val="USC\26\1"/>
        </w:smartTagPr>
        <w:r>
          <w:t>§1</w:t>
        </w:r>
      </w:smartTag>
      <w:r>
        <w:t xml:space="preserve"> (and </w:t>
      </w:r>
      <w:smartTag w:uri="http://www.bna.com/sgml2word/cite" w:element="cite.usc">
        <w:smartTagPr>
          <w:attr w:name="ref" w:val="usc\26\11"/>
        </w:smartTagPr>
        <w:r>
          <w:t>§11</w:t>
        </w:r>
      </w:smartTag>
      <w:r>
        <w:t>), the shareholder’s NIIT liability on the deferred gain is not included in the calculation of the shareholder’s installment sale interest charge.</w:t>
      </w:r>
    </w:p>
    <w:p w14:paraId="64BCF2D7" w14:textId="77777777" w:rsidR="00494B49" w:rsidRDefault="00494B49">
      <w:pPr>
        <w:pStyle w:val="BHead2"/>
      </w:pPr>
      <w:r>
        <w:t xml:space="preserve">3. Section 1291 Funds </w:t>
      </w:r>
    </w:p>
    <w:p w14:paraId="3FBD15A5" w14:textId="77777777" w:rsidR="00494B49" w:rsidRDefault="00494B49">
      <w:pPr>
        <w:pStyle w:val="BNormal"/>
      </w:pPr>
      <w:r>
        <w:t>A foreign corporation is a PFIC if either 75% or more of its gross income is passive in nature</w:t>
      </w:r>
      <w:r>
        <w:rPr>
          <w:rStyle w:val="FootnoteReference"/>
        </w:rPr>
        <w:footnoteReference w:id="1176"/>
      </w:r>
      <w:r>
        <w:t xml:space="preserve"> or 50% or more of its assets produce passive income.</w:t>
      </w:r>
      <w:r>
        <w:rPr>
          <w:rStyle w:val="FootnoteReference"/>
        </w:rPr>
        <w:footnoteReference w:id="1177"/>
      </w:r>
      <w:r>
        <w:t xml:space="preserve"> A classic example of a PFIC is a foreign mutual fund, although many other corporations may meet the income or the asset test during the corporation’s existence and PFICs may exist in other unexpected situations.</w:t>
      </w:r>
      <w:r>
        <w:rPr>
          <w:rStyle w:val="FootnoteReference"/>
        </w:rPr>
        <w:footnoteReference w:id="1178"/>
      </w:r>
    </w:p>
    <w:p w14:paraId="53F4383A" w14:textId="77777777" w:rsidR="00494B49" w:rsidRDefault="00494B49">
      <w:pPr>
        <w:pStyle w:val="BNormal"/>
      </w:pPr>
      <w:r>
        <w:t>There are three separate taxation regimes for United States persons holding PFIC stock: (1) the excess distribution regime (</w:t>
      </w:r>
      <w:smartTag w:uri="http://www.bna.com/sgml2word/cite" w:element="cite.usc">
        <w:smartTagPr>
          <w:attr w:name="ref" w:val="USC\26\1291"/>
        </w:smartTagPr>
        <w:r>
          <w:t>§1291</w:t>
        </w:r>
      </w:smartTag>
      <w:r>
        <w:t xml:space="preserve"> Funds), which imposes a tax and interest charge on the </w:t>
      </w:r>
      <w:r>
        <w:lastRenderedPageBreak/>
        <w:t xml:space="preserve">deferred accumulation of income when excess distributions are made; (2) the qualified electing fund (QEF) regime, which allows the United States shareholder to treat all of the earnings of the PFIC as income distributed to the individual annually; and (3) the mark-to-market regime, which allows the United States shareholder to mark the PFIC to market every year and report the annual gain as ordinary income. </w:t>
      </w:r>
    </w:p>
    <w:p w14:paraId="5B1DE861" w14:textId="77777777" w:rsidR="00494B49" w:rsidRDefault="00494B49">
      <w:pPr>
        <w:pStyle w:val="BNormal"/>
      </w:pPr>
      <w:r>
        <w:t xml:space="preserve">The </w:t>
      </w:r>
      <w:smartTag w:uri="http://www.bna.com/sgml2word/cite" w:element="cite.usc">
        <w:smartTagPr>
          <w:attr w:name="ref" w:val="USC\26\1291"/>
        </w:smartTagPr>
        <w:r>
          <w:t>§1291</w:t>
        </w:r>
      </w:smartTag>
      <w:r>
        <w:t xml:space="preserve"> Fund election is the default taxation. Under the </w:t>
      </w:r>
      <w:smartTag w:uri="http://www.bna.com/sgml2word/cite" w:element="cite.usc">
        <w:smartTagPr>
          <w:attr w:name="ref" w:val="USC\26\1291"/>
        </w:smartTagPr>
        <w:r>
          <w:t>§1291</w:t>
        </w:r>
      </w:smartTag>
      <w:r>
        <w:t xml:space="preserve"> regime, all “excess distributions” for prior years are taxed at the highest marginal rate for each particular year in which an excess occurred and are subject to underpayment interest expenses on those unpaid taxes. In contrast, the current year “excess distributions” are added to the “Other income” line on the shareholder’s personal tax return. For purposes of this election, “excess distributions” are either: (1) the part of the distribution received from a </w:t>
      </w:r>
      <w:smartTag w:uri="http://www.bna.com/sgml2word/cite" w:element="cite.usc">
        <w:smartTagPr>
          <w:attr w:name="ref" w:val="USC\26\1291"/>
        </w:smartTagPr>
        <w:r>
          <w:t>§1291</w:t>
        </w:r>
      </w:smartTag>
      <w:r>
        <w:t xml:space="preserve"> Fund in the current tax year that is greater than 125% of the average distributions the shareholder received in respect to such stock during the three preceding tax years (or, if shorter, the portion of the shareholder’s holding period before the current tax year), or (2) any capital gains that result from the sale of PFIC shares.</w:t>
      </w:r>
      <w:r>
        <w:rPr>
          <w:rStyle w:val="FootnoteReference"/>
        </w:rPr>
        <w:footnoteReference w:id="1179"/>
      </w:r>
    </w:p>
    <w:p w14:paraId="2568ACE1" w14:textId="77777777" w:rsidR="00494B49" w:rsidRDefault="00494B49">
      <w:pPr>
        <w:pStyle w:val="BNormal"/>
      </w:pPr>
      <w:r>
        <w:t xml:space="preserve">If a U.S. citizen or U.S. resident receives an excess distribution in respect of stock in a PFIC subject to </w:t>
      </w:r>
      <w:smartTag w:uri="http://www.bna.com/sgml2word/cite" w:element="cite.usc">
        <w:smartTagPr>
          <w:attr w:name="ref" w:val="USC\26\1291"/>
        </w:smartTagPr>
        <w:r>
          <w:t>§1291</w:t>
        </w:r>
      </w:smartTag>
      <w:r>
        <w:t>, the tax imposed by Chapter 1 for the current year is increased by the deferred tax amount.</w:t>
      </w:r>
      <w:r>
        <w:rPr>
          <w:rStyle w:val="FootnoteReference"/>
        </w:rPr>
        <w:footnoteReference w:id="1180"/>
      </w:r>
      <w:r>
        <w:t xml:space="preserve"> For this purpose, the term “deferred tax amount” means, with respect to any distribution or disposition to which </w:t>
      </w:r>
      <w:smartTag w:uri="http://www.bna.com/sgml2word/cite" w:element="cite.usc">
        <w:smartTagPr>
          <w:attr w:name="ref" w:val="USC\26\1291(a)"/>
        </w:smartTagPr>
        <w:r>
          <w:t>§1291(a)</w:t>
        </w:r>
      </w:smartTag>
      <w:r>
        <w:t xml:space="preserve"> applies, an amount equal to the sum of: (A) the aggregate increases in taxes described in </w:t>
      </w:r>
      <w:smartTag w:uri="http://www.bna.com/sgml2word/cite" w:element="cite.usc">
        <w:smartTagPr>
          <w:attr w:name="ref" w:val="USC\26\1291(c)(2)"/>
        </w:smartTagPr>
        <w:r>
          <w:t>§1291(c)(2)</w:t>
        </w:r>
      </w:smartTag>
      <w:r>
        <w:t>, plus (B) the aggregate amount of interest on these increases in tax.</w:t>
      </w:r>
      <w:r>
        <w:rPr>
          <w:rStyle w:val="FootnoteReference"/>
        </w:rPr>
        <w:footnoteReference w:id="1181"/>
      </w:r>
      <w:r>
        <w:t xml:space="preserve"> </w:t>
      </w:r>
      <w:smartTag w:uri="http://www.bna.com/sgml2word/cite" w:element="cite.usc">
        <w:smartTagPr>
          <w:attr w:name="ref" w:val="USC\26\1291(c)(2)"/>
        </w:smartTagPr>
        <w:r>
          <w:t>Section 1291(c)(2)</w:t>
        </w:r>
      </w:smartTag>
      <w:r>
        <w:t xml:space="preserve"> provides that the aggregate increases in taxes are determined by multiplying each amount allocated under </w:t>
      </w:r>
      <w:smartTag w:uri="http://www.bna.com/sgml2word/cite" w:element="cite.usc">
        <w:smartTagPr>
          <w:attr w:name="ref" w:val="USC\26\1291(a)(1)(A)"/>
        </w:smartTagPr>
        <w:r>
          <w:t>§1291(a)(1)(A)</w:t>
        </w:r>
      </w:smartTag>
      <w:r>
        <w:t xml:space="preserve"> to any tax year (other than any tax year referred to in </w:t>
      </w:r>
      <w:smartTag w:uri="http://www.bna.com/sgml2word/cite" w:element="cite.usc">
        <w:smartTagPr>
          <w:attr w:name="ref" w:val="USC\26\1291(a)(1)(B)"/>
        </w:smartTagPr>
        <w:r>
          <w:t>§1291(a)(1)(B)</w:t>
        </w:r>
      </w:smartTag>
      <w:r>
        <w:t xml:space="preserve">) by the highest rate of tax in effect for the tax year under </w:t>
      </w:r>
      <w:smartTag w:uri="http://www.bna.com/sgml2word/cite" w:element="cite.usc">
        <w:smartTagPr>
          <w:attr w:name="ref" w:val="USC\26\1"/>
        </w:smartTagPr>
        <w:r>
          <w:t>§1</w:t>
        </w:r>
      </w:smartTag>
      <w:r>
        <w:t xml:space="preserve">. The amount of interest on any increase determined under </w:t>
      </w:r>
      <w:smartTag w:uri="http://www.bna.com/sgml2word/cite" w:element="cite.usc">
        <w:smartTagPr>
          <w:attr w:name="ref" w:val="USC\26\1291(c)(2)"/>
        </w:smartTagPr>
        <w:r>
          <w:t>§1291(c)(2)</w:t>
        </w:r>
      </w:smartTag>
      <w:r>
        <w:t xml:space="preserve"> for any tax year is determined for the period: (i) beginning on the due date for the tax year, and (ii) ending on the due date for the tax year with or within which the distribution or disposition occurs, by using the rates and method applicable under </w:t>
      </w:r>
      <w:smartTag w:uri="http://www.bna.com/sgml2word/cite" w:element="cite.usc">
        <w:smartTagPr>
          <w:attr w:name="ref" w:val="USC\26\6621"/>
        </w:smartTagPr>
        <w:r>
          <w:t>§6621</w:t>
        </w:r>
      </w:smartTag>
      <w:r>
        <w:t xml:space="preserve"> for underpayments of tax for that period.</w:t>
      </w:r>
      <w:r>
        <w:rPr>
          <w:rStyle w:val="FootnoteReference"/>
        </w:rPr>
        <w:footnoteReference w:id="1182"/>
      </w:r>
    </w:p>
    <w:p w14:paraId="3BBCECD6" w14:textId="77777777" w:rsidR="00494B49" w:rsidRDefault="00494B49">
      <w:pPr>
        <w:pStyle w:val="BNormal"/>
      </w:pPr>
      <w:r>
        <w:t xml:space="preserve">Because the interest charge is determined by reference to the increases described in </w:t>
      </w:r>
      <w:smartTag w:uri="http://www.bna.com/sgml2word/cite" w:element="cite.usc">
        <w:smartTagPr>
          <w:attr w:name="ref" w:val="USC\26\1291(c)(3)"/>
        </w:smartTagPr>
        <w:r>
          <w:t>§1291(c)(3)</w:t>
        </w:r>
      </w:smartTag>
      <w:r>
        <w:t xml:space="preserve">, and </w:t>
      </w:r>
      <w:smartTag w:uri="http://www.bna.com/sgml2word/cite" w:element="cite.usc">
        <w:smartTagPr>
          <w:attr w:name="ref" w:val="USC\26\1291(c)(2)"/>
        </w:smartTagPr>
        <w:r>
          <w:t>§1291(c)(2)</w:t>
        </w:r>
      </w:smartTag>
      <w:r>
        <w:t xml:space="preserve"> includes only the tax imposed by Chapter 1, the shareholder’s NIIT liability on the excess distribution is not included in the calculation of the shareholder’s interest charge. </w:t>
      </w:r>
    </w:p>
    <w:p w14:paraId="59D690F4" w14:textId="77777777" w:rsidR="00494B49" w:rsidRDefault="00494B49" w:rsidP="00144640">
      <w:pPr>
        <w:pStyle w:val="BHead2"/>
        <w:keepNext/>
        <w:keepLines/>
      </w:pPr>
      <w:r>
        <w:lastRenderedPageBreak/>
        <w:t>4. Accumulation Distributions from Foreign Trusts</w:t>
      </w:r>
    </w:p>
    <w:p w14:paraId="1783B7DC" w14:textId="77777777" w:rsidR="00494B49" w:rsidRDefault="00494B49" w:rsidP="00144640">
      <w:pPr>
        <w:pStyle w:val="BNormal"/>
        <w:keepNext/>
        <w:keepLines/>
      </w:pPr>
      <w:r>
        <w:t>A foreign</w:t>
      </w:r>
      <w:r>
        <w:rPr>
          <w:rStyle w:val="FootnoteReference"/>
        </w:rPr>
        <w:footnoteReference w:id="1183"/>
      </w:r>
      <w:r>
        <w:t xml:space="preserve"> nongrantor trust</w:t>
      </w:r>
      <w:r>
        <w:rPr>
          <w:rStyle w:val="FootnoteReference"/>
        </w:rPr>
        <w:footnoteReference w:id="1184"/>
      </w:r>
      <w:r>
        <w:t xml:space="preserve"> is taxed in much the same manner as a non-U.S. person.</w:t>
      </w:r>
      <w:r>
        <w:rPr>
          <w:rStyle w:val="FootnoteReference"/>
        </w:rPr>
        <w:footnoteReference w:id="1185"/>
      </w:r>
    </w:p>
    <w:p w14:paraId="333136E2" w14:textId="77777777" w:rsidR="00494B49" w:rsidRDefault="00494B49">
      <w:pPr>
        <w:pStyle w:val="BNormal"/>
      </w:pPr>
      <w:r>
        <w:t>A non-U.S. person is only taxed under the U.S. federal income tax regime on: (1) U.S.-source fixed and determinable, annual, or periodic income (FDAP), which includes interest (certain bank and portfolio interest is exempt), dividends, rents, royalties, and other passive income;</w:t>
      </w:r>
      <w:r>
        <w:rPr>
          <w:rStyle w:val="FootnoteReference"/>
        </w:rPr>
        <w:footnoteReference w:id="1186"/>
      </w:r>
      <w:r>
        <w:t xml:space="preserve"> and (2) income effectively connected with the conduct of a U.S. trade or business (ECI).</w:t>
      </w:r>
      <w:r>
        <w:rPr>
          <w:rStyle w:val="FootnoteReference"/>
        </w:rPr>
        <w:footnoteReference w:id="1187"/>
      </w:r>
      <w:r>
        <w:t xml:space="preserve"> A U.S. beneficiary of a nongrantor trust is subject to U.S. federal income taxation on distributions to the extent of the beneficiary’s pro-rata share of the trust’s distributable net income (DNI) for the year of the distribution.</w:t>
      </w:r>
      <w:r>
        <w:rPr>
          <w:rStyle w:val="FootnoteReference"/>
        </w:rPr>
        <w:footnoteReference w:id="1188"/>
      </w:r>
    </w:p>
    <w:p w14:paraId="02134C47" w14:textId="77777777" w:rsidR="00494B49" w:rsidRDefault="00494B49">
      <w:pPr>
        <w:pStyle w:val="BNormal"/>
      </w:pPr>
      <w:r>
        <w:t>A distribution in any year in excess of DNI is generally deemed to carry out trust undistributed net income (UNI) — an “accumulation distribution” — unless the distribution in excess of DNI is not in excess of the trust accounting income for the year.</w:t>
      </w:r>
      <w:r>
        <w:rPr>
          <w:rStyle w:val="FootnoteReference"/>
        </w:rPr>
        <w:footnoteReference w:id="1189"/>
      </w:r>
      <w:r>
        <w:t xml:space="preserve"> Typically, distributions (wholly or partially) composed of UNI that are made to a U.S. beneficiary of a foreign nongrantor trust have the following federal income tax consequences for the U.S. beneficiary: (1) the income paid to the beneficiary retains its character (as capital or ordinary) under rules similar to </w:t>
      </w:r>
      <w:smartTag w:uri="http://www.bna.com/sgml2word/cite" w:element="cite.usc">
        <w:smartTagPr>
          <w:attr w:name="ref" w:val="USC\26\662(b)"/>
        </w:smartTagPr>
        <w:r>
          <w:t>§662(b)</w:t>
        </w:r>
      </w:smartTag>
      <w:r>
        <w:t>; (2) an interest charge is imposed on the tax amount due on the distribution of accumulated income;</w:t>
      </w:r>
      <w:r>
        <w:rPr>
          <w:rStyle w:val="FootnoteReference"/>
        </w:rPr>
        <w:footnoteReference w:id="1190"/>
      </w:r>
      <w:r>
        <w:t xml:space="preserve"> and (3) a “throwback tax” also applies to the accumulation distribution, whereby income is taxed at the beneficiary’s tax rate over the years the income recognition and accompanying tax were deferred. To the extent distributions exceed DNI and UNI, they are treated as being distributed from principal on a tax-free basis to beneficiaries. Note that the 65-day election may be used to mitigate some distributions of UNI in the first quarter of a new tax year.</w:t>
      </w:r>
      <w:r>
        <w:rPr>
          <w:rStyle w:val="FootnoteReference"/>
        </w:rPr>
        <w:footnoteReference w:id="1191"/>
      </w:r>
    </w:p>
    <w:p w14:paraId="396200E8" w14:textId="77777777" w:rsidR="00494B49" w:rsidRDefault="00494B49">
      <w:pPr>
        <w:pStyle w:val="BNormal"/>
      </w:pPr>
      <w:r>
        <w:lastRenderedPageBreak/>
        <w:t xml:space="preserve">When calculating the tax imposed on a beneficiary of a foreign trust for a tax year in which an accumulation distribution is received, the Code provides that the tax equals the sum of: (1) a partial tax computed on the taxable income reduced by an amount equal to the total of such amounts, at the rate and in the manner as if </w:t>
      </w:r>
      <w:smartTag w:uri="http://www.bna.com/sgml2word/cite" w:element="cite.usc">
        <w:smartTagPr>
          <w:attr w:name="ref" w:val="USC\26\667"/>
        </w:smartTagPr>
        <w:r>
          <w:t>§667</w:t>
        </w:r>
      </w:smartTag>
      <w:r>
        <w:t xml:space="preserve"> had not been enacted; (2) a partial tax determined as provided in </w:t>
      </w:r>
      <w:smartTag w:uri="http://www.bna.com/sgml2word/cite" w:element="cite.usc">
        <w:smartTagPr>
          <w:attr w:name="ref" w:val="USC\26\667(b)"/>
        </w:smartTagPr>
        <w:r>
          <w:t>§667(b)</w:t>
        </w:r>
      </w:smartTag>
      <w:r>
        <w:t xml:space="preserve">; and (3) in the case of a foreign trust, the interest charge determined as provided in </w:t>
      </w:r>
      <w:smartTag w:uri="http://www.bna.com/sgml2word/cite" w:element="cite.usc">
        <w:smartTagPr>
          <w:attr w:name="ref" w:val="USC\26\668"/>
        </w:smartTagPr>
        <w:r>
          <w:t>§668</w:t>
        </w:r>
      </w:smartTag>
      <w:r>
        <w:t>.</w:t>
      </w:r>
      <w:r>
        <w:rPr>
          <w:rStyle w:val="FootnoteReference"/>
        </w:rPr>
        <w:footnoteReference w:id="1192"/>
      </w:r>
    </w:p>
    <w:p w14:paraId="7FC99833" w14:textId="77777777" w:rsidR="00494B49" w:rsidRDefault="00494B49">
      <w:pPr>
        <w:pStyle w:val="BNormal"/>
      </w:pPr>
      <w:r>
        <w:t xml:space="preserve">With respect to the interest charge referred to in </w:t>
      </w:r>
      <w:smartTag w:uri="http://www.bna.com/sgml2word/cite" w:element="cite.usc">
        <w:smartTagPr>
          <w:attr w:name="ref" w:val="USC\26\667(a)(3)"/>
        </w:smartTagPr>
        <w:r>
          <w:t>§667(a)(3)</w:t>
        </w:r>
      </w:smartTag>
      <w:r>
        <w:t xml:space="preserve">, </w:t>
      </w:r>
      <w:smartTag w:uri="http://www.bna.com/sgml2word/cite" w:element="cite.usc">
        <w:smartTagPr>
          <w:attr w:name="ref" w:val="USC\26\668(a)(1)"/>
        </w:smartTagPr>
        <w:r>
          <w:t>§668(a)(1)</w:t>
        </w:r>
      </w:smartTag>
      <w:r>
        <w:t xml:space="preserve"> provides that the amount of interest that would be determined on the partial tax computed under </w:t>
      </w:r>
      <w:smartTag w:uri="http://www.bna.com/sgml2word/cite" w:element="cite.usc">
        <w:smartTagPr>
          <w:attr w:name="ref" w:val="USC\26\667(b)"/>
        </w:smartTagPr>
        <w:r>
          <w:t>§667(b)</w:t>
        </w:r>
      </w:smartTag>
      <w:r>
        <w:t xml:space="preserve"> for the period described in paragraph (2) using the rates and the method under </w:t>
      </w:r>
      <w:smartTag w:uri="http://www.bna.com/sgml2word/cite" w:element="cite.usc">
        <w:smartTagPr>
          <w:attr w:name="ref" w:val="USC\26\6621"/>
        </w:smartTagPr>
        <w:r>
          <w:t>§6621</w:t>
        </w:r>
      </w:smartTag>
      <w:r>
        <w:t xml:space="preserve"> applicable to underpayments of tax.</w:t>
      </w:r>
    </w:p>
    <w:p w14:paraId="73E0DE27" w14:textId="77777777" w:rsidR="00494B49" w:rsidRDefault="00494B49">
      <w:pPr>
        <w:pStyle w:val="BNormal"/>
      </w:pPr>
      <w:r>
        <w:t xml:space="preserve">Note that an alternative method (Default Method) of approaching nongrantor trust distributions is the default method of calculating accumulation distributions –- a more standardized and predictable method that can minimize or avoid the accumulation distribution (and interest charge) altogether. The calculation can be found in the </w:t>
      </w:r>
      <w:hyperlink r:id="rId23" w:history="1">
        <w:r>
          <w:rPr>
            <w:rStyle w:val="Hyperlink"/>
          </w:rPr>
          <w:t>Instructions for Form 3520</w:t>
        </w:r>
      </w:hyperlink>
      <w:r>
        <w:t xml:space="preserve">, </w:t>
      </w:r>
      <w:r>
        <w:rPr>
          <w:i/>
        </w:rPr>
        <w:t>Annual Return to Report Transactions With Foreign Trusts and Receipt of Certain Foreign Gifts</w:t>
      </w:r>
      <w:r>
        <w:t>.</w:t>
      </w:r>
    </w:p>
    <w:p w14:paraId="14B7614D" w14:textId="77777777" w:rsidR="00494B49" w:rsidRDefault="00494B49">
      <w:pPr>
        <w:pStyle w:val="BNormal"/>
      </w:pPr>
      <w:r>
        <w:t xml:space="preserve">Because the </w:t>
      </w:r>
      <w:smartTag w:uri="http://www.bna.com/sgml2word/cite" w:element="cite.usc">
        <w:smartTagPr>
          <w:attr w:name="ref" w:val="USC\26\668"/>
        </w:smartTagPr>
        <w:r>
          <w:t>§668</w:t>
        </w:r>
      </w:smartTag>
      <w:r>
        <w:t xml:space="preserve"> interest charge is determined by reference to the partial tax determined under </w:t>
      </w:r>
      <w:smartTag w:uri="http://www.bna.com/sgml2word/cite" w:element="cite.usc">
        <w:smartTagPr>
          <w:attr w:name="ref" w:val="USC\26\667(b)"/>
        </w:smartTagPr>
        <w:r>
          <w:t>§667(b)</w:t>
        </w:r>
      </w:smartTag>
      <w:r>
        <w:t xml:space="preserve">, and </w:t>
      </w:r>
      <w:smartTag w:uri="http://www.bna.com/sgml2word/cite" w:element="cite.usc">
        <w:smartTagPr>
          <w:attr w:name="ref" w:val="USC\26\667(b)"/>
        </w:smartTagPr>
        <w:r>
          <w:t>§667(b)</w:t>
        </w:r>
      </w:smartTag>
      <w:r>
        <w:t xml:space="preserve"> includes only the tax imposed by Chapter 1, the beneficiary’s NIIT liability (if any) on the accumulation distribution is not included in the calculation of the beneficiary’s interest charge calculation.</w:t>
      </w:r>
    </w:p>
    <w:p w14:paraId="5A1C8670" w14:textId="77777777" w:rsidR="00494B49" w:rsidRDefault="00494B49">
      <w:pPr>
        <w:pStyle w:val="BHead2"/>
      </w:pPr>
      <w:r>
        <w:t xml:space="preserve">5. Look-Back Rules — Sections 460(b) and 167(g) </w:t>
      </w:r>
    </w:p>
    <w:p w14:paraId="135E4AC3" w14:textId="77777777" w:rsidR="00494B49" w:rsidRDefault="00494B49">
      <w:pPr>
        <w:pStyle w:val="BNormal"/>
      </w:pPr>
      <w:r>
        <w:t xml:space="preserve">The most perplexing interest regimes when considering their interrelationship with the NIIT system are: (1) the look-back rules for long-term contracts under </w:t>
      </w:r>
      <w:smartTag w:uri="http://www.bna.com/sgml2word/cite" w:element="cite.usc">
        <w:smartTagPr>
          <w:attr w:name="ref" w:val="USC\26\460(b)"/>
        </w:smartTagPr>
        <w:r>
          <w:t>§460(b)</w:t>
        </w:r>
      </w:smartTag>
      <w:r>
        <w:t xml:space="preserve">; and (2) the income forecast deprecation method under </w:t>
      </w:r>
      <w:smartTag w:uri="http://www.bna.com/sgml2word/cite" w:element="cite.usc">
        <w:smartTagPr>
          <w:attr w:name="ref" w:val="USC\26\167(g)"/>
        </w:smartTagPr>
        <w:r>
          <w:t>§167(g)</w:t>
        </w:r>
      </w:smartTag>
      <w:r>
        <w:t xml:space="preserve">. Unlike the other interest regimes discussed above, the inclusion (or recalculation) of a taxpayer’s NIIT is more uncertain because </w:t>
      </w:r>
      <w:smartTag w:uri="http://www.bna.com/sgml2word/cite" w:element="cite.usc">
        <w:smartTagPr>
          <w:attr w:name="ref" w:val="USC\26\460(b)"/>
        </w:smartTagPr>
        <w:r>
          <w:t>§460(b)</w:t>
        </w:r>
      </w:smartTag>
      <w:r>
        <w:t xml:space="preserve"> and </w:t>
      </w:r>
      <w:smartTag w:uri="http://www.bna.com/sgml2word/cite" w:element="cite.usc">
        <w:smartTagPr>
          <w:attr w:name="ref" w:val="USC\26\167(g)"/>
        </w:smartTagPr>
        <w:r>
          <w:t>§167(g)</w:t>
        </w:r>
      </w:smartTag>
      <w:r>
        <w:t xml:space="preserve"> both require the taxpayer to recompute the prior year’s “tax,” but neither precisely defines what “tax” means.</w:t>
      </w:r>
    </w:p>
    <w:p w14:paraId="2366C6AD" w14:textId="77777777" w:rsidR="00494B49" w:rsidRDefault="00494B49">
      <w:pPr>
        <w:pStyle w:val="BHead3"/>
      </w:pPr>
      <w:r>
        <w:t>a. Section 460(b) — Long-Term Contracts</w:t>
      </w:r>
    </w:p>
    <w:p w14:paraId="38E0984A" w14:textId="77777777" w:rsidR="00494B49" w:rsidRDefault="00494B49">
      <w:pPr>
        <w:pStyle w:val="BNormal"/>
      </w:pPr>
      <w:r>
        <w:t xml:space="preserve">Generally, </w:t>
      </w:r>
      <w:smartTag w:uri="http://www.bna.com/sgml2word/cite" w:element="cite.usc">
        <w:smartTagPr>
          <w:attr w:name="ref" w:val="USC\26\460(b)"/>
        </w:smartTagPr>
        <w:r>
          <w:t>§460(b)</w:t>
        </w:r>
      </w:smartTag>
      <w:r>
        <w:t xml:space="preserve"> provides that, upon the completion of any long-term contract, the look-back method is applied to amounts taken into account under the percentage-of-completion method. The percentage-of-completion method requires the use of estimates of total contract price and total contract costs for reporting income in years before the year of contract completion.</w:t>
      </w:r>
      <w:r>
        <w:rPr>
          <w:rStyle w:val="FootnoteReference"/>
        </w:rPr>
        <w:footnoteReference w:id="1193"/>
      </w:r>
      <w:r>
        <w:t xml:space="preserve"> The look-back method is intended to offset the time-value effects of using estimates during the life of a contract that may differ from the actual amounts determined upon the completion of the contract.</w:t>
      </w:r>
      <w:r>
        <w:rPr>
          <w:rStyle w:val="FootnoteReference"/>
        </w:rPr>
        <w:footnoteReference w:id="1194"/>
      </w:r>
    </w:p>
    <w:p w14:paraId="1B3F26A0" w14:textId="77777777" w:rsidR="00494B49" w:rsidRDefault="00494B49">
      <w:pPr>
        <w:pStyle w:val="BNormal"/>
      </w:pPr>
      <w:r>
        <w:t xml:space="preserve">Under the look-back method, taxpayers are required to pay interest if tax liability is deferred as a result of either underestimating the total contract price or overestimating total contract costs. Conversely, taxpayers are entitled to receive interest if tax liability is accelerated as a result of </w:t>
      </w:r>
      <w:r>
        <w:lastRenderedPageBreak/>
        <w:t>either overestimating the total contract price or underestimating total contract costs.</w:t>
      </w:r>
      <w:r>
        <w:rPr>
          <w:rStyle w:val="FootnoteReference"/>
        </w:rPr>
        <w:footnoteReference w:id="1195"/>
      </w:r>
      <w:r>
        <w:t xml:space="preserve"> The look-back method involves the computation of interest with respect to hypothetical underpayments or overpayments of tax liability attributable to the use of estimated, rather than actual, contract price and contract costs and, accordingly, has no effect on the amount of tax liability reported for a previous tax year.</w:t>
      </w:r>
      <w:r>
        <w:rPr>
          <w:rStyle w:val="FootnoteReference"/>
        </w:rPr>
        <w:footnoteReference w:id="1196"/>
      </w:r>
      <w:r>
        <w:t xml:space="preserve"> The design of the look-back method is intended to correct for timing differences, not permanent differences, in tax liability that result from overestimation or underestimation of contract price and costs.</w:t>
      </w:r>
    </w:p>
    <w:p w14:paraId="60B99680" w14:textId="77777777" w:rsidR="00494B49" w:rsidRDefault="00494B49">
      <w:pPr>
        <w:pStyle w:val="BNormal"/>
      </w:pPr>
      <w:r>
        <w:t xml:space="preserve">The amount of interest charged or credited to a taxpayer under the look-back method is generally computed in three steps. </w:t>
      </w:r>
      <w:r>
        <w:rPr>
          <w:i/>
        </w:rPr>
        <w:t>First,</w:t>
      </w:r>
      <w:r>
        <w:t xml:space="preserve"> reapply the percentage-of-completion method to completed contracts using the actual, rather than estimated, contract price and contract costs.</w:t>
      </w:r>
      <w:r>
        <w:rPr>
          <w:rStyle w:val="FootnoteReference"/>
        </w:rPr>
        <w:footnoteReference w:id="1197"/>
      </w:r>
      <w:r>
        <w:t xml:space="preserve"> </w:t>
      </w:r>
      <w:r>
        <w:rPr>
          <w:i/>
        </w:rPr>
        <w:t>Second,</w:t>
      </w:r>
      <w:r>
        <w:t xml:space="preserve"> compare what the tax liability for each affected year would have been if income had been reported as reallocated under the look-back method with the tax liability that was previously determined.</w:t>
      </w:r>
      <w:r>
        <w:rPr>
          <w:rStyle w:val="FootnoteReference"/>
        </w:rPr>
        <w:footnoteReference w:id="1198"/>
      </w:r>
      <w:r>
        <w:t xml:space="preserve"> If, for any year, there is a difference between these two amounts, the difference is treated as a hypothetical underpayment or overpayment of tax. As indicated below, the approach to applying this second step depends on whether the taxpayer uses the “traditional method” or the “simplified marginal impact method.” </w:t>
      </w:r>
      <w:r>
        <w:rPr>
          <w:i/>
        </w:rPr>
        <w:t>Third,</w:t>
      </w:r>
      <w:r>
        <w:t xml:space="preserve"> apply the “adjusted overpayment rate,” as defined in </w:t>
      </w:r>
      <w:smartTag w:uri="http://www.bna.com/sgml2word/cite" w:element="cite.usc">
        <w:smartTagPr>
          <w:attr w:name="ref" w:val="USC\26\460(b)(7)"/>
        </w:smartTagPr>
        <w:r>
          <w:t>§460(b)(7)</w:t>
        </w:r>
      </w:smartTag>
      <w:r>
        <w:t>, to the hypothetical underpayment or hypothetical overpayment of tax from the year of the underpayment or overpayment until the year the contract was completed. The result is the amount of interest to be paid by, or credited to, the taxpayer.</w:t>
      </w:r>
      <w:r>
        <w:rPr>
          <w:rStyle w:val="FootnoteReference"/>
        </w:rPr>
        <w:footnoteReference w:id="1199"/>
      </w:r>
    </w:p>
    <w:p w14:paraId="4ACF8630" w14:textId="77777777" w:rsidR="00494B49" w:rsidRDefault="00494B49">
      <w:pPr>
        <w:pStyle w:val="BNormal"/>
      </w:pPr>
      <w:r>
        <w:t>Another method, the “simplified marginal impact method,” eliminates the requirement to determine what a taxpayer's tax liability would have been if income were reported on the basis of actual contract price and actual contract costs within the second step of the traditional look-back method.</w:t>
      </w:r>
      <w:r>
        <w:rPr>
          <w:rStyle w:val="FootnoteReference"/>
        </w:rPr>
        <w:footnoteReference w:id="1200"/>
      </w:r>
      <w:r>
        <w:t xml:space="preserve"> Under the simplified marginal impact method, a taxpayer reapplies the percentage of completion method, using the actual, rather than estimated, total contract price and total contract costs, to all contracts that are completed or adjusted in a particular year.</w:t>
      </w:r>
      <w:r>
        <w:rPr>
          <w:rStyle w:val="FootnoteReference"/>
        </w:rPr>
        <w:footnoteReference w:id="1201"/>
      </w:r>
      <w:r>
        <w:t xml:space="preserve"> The taxpayer then </w:t>
      </w:r>
      <w:r>
        <w:lastRenderedPageBreak/>
        <w:t xml:space="preserve">computes the aggregate marginal increase or decrease in income, from those contracts only, for each tax year affected by those contracts. This increase or decrease in income for each affected tax year is generally deemed to give rise to a hypothetical overpayment or underpayment of tax determined at the highest statutory tax rate in effect for that year under </w:t>
      </w:r>
      <w:smartTag w:uri="http://www.bna.com/sgml2word/cite" w:element="cite.usc">
        <w:smartTagPr>
          <w:attr w:name="ref" w:val="USC\26\1"/>
        </w:smartTagPr>
        <w:r>
          <w:t>§1</w:t>
        </w:r>
      </w:smartTag>
      <w:r>
        <w:t>.</w:t>
      </w:r>
      <w:r>
        <w:rPr>
          <w:rStyle w:val="FootnoteReference"/>
        </w:rPr>
        <w:footnoteReference w:id="1202"/>
      </w:r>
    </w:p>
    <w:p w14:paraId="165BC98A" w14:textId="77777777" w:rsidR="00494B49" w:rsidRDefault="00494B49">
      <w:pPr>
        <w:pStyle w:val="BNormal"/>
      </w:pPr>
      <w:r>
        <w:t>The simplified marginal impact method must be used with respect to income from domestic long-term contracts of a widely held partnership, S corporation or trust and must be applied at the entity level, rather than at the owner level, unless such entity is a “closely held pass-thru entity”.</w:t>
      </w:r>
      <w:r>
        <w:rPr>
          <w:rStyle w:val="FootnoteReference"/>
        </w:rPr>
        <w:footnoteReference w:id="1203"/>
      </w:r>
      <w:r>
        <w:t xml:space="preserve"> If, at all times during the year, more than 50% of the interests of the pass-through entity were held by individuals (directly or through one or more pass-through entities), hypothetical overpayments or underpayments of tax liability are deemed to arise at the highest statutory tax rate in effect for individuals under </w:t>
      </w:r>
      <w:smartTag w:uri="http://www.bna.com/sgml2word/cite" w:element="cite.usc">
        <w:smartTagPr>
          <w:attr w:name="ref" w:val="USC\26\1"/>
        </w:smartTagPr>
        <w:r>
          <w:t>§1</w:t>
        </w:r>
      </w:smartTag>
      <w:r>
        <w:t xml:space="preserve"> and </w:t>
      </w:r>
      <w:smartTag w:uri="http://www.bna.com/sgml2word/cite" w:element="cite.usc">
        <w:smartTagPr>
          <w:attr w:name="ref" w:val="usc\26\55(b)(1)"/>
        </w:smartTagPr>
        <w:r>
          <w:t>§55(b)(1)</w:t>
        </w:r>
      </w:smartTag>
      <w:r>
        <w:t>.</w:t>
      </w:r>
      <w:r>
        <w:rPr>
          <w:rStyle w:val="FootnoteReference"/>
        </w:rPr>
        <w:footnoteReference w:id="1204"/>
      </w:r>
      <w:r>
        <w:t xml:space="preserve"> For pass-through entities that are not majority-owned by individuals at all times during the redetermination year, hypothetical overpayments or underpayments are determined (1) for taxable years beginning after 2017, using the highest corporate statutory rate under </w:t>
      </w:r>
      <w:smartTag w:uri="http://www.bna.com/sgml2word/cite" w:element="cite.usc">
        <w:smartTagPr>
          <w:attr w:name="ref" w:val="usc\26\11"/>
        </w:smartTagPr>
        <w:r>
          <w:t>§11</w:t>
        </w:r>
      </w:smartTag>
      <w:r>
        <w:t xml:space="preserve"> and </w:t>
      </w:r>
      <w:smartTag w:uri="http://www.bna.com/sgml2word/cite" w:element="cite.usc">
        <w:smartTagPr>
          <w:attr w:name="ref" w:val="usc\26\55(b)(2)"/>
        </w:smartTagPr>
        <w:r>
          <w:t>§55(b)(2)</w:t>
        </w:r>
      </w:smartTag>
      <w:r>
        <w:t xml:space="preserve"> (for taxable years beginning after 2022);</w:t>
      </w:r>
      <w:r>
        <w:rPr>
          <w:rStyle w:val="FootnoteReference"/>
        </w:rPr>
        <w:footnoteReference w:id="1205"/>
      </w:r>
      <w:r>
        <w:t xml:space="preserve"> or (2) for tax years beginning before 2018, using the highest corporate statutory rates under </w:t>
      </w:r>
      <w:smartTag w:uri="http://www.bna.com/sgml2word/cite" w:element="cite.usc">
        <w:smartTagPr>
          <w:attr w:name="ref" w:val="usc\26\11"/>
        </w:smartTagPr>
        <w:r>
          <w:t>§11</w:t>
        </w:r>
      </w:smartTag>
      <w:r>
        <w:t xml:space="preserve"> and </w:t>
      </w:r>
      <w:smartTag w:uri="http://www.bna.com/sgml2word/cite" w:element="cite.usc">
        <w:smartTagPr>
          <w:attr w:name="ref" w:val="2017\usc\26\55(b)(1)"/>
        </w:smartTagPr>
        <w:r>
          <w:t>pre-2018 §55(b)(1)</w:t>
        </w:r>
      </w:smartTag>
      <w:r>
        <w:t xml:space="preserve"> (tentative minimum tax for corporations).</w:t>
      </w:r>
      <w:r>
        <w:rPr>
          <w:rStyle w:val="FootnoteReference"/>
        </w:rPr>
        <w:footnoteReference w:id="1206"/>
      </w:r>
    </w:p>
    <w:p w14:paraId="5A4F6E66" w14:textId="77777777" w:rsidR="00494B49" w:rsidRDefault="00494B49">
      <w:pPr>
        <w:pStyle w:val="BHead4"/>
      </w:pPr>
      <w:r>
        <w:t xml:space="preserve">(1) Inclusion of NIIT in Section 460(b) Look-Back </w:t>
      </w:r>
      <w:r>
        <w:br/>
        <w:t>Calculation</w:t>
      </w:r>
    </w:p>
    <w:p w14:paraId="344B32E5" w14:textId="77777777" w:rsidR="00494B49" w:rsidRDefault="00494B49">
      <w:pPr>
        <w:pStyle w:val="BHead5"/>
      </w:pPr>
      <w:r>
        <w:t>(a) Traditional Method</w:t>
      </w:r>
    </w:p>
    <w:p w14:paraId="43EC4DFD" w14:textId="77777777" w:rsidR="00494B49" w:rsidRDefault="00494B49">
      <w:pPr>
        <w:pStyle w:val="BNormal"/>
      </w:pPr>
      <w:r>
        <w:t>For individuals, estates, and trusts using the traditional look-back calculation method, step two requires a recalculation of tax liability,</w:t>
      </w:r>
      <w:r>
        <w:rPr>
          <w:rStyle w:val="FootnoteReference"/>
        </w:rPr>
        <w:footnoteReference w:id="1207"/>
      </w:r>
      <w:r>
        <w:t xml:space="preserve"> and the regulations under </w:t>
      </w:r>
      <w:smartTag w:uri="http://www.bna.com/sgml2word/cite" w:element="cite.usc">
        <w:smartTagPr>
          <w:attr w:name="ref" w:val="USC\26\460"/>
        </w:smartTagPr>
        <w:r>
          <w:t>§460</w:t>
        </w:r>
      </w:smartTag>
      <w:r>
        <w:t xml:space="preserve"> provide that the income tax liability must be redetermined by taking into account all applicable additions to tax, credits, and NOL carrybacks and carryovers.</w:t>
      </w:r>
      <w:r>
        <w:rPr>
          <w:rStyle w:val="FootnoteReference"/>
        </w:rPr>
        <w:footnoteReference w:id="1208"/>
      </w:r>
      <w:r>
        <w:t xml:space="preserve"> The regulation goes on to provide that the tax, if any, imposed under </w:t>
      </w:r>
      <w:smartTag w:uri="http://www.bna.com/sgml2word/cite" w:element="cite.usc">
        <w:smartTagPr>
          <w:attr w:name="ref" w:val="usc\26\55"/>
        </w:smartTagPr>
        <w:r>
          <w:t>§55</w:t>
        </w:r>
      </w:smartTag>
      <w:r>
        <w:t xml:space="preserve"> (alternative minimum tax (AMT)) and </w:t>
      </w:r>
      <w:smartTag w:uri="http://www.bna.com/sgml2word/cite" w:element="cite.usc">
        <w:smartTagPr>
          <w:attr w:name="ref" w:val="usc\26\59a"/>
        </w:smartTagPr>
        <w:r>
          <w:t>§59A</w:t>
        </w:r>
      </w:smartTag>
      <w:r>
        <w:t xml:space="preserve"> (base erosion and anti-</w:t>
      </w:r>
      <w:r>
        <w:lastRenderedPageBreak/>
        <w:t>abuse tax (BEAT)) must be taken into account.</w:t>
      </w:r>
      <w:r>
        <w:rPr>
          <w:rStyle w:val="FootnoteReference"/>
        </w:rPr>
        <w:footnoteReference w:id="1209"/>
      </w:r>
      <w:r>
        <w:t xml:space="preserve"> The tax curiously absent from the regulation, and from the examples contained in Reg. </w:t>
      </w:r>
      <w:smartTag w:uri="http://www.bna.com/sgml2word/cite" w:element="cite.cfr">
        <w:smartTagPr>
          <w:attr w:name="ref" w:val="cfr\26\1.460-6(h)"/>
        </w:smartTagPr>
        <w:r>
          <w:t>§1.460-6(h)</w:t>
        </w:r>
      </w:smartTag>
      <w:r>
        <w:t xml:space="preserve">, is the tax imposed by Chapter 2 on self-employment income; the legislative history to </w:t>
      </w:r>
      <w:smartTag w:uri="http://www.bna.com/sgml2word/cite" w:element="cite.usc">
        <w:smartTagPr>
          <w:attr w:name="ref" w:val="USC\26\460"/>
        </w:smartTagPr>
        <w:r>
          <w:t>§460</w:t>
        </w:r>
      </w:smartTag>
      <w:r>
        <w:t xml:space="preserve"> does not provide any insight.</w:t>
      </w:r>
    </w:p>
    <w:p w14:paraId="5B78B1BC" w14:textId="77777777" w:rsidR="00494B49" w:rsidRDefault="00494B49">
      <w:pPr>
        <w:pStyle w:val="BNormal"/>
      </w:pPr>
      <w:r>
        <w:t xml:space="preserve">It would be reasonable to conclude that the phrase “additions to tax” in Reg. </w:t>
      </w:r>
      <w:smartTag w:uri="http://www.bna.com/sgml2word/cite" w:element="cite.cfr">
        <w:smartTagPr>
          <w:attr w:name="ref" w:val="cfr\26\1.460-6(c)(3)(vi)"/>
        </w:smartTagPr>
        <w:r>
          <w:t>§1.460-6(c)(3)(vi)</w:t>
        </w:r>
      </w:smartTag>
      <w:r>
        <w:t xml:space="preserve"> is broad enough to cover both taxes imposed by Chapter 2 and Chapter 2A.</w:t>
      </w:r>
      <w:r>
        <w:rPr>
          <w:rStyle w:val="FootnoteReference"/>
        </w:rPr>
        <w:footnoteReference w:id="1210"/>
      </w:r>
      <w:r>
        <w:t xml:space="preserve"> However, for taxpayers to recalculate their NIIT liability, both modified adjusted gross income (MAGI) and net investment income would need to be affected, which is not the case with the self-employment tax. For purposes of recalculating NIIT, the recalculated income must be taken into account in computing the taxpayer’s MAGI. Although the language in Reg. </w:t>
      </w:r>
      <w:smartTag w:uri="http://www.bna.com/sgml2word/cite" w:element="cite.cfr">
        <w:smartTagPr>
          <w:attr w:name="ref" w:val="cfr\26\1.460-6(c)(3)(vi)"/>
        </w:smartTagPr>
        <w:r>
          <w:t>§1.460-6(c)(3)(vi)</w:t>
        </w:r>
      </w:smartTag>
      <w:r>
        <w:t xml:space="preserve"> does not get so granular as to state that AGI and all items associated with AGI must be recalculated, the instructions to </w:t>
      </w:r>
      <w:smartTag w:uri="http://www.bna.com/sgml2word/cite" w:element="cite.fed.form">
        <w:smartTagPr>
          <w:attr w:name="ref" w:val="irs\form8697"/>
        </w:smartTagPr>
        <w:r>
          <w:t>Form 8697</w:t>
        </w:r>
      </w:smartTag>
      <w:r>
        <w:t xml:space="preserve">, Line 2 state: </w:t>
      </w:r>
    </w:p>
    <w:p w14:paraId="4047566F" w14:textId="77777777" w:rsidR="00494B49" w:rsidRDefault="00494B49">
      <w:pPr>
        <w:pStyle w:val="BQuotelong"/>
      </w:pPr>
      <w:r>
        <w:t xml:space="preserve">In figuring the net adjustment to be entered in each column on line 2, be sure to take into account any other income and expense adjustments that may result from the increase (or decrease) to income from long-term contracts (e.g., a change to adjusted gross income affecting medical expenses under </w:t>
      </w:r>
      <w:smartTag w:uri="http://www.bna.com/sgml2word/cite" w:element="cite.usc">
        <w:smartTagPr>
          <w:attr w:name="ref" w:val="USC\26\213"/>
        </w:smartTagPr>
        <w:r>
          <w:t>section 213</w:t>
        </w:r>
      </w:smartTag>
      <w:r>
        <w:t>).</w:t>
      </w:r>
      <w:r>
        <w:rPr>
          <w:rStyle w:val="FootnoteReference"/>
        </w:rPr>
        <w:footnoteReference w:id="1211"/>
      </w:r>
      <w:r>
        <w:t xml:space="preserve"> </w:t>
      </w:r>
    </w:p>
    <w:p w14:paraId="0BCBB1B3" w14:textId="77777777" w:rsidR="00494B49" w:rsidRDefault="00494B49">
      <w:pPr>
        <w:pStyle w:val="BNormal"/>
      </w:pPr>
      <w:r>
        <w:t xml:space="preserve">Because medical expenses in excess of an AGI threshold must be recalculated, it is reasonable to conclude that Reg. </w:t>
      </w:r>
      <w:smartTag w:uri="http://www.bna.com/sgml2word/cite" w:element="cite.cfr">
        <w:smartTagPr>
          <w:attr w:name="ref" w:val="cfr\26\1.460-6(c)(3)(vi)"/>
        </w:smartTagPr>
        <w:r>
          <w:t>§1.460-6(c)(3)(vi)</w:t>
        </w:r>
      </w:smartTag>
      <w:r>
        <w:t xml:space="preserve"> is broad enough to cause the taxpayer’s MAGI to adjust (upward or downward) for NIIT purposes as well. </w:t>
      </w:r>
    </w:p>
    <w:p w14:paraId="206CDD8C" w14:textId="77777777" w:rsidR="00494B49" w:rsidRDefault="00494B49">
      <w:pPr>
        <w:pStyle w:val="BNormal"/>
      </w:pPr>
      <w:r>
        <w:t xml:space="preserve">If the recalculation of income from a long-term contract is taken into account in recomputing the taxpayer’s self-employment income, </w:t>
      </w:r>
      <w:smartTag w:uri="http://www.bna.com/sgml2word/cite" w:element="cite.usc">
        <w:smartTagPr>
          <w:attr w:name="ref" w:val="USC\26\1411(c)(6)"/>
        </w:smartTagPr>
        <w:r>
          <w:t>§1411(c)(6)</w:t>
        </w:r>
      </w:smartTag>
      <w:r>
        <w:t xml:space="preserve"> would exclude such amounts from the taxpayer’s net investment income. Alternatively, if the recalculation of income from a long-term contract is attributable to a nonpassive activity (within the meaning of Reg. </w:t>
      </w:r>
      <w:smartTag w:uri="http://www.bna.com/sgml2word/cite" w:element="cite.cfr">
        <w:smartTagPr>
          <w:attr w:name="ref" w:val="cfr\26\1.1411-5(b)"/>
        </w:smartTagPr>
        <w:r>
          <w:t>§1.1411-5(b)</w:t>
        </w:r>
      </w:smartTag>
      <w:r>
        <w:t>), that amount is not included in the taxpayer’s net investment income. Consequently, recalculated long-term contract income from a passive trade or business activity would be included in the calculation of net investment income.</w:t>
      </w:r>
      <w:r>
        <w:rPr>
          <w:rStyle w:val="FootnoteReference"/>
        </w:rPr>
        <w:footnoteReference w:id="1212"/>
      </w:r>
    </w:p>
    <w:p w14:paraId="0B7BFC36" w14:textId="77777777" w:rsidR="00494B49" w:rsidRDefault="00494B49">
      <w:pPr>
        <w:pStyle w:val="BHead5"/>
      </w:pPr>
      <w:r>
        <w:t>(b) Simplified Marginal Impact Method</w:t>
      </w:r>
    </w:p>
    <w:p w14:paraId="2E874782" w14:textId="77777777" w:rsidR="00494B49" w:rsidRDefault="00494B49">
      <w:pPr>
        <w:pStyle w:val="BNormal"/>
      </w:pPr>
      <w:r>
        <w:lastRenderedPageBreak/>
        <w:t xml:space="preserve">The treatment of the NIIT regime within the simplified marginal impact method is clearer than in the traditional method. The “applicable tax rate” under Reg. </w:t>
      </w:r>
      <w:smartTag w:uri="http://www.bna.com/sgml2word/cite" w:element="cite.cfr">
        <w:smartTagPr>
          <w:attr w:name="ref" w:val="cfr\26\1.460-6(d)(2)(ii)"/>
        </w:smartTagPr>
        <w:r>
          <w:t>§1.460-6(d)(2)(ii)</w:t>
        </w:r>
      </w:smartTag>
      <w:r>
        <w:t xml:space="preserve"> is limited to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for individuals. Reg. </w:t>
      </w:r>
      <w:smartTag w:uri="http://www.bna.com/sgml2word/cite" w:element="cite.cfr">
        <w:smartTagPr>
          <w:attr w:name="ref" w:val="cfr\26\1.460-6(d)(2)(ii)"/>
        </w:smartTagPr>
        <w:r>
          <w:t>§1.460-6(d)(2)(ii)</w:t>
        </w:r>
      </w:smartTag>
      <w:r>
        <w:t xml:space="preserve"> specifically provides that the “highest rate is determined without regard to the taxpayer’s actual rate bracket and without regard to any additional surtax imposed for the purpose of phasing out multiple tax brackets or exemptions.”</w:t>
      </w:r>
      <w:r>
        <w:rPr>
          <w:rStyle w:val="FootnoteReference"/>
        </w:rPr>
        <w:footnoteReference w:id="1213"/>
      </w:r>
      <w:r>
        <w:t xml:space="preserve"> Therefore, for the same reason that the simplified marginal impact method recalculation does not take into account bracket phase-out and exemptions, the simplified marginal impact method (intentionally?) lacks the mechanics for the passthrough entity to recalculate each owner’s NIIT liability. Thus, it is reasonable to conclude that the simplified marginal impact method does not take into account any changes in NIIT liability.</w:t>
      </w:r>
    </w:p>
    <w:p w14:paraId="16CF204B" w14:textId="77777777" w:rsidR="00494B49" w:rsidRDefault="00494B49">
      <w:pPr>
        <w:pStyle w:val="BHead4"/>
      </w:pPr>
      <w:r>
        <w:t xml:space="preserve">(2) Interest Received and Interest Paid </w:t>
      </w:r>
    </w:p>
    <w:p w14:paraId="23169D76" w14:textId="77777777" w:rsidR="00494B49" w:rsidRDefault="00494B49">
      <w:pPr>
        <w:pStyle w:val="BNormal"/>
      </w:pPr>
      <w:r>
        <w:t xml:space="preserve">With respect to interest that is refunded under the look-back method, the regulations under </w:t>
      </w:r>
      <w:smartTag w:uri="http://www.bna.com/sgml2word/cite" w:element="cite.usc">
        <w:smartTagPr>
          <w:attr w:name="ref" w:val="USC\26\460"/>
        </w:smartTagPr>
        <w:r>
          <w:t>§460</w:t>
        </w:r>
      </w:smartTag>
      <w:r>
        <w:t xml:space="preserve"> similarly provide that, for purposes of Subtitle A, this amount is taxable interest income.</w:t>
      </w:r>
      <w:r>
        <w:rPr>
          <w:rStyle w:val="FootnoteReference"/>
        </w:rPr>
        <w:footnoteReference w:id="1214"/>
      </w:r>
      <w:r>
        <w:t xml:space="preserve"> Therefore, it is included in gross income for regular income tax purposes and in net investment income under </w:t>
      </w:r>
      <w:smartTag w:uri="http://www.bna.com/sgml2word/cite" w:element="cite.usc">
        <w:smartTagPr>
          <w:attr w:name="ref" w:val="USC\26\1411(c)(1)(A)(i)"/>
        </w:smartTagPr>
        <w:r>
          <w:t>§1411(c)(1)(A)(i)</w:t>
        </w:r>
      </w:smartTag>
      <w:r>
        <w:t xml:space="preserve">. </w:t>
      </w:r>
    </w:p>
    <w:p w14:paraId="35A384E5" w14:textId="77777777" w:rsidR="00494B49" w:rsidRDefault="00494B49">
      <w:pPr>
        <w:pStyle w:val="BNormal"/>
      </w:pPr>
      <w:r>
        <w:t xml:space="preserve">For purposes of determining taxable income under Subtitle A of the Code, any amount of interest required to be paid by the taxpayer under the look-back method is treated as interest expense. The regulations under </w:t>
      </w:r>
      <w:smartTag w:uri="http://www.bna.com/sgml2word/cite" w:element="cite.usc">
        <w:smartTagPr>
          <w:attr w:name="ref" w:val="USC\26\460"/>
        </w:smartTagPr>
        <w:r>
          <w:t>§460</w:t>
        </w:r>
      </w:smartTag>
      <w:r>
        <w:t xml:space="preserve"> provide that this interest expense is treated as arising from an underpayment of income tax.</w:t>
      </w:r>
      <w:r>
        <w:rPr>
          <w:rStyle w:val="FootnoteReference"/>
        </w:rPr>
        <w:footnoteReference w:id="1215"/>
      </w:r>
      <w:r>
        <w:t xml:space="preserve"> Thus, any look-back interest required to be paid in the case of an individual (including an individual owner of any passthrough entity) is treated as personal interest in accordance with Reg. </w:t>
      </w:r>
      <w:smartTag w:uri="http://www.bna.com/sgml2word/cite" w:element="cite.cfr">
        <w:smartTagPr>
          <w:attr w:name="ref" w:val="CFR\26\1.163-9T(b)(2)"/>
        </w:smartTagPr>
        <w:r>
          <w:t>§1.163-9T(b)(2)</w:t>
        </w:r>
      </w:smartTag>
      <w:r>
        <w:t xml:space="preserve">, even if that interest is attributable to long-term contract income of a trade or business. </w:t>
      </w:r>
    </w:p>
    <w:p w14:paraId="5D2E148A" w14:textId="77777777" w:rsidR="00494B49" w:rsidRDefault="00494B49">
      <w:pPr>
        <w:pStyle w:val="BNormal"/>
      </w:pPr>
      <w:r>
        <w:t>The regulations provide that interest computed under the look-back method at the entity level under the simplified marginal impact method is allocated among the owners (or beneficiaries) in the same manner that interest income or interest expense, as applicable, is allocated to owners (or beneficiaries) under the general provisions of Subchapter K or Subchapter J.</w:t>
      </w:r>
      <w:r>
        <w:rPr>
          <w:rStyle w:val="FootnoteReference"/>
        </w:rPr>
        <w:footnoteReference w:id="1216"/>
      </w:r>
    </w:p>
    <w:p w14:paraId="4BD6D9AF" w14:textId="77777777" w:rsidR="00494B49" w:rsidRDefault="00494B49">
      <w:pPr>
        <w:pStyle w:val="BHead3"/>
      </w:pPr>
      <w:r>
        <w:t xml:space="preserve">b. Section 167(g) Income Forecast Method of </w:t>
      </w:r>
      <w:r>
        <w:br/>
        <w:t>Depreciation</w:t>
      </w:r>
    </w:p>
    <w:p w14:paraId="0C69E977" w14:textId="77777777" w:rsidR="00494B49" w:rsidRDefault="00494B49">
      <w:pPr>
        <w:pStyle w:val="BNormal"/>
      </w:pPr>
      <w:r>
        <w:t xml:space="preserve">The </w:t>
      </w:r>
      <w:smartTag w:uri="http://www.bna.com/sgml2word/cite" w:element="cite.usc">
        <w:smartTagPr>
          <w:attr w:name="ref" w:val="USC\26\167(g)"/>
        </w:smartTagPr>
        <w:r>
          <w:t>§167(g)</w:t>
        </w:r>
      </w:smartTag>
      <w:r>
        <w:t xml:space="preserve"> income forecast method of depreciation can be used only in the relatively limited situation in which the future production of an asset can be estimated with reasonable accuracy — the useful life of the asset may be measured in units of output, rather than years, such that depreciation is allocated equally to each unit of output.</w:t>
      </w:r>
      <w:r>
        <w:rPr>
          <w:rStyle w:val="FootnoteReference"/>
        </w:rPr>
        <w:footnoteReference w:id="1217"/>
      </w:r>
    </w:p>
    <w:p w14:paraId="562E3A5E" w14:textId="77777777" w:rsidR="00494B49" w:rsidRDefault="00494B49">
      <w:pPr>
        <w:pStyle w:val="BNormal"/>
      </w:pPr>
      <w:smartTag w:uri="http://www.bna.com/sgml2word/cite" w:element="cite.usc">
        <w:smartTagPr>
          <w:attr w:name="ref" w:val="USC\26\167(g)"/>
        </w:smartTagPr>
        <w:r>
          <w:lastRenderedPageBreak/>
          <w:t>Section 167(g)</w:t>
        </w:r>
      </w:smartTag>
      <w:r>
        <w:t xml:space="preserve"> provides rules for calculating depreciation under the income forecast method. For NIIT purposes, the relevant nuance is that the income forecast rules further provide, in certain cases, for look-back computations pursuant to which a taxpayer may be required to pay, or entitled to receive, interest based on recomputing prior-year income forecast depreciation and the resulting tax liability using actual income numbers in lieu of estimates.</w:t>
      </w:r>
      <w:r>
        <w:rPr>
          <w:rStyle w:val="FootnoteReference"/>
        </w:rPr>
        <w:footnoteReference w:id="1218"/>
      </w:r>
      <w:r>
        <w:t xml:space="preserve"> The </w:t>
      </w:r>
      <w:smartTag w:uri="http://www.bna.com/sgml2word/cite" w:element="cite.usc">
        <w:smartTagPr>
          <w:attr w:name="ref" w:val="USC\26\167(g)(2)"/>
        </w:smartTagPr>
        <w:r>
          <w:t>§167(g)(2)</w:t>
        </w:r>
      </w:smartTag>
      <w:r>
        <w:t xml:space="preserve"> look-back method is applied in any “recomputation year” by: (1) determining depreciation deductions that would have been claimed had the taxpayer used actual, rather than estimated, total income from the property; (2) determining the hypothetical overpayment or underpayment of tax based on this recalculated depreciation; and (3) applying the overpayment rate of </w:t>
      </w:r>
      <w:smartTag w:uri="http://www.bna.com/sgml2word/cite" w:element="cite.usc">
        <w:smartTagPr>
          <w:attr w:name="ref" w:val="USC\26\6621"/>
        </w:smartTagPr>
        <w:r>
          <w:t>§6621</w:t>
        </w:r>
      </w:smartTag>
      <w:r>
        <w:t xml:space="preserve"> of the Code.</w:t>
      </w:r>
      <w:r>
        <w:rPr>
          <w:rStyle w:val="FootnoteReference"/>
        </w:rPr>
        <w:footnoteReference w:id="1219"/>
      </w:r>
      <w:r>
        <w:t xml:space="preserve"> The 1996 Conference report associated with the enactment of </w:t>
      </w:r>
      <w:smartTag w:uri="http://www.bna.com/sgml2word/cite" w:element="cite.usc">
        <w:smartTagPr>
          <w:attr w:name="ref" w:val="USC\26\167(g)"/>
        </w:smartTagPr>
        <w:r>
          <w:t>§167(g)</w:t>
        </w:r>
      </w:smartTag>
      <w:r>
        <w:t xml:space="preserve"> acknowledges that the look-back method of the provision resembles the look-back method applicable to long-term contracts accounted for under the percentage-of-completion method of </w:t>
      </w:r>
      <w:smartTag w:uri="http://www.bna.com/sgml2word/cite" w:element="cite.usc">
        <w:smartTagPr>
          <w:attr w:name="ref" w:val="USC\26\460"/>
        </w:smartTagPr>
        <w:r>
          <w:t>§460</w:t>
        </w:r>
      </w:smartTag>
      <w:r>
        <w:t>.</w:t>
      </w:r>
      <w:r>
        <w:rPr>
          <w:rStyle w:val="FootnoteReference"/>
        </w:rPr>
        <w:footnoteReference w:id="1220"/>
      </w:r>
      <w:r>
        <w:t xml:space="preserve"> As a result of recalculating depreciation under this method, a taxpayer may owe interest, or be entitled to receive it.</w:t>
      </w:r>
    </w:p>
    <w:p w14:paraId="46821492" w14:textId="77777777" w:rsidR="00494B49" w:rsidRDefault="00494B49">
      <w:pPr>
        <w:pStyle w:val="BHead4"/>
      </w:pPr>
      <w:r>
        <w:t>(1) Inclusion of NIIT in Section 167(g)(2) Look-Back Calculation</w:t>
      </w:r>
    </w:p>
    <w:p w14:paraId="075BF883" w14:textId="77777777" w:rsidR="00494B49" w:rsidRDefault="00494B49">
      <w:pPr>
        <w:pStyle w:val="BNormal"/>
      </w:pPr>
      <w:r>
        <w:t xml:space="preserve">The notable issue concerning the </w:t>
      </w:r>
      <w:smartTag w:uri="http://www.bna.com/sgml2word/cite" w:element="cite.usc">
        <w:smartTagPr>
          <w:attr w:name="ref" w:val="USC\26\167(g)(2)"/>
        </w:smartTagPr>
        <w:r>
          <w:t>§167(g)(2)</w:t>
        </w:r>
      </w:smartTag>
      <w:r>
        <w:t xml:space="preserve"> look-back calculation is similar to the issue under the look-back method for long-term contracts discussed above. Specifically, </w:t>
      </w:r>
      <w:smartTag w:uri="http://www.bna.com/sgml2word/cite" w:element="cite.usc">
        <w:smartTagPr>
          <w:attr w:name="ref" w:val="USC\26\167(g)(2)(B)"/>
        </w:smartTagPr>
        <w:r>
          <w:t>§167(g)(2)(B)</w:t>
        </w:r>
      </w:smartTag>
      <w:r>
        <w:t xml:space="preserve"> states, in relevant part, that (after computing the difference in depreciation deductions in </w:t>
      </w:r>
      <w:smartTag w:uri="http://www.bna.com/sgml2word/cite" w:element="cite.usc">
        <w:smartTagPr>
          <w:attr w:name="ref" w:val="USC\26\167(g)(2)(A)"/>
        </w:smartTagPr>
        <w:r>
          <w:t>§167(g)(2)(A)</w:t>
        </w:r>
      </w:smartTag>
      <w:r>
        <w:t xml:space="preserve">) a taxpayer determines “(solely for purposes of computing such interest) the overpayment or underpayment of tax for each such prior tax year which would result solely from the application of subparagraph (A).” So, the relevant question becomes: how does a taxpayer calculate “tax” for purposes of applying this provision? </w:t>
      </w:r>
    </w:p>
    <w:p w14:paraId="6E597A66" w14:textId="77777777" w:rsidR="00494B49" w:rsidRDefault="00494B49">
      <w:pPr>
        <w:pStyle w:val="BNormal"/>
      </w:pPr>
      <w:r>
        <w:t xml:space="preserve">The Treasury Department and the IRS issued proposed regulations pertaining to </w:t>
      </w:r>
      <w:smartTag w:uri="http://www.bna.com/sgml2word/cite" w:element="cite.usc">
        <w:smartTagPr>
          <w:attr w:name="ref" w:val="USC\26\167(g)"/>
        </w:smartTagPr>
        <w:r>
          <w:t>§167(g)</w:t>
        </w:r>
      </w:smartTag>
      <w:r>
        <w:t xml:space="preserve"> in 2002, but they provided little insight into the meaning of the tax recomputation required by </w:t>
      </w:r>
      <w:smartTag w:uri="http://www.bna.com/sgml2word/cite" w:element="cite.usc">
        <w:smartTagPr>
          <w:attr w:name="ref" w:val="USC\26\167(g)(2)(B)"/>
        </w:smartTagPr>
        <w:r>
          <w:t>§167(g)(2)(B)</w:t>
        </w:r>
      </w:smartTag>
      <w:r>
        <w:t>.</w:t>
      </w:r>
      <w:r>
        <w:rPr>
          <w:rStyle w:val="FootnoteReference"/>
        </w:rPr>
        <w:footnoteReference w:id="1221"/>
      </w:r>
      <w:r>
        <w:t xml:space="preserve"> The preamble to the proposed regulations simply stated that “taxpayers must determine the hypothetical overpayment or underpayment of tax arising from the change in depreciation allowances by recomputing their tax liability. Thus, a taxpayer’s tax liability for each prior year is recomputed by substituting the recomputed depreciation allowances for the depreciation allowances originally claimed.”</w:t>
      </w:r>
    </w:p>
    <w:p w14:paraId="79B99FD3" w14:textId="77777777" w:rsidR="00494B49" w:rsidRDefault="00494B49">
      <w:pPr>
        <w:pStyle w:val="BNormal"/>
      </w:pPr>
      <w:r>
        <w:t xml:space="preserve">Prop. Reg. </w:t>
      </w:r>
      <w:smartTag w:uri="http://www.bna.com/sgml2word/cite" w:element="cite.cfr">
        <w:smartTagPr>
          <w:attr w:name="ref" w:val="prule\cfr\26\1.167(n)-6(d)(2)(i)"/>
        </w:smartTagPr>
        <w:r>
          <w:t>§1.167(n)-6(d)(2)(i)</w:t>
        </w:r>
      </w:smartTag>
      <w:r>
        <w:t xml:space="preserve"> provides, in relevant part, that “[a] hypothetical income tax liability is then computed for each affected year using revised taxable income for that year. The hypothetical income tax liability for any affected year must be computed by taking into account all applicable additions to tax, credits, and NOL carrybacks and NOL carryforwards. The tax, if any, imposed under </w:t>
      </w:r>
      <w:smartTag w:uri="http://www.bna.com/sgml2word/cite" w:element="cite.usc">
        <w:smartTagPr>
          <w:attr w:name="ref" w:val="usc\26\55"/>
        </w:smartTagPr>
        <w:r>
          <w:t>§55</w:t>
        </w:r>
      </w:smartTag>
      <w:r>
        <w:t xml:space="preserve"> (relating to AMT) must be taken into account.” The example provided in Prop. Reg. </w:t>
      </w:r>
      <w:smartTag w:uri="http://www.bna.com/sgml2word/cite" w:element="cite.cfr">
        <w:smartTagPr>
          <w:attr w:name="ref" w:val="prule\cfr\26\1.167(n)-6(d)(2)(v)"/>
        </w:smartTagPr>
        <w:r>
          <w:t>§1.167(n)-6(d)(2)(v)</w:t>
        </w:r>
      </w:smartTag>
      <w:r>
        <w:t xml:space="preserve"> does not elaborate on the matter.</w:t>
      </w:r>
    </w:p>
    <w:p w14:paraId="61355CC2" w14:textId="77777777" w:rsidR="00494B49" w:rsidRDefault="00494B49">
      <w:pPr>
        <w:pStyle w:val="BNormal"/>
      </w:pPr>
      <w:r>
        <w:t xml:space="preserve">Therefore, at a minimum, based on the reference to </w:t>
      </w:r>
      <w:smartTag w:uri="http://www.bna.com/sgml2word/cite" w:element="cite.usc">
        <w:smartTagPr>
          <w:attr w:name="ref" w:val="USC\26\460(b)"/>
        </w:smartTagPr>
        <w:r>
          <w:t>§460(b)</w:t>
        </w:r>
      </w:smartTag>
      <w:r>
        <w:t xml:space="preserve"> in </w:t>
      </w:r>
      <w:smartTag w:uri="http://www.bna.com/sgml2word/cite" w:element="cite.usc">
        <w:smartTagPr>
          <w:attr w:name="ref" w:val="USC\26\167(g)(2)(C)"/>
        </w:smartTagPr>
        <w:r>
          <w:t>§167(g)(2)(C)</w:t>
        </w:r>
      </w:smartTag>
      <w:r>
        <w:t xml:space="preserve"> and </w:t>
      </w:r>
      <w:smartTag w:uri="http://www.bna.com/sgml2word/cite" w:element="cite.usc">
        <w:smartTagPr>
          <w:attr w:name="ref" w:val="USC\26\167(g)(5)(G)"/>
        </w:smartTagPr>
        <w:r>
          <w:t>§167(g)(5)(G)</w:t>
        </w:r>
      </w:smartTag>
      <w:r>
        <w:t xml:space="preserve"> (pertaining to the treatment of pass-through entities),</w:t>
      </w:r>
      <w:r>
        <w:rPr>
          <w:rStyle w:val="FootnoteReference"/>
        </w:rPr>
        <w:footnoteReference w:id="1222"/>
      </w:r>
      <w:r>
        <w:t xml:space="preserve"> coupled with the statement in the 1996 </w:t>
      </w:r>
      <w:r>
        <w:lastRenderedPageBreak/>
        <w:t xml:space="preserve">legislative history, it is reasonable to conclude that the tax calculation required by </w:t>
      </w:r>
      <w:smartTag w:uri="http://www.bna.com/sgml2word/cite" w:element="cite.usc">
        <w:smartTagPr>
          <w:attr w:name="ref" w:val="USC\26\167(g)(2)(B)"/>
        </w:smartTagPr>
        <w:r>
          <w:t>§167(g)(2)(B)</w:t>
        </w:r>
      </w:smartTag>
      <w:r>
        <w:t xml:space="preserve"> should be substantially similar to the look-back rules under </w:t>
      </w:r>
      <w:smartTag w:uri="http://www.bna.com/sgml2word/cite" w:element="cite.usc">
        <w:smartTagPr>
          <w:attr w:name="ref" w:val="USC\26\460"/>
        </w:smartTagPr>
        <w:r>
          <w:t>§460</w:t>
        </w:r>
      </w:smartTag>
      <w:r>
        <w:t xml:space="preserve"> described above. </w:t>
      </w:r>
    </w:p>
    <w:p w14:paraId="57346919" w14:textId="77777777" w:rsidR="00494B49" w:rsidRDefault="00494B49">
      <w:pPr>
        <w:pStyle w:val="BNormal"/>
      </w:pPr>
      <w:r>
        <w:t xml:space="preserve">As noted above, the language in Prop. Reg. </w:t>
      </w:r>
      <w:smartTag w:uri="http://www.bna.com/sgml2word/cite" w:element="cite.cfr">
        <w:smartTagPr>
          <w:attr w:name="ref" w:val="prule\cfr\26\1.167(n)-6(d)(2)(i)"/>
        </w:smartTagPr>
        <w:r>
          <w:t>§1.167(n)-6(d)(2)(i)</w:t>
        </w:r>
      </w:smartTag>
      <w:r>
        <w:t xml:space="preserve"> pertaining to “taking into account all applicable additions to tax, credits” is substantially similar to Reg. </w:t>
      </w:r>
      <w:smartTag w:uri="http://www.bna.com/sgml2word/cite" w:element="cite.cfr">
        <w:smartTagPr>
          <w:attr w:name="ref" w:val="cfr\26\1.460-6(c)(3)(vi)"/>
        </w:smartTagPr>
        <w:r>
          <w:t>§1.460-6(c)(3)(vi)</w:t>
        </w:r>
      </w:smartTag>
      <w:r>
        <w:t xml:space="preserve">. Therefore, one could read the phrase “additions to tax” as sufficiently broad to cover a recomputation of a taxpayer’s NIIT liability if the recomputation year (as defined in </w:t>
      </w:r>
      <w:smartTag w:uri="http://www.bna.com/sgml2word/cite" w:element="cite.usc">
        <w:smartTagPr>
          <w:attr w:name="ref" w:val="USC\26\167(g)(4)"/>
        </w:smartTagPr>
        <w:r>
          <w:t>§167(g)(4)</w:t>
        </w:r>
      </w:smartTag>
      <w:r>
        <w:t>) begins after December 31, 2012.</w:t>
      </w:r>
      <w:r>
        <w:rPr>
          <w:rStyle w:val="FootnoteReference"/>
        </w:rPr>
        <w:footnoteReference w:id="1223"/>
      </w:r>
      <w:r>
        <w:t xml:space="preserve"> For this purpose, the recomputation of the NIIT liability would require both a recomputation of the taxpayer’s MAGI and net investment income using the recomputed depreciation determined under </w:t>
      </w:r>
      <w:smartTag w:uri="http://www.bna.com/sgml2word/cite" w:element="cite.usc">
        <w:smartTagPr>
          <w:attr w:name="ref" w:val="USC\26\167(g)(2)(A)"/>
        </w:smartTagPr>
        <w:r>
          <w:t>§167(g)(2)(A)</w:t>
        </w:r>
      </w:smartTag>
      <w:r>
        <w:t xml:space="preserve"> and Prop. Reg. </w:t>
      </w:r>
      <w:smartTag w:uri="http://www.bna.com/sgml2word/cite" w:element="cite.cfr">
        <w:smartTagPr>
          <w:attr w:name="ref" w:val="prule\cfr\26\1.167(n)-6(c)"/>
        </w:smartTagPr>
        <w:r>
          <w:t>§1.167(n)-6(c)</w:t>
        </w:r>
      </w:smartTag>
      <w:r>
        <w:t xml:space="preserve">. </w:t>
      </w:r>
    </w:p>
    <w:p w14:paraId="10B0D022" w14:textId="77777777" w:rsidR="00494B49" w:rsidRDefault="00494B49">
      <w:pPr>
        <w:pStyle w:val="BNormal"/>
      </w:pPr>
      <w:r>
        <w:t xml:space="preserve">Alternatively, Prop. Reg. </w:t>
      </w:r>
      <w:smartTag w:uri="http://www.bna.com/sgml2word/cite" w:element="cite.cfr">
        <w:smartTagPr>
          <w:attr w:name="ref" w:val="prule\cfr\26\1.167(n)-6(d)(3)"/>
        </w:smartTagPr>
        <w:r>
          <w:t>§1.167(n)-6(d)(3)</w:t>
        </w:r>
      </w:smartTag>
      <w:r>
        <w:t xml:space="preserve"> provides a simplified method of tax computation for closely held pass-through entities</w:t>
      </w:r>
      <w:r>
        <w:rPr>
          <w:rStyle w:val="FootnoteReference"/>
        </w:rPr>
        <w:footnoteReference w:id="1224"/>
      </w:r>
      <w:r>
        <w:t xml:space="preserve"> that is substantially similar to the simplified method outlined in </w:t>
      </w:r>
      <w:smartTag w:uri="http://www.bna.com/sgml2word/cite" w:element="cite.usc">
        <w:smartTagPr>
          <w:attr w:name="ref" w:val="USC\26\460(b)(4)"/>
        </w:smartTagPr>
        <w:r>
          <w:t>§460(b)(4)</w:t>
        </w:r>
      </w:smartTag>
      <w:r>
        <w:t xml:space="preserve">. Under the simplified method, a taxpayer calculates the hypothetical underpayments or overpayments of tax for a prior year based on an assumed marginal tax rate. For purposes of determining hypothetical underpayments or overpayments of tax under the simplified method, the applicable regular rate is generally the highest rate of tax in effect for corporations under </w:t>
      </w:r>
      <w:smartTag w:uri="http://www.bna.com/sgml2word/cite" w:element="cite.usc">
        <w:smartTagPr>
          <w:attr w:name="ref" w:val="usc\26\11"/>
        </w:smartTagPr>
        <w:r>
          <w:t>§11</w:t>
        </w:r>
      </w:smartTag>
      <w:r>
        <w:t xml:space="preserve"> (or the highest rate of tax imposed on individuals under </w:t>
      </w:r>
      <w:smartTag w:uri="http://www.bna.com/sgml2word/cite" w:element="cite.usc">
        <w:smartTagPr>
          <w:attr w:name="ref" w:val="USC\26\1"/>
        </w:smartTagPr>
        <w:r>
          <w:t>§1</w:t>
        </w:r>
      </w:smartTag>
      <w:r>
        <w:t xml:space="preserve"> if, at all times during all affected years, more than 50% of the interests in the entity were held by individuals directly or through one or more pass-through entities). The highest rate of tax imposed on individuals is determined without regard to any additional tax imposed for the purpose of phasing out multiple tax brackets or exemptions.</w:t>
      </w:r>
      <w:r>
        <w:rPr>
          <w:rStyle w:val="FootnoteReference"/>
        </w:rPr>
        <w:footnoteReference w:id="1225"/>
      </w:r>
    </w:p>
    <w:p w14:paraId="6A2D58FA" w14:textId="77777777" w:rsidR="00494B49" w:rsidRDefault="00494B49">
      <w:pPr>
        <w:pStyle w:val="BNormal"/>
      </w:pPr>
      <w:r>
        <w:t xml:space="preserve">As a result of the express limiting reference to the tax imposed by </w:t>
      </w:r>
      <w:smartTag w:uri="http://www.bna.com/sgml2word/cite" w:element="cite.usc">
        <w:smartTagPr>
          <w:attr w:name="ref" w:val="USC\26\1"/>
        </w:smartTagPr>
        <w:r>
          <w:t>§1</w:t>
        </w:r>
      </w:smartTag>
      <w:r>
        <w:t xml:space="preserve"> under the simplified method, the closely held pass-through entity should not have to take into account the NIIT liability of its owners in calculating any underpayment or overpayment of tax. One can reconcile this result with the fact that AMT considerations are excluded from the calculation. The pass-through entity does not generally have the wherewithal to determine an individual partner’s alternative minimum taxable income,</w:t>
      </w:r>
      <w:r>
        <w:rPr>
          <w:rStyle w:val="FootnoteReference"/>
        </w:rPr>
        <w:footnoteReference w:id="1226"/>
      </w:r>
      <w:r>
        <w:t xml:space="preserve"> just like it does not have the wherewithal to determine the individual partner’s MAGI or other net investment income items (including whether the trade or business giving rise to the </w:t>
      </w:r>
      <w:smartTag w:uri="http://www.bna.com/sgml2word/cite" w:element="cite.usc">
        <w:smartTagPr>
          <w:attr w:name="ref" w:val="USC\26\167(g)(2)"/>
        </w:smartTagPr>
        <w:r>
          <w:t>§167(g)(2)</w:t>
        </w:r>
      </w:smartTag>
      <w:r>
        <w:t xml:space="preserve"> adjustment is a passive or nonpassive activity) that are necessary to determine a partner’s NIIT liability. </w:t>
      </w:r>
    </w:p>
    <w:p w14:paraId="68BB6A9A" w14:textId="77777777" w:rsidR="00494B49" w:rsidRDefault="00494B49">
      <w:pPr>
        <w:pStyle w:val="BHead4"/>
      </w:pPr>
      <w:r>
        <w:lastRenderedPageBreak/>
        <w:t xml:space="preserve">(2) Interest Received and Interest Paid </w:t>
      </w:r>
    </w:p>
    <w:p w14:paraId="78F5727B" w14:textId="77777777" w:rsidR="00494B49" w:rsidRDefault="00494B49">
      <w:pPr>
        <w:pStyle w:val="BNormal"/>
      </w:pPr>
      <w:r>
        <w:t>If the look-back method results in interest being received by the taxpayer, the interest income</w:t>
      </w:r>
      <w:r>
        <w:rPr>
          <w:rStyle w:val="FootnoteReference"/>
        </w:rPr>
        <w:footnoteReference w:id="1227"/>
      </w:r>
      <w:r>
        <w:t xml:space="preserve"> will, in virtually all situations, be included in net investment income under </w:t>
      </w:r>
      <w:smartTag w:uri="http://www.bna.com/sgml2word/cite" w:element="cite.usc">
        <w:smartTagPr>
          <w:attr w:name="ref" w:val="USC\26\1411(c)(1)(A)(i)"/>
        </w:smartTagPr>
        <w:r>
          <w:t>§1411(c)(1)(A)(i)</w:t>
        </w:r>
      </w:smartTag>
      <w:r>
        <w:t>.</w:t>
      </w:r>
      <w:r>
        <w:rPr>
          <w:rStyle w:val="FootnoteReference"/>
        </w:rPr>
        <w:footnoteReference w:id="1228"/>
      </w:r>
      <w:r>
        <w:t xml:space="preserve"> In the case of interest payments, the general rules in Chapter 1 will determine the deductibility of such interest for regular income tax purposes, which will correspondingly determine whether the interest is deductible against net investment income. By reason of Prop. Reg. </w:t>
      </w:r>
      <w:smartTag w:uri="http://www.bna.com/sgml2word/cite" w:element="cite.cfr">
        <w:smartTagPr>
          <w:attr w:name="ref" w:val="prule\cfr\26\1.167(n)-6(g)(1)"/>
        </w:smartTagPr>
        <w:r>
          <w:t>§1.167(n)-6(g)(1)</w:t>
        </w:r>
      </w:smartTag>
      <w:r>
        <w:t>, the interest likely is not deductible for either regular tax or NIIT purposes.</w:t>
      </w:r>
      <w:r>
        <w:rPr>
          <w:rStyle w:val="FootnoteReference"/>
        </w:rPr>
        <w:footnoteReference w:id="1229"/>
      </w:r>
    </w:p>
    <w:p w14:paraId="7B35BF08" w14:textId="77777777" w:rsidR="00494B49" w:rsidRDefault="00494B49">
      <w:pPr>
        <w:pStyle w:val="BHead1"/>
      </w:pPr>
      <w:r>
        <w:t xml:space="preserve">C. Application of Income Tax Treaties and Totalization Agreements </w:t>
      </w:r>
    </w:p>
    <w:p w14:paraId="57EE9AE7" w14:textId="77777777" w:rsidR="00494B49" w:rsidRDefault="00494B49">
      <w:pPr>
        <w:pStyle w:val="BHead2"/>
      </w:pPr>
      <w:r>
        <w:t xml:space="preserve">1. Application of Income Tax Treaties </w:t>
      </w:r>
    </w:p>
    <w:p w14:paraId="77B979A4" w14:textId="77777777" w:rsidR="00494B49" w:rsidRDefault="00494B49">
      <w:pPr>
        <w:pStyle w:val="BHead3"/>
      </w:pPr>
      <w:r>
        <w:t>a. Overview of Income Tax Treaties and Tax Return Disclosures</w:t>
      </w:r>
    </w:p>
    <w:p w14:paraId="217C6DBC" w14:textId="77777777" w:rsidR="00494B49" w:rsidRDefault="00494B49">
      <w:pPr>
        <w:pStyle w:val="BNormal"/>
      </w:pPr>
      <w:r>
        <w:t>U.S. citizens and residents are subject to U.S. income tax on their worldwide income. The United States has income tax treaties with a number of foreign countries.</w:t>
      </w:r>
      <w:r>
        <w:rPr>
          <w:rStyle w:val="FootnoteReference"/>
        </w:rPr>
        <w:footnoteReference w:id="1230"/>
      </w:r>
      <w:r>
        <w:t xml:space="preserve"> Although these treaties generally do not reduce the U.S. taxation of U.S. citizens or residents, a U.S. citizen or resident who receives income from a treaty country and who is subject to tax by that foreign treaty country may be entitled to certain credits, deductions, exemptions, and reductions in the foreign tax rate imposed.</w:t>
      </w:r>
    </w:p>
    <w:p w14:paraId="3D8A812A" w14:textId="77777777" w:rsidR="00494B49" w:rsidRDefault="00494B49">
      <w:pPr>
        <w:pStyle w:val="BNormal"/>
      </w:pPr>
      <w:r>
        <w:t xml:space="preserve">Generally, if a taxpayer claims treaty benefits that override or modify any provision of the Code and the U.S. tax could be reduced because of this claim, the taxpayer must attach a completed </w:t>
      </w:r>
      <w:smartTag w:uri="http://www.bna.com/sgml2word/cite" w:element="cite.fed.form">
        <w:smartTagPr>
          <w:attr w:name="ref" w:val="irs\form8833"/>
        </w:smartTagPr>
        <w:r>
          <w:t>Form 8833</w:t>
        </w:r>
      </w:smartTag>
      <w:r>
        <w:t xml:space="preserve">, </w:t>
      </w:r>
      <w:r>
        <w:rPr>
          <w:i/>
        </w:rPr>
        <w:t>Treaty-Based Return Position Disclosure Under Section 6114 or 7701(b)</w:t>
      </w:r>
      <w:r>
        <w:t>, to the taxpayer’s tax return.</w:t>
      </w:r>
      <w:r>
        <w:rPr>
          <w:rStyle w:val="FootnoteReference"/>
        </w:rPr>
        <w:footnoteReference w:id="1231"/>
      </w:r>
      <w:r>
        <w:t xml:space="preserve"> For example, under Reg. </w:t>
      </w:r>
      <w:smartTag w:uri="http://www.bna.com/sgml2word/cite" w:element="cite.cfr">
        <w:smartTagPr>
          <w:attr w:name="ref" w:val="cfr\26\301.6114-1(b)(7)"/>
        </w:smartTagPr>
        <w:r>
          <w:t>§301.6114-1(b)(7)</w:t>
        </w:r>
      </w:smartTag>
      <w:r>
        <w:t xml:space="preserve">, a taxpayer must file a U.S. tax return and </w:t>
      </w:r>
      <w:smartTag w:uri="http://www.bna.com/sgml2word/cite" w:element="cite.fed.form">
        <w:smartTagPr>
          <w:attr w:name="ref" w:val="irs\form8833"/>
        </w:smartTagPr>
        <w:r>
          <w:t>Form 8833</w:t>
        </w:r>
      </w:smartTag>
      <w:r>
        <w:t xml:space="preserve"> if the taxpayer claims that a treaty grants a credit for a specific foreign tax for which a foreign tax credit would not be allowed by the Code.</w:t>
      </w:r>
      <w:r>
        <w:rPr>
          <w:rStyle w:val="FootnoteReference"/>
        </w:rPr>
        <w:footnoteReference w:id="1232"/>
      </w:r>
      <w:r>
        <w:t xml:space="preserve"> On the other hand, Reg. </w:t>
      </w:r>
      <w:smartTag w:uri="http://www.bna.com/sgml2word/cite" w:element="cite.cfr">
        <w:smartTagPr>
          <w:attr w:name="ref" w:val="cfr\26\301.6114-1(c)"/>
        </w:smartTagPr>
        <w:r>
          <w:t>§301.6114-1(c)</w:t>
        </w:r>
      </w:smartTag>
      <w:r>
        <w:t xml:space="preserve"> provides a variety of circumstances under which taxpayers do not have to file </w:t>
      </w:r>
      <w:smartTag w:uri="http://www.bna.com/sgml2word/cite" w:element="cite.fed.form">
        <w:smartTagPr>
          <w:attr w:name="ref" w:val="irs\form8833"/>
        </w:smartTagPr>
        <w:r>
          <w:t>Form 8833</w:t>
        </w:r>
      </w:smartTag>
      <w:r>
        <w:t xml:space="preserve"> to claim certain treaty benefits. </w:t>
      </w:r>
    </w:p>
    <w:p w14:paraId="058A071F" w14:textId="77777777" w:rsidR="00494B49" w:rsidRDefault="00494B49">
      <w:pPr>
        <w:pStyle w:val="BNormal"/>
      </w:pPr>
      <w:r>
        <w:lastRenderedPageBreak/>
        <w:t xml:space="preserve">Some common tax treaty benefits available to U.S. citizens and resident aliens with foreign income are explained in </w:t>
      </w:r>
      <w:smartTag w:uri="http://www.bna.com/sgml2word/cite" w:element="cite.agency.doc">
        <w:smartTagPr>
          <w:attr w:name="ref" w:val="IRS\PUBLICATION\54"/>
        </w:smartTagPr>
        <w:r>
          <w:t>IRS Pub. 54</w:t>
        </w:r>
      </w:smartTag>
      <w:r>
        <w:t xml:space="preserve">, </w:t>
      </w:r>
      <w:r>
        <w:rPr>
          <w:i/>
        </w:rPr>
        <w:t>Tax Guide for U.S. Citizens and Resident Aliens Abroad</w:t>
      </w:r>
      <w:r>
        <w:t>. Income tax treaties may be used to establish which jurisdiction has primary tax authority over a taxpayer, whether income is included in federal gross income, and which jurisdiction has primary tax authority over a certain item of income.</w:t>
      </w:r>
    </w:p>
    <w:p w14:paraId="1B3FE217" w14:textId="77777777" w:rsidR="00494B49" w:rsidRDefault="00494B49">
      <w:pPr>
        <w:pStyle w:val="BHead3"/>
      </w:pPr>
      <w:r>
        <w:t>b. Treatment of Foreign Tax Credit</w:t>
      </w:r>
    </w:p>
    <w:p w14:paraId="7CD15E2C" w14:textId="77777777" w:rsidR="00494B49" w:rsidRDefault="00494B49">
      <w:pPr>
        <w:pStyle w:val="BHead4"/>
      </w:pPr>
      <w:r>
        <w:t>(1) Preamble Statement Regarding U.S. Model Treaty</w:t>
      </w:r>
    </w:p>
    <w:p w14:paraId="0716CBAD" w14:textId="77777777" w:rsidR="00494B49" w:rsidRDefault="00494B49">
      <w:pPr>
        <w:pStyle w:val="BNormal"/>
      </w:pPr>
      <w:r>
        <w:t xml:space="preserve">During the promulgation of the final net investment income tax regulations (2013 Final Regulations), the Treasury Department and the IRS received comments asking whether U.S. income tax treaties may provide an independent basis to credit foreign income taxes against the net investment income tax (NIIT). The preamble to the 2013 Final Regulations states: </w:t>
      </w:r>
    </w:p>
    <w:p w14:paraId="109071E9" w14:textId="77777777" w:rsidR="00494B49" w:rsidRDefault="00494B49">
      <w:pPr>
        <w:pStyle w:val="BQuotelong"/>
      </w:pPr>
      <w:r>
        <w:t xml:space="preserve">The Treasury Department and the IRS do not believe that these regulations are an appropriate vehicle for guidance with respect to specific treaties. An analysis of each United States income tax treaty would be required to determine whether the United States would have an obligation under that treaty to provide a credit against the </w:t>
      </w:r>
      <w:smartTag w:uri="http://www.bna.com/sgml2word/cite" w:element="cite.usc">
        <w:smartTagPr>
          <w:attr w:name="ref" w:val="USC\26\1411"/>
        </w:smartTagPr>
        <w:r>
          <w:t>section 1411</w:t>
        </w:r>
      </w:smartTag>
      <w:r>
        <w:t xml:space="preserve"> tax for foreign income taxes paid to the other country. If, however, a United States income tax treaty contains language similar to that in paragraph 2 of Article 23 (Relief from Double Taxation) of the 2006 United States Model Income Tax Convention, which refers to the limitations of United States law (which include sections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then such treaty would not provide an independent basis for a credit against the </w:t>
      </w:r>
      <w:smartTag w:uri="http://www.bna.com/sgml2word/cite" w:element="cite.usc">
        <w:smartTagPr>
          <w:attr w:name="ref" w:val="USC\26\1411"/>
        </w:smartTagPr>
        <w:r>
          <w:t>section 1411</w:t>
        </w:r>
      </w:smartTag>
      <w:r>
        <w:t xml:space="preserve"> tax.</w:t>
      </w:r>
      <w:r>
        <w:rPr>
          <w:rStyle w:val="FootnoteReference"/>
        </w:rPr>
        <w:footnoteReference w:id="1233"/>
      </w:r>
      <w:r>
        <w:t xml:space="preserve"> </w:t>
      </w:r>
    </w:p>
    <w:p w14:paraId="106EA4C1" w14:textId="77777777" w:rsidR="00494B49" w:rsidRDefault="00494B49">
      <w:pPr>
        <w:pStyle w:val="BNormal"/>
      </w:pPr>
      <w:r>
        <w:t xml:space="preserve">Practitioners and taxpayers with significant unused foreign tax credits were not pleased. In January 2014, a not-so-bashfully-titled article </w:t>
      </w:r>
      <w:r>
        <w:rPr>
          <w:i/>
        </w:rPr>
        <w:t>IRS Position on Treaties Clearly Open to Challenge</w:t>
      </w:r>
      <w:r>
        <w:t>, the authors conclude that “the denial of treaty relief from double taxation under the NIIT isn’t only incorrect as a matter of treaty interpretation but also inappropriate as a matter of tax policy” due to the “product of selective reading in both the Model Treaty and other relevant sources” by the Treasury Department and the IRS.</w:t>
      </w:r>
      <w:r>
        <w:rPr>
          <w:rStyle w:val="FootnoteReference"/>
        </w:rPr>
        <w:footnoteReference w:id="1234"/>
      </w:r>
      <w:r>
        <w:t xml:space="preserve"> A 2017 article discussed the question of the conflict between the </w:t>
      </w:r>
      <w:smartTag w:uri="http://www.bna.com/sgml2word/cite" w:element="cite.usc">
        <w:smartTagPr>
          <w:attr w:name="ref" w:val="usc\26\4985"/>
        </w:smartTagPr>
        <w:r>
          <w:t>§4985</w:t>
        </w:r>
      </w:smartTag>
      <w:r>
        <w:t xml:space="preserve"> anti-inversion excise tax and the NIIT on the one hand, and the United States' income tax treaties on the other.</w:t>
      </w:r>
      <w:r>
        <w:rPr>
          <w:rStyle w:val="FootnoteReference"/>
        </w:rPr>
        <w:footnoteReference w:id="1235"/>
      </w:r>
    </w:p>
    <w:p w14:paraId="7FB340EC" w14:textId="77777777" w:rsidR="00494B49" w:rsidRDefault="00494B49">
      <w:pPr>
        <w:pStyle w:val="BNormal"/>
      </w:pPr>
      <w:r>
        <w:t xml:space="preserve">As a matter of policy, it seems reasonable to conclude that a foreign tax credit </w:t>
      </w:r>
      <w:r>
        <w:rPr>
          <w:i/>
        </w:rPr>
        <w:t>should be</w:t>
      </w:r>
      <w:r>
        <w:t xml:space="preserve"> allowed to offset the NIIT. However, as discussed below, there are technical mechanics that are insurmountable impediments to that theoretical conclusion. Ultimately, a practitioner’s pontifications about what is “right” and “wrong” from a tax policy or tax technical perspective is not terribly useful when time comes for an individual (and his tax preparer) to file an income tax return that claims treaty benefits on </w:t>
      </w:r>
      <w:smartTag w:uri="http://www.bna.com/sgml2word/cite" w:element="cite.fed.form">
        <w:smartTagPr>
          <w:attr w:name="ref" w:val="irs\form8833"/>
        </w:smartTagPr>
        <w:r>
          <w:t>Form 8833</w:t>
        </w:r>
      </w:smartTag>
      <w:r>
        <w:t xml:space="preserve">, </w:t>
      </w:r>
      <w:r>
        <w:rPr>
          <w:i/>
        </w:rPr>
        <w:t>Treaty-Based Return Position Disclosure Under Section 6114 or 7701(b)</w:t>
      </w:r>
      <w:r>
        <w:t xml:space="preserve">, working through the Form </w:t>
      </w:r>
      <w:smartTag w:uri="http://www.bna.com/sgml2word/cite" w:element="cite.fed.form">
        <w:smartTagPr>
          <w:attr w:name="ref" w:val="irs\form1116"/>
        </w:smartTagPr>
        <w:r>
          <w:t>1116</w:t>
        </w:r>
      </w:smartTag>
      <w:r>
        <w:t xml:space="preserve">, </w:t>
      </w:r>
      <w:r>
        <w:rPr>
          <w:i/>
        </w:rPr>
        <w:t>Foreign Tax Credit</w:t>
      </w:r>
      <w:r>
        <w:t xml:space="preserve">, and possibly </w:t>
      </w:r>
      <w:r>
        <w:lastRenderedPageBreak/>
        <w:t xml:space="preserve">attaching a </w:t>
      </w:r>
      <w:smartTag w:uri="http://www.bna.com/sgml2word/cite" w:element="cite.fed.form">
        <w:smartTagPr>
          <w:attr w:name="ref" w:val="irs\form8572-R"/>
        </w:smartTagPr>
        <w:r>
          <w:t>Form 8572-R</w:t>
        </w:r>
      </w:smartTag>
      <w:r>
        <w:t xml:space="preserve">, </w:t>
      </w:r>
      <w:r>
        <w:rPr>
          <w:i/>
        </w:rPr>
        <w:t>Regulation Disclosure Statement</w:t>
      </w:r>
      <w:r>
        <w:t>,</w:t>
      </w:r>
      <w:r>
        <w:rPr>
          <w:rStyle w:val="FootnoteReference"/>
        </w:rPr>
        <w:footnoteReference w:id="1236"/>
      </w:r>
      <w:r>
        <w:t xml:space="preserve"> for a position contrary to Reg. </w:t>
      </w:r>
      <w:smartTag w:uri="http://www.bna.com/sgml2word/cite" w:element="cite.cfr">
        <w:smartTagPr>
          <w:attr w:name="ref" w:val="cfr\26\1.1411-1(e)"/>
        </w:smartTagPr>
        <w:r>
          <w:t>§1.1411-1(e)</w:t>
        </w:r>
      </w:smartTag>
      <w:r>
        <w:t xml:space="preserve">. </w:t>
      </w:r>
    </w:p>
    <w:p w14:paraId="1ACEA283" w14:textId="77777777" w:rsidR="00494B49" w:rsidRDefault="00494B49">
      <w:pPr>
        <w:pStyle w:val="BNormal"/>
      </w:pPr>
      <w:r>
        <w:t>In addition, the Treasury Department and IRS issued proposed revisions to the U.S. Model Income Tax Convention (more commonly referred to as the U.S. Model Treaty) on May 20, 2015 and issued the revised U.S. Model Treaty in February 2016.</w:t>
      </w:r>
      <w:r>
        <w:rPr>
          <w:rStyle w:val="FootnoteReference"/>
        </w:rPr>
        <w:footnoteReference w:id="1237"/>
      </w:r>
      <w:r>
        <w:t xml:space="preserve"> One would expect that if the Treasury Department and IRS believed that the treaty could be amended to expressly cover the NIIT by both clearly identifying it as a covered tax and adding a specific provision for it in Article 23 (or, at least, amend the language referring to </w:t>
      </w:r>
      <w:smartTag w:uri="http://www.bna.com/sgml2word/cite" w:element="cite.usc">
        <w:smartTagPr>
          <w:attr w:name="ref" w:val="USC\26\901"/>
        </w:smartTagPr>
        <w:r>
          <w:t>§901</w:t>
        </w:r>
      </w:smartTag>
      <w:r>
        <w:t xml:space="preserve"> in the Technical Explanation to the U.S. Model Treaty), the most recent revisions would have been the appropriate opportunity for them to do it. But they did not. 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below, for a summary of the Tax Court’s recent decision in </w:t>
      </w:r>
      <w:r>
        <w:rPr>
          <w:rStyle w:val="BCasenamefull"/>
        </w:rPr>
        <w:t>Toulouse v. Commissioner</w:t>
      </w:r>
      <w:r>
        <w:t>.</w:t>
      </w:r>
    </w:p>
    <w:p w14:paraId="043D29F9" w14:textId="77777777" w:rsidR="00494B49" w:rsidRDefault="00494B49">
      <w:pPr>
        <w:pStyle w:val="BHead4"/>
      </w:pPr>
      <w:r>
        <w:t xml:space="preserve">(2) Specific Model Treaty Language and Technical </w:t>
      </w:r>
      <w:r>
        <w:br/>
        <w:t>Explanation</w:t>
      </w:r>
    </w:p>
    <w:p w14:paraId="397FF9A4" w14:textId="77777777" w:rsidR="00494B49" w:rsidRDefault="00494B49">
      <w:pPr>
        <w:pStyle w:val="BNormal"/>
      </w:pPr>
      <w:r>
        <w:t>The U.S. Model Income Tax Convention (more commonly referred to as the U.S. Model Treaty), most recently updated in 2016, provides model treaty language that is used as a starting point in bilateral treaty negotiations with other countries.</w:t>
      </w:r>
      <w:r>
        <w:rPr>
          <w:rStyle w:val="FootnoteReference"/>
        </w:rPr>
        <w:footnoteReference w:id="1238"/>
      </w:r>
      <w:r>
        <w:t xml:space="preserve"> Generally, most U.S. tax treaty articles contain language that is relatively consistent with the model treaty in place at that time. The U.S. Model Treaty Technical Explanation is intended to serve as the basis for drafting technical explanations to bilateral tax treaties that are based on the U.S. Model Treaty.</w:t>
      </w:r>
      <w:r>
        <w:rPr>
          <w:rStyle w:val="FootnoteReference"/>
        </w:rPr>
        <w:footnoteReference w:id="1239"/>
      </w:r>
      <w:r>
        <w:t xml:space="preserve"> The 2016 U.S. Model Treaty was not accompanied by a technical explanation, but to the extent that the 2016 treaty mirrors the 2006 treaty, the 2006 model treaty technical explanation may serve as interpretational guidance.</w:t>
      </w:r>
    </w:p>
    <w:p w14:paraId="7D98EDA7" w14:textId="77777777" w:rsidR="00494B49" w:rsidRDefault="00494B49">
      <w:pPr>
        <w:pStyle w:val="BNormal"/>
      </w:pPr>
      <w:r>
        <w:t xml:space="preserve">An analysis of the 2016 U.S. Model Treaty serves as an appropriate starting point for analysis of the creditability of foreign taxes against the NIIT. To determine whether a treaty may provide a foreign tax credit to offset the NIIT, one must determine whether: (1) the NIIT is a “covered tax” under a treaty; (2) whether Article 23, </w:t>
      </w:r>
      <w:r>
        <w:rPr>
          <w:i/>
        </w:rPr>
        <w:t>Relief from Double Taxation</w:t>
      </w:r>
      <w:r>
        <w:t xml:space="preserve">, allows a credit against the NIIT; and (3) whether Article 24, </w:t>
      </w:r>
      <w:r>
        <w:rPr>
          <w:i/>
        </w:rPr>
        <w:t>Non-Discrimination</w:t>
      </w:r>
      <w:r>
        <w:t>, requires the United States to allow a foreign tax credit to offset the NIIT.</w:t>
      </w:r>
    </w:p>
    <w:p w14:paraId="6EE22124" w14:textId="77777777" w:rsidR="00494B49" w:rsidRDefault="00494B49">
      <w:pPr>
        <w:pStyle w:val="BHead5"/>
      </w:pPr>
      <w:r>
        <w:t>(a) Covered Tax</w:t>
      </w:r>
    </w:p>
    <w:p w14:paraId="741E5D7B" w14:textId="77777777" w:rsidR="00494B49" w:rsidRDefault="00494B49">
      <w:pPr>
        <w:pStyle w:val="BNormal"/>
      </w:pPr>
      <w:r>
        <w:lastRenderedPageBreak/>
        <w:t xml:space="preserve">Although it might appear intuitive, to be within the scope of treaty relief, the tax imposed by </w:t>
      </w:r>
      <w:smartTag w:uri="http://www.bna.com/sgml2word/cite" w:element="cite.usc">
        <w:smartTagPr>
          <w:attr w:name="ref" w:val="USC\26\1411"/>
        </w:smartTagPr>
        <w:r>
          <w:t>§1411</w:t>
        </w:r>
      </w:smartTag>
      <w:r>
        <w:t xml:space="preserve"> must be a “covered tax.” Article 2 of the 2016 U.S. Model Treaty provides, in relevant part, that </w:t>
      </w:r>
    </w:p>
    <w:p w14:paraId="4BF53E2E" w14:textId="77777777" w:rsidR="00494B49" w:rsidRDefault="00494B49">
      <w:pPr>
        <w:pStyle w:val="BQuotelong"/>
      </w:pPr>
      <w:r>
        <w:t>(2) There shall be regarded as taxes on income all taxes imposed on total income, or on elements of income, including taxes on gains from the alienation of property.</w:t>
      </w:r>
      <w:r>
        <w:rPr>
          <w:rStyle w:val="FootnoteReference"/>
        </w:rPr>
        <w:footnoteReference w:id="1240"/>
      </w:r>
      <w:r>
        <w:t xml:space="preserve"> </w:t>
      </w:r>
    </w:p>
    <w:p w14:paraId="1A5F465A" w14:textId="77777777" w:rsidR="00494B49" w:rsidRDefault="00494B49">
      <w:pPr>
        <w:pStyle w:val="BNormal"/>
      </w:pPr>
    </w:p>
    <w:p w14:paraId="541AA3CA" w14:textId="77777777" w:rsidR="00494B49" w:rsidRDefault="00494B49">
      <w:pPr>
        <w:pStyle w:val="BQuotelong"/>
      </w:pPr>
      <w:r>
        <w:t xml:space="preserve">(3) The existing taxes to which this Convention shall apply are … (b) in the case of the United States: the Federal income taxes imposed by the Internal Revenue Code (which do not include social security and unemployment taxes), and the Federal taxes imposed on the investment income of foreign private foundations. </w:t>
      </w:r>
    </w:p>
    <w:p w14:paraId="1D0A65F6" w14:textId="77777777" w:rsidR="00494B49" w:rsidRDefault="00494B49">
      <w:pPr>
        <w:pStyle w:val="BNormal"/>
      </w:pPr>
      <w:r>
        <w:t>The 2006 U.S. Model Treaty Technical Explanation</w:t>
      </w:r>
      <w:r>
        <w:rPr>
          <w:rStyle w:val="FootnoteReference"/>
        </w:rPr>
        <w:footnoteReference w:id="1241"/>
      </w:r>
      <w:r>
        <w:t xml:space="preserve"> explains that under subparagraph 3(b), “the existing U.S. taxes subject to the rules of the Convention are the Federal income taxes imposed by the Code, together with the excise taxes imposed with respect to private foundations (</w:t>
      </w:r>
      <w:smartTag w:uri="http://www.bna.com/sgml2word/cite" w:element="cite.usc">
        <w:smartTagPr>
          <w:attr w:name="ref" w:val="USC\26\4940"/>
        </w:smartTagPr>
        <w:r>
          <w:t>§4940</w:t>
        </w:r>
      </w:smartTag>
      <w:r>
        <w:t>–</w:t>
      </w:r>
      <w:smartTag w:uri="http://www.bna.com/sgml2word/cite" w:element="cite.usc">
        <w:smartTagPr>
          <w:attr w:name="ref" w:val="USC\26\4948"/>
        </w:smartTagPr>
        <w:r>
          <w:t>§4948</w:t>
        </w:r>
      </w:smartTag>
      <w:r>
        <w:t>). Social security and unemployment taxes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are specifically excluded from coverage.”</w:t>
      </w:r>
      <w:r>
        <w:rPr>
          <w:rStyle w:val="FootnoteReference"/>
        </w:rPr>
        <w:footnoteReference w:id="1242"/>
      </w:r>
    </w:p>
    <w:p w14:paraId="32F63F39" w14:textId="77777777" w:rsidR="00494B49" w:rsidRDefault="00494B49">
      <w:pPr>
        <w:pStyle w:val="BNormal"/>
      </w:pPr>
      <w:r>
        <w:t xml:space="preserve">The NIIT appears to fall within the definition of a “covered tax,” and the IRS seems to have acknowledged this fact. </w:t>
      </w:r>
      <w:smartTag w:uri="http://www.bna.com/sgml2word/cite" w:element="cite.usc">
        <w:smartTagPr>
          <w:attr w:name="ref" w:val="USC\26\1411"/>
        </w:smartTagPr>
        <w:r>
          <w:t>Section 1411</w:t>
        </w:r>
      </w:smartTag>
      <w:r>
        <w:t xml:space="preserve"> is included within Subtitle A of the Code, which is titled “Income Taxes.” Because </w:t>
      </w:r>
      <w:smartTag w:uri="http://www.bna.com/sgml2word/cite" w:element="cite.usc">
        <w:smartTagPr>
          <w:attr w:name="ref" w:val="USC\26\1411"/>
        </w:smartTagPr>
        <w:r>
          <w:t>§1411</w:t>
        </w:r>
      </w:smartTag>
      <w:r>
        <w:t xml:space="preserve"> is included under Subtitle A, it is reasonable to conclude that the tax imposed by </w:t>
      </w:r>
      <w:smartTag w:uri="http://www.bna.com/sgml2word/cite" w:element="cite.usc">
        <w:smartTagPr>
          <w:attr w:name="ref" w:val="USC\26\1411"/>
        </w:smartTagPr>
        <w:r>
          <w:t>§1411</w:t>
        </w:r>
      </w:smartTag>
      <w:r>
        <w:t xml:space="preserve"> is an “income tax,” which would be included in the definition of a “covered tax” within the meaning of subparagraph 3(b) of Article 2. In addition, the IRS discussed Article 23 (Relief from Double Taxation) in the preamble to the 2013 Final Regulations. If the IRS did not believe that the NIIT is a “covered tax,” it would have no reason to discuss Article 23, or any other article in the U.S. Model Treaty, in the preamble to the 2013 Final Regulations. Finally, as discussed below, it is unlikely that the NIIT would be considered so fundamentally equivalent to social security and unemployment-type taxes imposed by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xml:space="preserve"> that the NIIT would fall outside the scope of the U.S. Model Treaty and nearly all U.S. income tax treaties currently in force. </w:t>
      </w:r>
    </w:p>
    <w:p w14:paraId="2BE431AB" w14:textId="77777777" w:rsidR="00494B49" w:rsidRDefault="00494B49">
      <w:pPr>
        <w:pStyle w:val="BHead5"/>
      </w:pPr>
      <w:r>
        <w:t>(b) Article 23</w:t>
      </w:r>
    </w:p>
    <w:p w14:paraId="6C523D4B" w14:textId="77777777" w:rsidR="00494B49" w:rsidRDefault="00494B49">
      <w:pPr>
        <w:pStyle w:val="BNormal"/>
      </w:pPr>
      <w:r>
        <w:t xml:space="preserve">Article 23 of the U.S. Model Treaty contains a provision specifically related to foreign tax credits, permitting U.S. tax residents and citizens to credit foreign income tax paid or accrued against U.S. income tax liability as follows: </w:t>
      </w:r>
    </w:p>
    <w:p w14:paraId="2A064DB9" w14:textId="77777777" w:rsidR="00494B49" w:rsidRDefault="00494B49" w:rsidP="00144640">
      <w:pPr>
        <w:pStyle w:val="BQuotelong"/>
      </w:pPr>
      <w:r>
        <w:t xml:space="preserve">In accordance with the provisions and subject to the limitations of the law of the United States (as it may be amended from time to time without changing the general principle hereof), the United States shall allow to a resident or </w:t>
      </w:r>
      <w:r>
        <w:lastRenderedPageBreak/>
        <w:t xml:space="preserve">citizen of the United States as a credit against the United States tax on income applicable to residents and citizens: </w:t>
      </w:r>
    </w:p>
    <w:p w14:paraId="4EE08633" w14:textId="77777777" w:rsidR="00494B49" w:rsidRDefault="00494B49">
      <w:pPr>
        <w:pStyle w:val="BQuotelong"/>
      </w:pPr>
      <w:r>
        <w:t>a) the income tax paid or accrued to ... by or on behalf of such resident or citizen.</w:t>
      </w:r>
      <w:r>
        <w:rPr>
          <w:rStyle w:val="FootnoteReference"/>
        </w:rPr>
        <w:footnoteReference w:id="1243"/>
      </w:r>
      <w:r>
        <w:t xml:space="preserve"> </w:t>
      </w:r>
    </w:p>
    <w:p w14:paraId="1689441F" w14:textId="77777777" w:rsidR="00494B49" w:rsidRDefault="00494B49">
      <w:pPr>
        <w:pStyle w:val="BNormal"/>
      </w:pPr>
      <w:r>
        <w:t xml:space="preserve">Accordingly, any relief from double taxation under the treaty is subject to the application of the foreign tax credit rules under the Code and accompanying regulations. The 2006 U.S. Model Treaty Technical Explanation identifies the foreign tax credit limitations in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as applying to any foreign tax credits allowed by the treaty.</w:t>
      </w:r>
      <w:r>
        <w:rPr>
          <w:rStyle w:val="FootnoteReference"/>
        </w:rPr>
        <w:footnoteReference w:id="1244"/>
      </w:r>
      <w:r>
        <w:t xml:space="preserve"> Specifically, it states: </w:t>
      </w:r>
    </w:p>
    <w:p w14:paraId="2B071AD3" w14:textId="77777777" w:rsidR="00494B49" w:rsidRDefault="00494B49">
      <w:pPr>
        <w:pStyle w:val="BQuotelong"/>
      </w:pPr>
      <w:r>
        <w:t xml:space="preserve">The credits allowed under paragraph 2 are allowed in accordance with the provisions and subject to the limitations of U.S. law, as that law may be amended over time, so long as the general principle of the Article, that is, the allowance of a credit, is retained. Thus, although the Convention provides for a foreign tax credit, the terms of the credit are determined by the provisions, at the time a credit is given, of the U.S. statutory credit. </w:t>
      </w:r>
    </w:p>
    <w:p w14:paraId="4A9CE805" w14:textId="77777777" w:rsidR="00494B49" w:rsidRDefault="00494B49">
      <w:pPr>
        <w:pStyle w:val="BNormal"/>
      </w:pPr>
      <w:r>
        <w:t xml:space="preserve">Therefore, the U.S. credit under the Model Treaty is subject to the various limitations of U.S. law (see, e.g.,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For example, the credit against U.S. tax generally is limited to the amount of U.S. tax due with respect to net foreign source income within the relevant foreign tax credit limitation category (see </w:t>
      </w:r>
      <w:smartTag w:uri="http://www.bna.com/sgml2word/cite" w:element="cite.usc">
        <w:smartTagPr>
          <w:attr w:name="ref" w:val="USC\26\904(a)"/>
        </w:smartTagPr>
        <w:r>
          <w:t>§904(a)</w:t>
        </w:r>
      </w:smartTag>
      <w:r>
        <w:t xml:space="preserve"> and </w:t>
      </w:r>
      <w:smartTag w:uri="http://www.bna.com/sgml2word/cite" w:element="cite.usc">
        <w:smartTagPr>
          <w:attr w:name="ref" w:val="USC\26\904(d)"/>
        </w:smartTagPr>
        <w:r>
          <w:t>§904(d)</w:t>
        </w:r>
      </w:smartTag>
      <w:r>
        <w:t xml:space="preserve">), and the dollar amount of the credit is determined in accordance with U.S. currency translation rules (see, e.g., </w:t>
      </w:r>
      <w:smartTag w:uri="http://www.bna.com/sgml2word/cite" w:element="cite.usc">
        <w:smartTagPr>
          <w:attr w:name="ref" w:val="USC\26\986"/>
        </w:smartTagPr>
        <w:r>
          <w:t>§986</w:t>
        </w:r>
      </w:smartTag>
      <w:r>
        <w:t>). Similarly, U.S. law applies to determine carryover periods for excess credits and other inter-year adjustments.</w:t>
      </w:r>
    </w:p>
    <w:p w14:paraId="007DD9B8" w14:textId="77777777" w:rsidR="00494B49" w:rsidRDefault="00494B49">
      <w:pPr>
        <w:pStyle w:val="BNormal"/>
      </w:pPr>
      <w:r>
        <w:t xml:space="preserve">Under the Code, a foreign tax credit may not be used to offset the NIIT. Foreign tax credits may offset tax imposed under Chapter 1 of the Code only. Because the NIIT is tax imposed under Chapter 2A of the Code, foreign tax credits may not offset the NIIT. </w:t>
      </w:r>
    </w:p>
    <w:p w14:paraId="77160969" w14:textId="77777777" w:rsidR="00494B49" w:rsidRDefault="00494B49">
      <w:pPr>
        <w:pStyle w:val="BHead5"/>
      </w:pPr>
      <w:r>
        <w:t>(c) Article 24</w:t>
      </w:r>
    </w:p>
    <w:p w14:paraId="2373E95F" w14:textId="77777777" w:rsidR="00494B49" w:rsidRDefault="00494B49">
      <w:pPr>
        <w:pStyle w:val="BNormal"/>
      </w:pPr>
      <w:r>
        <w:t>The 2016 U.S. Model Treaty also includes a nondiscrimination article.</w:t>
      </w:r>
      <w:r>
        <w:rPr>
          <w:rStyle w:val="FootnoteReference"/>
        </w:rPr>
        <w:footnoteReference w:id="1245"/>
      </w:r>
      <w:r>
        <w:t xml:space="preserve"> It states that citizens of a country living in the other contracting country should not be subject to more burdensome taxes than citizens of the contracting country living in the contracting country’s territory. Article 24(1) provides: </w:t>
      </w:r>
    </w:p>
    <w:p w14:paraId="30CCBA01" w14:textId="77777777" w:rsidR="00494B49" w:rsidRDefault="00494B49">
      <w:pPr>
        <w:pStyle w:val="BQuotelong"/>
      </w:pPr>
      <w:r>
        <w:t xml:space="preserve">Nationals of a Contracting State shall not be subjected in the other Contracting State to any taxation or any requirement connected therewith that is more burdensome than the taxation and connected requirements to which nationals of that other Contracting State in the same circumstances, in particular with respect to residence, are or may be subjected. This provision shall also apply to persons who are not residents of one or both of the Contracting States. However, for the purposes of United States taxation, United States nationals who are subject to tax on a worldwide basis are not in the same circumstances as nationals of __________ who are not residents of the United States. </w:t>
      </w:r>
    </w:p>
    <w:p w14:paraId="39087FB2" w14:textId="77777777" w:rsidR="00494B49" w:rsidRDefault="00494B49">
      <w:pPr>
        <w:pStyle w:val="BNormal"/>
      </w:pPr>
      <w:r>
        <w:lastRenderedPageBreak/>
        <w:t>The 2006 U.S. Model Treaty Technical Explanation provides the following explanation of Article 24 in general:</w:t>
      </w:r>
      <w:r>
        <w:rPr>
          <w:rStyle w:val="FootnoteReference"/>
        </w:rPr>
        <w:footnoteReference w:id="1246"/>
      </w:r>
      <w:r>
        <w:t xml:space="preserve"> </w:t>
      </w:r>
    </w:p>
    <w:p w14:paraId="1617A682" w14:textId="77777777" w:rsidR="00494B49" w:rsidRDefault="00494B49" w:rsidP="00144640">
      <w:pPr>
        <w:pStyle w:val="BQuotelong"/>
      </w:pPr>
      <w:r>
        <w:t xml:space="preserve">This Article ensures that nationals of a Contracting State, in the case of paragraph 1, and residents of a Contracting State, in the case of paragraphs 2 through 5, will not be subject, directly or indirectly, to discriminatory taxation in the other Contracting State. Not all differences in tax treatment, either as between nationals of the two States, or between residents of the two States, are violations of the prohibition against discrimination. Rather, the non-discrimination obligations of this Article apply only if the nationals or residents of the two States are comparably situated. </w:t>
      </w:r>
    </w:p>
    <w:p w14:paraId="245B90B6" w14:textId="77777777" w:rsidR="00494B49" w:rsidRDefault="00494B49" w:rsidP="00144640">
      <w:pPr>
        <w:pStyle w:val="BQuotelong"/>
      </w:pPr>
      <w:r>
        <w:t xml:space="preserve">Each of the relevant paragraphs of the Article provides that two persons that are comparably situated must be treated similarly. Although the actual words differ from paragraph to paragraph … the common underlying premise is that if the difference in treatment is directly related to a tax-relevant difference in the situations of the domestic and foreign persons being compared, that difference is not to be treated as discriminatory (i.e., if one person is taxable in a Contracting State on worldwide income and the other is not, or tax may be collectible from one person at a later stage, but not from the other, distinctions in treatment would be justified under paragraph 1). </w:t>
      </w:r>
    </w:p>
    <w:p w14:paraId="67CB5488" w14:textId="77777777" w:rsidR="00494B49" w:rsidRDefault="00494B49">
      <w:pPr>
        <w:pStyle w:val="BQuotelong"/>
      </w:pPr>
      <w:r>
        <w:t xml:space="preserve">[O]nly differences in tax treatment that materially disadvantage the foreign person relative to the domestic person are properly the subject of the Article. </w:t>
      </w:r>
    </w:p>
    <w:p w14:paraId="7E76CB01" w14:textId="77777777" w:rsidR="00494B49" w:rsidRDefault="00494B49">
      <w:pPr>
        <w:pStyle w:val="BNormal"/>
      </w:pPr>
      <w:r>
        <w:t>In explaining paragraph 1 of Article 24, the 2006 U.S. Model Treaty Technical Explanation states:</w:t>
      </w:r>
      <w:r>
        <w:rPr>
          <w:rStyle w:val="FootnoteReference"/>
        </w:rPr>
        <w:footnoteReference w:id="1247"/>
      </w:r>
      <w:r>
        <w:t xml:space="preserve"> </w:t>
      </w:r>
    </w:p>
    <w:p w14:paraId="2E56F141" w14:textId="77777777" w:rsidR="00494B49" w:rsidRDefault="00494B49">
      <w:pPr>
        <w:pStyle w:val="BQuotelong"/>
      </w:pPr>
      <w:r>
        <w:t xml:space="preserve">As noted above, whether or not the two persons are both taxable on worldwide income is a significant circumstance for this purpose. For this reason, paragraph 1 specifically states that the United States is not obligated to apply the same taxing regime to a national of the other Contracting State who is not resident in the United States as it applies to a U.S. national who is not resident in the United States. United States citizens who are not residents of the United States but who are, nevertheless, subject to United States tax on their worldwide income are not in the same circumstances with respect to United States taxation as citizens of the other Contracting State who are not United States residents. </w:t>
      </w:r>
    </w:p>
    <w:p w14:paraId="5872293F" w14:textId="77777777" w:rsidR="00494B49" w:rsidRDefault="00494B49">
      <w:pPr>
        <w:pStyle w:val="BNormal"/>
      </w:pPr>
      <w:r>
        <w:t>For example, non-U.S. citizens who are U.S. tax residents are not subject to a U.S. income tax burden greater than U.S. citizens living in the United States. In the case of the NIIT, neither U.S. citizens nor foreign country nationals who are tax residents of the U.S. may offset the NIIT with foreign tax credits. Therefore, foreign nationals would not be at a disadvantage to U.S. nationals in a similar residency situation.</w:t>
      </w:r>
      <w:r>
        <w:rPr>
          <w:rStyle w:val="FootnoteReference"/>
        </w:rPr>
        <w:footnoteReference w:id="1248"/>
      </w:r>
      <w:r>
        <w:t xml:space="preserve"> As such, a foreign national who is a U.S. tax resident should not be able to rely on Article 24 of the U.S. Model Treaty for relief from the NIIT.</w:t>
      </w:r>
    </w:p>
    <w:p w14:paraId="2EA53F89" w14:textId="77777777" w:rsidR="00494B49" w:rsidRDefault="00494B49">
      <w:pPr>
        <w:pStyle w:val="BNormal"/>
      </w:pPr>
      <w:r>
        <w:lastRenderedPageBreak/>
        <w:t>Based on the above analysis of the U.S. Model Treaty, U.S. income tax treaties that follow the generic language of a “covered tax,” Article 23 and Article 24 of the U.S. Model Treaty would not provide any relief from the NIIT in addition to any relief set forth in the Code and accompanying regulations.</w:t>
      </w:r>
    </w:p>
    <w:p w14:paraId="148348F5" w14:textId="77777777" w:rsidR="00494B49" w:rsidRDefault="00494B49">
      <w:pPr>
        <w:pStyle w:val="BNormal"/>
      </w:pPr>
      <w:r>
        <w:t>The ability of a United States person living abroad to offset foreign income tax liability with a credit for the U.S. NIIT is outside the scope of this article. Each foreign country’s domestic tax law and the foreign tax authority’s interpretation of their treaties with the United States (as applicable) should be reviewed separately.</w:t>
      </w:r>
    </w:p>
    <w:p w14:paraId="0B929ED9" w14:textId="77777777" w:rsidR="00494B49" w:rsidRDefault="00494B49">
      <w:pPr>
        <w:pStyle w:val="BHead4"/>
      </w:pPr>
      <w:r>
        <w:t xml:space="preserve">(3) Sample Analysis of Income Tax Treaty Without Model Language </w:t>
      </w:r>
    </w:p>
    <w:p w14:paraId="12E49505" w14:textId="77777777" w:rsidR="00494B49" w:rsidRDefault="00494B49">
      <w:pPr>
        <w:pStyle w:val="BNormal"/>
      </w:pPr>
      <w:r>
        <w:t xml:space="preserve">The foreign tax credit article of older treaties may refer to limitations found in </w:t>
      </w:r>
      <w:smartTag w:uri="http://www.bna.com/sgml2word/cite" w:element="cite.usc">
        <w:smartTagPr>
          <w:attr w:name="ref" w:val="USC\26\131"/>
        </w:smartTagPr>
        <w:r>
          <w:t xml:space="preserve">§131 of the Internal Revenue Code </w:t>
        </w:r>
      </w:smartTag>
      <w:r>
        <w:t>of 1939.</w:t>
      </w:r>
      <w:r>
        <w:rPr>
          <w:rStyle w:val="FootnoteReference"/>
        </w:rPr>
        <w:footnoteReference w:id="1249"/>
      </w:r>
      <w:r>
        <w:t xml:space="preserve"> </w:t>
      </w:r>
      <w:smartTag w:uri="http://www.bna.com/sgml2word/cite" w:element="cite.usc">
        <w:smartTagPr>
          <w:attr w:name="ref" w:val="USC\26\131"/>
        </w:smartTagPr>
        <w:r>
          <w:t>Section 131</w:t>
        </w:r>
      </w:smartTag>
      <w:r>
        <w:t xml:space="preserve"> was a precursor to the current foreign tax credit provision in the Internal Revenue Code, </w:t>
      </w:r>
      <w:smartTag w:uri="http://www.bna.com/sgml2word/cite" w:element="cite.usc">
        <w:smartTagPr>
          <w:attr w:name="ref" w:val="USC\26\901"/>
        </w:smartTagPr>
        <w:r>
          <w:t>§901</w:t>
        </w:r>
      </w:smartTag>
      <w:r>
        <w:t>. For example, the U.S.-Greece Income Tax Treaty’s foreign tax credit article</w:t>
      </w:r>
      <w:r>
        <w:rPr>
          <w:rStyle w:val="FootnoteReference"/>
        </w:rPr>
        <w:footnoteReference w:id="1250"/>
      </w:r>
      <w:r>
        <w:t xml:space="preserve"> allows a foreign tax credit against U.S. tax liability subject to </w:t>
      </w:r>
      <w:smartTag w:uri="http://www.bna.com/sgml2word/cite" w:element="cite.usc">
        <w:smartTagPr>
          <w:attr w:name="ref" w:val="USC\26\131"/>
        </w:smartTagPr>
        <w:r>
          <w:t>§131</w:t>
        </w:r>
      </w:smartTag>
      <w:r>
        <w:t xml:space="preserve"> of the Code.</w:t>
      </w:r>
    </w:p>
    <w:p w14:paraId="66359E68" w14:textId="77777777" w:rsidR="00494B49" w:rsidRDefault="00494B49">
      <w:pPr>
        <w:pStyle w:val="BNormal"/>
      </w:pPr>
      <w:smartTag w:uri="http://www.bna.com/sgml2word/cite" w:element="cite.usc">
        <w:smartTagPr>
          <w:attr w:name="ref" w:val="USC\26\131"/>
        </w:smartTagPr>
        <w:r>
          <w:t>Section 131</w:t>
        </w:r>
      </w:smartTag>
      <w:r>
        <w:t xml:space="preserve"> granted a foreign tax credit to a U.S. citizen for the amount of income tax paid or accrued during the tax year to any foreign country or possession of the United States.</w:t>
      </w:r>
      <w:r>
        <w:rPr>
          <w:rStyle w:val="FootnoteReference"/>
        </w:rPr>
        <w:footnoteReference w:id="1251"/>
      </w:r>
      <w:r>
        <w:t xml:space="preserve"> Residents of the United States who were citizens of a foreign country would receive credit for taxes paid to the foreign country to the extent the foreign country reciprocated with a credit in similar situations,</w:t>
      </w:r>
      <w:r>
        <w:rPr>
          <w:rStyle w:val="FootnoteReference"/>
        </w:rPr>
        <w:footnoteReference w:id="1252"/>
      </w:r>
      <w:r>
        <w:t xml:space="preserve"> although a </w:t>
      </w:r>
      <w:smartTag w:uri="http://www.bna.com/sgml2word/cite" w:element="cite.usc">
        <w:smartTagPr>
          <w:attr w:name="ref" w:val="USC\26\131"/>
        </w:smartTagPr>
        <w:r>
          <w:t>§131</w:t>
        </w:r>
      </w:smartTag>
      <w:r>
        <w:t xml:space="preserve"> foreign tax credit could only offset tax imposed under Chapter 1 of the 1939 Code.</w:t>
      </w:r>
      <w:r>
        <w:rPr>
          <w:rStyle w:val="FootnoteReference"/>
        </w:rPr>
        <w:footnoteReference w:id="1253"/>
      </w:r>
      <w:r>
        <w:t xml:space="preserve"> Thus, for this treaty provision to apply and allow a foreign tax credit against the NIIT, a taxpayer must conclude that the use of the phrase “Chapter 1” in the treaty does not refer to the </w:t>
      </w:r>
      <w:r>
        <w:rPr>
          <w:i/>
        </w:rPr>
        <w:t>same</w:t>
      </w:r>
      <w:r>
        <w:t xml:space="preserve"> Chapter 1 that currently exists in the Internal Revenue Code of 1986. As a result of this perceived ambiguity, the taxpayer would have to reasonably conclude that because the NIIT is an “income tax” that is properly covered by the U.S.-Greece Income Tax Treaty, it would be consistent with the treaty’s intent that the NIIT be allowed a credit because it would be the type of tax imposed by Chapter 1 of the 1939 Code.</w:t>
      </w:r>
    </w:p>
    <w:p w14:paraId="320AE176" w14:textId="77777777" w:rsidR="00494B49" w:rsidRDefault="00494B49">
      <w:pPr>
        <w:pStyle w:val="BNormal"/>
      </w:pPr>
      <w:r>
        <w:t xml:space="preserve">Assume for illustration purposes that a taxpayer was able to reasonably conclude that the Greek taxes imposed on Greek-sourced rental income were creditable against the NIIT based on Article XIV(2) of the treaty. The taxpayer would have to address how the income and deduction sourcing rules contained in </w:t>
      </w:r>
      <w:smartTag w:uri="http://www.bna.com/sgml2word/cite" w:element="cite.usc">
        <w:smartTagPr>
          <w:attr w:name="ref" w:val="USC\26\861"/>
        </w:smartTagPr>
        <w:r>
          <w:t>§861</w:t>
        </w:r>
      </w:smartTag>
      <w:r>
        <w:t>–</w:t>
      </w:r>
      <w:smartTag w:uri="http://www.bna.com/sgml2word/cite" w:element="cite.usc">
        <w:smartTagPr>
          <w:attr w:name="ref" w:val="USC\26\865"/>
        </w:smartTagPr>
        <w:r>
          <w:t>§865</w:t>
        </w:r>
      </w:smartTag>
      <w:r>
        <w:t xml:space="preserve"> and the regulations thereunder apply to the NIIT system.</w:t>
      </w:r>
      <w:r>
        <w:rPr>
          <w:rStyle w:val="FootnoteReference"/>
        </w:rPr>
        <w:footnoteReference w:id="1254"/>
      </w:r>
    </w:p>
    <w:p w14:paraId="66783200" w14:textId="77777777" w:rsidR="00494B49" w:rsidRDefault="00494B49">
      <w:pPr>
        <w:pStyle w:val="BNormal"/>
      </w:pPr>
      <w:r>
        <w:t xml:space="preserve">The United States asserts primary taxing jurisdiction over all income with a sufficient nexus between the income derived and the U.S. and, therefore, only credits foreign taxes imposed on foreign-source income. In general, interest and dividend income is sourced based on the location </w:t>
      </w:r>
      <w:r>
        <w:lastRenderedPageBreak/>
        <w:t>of the obligor</w:t>
      </w:r>
      <w:r>
        <w:rPr>
          <w:rStyle w:val="FootnoteReference"/>
        </w:rPr>
        <w:footnoteReference w:id="1255"/>
      </w:r>
      <w:r>
        <w:t xml:space="preserve"> or payor,</w:t>
      </w:r>
      <w:r>
        <w:rPr>
          <w:rStyle w:val="FootnoteReference"/>
        </w:rPr>
        <w:footnoteReference w:id="1256"/>
      </w:r>
      <w:r>
        <w:t xml:space="preserve"> while rental income is sourced based on the location of the property from which rent is derived.</w:t>
      </w:r>
      <w:r>
        <w:rPr>
          <w:rStyle w:val="FootnoteReference"/>
        </w:rPr>
        <w:footnoteReference w:id="1257"/>
      </w:r>
      <w:r>
        <w:t xml:space="preserve"> Compensation for services performed is generally sourced to the location where the services were performed.</w:t>
      </w:r>
      <w:r>
        <w:rPr>
          <w:rStyle w:val="FootnoteReference"/>
        </w:rPr>
        <w:footnoteReference w:id="1258"/>
      </w:r>
    </w:p>
    <w:p w14:paraId="2C230471" w14:textId="77777777" w:rsidR="00494B49" w:rsidRDefault="00494B49">
      <w:pPr>
        <w:pStyle w:val="BNormal"/>
      </w:pPr>
      <w:r>
        <w:t>However, because the NIIT base may differ from the regular income tax base, determining the source of net investment income is not easy. The following examples illustrate some of the issues inherent in sourcing the computation of an amount of NIIT available for a foreign credit:</w:t>
      </w:r>
      <w:r>
        <w:rPr>
          <w:rStyle w:val="FootnoteReference"/>
        </w:rPr>
        <w:footnoteReference w:id="1259"/>
      </w:r>
    </w:p>
    <w:p w14:paraId="566E1FBE" w14:textId="77777777" w:rsidR="00494B49" w:rsidRDefault="00494B49">
      <w:pPr>
        <w:pStyle w:val="BExamplepara"/>
      </w:pPr>
      <w:r>
        <w:rPr>
          <w:rStyle w:val="BExamplehead"/>
          <w:rFonts w:eastAsiaTheme="minorHAnsi"/>
          <w:i/>
        </w:rPr>
        <w:t>Example 1:</w:t>
      </w:r>
      <w:r>
        <w:t xml:space="preserve"> Assume A, a single U.S. citizen, has $12,000 of net rental income from a Greek condo; $5,000 of interest income from U.S. sources; and $210,000 of wages from a U.S. employer. A remits $5,000 of income tax to Greece on the rental income. A has a NIIT liability of $646 ($17,000 × 3.8%).</w:t>
      </w:r>
      <w:r>
        <w:rPr>
          <w:rStyle w:val="FootnoteReference"/>
        </w:rPr>
        <w:footnoteReference w:id="1260"/>
      </w:r>
    </w:p>
    <w:p w14:paraId="59C49ACE" w14:textId="77777777" w:rsidR="00494B49" w:rsidRDefault="00494B49">
      <w:pPr>
        <w:pStyle w:val="BExamplepara"/>
      </w:pPr>
      <w:r>
        <w:t>In this case, the NIIT tax base is $17,000, comprised of $5,000 in U.S. sourced interest income and $12,000 in Greek sourced rental income. It would be intuitive to conclude that 70.6%</w:t>
      </w:r>
      <w:r>
        <w:rPr>
          <w:rStyle w:val="FootnoteReference"/>
        </w:rPr>
        <w:footnoteReference w:id="1261"/>
      </w:r>
      <w:r>
        <w:t xml:space="preserve"> of the $646 NIIT liability is attributable to foreign source income. Assuming the taxpayer is taking a treaty position that foreign tax credits are creditable taxes, it would be appropriate to claim $456 of Greek taxes against the NIIT.</w:t>
      </w:r>
    </w:p>
    <w:p w14:paraId="6673C86B" w14:textId="77777777" w:rsidR="00494B49" w:rsidRDefault="00494B49">
      <w:pPr>
        <w:pStyle w:val="BExamplepara"/>
      </w:pPr>
      <w:r>
        <w:rPr>
          <w:rStyle w:val="BExamplehead"/>
          <w:rFonts w:eastAsiaTheme="minorHAnsi"/>
          <w:i/>
        </w:rPr>
        <w:t>Example 2:</w:t>
      </w:r>
      <w:r>
        <w:t xml:space="preserve"> Assume B, a single U.S. citizen, has $12,000 of net rental income from a Greek condo; $5,000 of interest income from U.S. sources; and $190,000 of commercial annuity income. B has a NIIT liability of $266 ($7,000 × 3.8%).</w:t>
      </w:r>
      <w:r>
        <w:rPr>
          <w:rStyle w:val="FootnoteReference"/>
        </w:rPr>
        <w:footnoteReference w:id="1262"/>
      </w:r>
    </w:p>
    <w:p w14:paraId="02DCAD2E" w14:textId="77777777" w:rsidR="00494B49" w:rsidRDefault="00494B49">
      <w:pPr>
        <w:pStyle w:val="BExamplepara"/>
      </w:pPr>
      <w:r>
        <w:t xml:space="preserve">Here, the NIIT tax base is $7,000. Because all of B’s income is net investment income, should his foreign source net investment income tax base be $406 (($12,000/$207,000) × $7,000)? Assuming the taxpayer is taking a treaty position that foreign tax credits are creditable taxes, it would be appropriate to claim a credit of $15 of Greek taxes (5.8%) against the NIIT. </w:t>
      </w:r>
    </w:p>
    <w:p w14:paraId="66EC7E4C" w14:textId="77777777" w:rsidR="00494B49" w:rsidRDefault="00494B49">
      <w:pPr>
        <w:pStyle w:val="BExamplepara"/>
      </w:pPr>
      <w:r>
        <w:t>Alternatively, could B adopt a stacking approach in which all of the net investment income is foreign sourced rental income because $12,000 exceeds $7,000 (in essence, the taxpayer stacks the rental income on top of the other income)? In this case, it would be appropriate to claim a credit of $266 of Greek taxes against the NIIT.</w:t>
      </w:r>
    </w:p>
    <w:p w14:paraId="19B6197B" w14:textId="77777777" w:rsidR="00494B49" w:rsidRDefault="00494B49">
      <w:pPr>
        <w:pStyle w:val="BExamplepara"/>
      </w:pPr>
      <w:r>
        <w:t xml:space="preserve">But if stacking is a reasonable approach for B to take, why wouldn’t the inverse position be available to the IRS, in which they would conclude that $0 of the $7,000 is foreign source (because the rental income is at the bottom of the stack)? </w:t>
      </w:r>
    </w:p>
    <w:p w14:paraId="79FC556D" w14:textId="77777777" w:rsidR="00494B49" w:rsidRDefault="00494B49">
      <w:pPr>
        <w:pStyle w:val="BExamplepara"/>
      </w:pPr>
      <w:r>
        <w:rPr>
          <w:rStyle w:val="BExamplehead"/>
          <w:rFonts w:eastAsiaTheme="minorHAnsi"/>
          <w:i/>
        </w:rPr>
        <w:lastRenderedPageBreak/>
        <w:t>Example 3:</w:t>
      </w:r>
      <w:r>
        <w:t xml:space="preserve"> Assume C, a single U.S. citizen, has $12,000 of net rental income from a Greek condo; $5,000 of interest income from U.S. sources; and $190,000 of wages from a U.S. employer. C remits $5,000 of income tax to Greece on the rental income. C has a NIIT liability of $266 ($7,000 × 3.8%).</w:t>
      </w:r>
      <w:r>
        <w:rPr>
          <w:rStyle w:val="FootnoteReference"/>
        </w:rPr>
        <w:footnoteReference w:id="1263"/>
      </w:r>
    </w:p>
    <w:p w14:paraId="60663D51" w14:textId="77777777" w:rsidR="00494B49" w:rsidRDefault="00494B49">
      <w:pPr>
        <w:pStyle w:val="BExamplepara"/>
      </w:pPr>
      <w:r>
        <w:t>In this case, the NIIT tax base is $7,000. It is not entirely clear how much of the $266 liability relates to the foreign sourced rental income. Under a pro-rata approach, it should be approximately $4,941 (($12,000/$17,000) × $7,000). Or should it be apportioned against all MAGI and therefore be $405 ($12,000/$207,000 × $7,000)?</w:t>
      </w:r>
    </w:p>
    <w:p w14:paraId="4D4B3D0B" w14:textId="77777777" w:rsidR="00494B49" w:rsidRDefault="00494B49">
      <w:pPr>
        <w:pStyle w:val="BExamplepara"/>
      </w:pPr>
      <w:r>
        <w:t xml:space="preserve">Similar to B, could C adopt a stacking approach where all of the net investment income is foreign sourced rental income because $12,000 exceeds $7,000 (in essence, the taxpayer stacks the rental income on top of the other income)? </w:t>
      </w:r>
    </w:p>
    <w:p w14:paraId="5A71A90F" w14:textId="77777777" w:rsidR="00494B49" w:rsidRDefault="00494B49">
      <w:pPr>
        <w:pStyle w:val="BExamplepara"/>
      </w:pPr>
      <w:r>
        <w:t>What differentiates C from A and B? In C’s case, the $7,000 of tax base is income in excess of MAGI;</w:t>
      </w:r>
      <w:r>
        <w:rPr>
          <w:rStyle w:val="FootnoteReference"/>
        </w:rPr>
        <w:footnoteReference w:id="1264"/>
      </w:r>
      <w:r>
        <w:t xml:space="preserve"> whereas A is on the net investment income tax base</w:t>
      </w:r>
      <w:r>
        <w:rPr>
          <w:rStyle w:val="FootnoteReference"/>
        </w:rPr>
        <w:footnoteReference w:id="1265"/>
      </w:r>
      <w:r>
        <w:t xml:space="preserve"> and B is unsure which base he is being taxed on because both are the same. Should there be different sourcing rules for each of these scenarios? If so, how is it done? These are all unanswered questions. </w:t>
      </w:r>
    </w:p>
    <w:p w14:paraId="556F8B06" w14:textId="77777777" w:rsidR="00494B49" w:rsidRDefault="00494B49">
      <w:pPr>
        <w:pStyle w:val="BHead4"/>
      </w:pPr>
      <w:r>
        <w:t xml:space="preserve">(4) Reporting the Treaty Position </w:t>
      </w:r>
    </w:p>
    <w:p w14:paraId="33355892" w14:textId="77777777" w:rsidR="00494B49" w:rsidRDefault="00494B49">
      <w:pPr>
        <w:pStyle w:val="BNormal"/>
      </w:pPr>
      <w:r>
        <w:t xml:space="preserve">Setting the legal arguments aside, reporting the foreign tax credit as an offset to the NIIT would stand out on the </w:t>
      </w:r>
      <w:smartTag w:uri="http://www.bna.com/sgml2word/cite" w:element="cite.fed.form">
        <w:smartTagPr>
          <w:attr w:name="ref" w:val="irs\form1041"/>
        </w:smartTagPr>
        <w:r>
          <w:t>Form 1041</w:t>
        </w:r>
      </w:smartTag>
      <w:r>
        <w:t xml:space="preserve"> or </w:t>
      </w:r>
      <w:smartTag w:uri="http://www.bna.com/sgml2word/cite" w:element="cite.fed.form">
        <w:smartTagPr>
          <w:attr w:name="ref" w:val="irs\form1040"/>
        </w:smartTagPr>
        <w:r>
          <w:t>Form 1040</w:t>
        </w:r>
      </w:smartTag>
      <w:r>
        <w:t>. Notice that on these returns, the amount of credit is listed immediately after the income tax, but before the line reporting the NIIT liability.</w:t>
      </w:r>
      <w:r>
        <w:rPr>
          <w:rStyle w:val="FootnoteReference"/>
        </w:rPr>
        <w:footnoteReference w:id="1266"/>
      </w:r>
      <w:r>
        <w:t xml:space="preserve"> The location of the NIIT, after all of the nonrefundable credits, was intentional. If the IRS believed that credits (and not just the foreign tax credit) would be available to offset the tax, it would have placed the NIIT line higher up on the Form </w:t>
      </w:r>
      <w:smartTag w:uri="http://www.bna.com/sgml2word/cite" w:element="cite.fed.form">
        <w:smartTagPr>
          <w:attr w:name="ref" w:val="irs\form1040"/>
        </w:smartTagPr>
        <w:r>
          <w:t>1040</w:t>
        </w:r>
      </w:smartTag>
      <w:r>
        <w:t>. But it did not.</w:t>
      </w:r>
    </w:p>
    <w:p w14:paraId="2093A864" w14:textId="77777777" w:rsidR="00494B49" w:rsidRDefault="00494B49">
      <w:pPr>
        <w:pStyle w:val="BNormal"/>
      </w:pPr>
      <w:r>
        <w:t xml:space="preserve">Recall the example above in which the individual’s foreign taxes eliminate regular tax liability and leave only a NIIT liability. For the ultimate computation to yield no tax due with the return, the amount listed for foreign tax credits reported on Schedule 3, Line 48 (which flows to Line 55) must exceed the amount of regular income tax reported on Schedule 2, Line 47. As a result, Form 1040, Line 13 (which is Line 12 </w:t>
      </w:r>
      <w:r>
        <w:rPr>
          <w:i/>
        </w:rPr>
        <w:t>less</w:t>
      </w:r>
      <w:r>
        <w:t xml:space="preserve"> Line 11) would be a negative amount equal to the NIIT liability reported on Schedule 4, Line 62. The negative amount on Line 13 would offset the NIIT liability yielding $0 total tax on Line 15. There are a few issues with that approach. First, the notation next to Form 1040, Line 13 states: if subtracting Line 12 (total credit) from Line 11 (tax) is zero or less, enter -0-. Second, entering an amount greater than the regular tax may be barred by the IRS’s e-filing rules.</w:t>
      </w:r>
      <w:r>
        <w:rPr>
          <w:rStyle w:val="FootnoteReference"/>
        </w:rPr>
        <w:footnoteReference w:id="1267"/>
      </w:r>
    </w:p>
    <w:p w14:paraId="5BAFC584" w14:textId="77777777" w:rsidR="00494B49" w:rsidRDefault="00494B49">
      <w:pPr>
        <w:pStyle w:val="BNormal"/>
      </w:pPr>
      <w:r>
        <w:t xml:space="preserve">As an alternative, could one somehow report the foreign tax credit on </w:t>
      </w:r>
      <w:smartTag w:uri="http://www.bna.com/sgml2word/cite" w:element="cite.fed.form">
        <w:smartTagPr>
          <w:attr w:name="ref" w:val="irs\form8960"/>
        </w:smartTagPr>
        <w:r>
          <w:t>Form 8960</w:t>
        </w:r>
      </w:smartTag>
      <w:r>
        <w:t xml:space="preserve"> as a reduction in the tax, such that the total NIIT is $0? Again, there are a few issues with this approach. First, there is no place to report a foreign tax credit on </w:t>
      </w:r>
      <w:smartTag w:uri="http://www.bna.com/sgml2word/cite" w:element="cite.fed.form">
        <w:smartTagPr>
          <w:attr w:name="ref" w:val="irs\form8960"/>
        </w:smartTagPr>
        <w:r>
          <w:t>Form 8960</w:t>
        </w:r>
      </w:smartTag>
      <w:r>
        <w:t xml:space="preserve">. Second, if the NIIT is $0, the Form may be suppressed from filing. But if the taxpayer reported an AGI greater than his threshold </w:t>
      </w:r>
      <w:r>
        <w:lastRenderedPageBreak/>
        <w:t xml:space="preserve">amount, and he has items of net investment income listed on his return, the absence of a </w:t>
      </w:r>
      <w:smartTag w:uri="http://www.bna.com/sgml2word/cite" w:element="cite.fed.form">
        <w:smartTagPr>
          <w:attr w:name="ref" w:val="irs\form8960"/>
        </w:smartTagPr>
        <w:r>
          <w:t>Form 8960</w:t>
        </w:r>
      </w:smartTag>
      <w:r>
        <w:t xml:space="preserve"> from the return might result in a computer-generated IRS letter requesting that it be completed. And, if the IRS has identified the issue and the taxpayer claims the foreign tax credit anyway, he will undoubtedly have some explaining to do in response to that computer-generated notice. This is exactly what happened in the 2021 Tax Court case discussed below.</w:t>
      </w:r>
    </w:p>
    <w:p w14:paraId="013933D8" w14:textId="77777777" w:rsidR="00494B49" w:rsidRDefault="00494B49">
      <w:pPr>
        <w:pStyle w:val="BHead4"/>
      </w:pPr>
      <w:r>
        <w:t>(5) Toulouse v. Commissioner</w:t>
      </w:r>
    </w:p>
    <w:p w14:paraId="0A86A59C" w14:textId="77777777" w:rsidR="00494B49" w:rsidRDefault="00494B49">
      <w:pPr>
        <w:pStyle w:val="BNormal"/>
      </w:pPr>
      <w:r>
        <w:t xml:space="preserve">On August 16, 2021, the Tax Court held in </w:t>
      </w:r>
      <w:r>
        <w:rPr>
          <w:rStyle w:val="BCasenamefull"/>
        </w:rPr>
        <w:t>Toulouse v. Commissioner</w:t>
      </w:r>
      <w:r>
        <w:t>,</w:t>
      </w:r>
      <w:r>
        <w:rPr>
          <w:rStyle w:val="FootnoteReference"/>
        </w:rPr>
        <w:footnoteReference w:id="1268"/>
      </w:r>
      <w:r>
        <w:t xml:space="preserve"> that U.S. tax treaties with France and Italy do not enable a U.S. citizen who lives abroad to use foreign tax credits to offset the net investment income tax (NIIT).</w:t>
      </w:r>
    </w:p>
    <w:p w14:paraId="6A8C17BB" w14:textId="77777777" w:rsidR="00494B49" w:rsidRDefault="00494B49">
      <w:pPr>
        <w:pStyle w:val="BNormal"/>
      </w:pPr>
      <w:r>
        <w:t>In this case, Catherine Toulouse, a U.S. citizen, timely filed a Form 1040 for the 2013 tax year, reporting tax of $63,632 (Line 44), offset by a $63,632 foreign tax credit (Line 47), which represented a portion of an approximately $340,000-carryover foreign tax credit. Line 60 of the 2013 Form 1040, where NIIT would be reported, was left blank.</w:t>
      </w:r>
    </w:p>
    <w:p w14:paraId="1B773FE8" w14:textId="77777777" w:rsidR="00494B49" w:rsidRDefault="00494B49">
      <w:pPr>
        <w:pStyle w:val="BNormal"/>
      </w:pPr>
      <w:r>
        <w:t>Toulouse filed several other forms along with her 2013 Form 1040:</w:t>
      </w:r>
    </w:p>
    <w:p w14:paraId="48DB76B4" w14:textId="77777777" w:rsidR="00494B49" w:rsidRDefault="00494B49">
      <w:pPr>
        <w:pStyle w:val="BListitembul"/>
      </w:pPr>
      <w:r>
        <w:t xml:space="preserve">Form 1116, </w:t>
      </w:r>
      <w:r>
        <w:rPr>
          <w:i/>
        </w:rPr>
        <w:t>Foreign Tax Credit</w:t>
      </w:r>
      <w:r>
        <w:t>, reported that for 2013 she had paid $51,456 in tax to Italy and France.</w:t>
      </w:r>
    </w:p>
    <w:p w14:paraId="2665C5E9" w14:textId="77777777" w:rsidR="00494B49" w:rsidRDefault="00494B49">
      <w:pPr>
        <w:pStyle w:val="BListitembul"/>
      </w:pPr>
      <w:r>
        <w:t xml:space="preserve">Form 8960, </w:t>
      </w:r>
      <w:r>
        <w:rPr>
          <w:i/>
        </w:rPr>
        <w:t>Net Investment Income Tax — Individuals, Estates, and Trusts</w:t>
      </w:r>
      <w:r>
        <w:t>, reported NIIT of $11,540 (Line 17) and added two lines under Line 17, that read:</w:t>
      </w:r>
    </w:p>
    <w:p w14:paraId="2966526A" w14:textId="77777777" w:rsidR="00494B49" w:rsidRDefault="00494B49">
      <w:pPr>
        <w:pStyle w:val="BListitembul"/>
      </w:pPr>
      <w:r>
        <w:t>o Less: Foreign Tax Credit $11,540</w:t>
      </w:r>
    </w:p>
    <w:p w14:paraId="55746D05" w14:textId="77777777" w:rsidR="00494B49" w:rsidRDefault="00494B49">
      <w:pPr>
        <w:pStyle w:val="BListitembul"/>
      </w:pPr>
      <w:r>
        <w:t>o Net Investment Income Tax Due $0</w:t>
      </w:r>
      <w:r>
        <w:rPr>
          <w:rStyle w:val="FootnoteReference"/>
        </w:rPr>
        <w:footnoteReference w:id="1269"/>
      </w:r>
    </w:p>
    <w:p w14:paraId="6E8741B7" w14:textId="77777777" w:rsidR="00494B49" w:rsidRDefault="00494B49">
      <w:pPr>
        <w:pStyle w:val="BListitembul"/>
      </w:pPr>
      <w:r>
        <w:t xml:space="preserve">Two Forms 8833, </w:t>
      </w:r>
      <w:r>
        <w:rPr>
          <w:i/>
        </w:rPr>
        <w:t>Treaty-Based Return Position Disclosure Under Section 6114 or 7701(b)</w:t>
      </w:r>
      <w:r>
        <w:t>, asserted that Toulouse had used a foreign tax credit carryover to offset NIIT.</w:t>
      </w:r>
    </w:p>
    <w:p w14:paraId="55F0EEB5" w14:textId="77777777" w:rsidR="00494B49" w:rsidRDefault="00494B49">
      <w:pPr>
        <w:pStyle w:val="BListitembul"/>
      </w:pPr>
      <w:r>
        <w:t xml:space="preserve">Form 8275, </w:t>
      </w:r>
      <w:r>
        <w:rPr>
          <w:i/>
        </w:rPr>
        <w:t>Disclosure Statement</w:t>
      </w:r>
      <w:r>
        <w:t>, asserted that article 24(2)(a) of the U.S. income tax treaties with France and Italy permit a foreign tax credit to offset NIIT.</w:t>
      </w:r>
    </w:p>
    <w:p w14:paraId="17027EE2" w14:textId="77777777" w:rsidR="00494B49" w:rsidRDefault="00494B49">
      <w:pPr>
        <w:pStyle w:val="BNormal"/>
      </w:pPr>
      <w:r>
        <w:t xml:space="preserve">In February 2015, the IRS notified Toulouse of a $11,540 math error on her 2013 return and assessed tax in that amount pursuant to </w:t>
      </w:r>
      <w:smartTag w:uri="http://www.bna.com/sgml2word/cite" w:element="cite.usc">
        <w:smartTagPr>
          <w:attr w:name="ref" w:val="usc\26\6213(b)"/>
        </w:smartTagPr>
        <w:r>
          <w:t>§6213(b)</w:t>
        </w:r>
      </w:smartTag>
      <w:r>
        <w:t xml:space="preserve">. Toulouse contested the assessment, asserting that no math error occurred and that a foreign tax credit offset her tax liability. Following an Appeals conference, the IRS informed Toulouse that she was not entitled to offset NIIT with a foreign tax credit. In August 2018, the IRS assessed $2,885 in failure-to-pay penalties under </w:t>
      </w:r>
      <w:smartTag w:uri="http://www.bna.com/sgml2word/cite" w:element="cite.usc">
        <w:smartTagPr>
          <w:attr w:name="ref" w:val="usc\26\6651(a)(2)"/>
        </w:smartTagPr>
        <w:r>
          <w:t>§6651(a)(2)</w:t>
        </w:r>
      </w:smartTag>
      <w:r>
        <w:t>. Toulouse challenged both assessments in a collection due process (CDP) hearing in March 2019, and she was again told that she was not entitled to a foreign tax credit.</w:t>
      </w:r>
    </w:p>
    <w:p w14:paraId="55CA5182" w14:textId="77777777" w:rsidR="00494B49" w:rsidRDefault="00494B49">
      <w:pPr>
        <w:pStyle w:val="BNormal"/>
      </w:pPr>
      <w:r>
        <w:t>The court first found that Toulouse did not have the opportunity to challenge the underlying tax liability before the CDP hearing; therefore, the court reviewed liability for the tax de novo.</w:t>
      </w:r>
    </w:p>
    <w:p w14:paraId="4DA5C4EA" w14:textId="77777777" w:rsidR="00494B49" w:rsidRDefault="00494B49">
      <w:pPr>
        <w:pStyle w:val="BNormal"/>
      </w:pPr>
      <w:r>
        <w:t xml:space="preserve">Citing </w:t>
      </w:r>
      <w:r>
        <w:rPr>
          <w:rStyle w:val="BCasenamefull"/>
        </w:rPr>
        <w:t>Crow v. Commissioner</w:t>
      </w:r>
      <w:r>
        <w:t>,</w:t>
      </w:r>
      <w:r>
        <w:rPr>
          <w:rStyle w:val="FootnoteReference"/>
        </w:rPr>
        <w:footnoteReference w:id="1270"/>
      </w:r>
      <w:r>
        <w:t xml:space="preserve"> the court noted that U.S. citizens “are generally taxed on their worldwide income regardless of where they reside.” Looking at what types of taxes the foreign tax credit may offset, the court stated that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“clearly provide that the foreign tax credit allowable under the Code reduces only tax imposed under chapter 1, such as the </w:t>
      </w:r>
      <w:smartTag w:uri="http://www.bna.com/sgml2word/cite" w:element="cite.usc">
        <w:smartTagPr>
          <w:attr w:name="ref" w:val="USC\26\1"/>
        </w:smartTagPr>
        <w:r>
          <w:t>section 1</w:t>
        </w:r>
      </w:smartTag>
      <w:r>
        <w:t xml:space="preserve"> regular tax” and </w:t>
      </w:r>
      <w:smartTag w:uri="http://www.bna.com/sgml2word/cite" w:element="cite.usc">
        <w:smartTagPr>
          <w:attr w:name="ref" w:val="USC\26\1411"/>
        </w:smartTagPr>
        <w:r>
          <w:t>§1411</w:t>
        </w:r>
      </w:smartTag>
      <w:r>
        <w:t xml:space="preserve"> is found in chapter 2A. “Thus, the foreign tax credit under </w:t>
      </w:r>
      <w:smartTag w:uri="http://www.bna.com/sgml2word/cite" w:element="cite.usc">
        <w:smartTagPr>
          <w:attr w:name="ref" w:val="USC\26\27"/>
        </w:smartTagPr>
        <w:r>
          <w:t>§27</w:t>
        </w:r>
      </w:smartTag>
      <w:r>
        <w:t xml:space="preserve"> – which applies to 'the tax imposed by this chapter [1]' – does not by its terms apply to offset net </w:t>
      </w:r>
      <w:r>
        <w:lastRenderedPageBreak/>
        <w:t xml:space="preserve">investment income tax,” the court concluded. Further, the court noted that Reg. </w:t>
      </w:r>
      <w:smartTag w:uri="http://www.bna.com/sgml2word/cite" w:element="cite.cfr">
        <w:smartTagPr>
          <w:attr w:name="ref" w:val="cfr\26\1.1411-1(e)"/>
        </w:smartTagPr>
        <w:r>
          <w:t>§1.1411-1(e)</w:t>
        </w:r>
      </w:smartTag>
      <w:r>
        <w:t xml:space="preserve"> “specifically addresses the issue of a foreign tax credit against the net investment income tax and explains that the Code does not provide a foreign tax credit against the </w:t>
      </w:r>
      <w:smartTag w:uri="http://www.bna.com/sgml2word/cite" w:element="cite.usc">
        <w:smartTagPr>
          <w:attr w:name="ref" w:val="USC\26\1411"/>
        </w:smartTagPr>
        <w:r>
          <w:t>section 1411</w:t>
        </w:r>
      </w:smartTag>
      <w:r>
        <w:t xml:space="preserve"> tax.”</w:t>
      </w:r>
    </w:p>
    <w:p w14:paraId="6B8012EE" w14:textId="77777777" w:rsidR="00494B49" w:rsidRDefault="00494B49">
      <w:pPr>
        <w:pStyle w:val="BNormal"/>
      </w:pPr>
      <w:r>
        <w:t xml:space="preserve">Then, turning to Toulouse's assertion that the U.S. tax treaties with France and Italy provide for a foreign tax credit, the court determined that the plain text of such treaties allow a foreign tax credit only in accordance with the provisions and limitations set forth in the Code. The court rejected Toulouse's contention that the Code "is silent as to whether there is a foreign tax credit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Pointing out that Congress created chapter 2A when it enacted the NIIT, and </w:t>
      </w:r>
      <w:smartTag w:uri="http://www.bna.com/sgml2word/cite" w:element="cite.usc">
        <w:smartTagPr>
          <w:attr w:name="ref" w:val="USC\26\1411"/>
        </w:smartTagPr>
        <w:r>
          <w:t>§1411</w:t>
        </w:r>
      </w:smartTag>
      <w:r>
        <w:t xml:space="preserve"> is the only section in such chapter, the court determined that "placement of </w:t>
      </w:r>
      <w:smartTag w:uri="http://www.bna.com/sgml2word/cite" w:element="cite.usc">
        <w:smartTagPr>
          <w:attr w:name="ref" w:val="USC\26\1411"/>
        </w:smartTagPr>
        <w:r>
          <w:t>section 1411</w:t>
        </w:r>
      </w:smartTag>
      <w:r>
        <w:t xml:space="preserve"> in a newly created chapter was not happenstance. An enumerated chapter of the Code to impose a distinct and separate tax is part of the Code's fundamental structure." The court also rejected her contention that because the treaties are generally intended to protect against double taxation, the offset is permitted under them. This protection is not absolute, the court stated.</w:t>
      </w:r>
    </w:p>
    <w:p w14:paraId="2B633111" w14:textId="77777777" w:rsidR="00494B49" w:rsidRDefault="00494B49">
      <w:pPr>
        <w:pStyle w:val="BNormal"/>
      </w:pPr>
      <w:r>
        <w:t xml:space="preserve">Finally, the court found that genuine issues of material fact exist regarding whether Toulouse is liable for penalties under </w:t>
      </w:r>
      <w:smartTag w:uri="http://www.bna.com/sgml2word/cite" w:element="cite.usc">
        <w:smartTagPr>
          <w:attr w:name="ref" w:val="usc\26\6651(a)(2)"/>
        </w:smartTagPr>
        <w:r>
          <w:t>§6651(a)(2)</w:t>
        </w:r>
      </w:smartTag>
      <w:r>
        <w:t xml:space="preserve">. She reported zero tax on her Form 1040, so the </w:t>
      </w:r>
      <w:smartTag w:uri="http://www.bna.com/sgml2word/cite" w:element="cite.usc">
        <w:smartTagPr>
          <w:attr w:name="ref" w:val="usc\26\6651(a)(2)"/>
        </w:smartTagPr>
        <w:r>
          <w:t>§6651(a)(2)</w:t>
        </w:r>
      </w:smartTag>
      <w:r>
        <w:t xml:space="preserve"> addition to tax for failure to pay the tax shown on the return would also be zero. Noting that the IRS seeks the penalty on the $11,540 Toulouse reported on her Line 17 of </w:t>
      </w:r>
      <w:smartTag w:uri="http://www.bna.com/sgml2word/cite" w:element="cite.fed.form">
        <w:smartTagPr>
          <w:attr w:name="ref" w:val="irs\form8960"/>
        </w:smartTagPr>
        <w:r>
          <w:t>Form 8960</w:t>
        </w:r>
      </w:smartTag>
      <w:r>
        <w:t xml:space="preserve">, the court concluded that the IRS "appears to rely on the failure to pay that reported tax to impose the </w:t>
      </w:r>
      <w:smartTag w:uri="http://www.bna.com/sgml2word/cite" w:element="cite.usc">
        <w:smartTagPr>
          <w:attr w:name="ref" w:val="usc\26\6651(a)(2)"/>
        </w:smartTagPr>
        <w:r>
          <w:t>§6651(a)(2)</w:t>
        </w:r>
      </w:smartTag>
      <w:r>
        <w:t xml:space="preserve"> addition to tax and disregard the lines that petitioner added to the Form." Therefore, a genuine dispute of material fact exists regarding whether Toulouse had reasonable cause for her failure to pay timely, the court concluded.</w:t>
      </w:r>
    </w:p>
    <w:p w14:paraId="175E35B7" w14:textId="77777777" w:rsidR="00494B49" w:rsidRDefault="00494B49">
      <w:pPr>
        <w:pStyle w:val="BNormal"/>
      </w:pPr>
      <w:r>
        <w:rPr>
          <w:i/>
        </w:rPr>
        <w:t>Comment:</w:t>
      </w:r>
      <w:r>
        <w:t xml:space="preserve"> Treasury had the opportunity to modify the 2016 U.S. Model Income Tax Treaty to address the NIIT, but it chose not to do so. Even so, a modification in 2016 would not have helped Toulouse because it could have only covered newly enacted treaties. The </w:t>
      </w:r>
      <w:smartTag w:uri="http://www.bna.com/sgml2word/cite" w:element="cite.usc">
        <w:smartTagPr>
          <w:attr w:name="ref" w:val="USC\26\27"/>
        </w:smartTagPr>
        <w:r>
          <w:t>§27</w:t>
        </w:r>
      </w:smartTag>
      <w:r>
        <w:t xml:space="preserve"> limiting language in the model treaty explanation that was also found in the U.S./French Treaty at issue in Toulouse is found in most U.S. treaties enacted over the last generation or two. So, it is likely that taxpayers taking the same position as Toulouse under treaties similar to the U.S./French Treaty will meet the same fate.</w:t>
      </w:r>
    </w:p>
    <w:p w14:paraId="143F6D79" w14:textId="77777777" w:rsidR="00494B49" w:rsidRDefault="00494B49">
      <w:pPr>
        <w:pStyle w:val="BNormal"/>
      </w:pPr>
      <w:r>
        <w:t xml:space="preserve">It is also important to note that the design of </w:t>
      </w:r>
      <w:smartTag w:uri="http://www.bna.com/sgml2word/cite" w:element="cite.fed.form">
        <w:smartTagPr>
          <w:attr w:name="ref" w:val="irs\form8960"/>
        </w:smartTagPr>
        <w:r>
          <w:t>Form 8960</w:t>
        </w:r>
      </w:smartTag>
      <w:r>
        <w:t xml:space="preserve"> enables the IRS to identify this issue. The fact that there is no mechanism to reduce the tax by credits of any type was not happenstance. Additionally, the placement of the tax on the second page of Form 1040 (and Form 1041), below the line for foreign tax credits, enables the IRS to easily flag taxpayers attempting to claim foreign tax credits against the NIIT.</w:t>
      </w:r>
    </w:p>
    <w:p w14:paraId="60577314" w14:textId="77777777" w:rsidR="00494B49" w:rsidRDefault="00494B49">
      <w:pPr>
        <w:pStyle w:val="BHead4"/>
      </w:pPr>
      <w:r>
        <w:t>(6) Christensen v. Commissioner</w:t>
      </w:r>
    </w:p>
    <w:p w14:paraId="15E6A1FB" w14:textId="77777777" w:rsidR="00494B49" w:rsidRDefault="00494B49">
      <w:pPr>
        <w:pStyle w:val="BNormal"/>
      </w:pPr>
      <w:r>
        <w:t xml:space="preserve">In September 2023, the U.S. Court of Federal Claims (court) held in </w:t>
      </w:r>
      <w:r>
        <w:rPr>
          <w:rStyle w:val="BCasenamefull"/>
        </w:rPr>
        <w:t>Christensen v. United States</w:t>
      </w:r>
      <w:r>
        <w:t>,</w:t>
      </w:r>
      <w:r>
        <w:rPr>
          <w:rStyle w:val="FootnoteReference"/>
        </w:rPr>
        <w:footnoteReference w:id="1271"/>
      </w:r>
      <w:r>
        <w:t xml:space="preserve"> that the U.S.-France income tax treaty (Treaty) allows a foreign tax credit (FTC) to apply against the net investment income tax (NIIT) for French income taxes paid on certain passive foreign-source income by U.S. citizens residing in France. Further, the court held that certain tax treaties may permit FTCs, allowing eligible taxpayers to potentially seek refunds for up to ten (10) years of paid NIIT.</w:t>
      </w:r>
    </w:p>
    <w:p w14:paraId="4BE0DA3F" w14:textId="77777777" w:rsidR="00494B49" w:rsidRDefault="00494B49">
      <w:pPr>
        <w:pStyle w:val="BNormal"/>
      </w:pPr>
      <w:r>
        <w:lastRenderedPageBreak/>
        <w:t xml:space="preserve">The Christensens, who are married and file a joint income tax return, are U.S. citizens residing in Paris, France. For 2015, they reported the following on their original and amended </w:t>
      </w:r>
      <w:smartTag w:uri="http://www.bna.com/sgml2word/cite" w:element="cite.fed.form">
        <w:smartTagPr>
          <w:attr w:name="ref" w:val="irs\form1040"/>
        </w:smartTagPr>
        <w:r>
          <w:t>Form 1040</w:t>
        </w:r>
      </w:smartTag>
      <w:r>
        <w:t>, U.S. Individual Income Tax Return: earned income of $369,373; U.S.-source passive income of $7,976; and foreign-source passive income of $101,353. Before the FTC, the Christensens had a $76,376 U.S. federal income tax liability under Chapter 1 of the Internal Revenue Code (Code). They also paid a NIIT of 3.8% on $7,976 of U.S.-source passive income and $101,353 of foreign-source passive income, for a total NIIT of $4,155. In addition, the Christensens paid French income tax of approximately $26,653 on their foreign-source passive income.</w:t>
      </w:r>
    </w:p>
    <w:p w14:paraId="0C218858" w14:textId="77777777" w:rsidR="00494B49" w:rsidRDefault="00494B49">
      <w:pPr>
        <w:pStyle w:val="BNormal"/>
      </w:pPr>
      <w:r>
        <w:t>In 2020, the Christensens filed a refund claim for $3,851 plus interest, the amount of NIIT on their foreign-source passive income, which they claimed was offset by a treaty-based FTC under Article 24 of the Treaty. The IRS initially denied the claim as untimely but later agreed the refund suit was timely filed.</w:t>
      </w:r>
    </w:p>
    <w:p w14:paraId="7D784931" w14:textId="77777777" w:rsidR="00494B49" w:rsidRDefault="00494B49">
      <w:pPr>
        <w:pStyle w:val="BNormal"/>
      </w:pPr>
      <w:r>
        <w:t xml:space="preserve">The court restricted the case to the parties' cross-motions for partial summary judgment on the question of whether the Treaty, as amended, provides a FTC against the NIIT imposed on the Christensens's foreign-source passive income under </w:t>
      </w:r>
      <w:smartTag w:uri="http://www.bna.com/sgml2word/cite" w:element="cite.usc">
        <w:smartTagPr>
          <w:attr w:name="ref" w:val="USC\26\1411"/>
        </w:smartTagPr>
        <w:r>
          <w:t>§1411</w:t>
        </w:r>
      </w:smartTag>
      <w:r>
        <w:t>. Following the 72-page decision, the parties still need to resolve whether the Christensens properly computed their U.S. FTC under the Treaty.</w:t>
      </w:r>
    </w:p>
    <w:p w14:paraId="0A9CE9F8" w14:textId="77777777" w:rsidR="00494B49" w:rsidRDefault="00494B49">
      <w:pPr>
        <w:pStyle w:val="BNormal"/>
      </w:pPr>
      <w:r>
        <w:t xml:space="preserve">According to the court, "two distinct groups" of FTCs exist under U.S. law: (1) "statutory" FTCs under </w:t>
      </w:r>
      <w:smartTag w:uri="http://www.bna.com/sgml2word/cite" w:element="cite.usc">
        <w:smartTagPr>
          <w:attr w:name="ref" w:val="USC\26\901"/>
        </w:smartTagPr>
        <w:r>
          <w:t>§901(a)</w:t>
        </w:r>
      </w:smartTag>
      <w:r>
        <w:t>, which can only be claimed against taxes imposed by Chapter 1 of the Code, and (2) "treaty-based" FTCs, which are claimed under income tax treaties and are not bound by the Code's restrictions on FTCs unless the treaty specifically provides for it.</w:t>
      </w:r>
    </w:p>
    <w:p w14:paraId="40C88AA9" w14:textId="77777777" w:rsidR="00494B49" w:rsidRDefault="00494B49">
      <w:pPr>
        <w:pStyle w:val="BNormal"/>
      </w:pPr>
      <w:r>
        <w:t>U.S. citizens, regardless of where they may reside, are subject to worldwide U.S. taxation. Article 24(2)(b)'s "three-bite" rule, which appears in other U.S. income tax treaties (but may differ in certain aspects), generally relieves U.S. citizens who are residents of France from double taxation as follows:</w:t>
      </w:r>
    </w:p>
    <w:p w14:paraId="687C5EBE" w14:textId="77777777" w:rsidR="00494B49" w:rsidRDefault="00494B49">
      <w:pPr>
        <w:pStyle w:val="BListitembul"/>
      </w:pPr>
      <w:r>
        <w:t xml:space="preserve"> The individual pays U.S. tax on certain U.S.-source income to the extent permitted under the Treaty if the individual were only a resident of France (the "first bite").</w:t>
      </w:r>
    </w:p>
    <w:p w14:paraId="064B87B4" w14:textId="77777777" w:rsidR="00494B49" w:rsidRDefault="00494B49">
      <w:pPr>
        <w:pStyle w:val="BListitembul"/>
      </w:pPr>
      <w:r>
        <w:t xml:space="preserve"> France taxes the individual as a French resident but must provide a credit for U.S. tax (as determined under the first bite) on certain U.S.-source income (including dividends and interest) (the "second bite").</w:t>
      </w:r>
    </w:p>
    <w:p w14:paraId="1AA1AE5A" w14:textId="77777777" w:rsidR="00494B49" w:rsidRDefault="00494B49">
      <w:pPr>
        <w:pStyle w:val="BListitembul"/>
      </w:pPr>
      <w:r>
        <w:t xml:space="preserve"> The U.S.-source income subject to French income tax in the second bite may be re-sourced as foreign-source income to the extent necessary for §904 purposes to utilize the credit for the French income tax. However, the credit cannot offset the U.S. income tax from the first bite that was used as a credit against the French income tax in the second bite.</w:t>
      </w:r>
    </w:p>
    <w:p w14:paraId="47AA81BF" w14:textId="77777777" w:rsidR="00494B49" w:rsidRDefault="00494B49">
      <w:pPr>
        <w:pStyle w:val="BNormal"/>
      </w:pPr>
      <w:r>
        <w:t>After analyzing the Treaty, the court held that the Christensens could not claim a treaty-based FTC against the NIIT under Article 24(2)(a), because the treaty-based FTC under that rule must be “in accordance with the provisions and subject to the limitations” of the Code. Specifically, Article 24(2)(a) is limited by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901(a)</w:t>
        </w:r>
      </w:smartTag>
      <w:r>
        <w:t xml:space="preserve">, which only allow a FTC against tax imposed under Chapter 1 of the Code. Because the NIIT is imposed by </w:t>
      </w:r>
      <w:smartTag w:uri="http://www.bna.com/sgml2word/cite" w:element="cite.usc">
        <w:smartTagPr>
          <w:attr w:name="ref" w:val="USC\26\1411"/>
        </w:smartTagPr>
        <w:r>
          <w:t>§1411</w:t>
        </w:r>
      </w:smartTag>
      <w:r>
        <w:t xml:space="preserve"> in Chapter 2A, it cannot be offset by a FTC under paragraph 2(a).</w:t>
      </w:r>
      <w:r>
        <w:rPr>
          <w:rStyle w:val="FootnoteReference"/>
        </w:rPr>
        <w:footnoteReference w:id="1272"/>
      </w:r>
    </w:p>
    <w:p w14:paraId="73404810" w14:textId="77777777" w:rsidR="00494B49" w:rsidRDefault="00494B49">
      <w:pPr>
        <w:pStyle w:val="BNormal"/>
      </w:pPr>
      <w:r>
        <w:lastRenderedPageBreak/>
        <w:t>The court observed, however, that Article 24(2)(b) of the Treaty could be liberally interpreted to allow U.S. citizens who are residents of France to claim a treaty-based FTC against NIIT for French income tax imposed on foreign-source income.</w:t>
      </w:r>
    </w:p>
    <w:p w14:paraId="04197930" w14:textId="77777777" w:rsidR="00494B49" w:rsidRDefault="00494B49">
      <w:pPr>
        <w:pStyle w:val="BNormal"/>
      </w:pPr>
      <w:r>
        <w:t>Unlike Article 24(2)(a), the court noted, Article 24(2)(b) is not limited by the Code. Therefore, the court concluded that the Christensens could claim a treaty-based FTC under Article 24(2)(b) for French income tax imposed on their passive foreign-source income ($26,653) to offset the NIIT imposed on that income ($3,851).</w:t>
      </w:r>
    </w:p>
    <w:p w14:paraId="604AE527" w14:textId="77777777" w:rsidR="00494B49" w:rsidRDefault="00494B49">
      <w:pPr>
        <w:pStyle w:val="BNormal"/>
      </w:pPr>
      <w:r>
        <w:t>On its face, Christensen is a taxpayer victory, although U.S. taxpayers should not assume it is necessarily far-reaching. The holding only applies to U.S. citizens who are tax residents in a country that has an income tax treaty with the United States. Even then, the holding applies to a narrow group of taxpayers: U.S. citizens who are resident in a foreign country whose income tax treaty with the United States does not specify that U.S. law limits FTCs claimed against a foreign income tax assessed under a three-bite rule. Critical differences between the U.S.-France treaty's three bite rule and another U.S. treaty, however, may limit the outcome reached by the Christensen court. Further, the Christensens only claimed a treaty-based FTC under Article 24(2)(b) against NIIT imposed on foreign-source income and did not attempt to claim a treaty-based FTC against NIIT imposed on U.S.-source income.</w:t>
      </w:r>
      <w:r>
        <w:rPr>
          <w:rStyle w:val="FootnoteReference"/>
        </w:rPr>
        <w:footnoteReference w:id="1273"/>
      </w:r>
    </w:p>
    <w:p w14:paraId="3445E448" w14:textId="77777777" w:rsidR="00494B49" w:rsidRDefault="00494B49">
      <w:pPr>
        <w:pStyle w:val="BNormal"/>
      </w:pPr>
      <w:r>
        <w:t>Based on Christensen, U.S. citizens who are subject to residence-based taxation in a treaty country may consider claiming a treaty-based FTC against NIIT for foreign income tax paid under an applicable provision of a treaty's three-bite rule to relieve double taxation on that item of income. Taxpayers should proceed cautiously, however, and carefully analyze the applicable treaty provisions, as different income tax treaties have different versions of the three-bite rule. There are several other U.S. tax treaties that contain a provision similar to Article 24(2)(b) of the U.S.-France tax treaty (i.e., provisions that generally grant U.S. treaty-based FTCs without an “in accordance with U.S. law” limitation to U.S. citizens residing abroad), including treaties with the United Kingdom, the Netherlands and Germany.</w:t>
      </w:r>
    </w:p>
    <w:p w14:paraId="78537332" w14:textId="77777777" w:rsidR="00494B49" w:rsidRDefault="00494B49">
      <w:pPr>
        <w:pStyle w:val="BNormal"/>
      </w:pPr>
      <w:r>
        <w:t>On December 18, 2023, the United States filed a notice of appeal against the decision of the U.S. Court of Federal Claims and therefore the IRS will likely suspend the processing of refund claims until the appeals process is complete, leaving unanswered the question of whether a FTC is available to offset NIIT under the U.S.-France income tax treaty .</w:t>
      </w:r>
    </w:p>
    <w:p w14:paraId="34774B96" w14:textId="77777777" w:rsidR="00494B49" w:rsidRDefault="00494B49">
      <w:pPr>
        <w:pStyle w:val="BNormal"/>
      </w:pPr>
      <w:r>
        <w:rPr>
          <w:i/>
        </w:rPr>
        <w:t>Practical Commentary</w:t>
      </w:r>
      <w:r>
        <w:t xml:space="preserve">: Taxpayers and their advisors should pay careful attention to NIIT exposure of U.S. citizens residing abroad. If the U.S. tax treaty with a foreign jurisdiction contains a provision similar to Article 24(2)(b), taxpayers might be able to use FTCs to offset NIIT liability. Even if a taxpayer is comfortable taking a treaty-based FTC against NIIT, there are additional practical considerations, including, primarily, that current Forms </w:t>
      </w:r>
      <w:smartTag w:uri="http://www.bna.com/sgml2word/cite" w:element="cite.fed.form">
        <w:smartTagPr>
          <w:attr w:name="ref" w:val="irs\form1040"/>
        </w:smartTagPr>
        <w:r>
          <w:t>1040</w:t>
        </w:r>
      </w:smartTag>
      <w:r>
        <w:t xml:space="preserve">, U.S. </w:t>
      </w:r>
      <w:r>
        <w:lastRenderedPageBreak/>
        <w:t xml:space="preserve">Individual Income Tax Return; </w:t>
      </w:r>
      <w:smartTag w:uri="http://www.bna.com/sgml2word/cite" w:element="cite.fed.form">
        <w:smartTagPr>
          <w:attr w:name="ref" w:val="irs\form1116"/>
        </w:smartTagPr>
        <w:r>
          <w:t>1116</w:t>
        </w:r>
      </w:smartTag>
      <w:r>
        <w:t xml:space="preserve">, Foreign Tax Credit; and </w:t>
      </w:r>
      <w:smartTag w:uri="http://www.bna.com/sgml2word/cite" w:element="cite.fed.form">
        <w:smartTagPr>
          <w:attr w:name="ref" w:val="irs\form8960"/>
        </w:smartTagPr>
        <w:r>
          <w:t>8960</w:t>
        </w:r>
      </w:smartTag>
      <w:r>
        <w:t>, Net Investment Income Tax Individuals, Estates, and Trusts, are not designed to allow a FTC against NIIT.</w:t>
      </w:r>
    </w:p>
    <w:p w14:paraId="5F9B8E3C" w14:textId="77777777" w:rsidR="00494B49" w:rsidRDefault="00494B49">
      <w:pPr>
        <w:pStyle w:val="BHead3"/>
      </w:pPr>
      <w:r>
        <w:t xml:space="preserve">c. Residency Treaty Tiebreakers </w:t>
      </w:r>
    </w:p>
    <w:p w14:paraId="6DAC7E58" w14:textId="77777777" w:rsidR="00494B49" w:rsidRDefault="00494B49">
      <w:pPr>
        <w:pStyle w:val="BHead4"/>
      </w:pPr>
      <w:r>
        <w:t>(1) General Rule — Nonresidents</w:t>
      </w:r>
    </w:p>
    <w:p w14:paraId="0D77DB0D" w14:textId="77777777" w:rsidR="00494B49" w:rsidRDefault="00494B49">
      <w:pPr>
        <w:pStyle w:val="BNormal"/>
      </w:pPr>
      <w:smartTag w:uri="http://www.bna.com/sgml2word/cite" w:element="cite.usc">
        <w:smartTagPr>
          <w:attr w:name="ref" w:val="USC\26\1411(e)(1)"/>
        </w:smartTagPr>
        <w:r>
          <w:t>Section 1411(e)(1)</w:t>
        </w:r>
      </w:smartTag>
      <w:r>
        <w:t xml:space="preserve"> provides that nonresident aliens who do not meet the definition of “resident” under </w:t>
      </w:r>
      <w:smartTag w:uri="http://www.bna.com/sgml2word/cite" w:element="cite.usc">
        <w:smartTagPr>
          <w:attr w:name="ref" w:val="USC\26\7701(b)"/>
        </w:smartTagPr>
        <w:r>
          <w:t>§7701(b)</w:t>
        </w:r>
      </w:smartTag>
      <w:r>
        <w:t xml:space="preserve"> are not subject to the tax imposed by </w:t>
      </w:r>
      <w:smartTag w:uri="http://www.bna.com/sgml2word/cite" w:element="cite.usc">
        <w:smartTagPr>
          <w:attr w:name="ref" w:val="USC\26\1411"/>
        </w:smartTagPr>
        <w:r>
          <w:t>§1411</w:t>
        </w:r>
      </w:smartTag>
      <w:r>
        <w:t>.</w:t>
      </w:r>
      <w:r>
        <w:rPr>
          <w:rStyle w:val="FootnoteReference"/>
        </w:rPr>
        <w:footnoteReference w:id="1274"/>
      </w:r>
      <w:r>
        <w:t xml:space="preserve"> Even if the nonresident alien earns effectively connected income</w:t>
      </w:r>
      <w:r>
        <w:rPr>
          <w:rStyle w:val="FootnoteReference"/>
        </w:rPr>
        <w:footnoteReference w:id="1275"/>
      </w:r>
      <w:r>
        <w:t xml:space="preserve"> or fixed and determinable annual or periodical (FDAP)</w:t>
      </w:r>
      <w:r>
        <w:rPr>
          <w:rStyle w:val="FootnoteReference"/>
        </w:rPr>
        <w:footnoteReference w:id="1276"/>
      </w:r>
      <w:r>
        <w:t xml:space="preserve"> income that would otherwise be net investment income, the income is not subject to additional withholding (in the case of FDAP) or subject to NIIT even if the nonresident alien files a Form </w:t>
      </w:r>
      <w:smartTag w:uri="http://www.bna.com/sgml2word/cite" w:element="cite.fed.form">
        <w:smartTagPr>
          <w:attr w:name="ref" w:val="irs\form1040-NR"/>
        </w:smartTagPr>
        <w:r>
          <w:t>1040-NR</w:t>
        </w:r>
      </w:smartTag>
      <w:r>
        <w:t xml:space="preserve">, </w:t>
      </w:r>
      <w:r>
        <w:rPr>
          <w:i/>
        </w:rPr>
        <w:t>U.S. Nonresident Alien Income Tax Return</w:t>
      </w:r>
      <w:r>
        <w:t>.</w:t>
      </w:r>
      <w:r>
        <w:rPr>
          <w:rStyle w:val="FootnoteReference"/>
        </w:rPr>
        <w:footnoteReference w:id="1277"/>
      </w:r>
    </w:p>
    <w:p w14:paraId="4A1B368C" w14:textId="77777777" w:rsidR="00494B49" w:rsidRDefault="00494B49">
      <w:pPr>
        <w:pStyle w:val="BNormal"/>
      </w:pPr>
      <w:r>
        <w:t>A dual-status individual who is a resident of the United States for part of the year and a nonresident alien for the other part of the year is subject to the NIIT only with respect to the portion of the year in which s/he is a U.S. resident.</w:t>
      </w:r>
      <w:r>
        <w:rPr>
          <w:rStyle w:val="FootnoteReference"/>
        </w:rPr>
        <w:footnoteReference w:id="1278"/>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1279"/>
      </w:r>
      <w:r>
        <w:t xml:space="preserve"> However, the preamble to the 2013 Final Regulations states that “[t]he Treasury Department and the IRS may reconsider this rule if taxpayers are applying it inappropriately.”</w:t>
      </w:r>
      <w:r>
        <w:rPr>
          <w:rStyle w:val="FootnoteReference"/>
        </w:rPr>
        <w:footnoteReference w:id="1280"/>
      </w:r>
    </w:p>
    <w:p w14:paraId="110874E0" w14:textId="77777777" w:rsidR="00494B49" w:rsidRDefault="00494B49">
      <w:pPr>
        <w:pStyle w:val="BHead4"/>
      </w:pPr>
      <w:r>
        <w:t xml:space="preserve">(2) General Residency Tiebreaker in Income Tax </w:t>
      </w:r>
      <w:r>
        <w:br/>
        <w:t>Treaties</w:t>
      </w:r>
    </w:p>
    <w:p w14:paraId="0C786AF4" w14:textId="77777777" w:rsidR="00494B49" w:rsidRDefault="00494B49">
      <w:pPr>
        <w:pStyle w:val="BNormal"/>
      </w:pPr>
      <w:r>
        <w:t>Many times, an individual may be treated as a tax resident of the United States and a foreign country under the domestic tax laws of each country. To avoid double taxation in those cases, an individual may resolve the residency dispute under the treaty residency tiebreaker rules. For example, under the U.S. Model Treaty, the individual applies a series of tests to the facts and circumstances to break the residency tie between the two jurisdictions.</w:t>
      </w:r>
      <w:r>
        <w:rPr>
          <w:rStyle w:val="FootnoteReference"/>
        </w:rPr>
        <w:footnoteReference w:id="1281"/>
      </w:r>
      <w:r>
        <w:t xml:space="preserve"> The tiebreaker tests are applied in the following order (as necessary):</w:t>
      </w:r>
      <w:r>
        <w:rPr>
          <w:rStyle w:val="FootnoteReference"/>
        </w:rPr>
        <w:footnoteReference w:id="1282"/>
      </w:r>
    </w:p>
    <w:p w14:paraId="02ABC140" w14:textId="77777777" w:rsidR="00494B49" w:rsidRDefault="00494B49">
      <w:pPr>
        <w:pStyle w:val="BListitemorig"/>
      </w:pPr>
      <w:r>
        <w:t xml:space="preserve">1. Location of a permanent home. </w:t>
      </w:r>
    </w:p>
    <w:p w14:paraId="122166FB" w14:textId="77777777" w:rsidR="00494B49" w:rsidRDefault="00494B49">
      <w:pPr>
        <w:pStyle w:val="BListitemorig"/>
      </w:pPr>
      <w:r>
        <w:t>2. Jurisdiction in which individual has closer personal and economic relations (center of vital interests).</w:t>
      </w:r>
    </w:p>
    <w:p w14:paraId="26785D8A" w14:textId="77777777" w:rsidR="00494B49" w:rsidRDefault="00494B49">
      <w:pPr>
        <w:pStyle w:val="BListitemorig"/>
      </w:pPr>
      <w:r>
        <w:lastRenderedPageBreak/>
        <w:t>3. Location of a habitual abode.</w:t>
      </w:r>
    </w:p>
    <w:p w14:paraId="72A94402" w14:textId="77777777" w:rsidR="00494B49" w:rsidRDefault="00494B49">
      <w:pPr>
        <w:pStyle w:val="BListitemorig"/>
      </w:pPr>
      <w:r>
        <w:t>4. Nationality.</w:t>
      </w:r>
    </w:p>
    <w:p w14:paraId="62A2E880" w14:textId="77777777" w:rsidR="00494B49" w:rsidRDefault="00494B49">
      <w:pPr>
        <w:pStyle w:val="BListitemorig"/>
      </w:pPr>
      <w:r>
        <w:t>5. Competent authority decision.</w:t>
      </w:r>
    </w:p>
    <w:p w14:paraId="1EBE665F" w14:textId="77777777" w:rsidR="00494B49" w:rsidRDefault="00494B49">
      <w:pPr>
        <w:pStyle w:val="BNormal"/>
      </w:pPr>
      <w:r>
        <w:t>Each test is applied independently. If one test does not break the residency tie, the individual applies the next test until the residency tie is broken.</w:t>
      </w:r>
    </w:p>
    <w:p w14:paraId="096A0542" w14:textId="77777777" w:rsidR="00494B49" w:rsidRDefault="00494B49">
      <w:pPr>
        <w:pStyle w:val="BNormal"/>
      </w:pPr>
      <w:r>
        <w:t>Although the statutory exemption for NIIT applies to nonresident aliens, the 2013 Final Regulations provide a specific exemption from NIIT for dual resident individuals who are treated as nonresidents under a treaty tiebreaker analysis.</w:t>
      </w:r>
      <w:r>
        <w:rPr>
          <w:rStyle w:val="FootnoteReference"/>
        </w:rPr>
        <w:footnoteReference w:id="1283"/>
      </w:r>
      <w:r>
        <w:t xml:space="preserve"> Under Reg. </w:t>
      </w:r>
      <w:smartTag w:uri="http://www.bna.com/sgml2word/cite" w:element="cite.cfr">
        <w:smartTagPr>
          <w:attr w:name="ref" w:val="cfr\26\1.1411-2(a)(2)(i)"/>
        </w:smartTagPr>
        <w:r>
          <w:t>§1.1411-2(a)(2)(i)</w:t>
        </w:r>
      </w:smartTag>
      <w:r>
        <w:t>, a dual-resident taxpayer</w:t>
      </w:r>
      <w:r>
        <w:rPr>
          <w:rStyle w:val="FootnoteReference"/>
        </w:rPr>
        <w:footnoteReference w:id="1284"/>
      </w:r>
      <w:r>
        <w:t xml:space="preserve"> who determines that s/he is a resident of a foreign country pursuant to an income tax treaty between the United States and the foreign country and who claims benefits of the treaty as a nonresident of the United States is treated as a nonresident alien of the United States for NIIT purposes.</w:t>
      </w:r>
      <w:r>
        <w:rPr>
          <w:rStyle w:val="FootnoteReference"/>
        </w:rPr>
        <w:footnoteReference w:id="1285"/>
      </w:r>
    </w:p>
    <w:p w14:paraId="4358780A" w14:textId="77777777" w:rsidR="00494B49" w:rsidRDefault="00494B49">
      <w:pPr>
        <w:pStyle w:val="BHead3"/>
      </w:pPr>
      <w:r>
        <w:t>d. Income Exclusions</w:t>
      </w:r>
    </w:p>
    <w:p w14:paraId="3401E0EA" w14:textId="77777777" w:rsidR="00494B49" w:rsidRDefault="00494B49">
      <w:pPr>
        <w:pStyle w:val="BNormal"/>
      </w:pPr>
      <w:r>
        <w:t xml:space="preserve">The definition of net investment income is broad and encompasses many types of investment income. Nevertheless, the tax is levied on income items that are </w:t>
      </w:r>
      <w:r>
        <w:rPr>
          <w:i/>
        </w:rPr>
        <w:t>included</w:t>
      </w:r>
      <w:r>
        <w:t xml:space="preserve"> only in federal gross taxable income.</w:t>
      </w:r>
      <w:r>
        <w:rPr>
          <w:rStyle w:val="FootnoteReference"/>
        </w:rPr>
        <w:footnoteReference w:id="1286"/>
      </w:r>
      <w:r>
        <w:t xml:space="preserve"> For example, any gain arising from the disposition of a principal residence that is excluded from gross income under </w:t>
      </w:r>
      <w:smartTag w:uri="http://www.bna.com/sgml2word/cite" w:element="cite.usc">
        <w:smartTagPr>
          <w:attr w:name="ref" w:val="USC\26\121"/>
        </w:smartTagPr>
        <w:r>
          <w:t>§121</w:t>
        </w:r>
      </w:smartTag>
      <w:r>
        <w:t xml:space="preserve"> is also excluded from net investment income.</w:t>
      </w:r>
      <w:r>
        <w:rPr>
          <w:rStyle w:val="FootnoteReference"/>
        </w:rPr>
        <w:footnoteReference w:id="1287"/>
      </w:r>
    </w:p>
    <w:p w14:paraId="471E3D36" w14:textId="77777777" w:rsidR="00494B49" w:rsidRDefault="00494B49">
      <w:pPr>
        <w:pStyle w:val="BNormal"/>
      </w:pPr>
      <w:r>
        <w:t>Many income tax treaties provide that certain items of income may be taxed only by the foreign contracting state. Under the saving clause of most treaties, however, the United States reserves the right to tax U.S. citizens and residents as if the tax treaty were not in effect.</w:t>
      </w:r>
      <w:r>
        <w:rPr>
          <w:rStyle w:val="FootnoteReference"/>
        </w:rPr>
        <w:footnoteReference w:id="1288"/>
      </w:r>
      <w:r>
        <w:t xml:space="preserve"> Most saving clauses contain limited exceptions stating that the United States will exclude certain items of income from gross income of U.S. citizens and residents. (i.e., gross income as defined in </w:t>
      </w:r>
      <w:smartTag w:uri="http://www.bna.com/sgml2word/cite" w:element="cite.usc">
        <w:smartTagPr>
          <w:attr w:name="ref" w:val="USC\26\61"/>
        </w:smartTagPr>
        <w:r>
          <w:t>§61</w:t>
        </w:r>
      </w:smartTag>
      <w:r>
        <w:t>). For example, under the U.S. Model Treaty, the United States will not tax a distribution from a pension arrangement established in the foreign contracting state so long as the distribution would be exempt from taxation in that foreign contracting state if the beneficial owner were a resident of the foreign contracting state.</w:t>
      </w:r>
      <w:r>
        <w:rPr>
          <w:rStyle w:val="FootnoteReference"/>
        </w:rPr>
        <w:footnoteReference w:id="1289"/>
      </w:r>
      <w:r>
        <w:t xml:space="preserve"> Items excluded from U.S. taxation under an income tax treaty would not be subject to NIIT because the NIIT only applies to items included in U.S. federal taxable income.</w:t>
      </w:r>
      <w:r>
        <w:rPr>
          <w:rStyle w:val="FootnoteReference"/>
        </w:rPr>
        <w:footnoteReference w:id="1290"/>
      </w:r>
      <w:r>
        <w:t xml:space="preserve"> Thus, if a taxpayer relies on a treaty to exclude an item of income from gross income, and the taxpayer is not otherwise subject to the saving clause of that treaty, the income is excluded from net investment income — and from the taxpayer’s MAGI.</w:t>
      </w:r>
    </w:p>
    <w:p w14:paraId="6E1F100A" w14:textId="77777777" w:rsidR="00494B49" w:rsidRDefault="00494B49">
      <w:pPr>
        <w:pStyle w:val="BNormal"/>
      </w:pPr>
      <w:r>
        <w:t xml:space="preserve">Of course, the same is true with respect to deductions, although there is no citable reference in the regulations for this conclusion. Under the general interpretation of </w:t>
      </w:r>
      <w:smartTag w:uri="http://www.bna.com/sgml2word/cite" w:element="cite.usc">
        <w:smartTagPr>
          <w:attr w:name="ref" w:val="USC\26\1411(c)(1)(B)"/>
        </w:smartTagPr>
        <w:r>
          <w:t>§1411(c)(1)(B)</w:t>
        </w:r>
      </w:smartTag>
      <w:r>
        <w:t xml:space="preserve"> embodied in Reg. </w:t>
      </w:r>
      <w:smartTag w:uri="http://www.bna.com/sgml2word/cite" w:element="cite.cfr">
        <w:smartTagPr>
          <w:attr w:name="ref" w:val="cfr\26\1.1411-4(f)(1)"/>
        </w:smartTagPr>
        <w:r>
          <w:t>§1.1411-4(f)(1)</w:t>
        </w:r>
      </w:smartTag>
      <w:r>
        <w:t xml:space="preserve">, for deductions to be properly allocable to net investment income, they </w:t>
      </w:r>
      <w:r>
        <w:lastRenderedPageBreak/>
        <w:t>must be deductions allowable by some provision of Subtitle A of the Code and specifically identified in the regulations. To the extent a treaty provision excludes a deduction from the computation of a taxpayer’s regular taxable income, it follows that the excluded deduction item would also be excluded from the computation of net investment income.</w:t>
      </w:r>
      <w:r>
        <w:rPr>
          <w:rStyle w:val="FootnoteReference"/>
        </w:rPr>
        <w:footnoteReference w:id="1291"/>
      </w:r>
    </w:p>
    <w:p w14:paraId="38B73E27" w14:textId="77777777" w:rsidR="00494B49" w:rsidRDefault="00494B49">
      <w:pPr>
        <w:pStyle w:val="BHead2"/>
      </w:pPr>
      <w:r>
        <w:t>2. Totalization Agreements</w:t>
      </w:r>
    </w:p>
    <w:p w14:paraId="68D83502" w14:textId="77777777" w:rsidR="00494B49" w:rsidRDefault="00494B49">
      <w:pPr>
        <w:pStyle w:val="BNormal"/>
      </w:pPr>
      <w:r>
        <w:t>Some practitioners have suggested that U.S. Totalization Agreements may be used to relieve taxpayers from the NIIT.</w:t>
      </w:r>
      <w:r>
        <w:rPr>
          <w:rStyle w:val="FootnoteReference"/>
        </w:rPr>
        <w:footnoteReference w:id="1292"/>
      </w:r>
      <w:r>
        <w:t xml:space="preserve"> However, neither the preamble to the 2012 Proposed Regulations, the preamble to the 2013 Final Regulations, nor the regulation text in the 2013 Final Regulations, makes any mention of the applicability of Totalization Agreements to the tax imposed by </w:t>
      </w:r>
      <w:smartTag w:uri="http://www.bna.com/sgml2word/cite" w:element="cite.usc">
        <w:smartTagPr>
          <w:attr w:name="ref" w:val="USC\26\1411"/>
        </w:smartTagPr>
        <w:r>
          <w:t>§1411</w:t>
        </w:r>
      </w:smartTag>
      <w:r>
        <w:t xml:space="preserve">. Similarly, the </w:t>
      </w:r>
      <w:hyperlink r:id="rId24" w:history="1">
        <w:r>
          <w:rPr>
            <w:rStyle w:val="Hyperlink"/>
          </w:rPr>
          <w:t>Instructions for Form 8960</w:t>
        </w:r>
      </w:hyperlink>
      <w:r>
        <w:t xml:space="preserve">, </w:t>
      </w:r>
      <w:r>
        <w:rPr>
          <w:i/>
        </w:rPr>
        <w:t>Net Investment Income Tax — Individuals, Estates, and Trusts</w:t>
      </w:r>
      <w:r>
        <w:t xml:space="preserve">, and the frequently asked questions on the IRS website are silent on the issue. Curious minds, or conspiracy theorists, may have several explanations: (1) the IRS has not considered it yet; (2) the IRS knows that Totalization Agreements apply to </w:t>
      </w:r>
      <w:smartTag w:uri="http://www.bna.com/sgml2word/cite" w:element="cite.usc">
        <w:smartTagPr>
          <w:attr w:name="ref" w:val="USC\26\1411"/>
        </w:smartTagPr>
        <w:r>
          <w:t>§1411</w:t>
        </w:r>
      </w:smartTag>
      <w:r>
        <w:t xml:space="preserve"> (and thus eliminate the tax), but is remaining silent hoping taxpayers do not bring it up; or (3) it is so clear that Totalization Agreements do not apply to </w:t>
      </w:r>
      <w:smartTag w:uri="http://www.bna.com/sgml2word/cite" w:element="cite.usc">
        <w:smartTagPr>
          <w:attr w:name="ref" w:val="USC\26\1411"/>
        </w:smartTagPr>
        <w:r>
          <w:t>§1411</w:t>
        </w:r>
      </w:smartTag>
      <w:r>
        <w:t xml:space="preserve"> that the IRS does not need to state the obvious.</w:t>
      </w:r>
    </w:p>
    <w:p w14:paraId="49767B92" w14:textId="77777777" w:rsidR="00494B49" w:rsidRDefault="00494B49">
      <w:pPr>
        <w:pStyle w:val="BNormal"/>
      </w:pPr>
      <w:r>
        <w:t xml:space="preserve">The author of this Portfolio believes that Totalization Agreements do not apply to </w:t>
      </w:r>
      <w:smartTag w:uri="http://www.bna.com/sgml2word/cite" w:element="cite.usc">
        <w:smartTagPr>
          <w:attr w:name="ref" w:val="USC\26\1411"/>
        </w:smartTagPr>
        <w:r>
          <w:t>§1411</w:t>
        </w:r>
      </w:smartTag>
      <w:r>
        <w:t>. As a result, a Totalization Agreement cannot shield a cross-border individual from the NIIT. Regardless of what the “right” or “wrong” tax policy answer is, or should be, the conclusion is solely mechanical. Even if the conclusion is “wrong” from a tax policy or theoretical perspective, it is most likely that a statutory amendment is required to remedy this issue.</w:t>
      </w:r>
    </w:p>
    <w:p w14:paraId="616F74D1" w14:textId="77777777" w:rsidR="00494B49" w:rsidRDefault="00494B49">
      <w:pPr>
        <w:pStyle w:val="BHead3"/>
      </w:pPr>
      <w:r>
        <w:t>a. Overview</w:t>
      </w:r>
    </w:p>
    <w:p w14:paraId="0BE15B88" w14:textId="77777777" w:rsidR="00494B49" w:rsidRDefault="00494B49">
      <w:pPr>
        <w:pStyle w:val="BNormal"/>
      </w:pPr>
      <w:r>
        <w:t>Employees performing services for a U.S.-based employer in the United States, as well as U.S. citizens or resident aliens employed outside the United States by an American employer,</w:t>
      </w:r>
      <w:r>
        <w:rPr>
          <w:rStyle w:val="FootnoteReference"/>
        </w:rPr>
        <w:footnoteReference w:id="1293"/>
      </w:r>
      <w:r>
        <w:t xml:space="preserve"> are subject to U.S. social security and Medicare taxes on earned income.</w:t>
      </w:r>
      <w:r>
        <w:rPr>
          <w:rStyle w:val="FootnoteReference"/>
        </w:rPr>
        <w:footnoteReference w:id="1294"/>
      </w:r>
      <w:r>
        <w:t xml:space="preserve"> The Federal Insurance Contributions Act (FICA) and Self-Employed Contributions Act (SECA) provide for a federal system of old-age, survivors, disability, and hospital insurance. The old-age, survivors, and disability insurance part is financed by the social security tax. The hospital insurance part is financed by the Medicare tax.</w:t>
      </w:r>
    </w:p>
    <w:p w14:paraId="5F812F92" w14:textId="77777777" w:rsidR="00494B49" w:rsidRDefault="00494B49">
      <w:pPr>
        <w:pStyle w:val="BNormal"/>
      </w:pPr>
      <w:r>
        <w:t xml:space="preserve">A U.S. citizen or resident alien employed by a foreign employer may be subject to social security tax and Medicare tax on compensation allocable to the employee’s days worked in the United States. Sometimes, a foreign country may also assess social tax on the employee’s compensation, which creates two separate risks to the employee: (1) double social taxation, and (2) potential loss of benefits. The first risk arises because the employee may be liable for social tax on the same income in both the United States and the foreign country. The second risk arises because </w:t>
      </w:r>
      <w:r>
        <w:lastRenderedPageBreak/>
        <w:t>the employee may not meet the U.S.’s or foreign country’s minimum days worked in each country to merit future benefit payments at retirement. Therefore, all or a portion of the employee and employer premiums may be lost.</w:t>
      </w:r>
    </w:p>
    <w:p w14:paraId="7A0AD298" w14:textId="77777777" w:rsidR="00494B49" w:rsidRDefault="00494B49">
      <w:pPr>
        <w:pStyle w:val="BNormal"/>
      </w:pPr>
      <w:r>
        <w:t>The United States entered into bilateral, international social security agreements, known as Totalization Agreements, with many foreign (mostly European) countries to mitigate the risk of double social taxation and potential lapses in benefits. Totalization Agreements generally cover social security taxes (including the U.S. Medicare portion) only;</w:t>
      </w:r>
      <w:r>
        <w:rPr>
          <w:rStyle w:val="FootnoteReference"/>
        </w:rPr>
        <w:footnoteReference w:id="1295"/>
      </w:r>
      <w:r>
        <w:t xml:space="preserve"> they do not cover income taxes paid under Subtitle A of the Code. A primary purpose of the agreements is to total an employee’s benefits earned across jurisdictions; an employee who did not work a sufficient period to accumulate benefits based on the host country’s domestic rules receives credit for time worked in one or both countries. For example, the United States will increase benefits paid to a U.S. citizen in the event that the combination of benefits paid by the United States and foreign country is less than the amount of benefits that would have been paid if the individual had been working in the United States the entire time.</w:t>
      </w:r>
      <w:r>
        <w:rPr>
          <w:rStyle w:val="FootnoteReference"/>
        </w:rPr>
        <w:footnoteReference w:id="1296"/>
      </w:r>
    </w:p>
    <w:p w14:paraId="0C3E1A44" w14:textId="77777777" w:rsidR="00494B49" w:rsidRDefault="00494B49">
      <w:pPr>
        <w:pStyle w:val="BNormal"/>
      </w:pPr>
      <w:r>
        <w:t>Another important feature of Totalization Agreements is relief from dual taxation when a worker from one country works in another country and is required to pay social security taxes to both countries on the same earnings. Generally, our Totalization Agreements stipulate rules to allocate tax jurisdiction in the event both countries tax earnings under their domestic social tax legislations. In the United States, SECA tax</w:t>
      </w:r>
      <w:r>
        <w:rPr>
          <w:rStyle w:val="FootnoteReference"/>
        </w:rPr>
        <w:footnoteReference w:id="1297"/>
      </w:r>
      <w:r>
        <w:t xml:space="preserve"> and FICA contributions</w:t>
      </w:r>
      <w:r>
        <w:rPr>
          <w:rStyle w:val="FootnoteReference"/>
        </w:rPr>
        <w:footnoteReference w:id="1298"/>
      </w:r>
      <w:r>
        <w:t xml:space="preserve"> are suspended on income earned after the initiation of a Totalization Agreement if the agreement assigns social tax jurisdiction to the foreign contracting country. </w:t>
      </w:r>
    </w:p>
    <w:p w14:paraId="45825EB8" w14:textId="77777777" w:rsidR="00494B49" w:rsidRDefault="00494B49">
      <w:pPr>
        <w:pStyle w:val="BNormal"/>
      </w:pPr>
      <w:r>
        <w:t>Would these Totalization Agreements exempt a United States person from the NIIT? This author does not believe so. As previously stated, Totalization Agreements cover social security taxes (including the U.S. Medicare portion) only. Specifically, Totalization Agreements cover taxes established by Title II of the Social Security Act.</w:t>
      </w:r>
      <w:r>
        <w:rPr>
          <w:rStyle w:val="FootnoteReference"/>
        </w:rPr>
        <w:footnoteReference w:id="1299"/>
      </w:r>
      <w:r>
        <w:t xml:space="preserve"> The NIIT, however, was enacted under Title 26 of the United States Code (i.e., the Internal Revenue Code). Furthermore, unlike a Totalization Agreement, there is no provision within </w:t>
      </w:r>
      <w:smartTag w:uri="http://www.bna.com/sgml2word/cite" w:element="cite.usc">
        <w:smartTagPr>
          <w:attr w:name="ref" w:val="USC\26\1411"/>
        </w:smartTagPr>
        <w:r>
          <w:t>§1411</w:t>
        </w:r>
      </w:smartTag>
      <w:r>
        <w:t xml:space="preserve"> that mechanically suspends NIIT in the event that an individual pays social taxes to a foreign country.</w:t>
      </w:r>
      <w:r>
        <w:rPr>
          <w:rStyle w:val="FootnoteReference"/>
        </w:rPr>
        <w:footnoteReference w:id="1300"/>
      </w:r>
      <w:r>
        <w:t xml:space="preserve"> Thus, a U.S. taxpayer may not rely on a Totalization Agreement to relieve him or her from paying the NIIT, even if the taxpayer is not liable for U.S. social security (or Medicare taxes) under a Totalization Agreement.</w:t>
      </w:r>
      <w:r>
        <w:rPr>
          <w:rStyle w:val="FootnoteReference"/>
        </w:rPr>
        <w:footnoteReference w:id="1301"/>
      </w:r>
      <w:r>
        <w:t xml:space="preserve"> In this author’s opinion, the only way for a Totalization Agreement to apply to </w:t>
      </w:r>
      <w:r>
        <w:lastRenderedPageBreak/>
        <w:t xml:space="preserve">NIIT would be via a statutory amendment to </w:t>
      </w:r>
      <w:smartTag w:uri="http://www.bna.com/sgml2word/cite" w:element="cite.usc">
        <w:smartTagPr>
          <w:attr w:name="ref" w:val="USC\26\1411"/>
        </w:smartTagPr>
        <w:r>
          <w:t>§1411</w:t>
        </w:r>
      </w:smartTag>
      <w:r>
        <w:t xml:space="preserve"> to add a provision functionally similar to </w:t>
      </w:r>
      <w:smartTag w:uri="http://www.bna.com/sgml2word/cite" w:element="cite.usc">
        <w:smartTagPr>
          <w:attr w:name="ref" w:val="USC\26\1401(c)"/>
        </w:smartTagPr>
        <w:r>
          <w:t>§1401(c)</w:t>
        </w:r>
      </w:smartTag>
      <w:r>
        <w:t>.</w:t>
      </w:r>
      <w:r>
        <w:rPr>
          <w:rStyle w:val="FootnoteReference"/>
        </w:rPr>
        <w:footnoteReference w:id="1302"/>
      </w:r>
    </w:p>
    <w:p w14:paraId="3578A5A4" w14:textId="77777777" w:rsidR="00494B49" w:rsidRDefault="00494B49">
      <w:pPr>
        <w:pStyle w:val="BHead3"/>
      </w:pPr>
      <w:r>
        <w:t>b. Medicare Tax?</w:t>
      </w:r>
    </w:p>
    <w:p w14:paraId="70775486" w14:textId="77777777" w:rsidR="00494B49" w:rsidRDefault="00494B49">
      <w:pPr>
        <w:pStyle w:val="BNormal"/>
      </w:pPr>
      <w:r>
        <w:t xml:space="preserve">Setting aside the structural/technical/mechanical arguments that Totalization Agreements do not appear to cover the NIIT, there would seem to be a compelling tax policy reason for Totalization Agreements to cover the NIIT if the NIIT is a social insurance-type tax that is fundamentally equivalent to the Medicare tax imposed on individuals under </w:t>
      </w:r>
      <w:smartTag w:uri="http://www.bna.com/sgml2word/cite" w:element="cite.usc">
        <w:smartTagPr>
          <w:attr w:name="ref" w:val="USC\26\1401"/>
        </w:smartTagPr>
        <w:r>
          <w:t>§1401</w:t>
        </w:r>
      </w:smartTag>
      <w:r>
        <w:t xml:space="preserve"> and </w:t>
      </w:r>
      <w:smartTag w:uri="http://www.bna.com/sgml2word/cite" w:element="cite.usc">
        <w:smartTagPr>
          <w:attr w:name="ref" w:val="USC\26\3101"/>
        </w:smartTagPr>
        <w:r>
          <w:t>§3101</w:t>
        </w:r>
      </w:smartTag>
      <w:r>
        <w:t>. But are they equivalent?</w:t>
      </w:r>
    </w:p>
    <w:p w14:paraId="2CF2919E" w14:textId="77777777" w:rsidR="00494B49" w:rsidRDefault="00494B49">
      <w:pPr>
        <w:pStyle w:val="BHead4"/>
      </w:pPr>
      <w:r>
        <w:t>(1) Revenue Not Included in Medicare Trust Fund</w:t>
      </w:r>
    </w:p>
    <w:p w14:paraId="70C91477" w14:textId="77777777" w:rsidR="00494B49" w:rsidRDefault="00494B49">
      <w:pPr>
        <w:pStyle w:val="BNormal"/>
      </w:pPr>
      <w:r>
        <w:t>Although Chapter 2A of Subtitle A (Income Taxes) of the Code is titled “Unearned Income Medicare Contribution,” amounts collected under the NIIT are not designated for the Medicare Trust Fund. In 2011, the Joint Committee on Taxation stated that “[i]n the case of an individual, estate, or trust an unearned income Medicare contribution tax is imposed. No provision is made for the transfer of the tax imposed by this provision from the General Fund of the United States Treasury to any Trust Fund.”</w:t>
      </w:r>
      <w:r>
        <w:rPr>
          <w:rStyle w:val="FootnoteReference"/>
        </w:rPr>
        <w:footnoteReference w:id="1303"/>
      </w:r>
    </w:p>
    <w:p w14:paraId="6D2310AA" w14:textId="77777777" w:rsidR="00494B49" w:rsidRDefault="00494B49">
      <w:pPr>
        <w:pStyle w:val="BNormal"/>
      </w:pPr>
      <w:r>
        <w:t xml:space="preserve">However, that was not always the case. Section 1402 of a March 18, 2010 version of H.R. 4872 titled “Health Care and Education Affordability Reconciliation Act of 2010’’ directed 100% of the revenue from </w:t>
      </w:r>
      <w:smartTag w:uri="http://www.bna.com/sgml2word/cite" w:element="cite.usc">
        <w:smartTagPr>
          <w:attr w:name="ref" w:val="USC\26\1411"/>
        </w:smartTagPr>
        <w:r>
          <w:t>§1411</w:t>
        </w:r>
      </w:smartTag>
      <w:r>
        <w:t xml:space="preserve"> to the Federal Supplementary Medical Insurance Trust Fund. H.R. 4872 §1402(b), which added the additional 0.9% Medicare tax to what is now </w:t>
      </w:r>
      <w:smartTag w:uri="http://www.bna.com/sgml2word/cite" w:element="cite.pl">
        <w:smartTagPr>
          <w:attr w:name="ref" w:val="pl\111-148\9015"/>
        </w:smartTagPr>
        <w:r>
          <w:t>§9015 of the Patient Protection and Affordable Care Act</w:t>
        </w:r>
      </w:smartTag>
      <w:r>
        <w:t>,</w:t>
      </w:r>
      <w:r>
        <w:rPr>
          <w:rStyle w:val="FootnoteReference"/>
        </w:rPr>
        <w:footnoteReference w:id="1304"/>
      </w:r>
      <w:r>
        <w:t xml:space="preserve"> did not need a similar provision, because the additional 0.9% Medicare tax increase was appended to the existing FICA and SECA systems, which already contained the necessary revenue-directing language. Thus, if revenue from the NIIT is designated for the General Fund of the Treasury and not the Medicare Trust Fund, the NIIT is not a Medicare tax, unlike the additional 0.9% Medicare tax increase under the Patient Protection and Affordable Care Act.</w:t>
      </w:r>
    </w:p>
    <w:p w14:paraId="75433846" w14:textId="77777777" w:rsidR="00494B49" w:rsidRDefault="00494B49">
      <w:pPr>
        <w:pStyle w:val="BHead4"/>
      </w:pPr>
      <w:r>
        <w:t xml:space="preserve">(2) Analysis of Reading Title of Chapter 2A Into </w:t>
      </w:r>
      <w:r>
        <w:br/>
        <w:t>Statute</w:t>
      </w:r>
    </w:p>
    <w:p w14:paraId="2ED2D2A3" w14:textId="77777777" w:rsidR="00494B49" w:rsidRDefault="00494B49">
      <w:pPr>
        <w:pStyle w:val="BNormal"/>
      </w:pPr>
      <w:r>
        <w:t>When examining a title or heading, the rules of statutory construction must be considered. “It has long been established that the title of an Act ‘cannot enlarge or confer powers’” set forth within a statute.</w:t>
      </w:r>
      <w:r>
        <w:rPr>
          <w:rStyle w:val="FootnoteReference"/>
        </w:rPr>
        <w:footnoteReference w:id="1305"/>
      </w:r>
      <w:r>
        <w:t xml:space="preserve"> However, “the title of a statute or section can aid in resolving an ambiguity in the </w:t>
      </w:r>
      <w:r>
        <w:lastRenderedPageBreak/>
        <w:t>legislation’s text.”</w:t>
      </w:r>
      <w:r>
        <w:rPr>
          <w:rStyle w:val="FootnoteReference"/>
        </w:rPr>
        <w:footnoteReference w:id="1306"/>
      </w:r>
      <w:r>
        <w:t xml:space="preserve"> In the seminal case of </w:t>
      </w:r>
      <w:r>
        <w:rPr>
          <w:rStyle w:val="BCasenamefull"/>
        </w:rPr>
        <w:t>United States v. Fisher</w:t>
      </w:r>
      <w:r>
        <w:t>,</w:t>
      </w:r>
      <w:r>
        <w:rPr>
          <w:rStyle w:val="FootnoteReference"/>
        </w:rPr>
        <w:footnoteReference w:id="1307"/>
      </w:r>
      <w:r>
        <w:t xml:space="preserve"> Chief Justice Marshall noted that “[w]here the mind labors to discover the design of the legislature, it seizes everything from which aid can be derived, and in such case the title claims a degree of notice and will have its due share of consideration.”</w:t>
      </w:r>
      <w:r>
        <w:rPr>
          <w:rStyle w:val="FootnoteReference"/>
        </w:rPr>
        <w:footnoteReference w:id="1308"/>
      </w:r>
      <w:r>
        <w:t xml:space="preserve"> However, the title of an act or heading of a statute is only “a shorthand reference to the general subject matter involved … [and] not meant to take the place of the detailed provisions of the text.”</w:t>
      </w:r>
      <w:r>
        <w:rPr>
          <w:rStyle w:val="FootnoteReference"/>
        </w:rPr>
        <w:footnoteReference w:id="1309"/>
      </w:r>
      <w:r>
        <w:t xml:space="preserve"> Thus, although a title or heading may assist in construing the meaning of an ambiguous statute, it “cannot limit the plain meaning of the text.”</w:t>
      </w:r>
      <w:r>
        <w:rPr>
          <w:rStyle w:val="FootnoteReference"/>
        </w:rPr>
        <w:footnoteReference w:id="1310"/>
      </w:r>
    </w:p>
    <w:p w14:paraId="68E77EC5" w14:textId="77777777" w:rsidR="00494B49" w:rsidRDefault="00494B49">
      <w:pPr>
        <w:pStyle w:val="BNormal"/>
      </w:pPr>
      <w:r>
        <w:t xml:space="preserve">Even though Chapter 2A is titled “Unearned Income Medicare Contribution,” the NIIT is not a Medicare tax. According to the rules of statutory construction, the shorthand title “Unearned Income Medicare Contribution” would not be used to expand the meaning of the operative, more detailed language of </w:t>
      </w:r>
      <w:smartTag w:uri="http://www.bna.com/sgml2word/cite" w:element="cite.usc">
        <w:smartTagPr>
          <w:attr w:name="ref" w:val="USC\26\1411"/>
        </w:smartTagPr>
        <w:r>
          <w:t>§1411</w:t>
        </w:r>
      </w:smartTag>
      <w:r>
        <w:t>. Ultimately, because the NIIT is not a Medicare tax or a social security tax, the author of this Portfolio does not believe that taxpayers may rely on a Totalization Agreement for relief from liability under the NIIT.</w:t>
      </w:r>
    </w:p>
    <w:p w14:paraId="13F73751" w14:textId="77777777" w:rsidR="00494B49" w:rsidRDefault="00494B49">
      <w:pPr>
        <w:pStyle w:val="BHead3"/>
      </w:pPr>
      <w:r>
        <w:t>c. Green Book Proposal</w:t>
      </w:r>
    </w:p>
    <w:p w14:paraId="0E11D98C" w14:textId="77777777" w:rsidR="00494B49" w:rsidRDefault="00494B49">
      <w:pPr>
        <w:pStyle w:val="BNormal"/>
      </w:pPr>
      <w:r>
        <w:t>In May 2021, Treasury's Green Book included a proposal that “Rationalizes Net Investment Income and Self Employment Contributions Act (SECA) taxes.” As part of that proposal, the Administration recommended that all of the revenue from the NIIT (raised under current law and to be raised by the proposed expansion) would be directed to the Hospital Insurance Trust Fund, consistent with revenue from the 3.8% tax under FICA and SECA.</w:t>
      </w:r>
    </w:p>
    <w:p w14:paraId="5DD38F66" w14:textId="77777777" w:rsidR="00494B49" w:rsidRDefault="00494B49">
      <w:pPr>
        <w:pStyle w:val="BNormal"/>
      </w:pPr>
      <w:r>
        <w:t>This proposal would actually be beneficial to cross-border taxpayers, especially U.S. citizens or residents living outside the United States like Catherine Toulouse, whose NIIT would presumably be covered by Totalization Agreements once it is designed as a social insurance-type tax.</w:t>
      </w:r>
      <w:r>
        <w:rPr>
          <w:rStyle w:val="FootnoteReference"/>
        </w:rPr>
        <w:footnoteReference w:id="1311"/>
      </w:r>
      <w:r>
        <w:t xml:space="preserve"> Presumably, this proposed change would also come with language similar to that in the self-employment-tax regime found in </w:t>
      </w:r>
      <w:smartTag w:uri="http://www.bna.com/sgml2word/cite" w:element="cite.usc">
        <w:smartTagPr>
          <w:attr w:name="ref" w:val="USC\26\1401(c)"/>
        </w:smartTagPr>
        <w:r>
          <w:t>§1401(c)</w:t>
        </w:r>
      </w:smartTag>
      <w:r>
        <w:t>. Although fewer countries are covered by Totalization Agreements than by income tax treaties, this might be the only viable option to remedy the NIIT result in this case for U.S. citizens or residents living outside the United States like Catherine Toulouse.</w:t>
      </w:r>
    </w:p>
    <w:p w14:paraId="18311718" w14:textId="77777777" w:rsidR="00494B49" w:rsidRDefault="00494B49">
      <w:pPr>
        <w:pStyle w:val="BNormal"/>
      </w:pPr>
      <w:r>
        <w:t xml:space="preserve">However, until statutory language similar to </w:t>
      </w:r>
      <w:smartTag w:uri="http://www.bna.com/sgml2word/cite" w:element="cite.usc">
        <w:smartTagPr>
          <w:attr w:name="ref" w:val="USC\26\1401(c)"/>
        </w:smartTagPr>
        <w:r>
          <w:t>§1401(c)</w:t>
        </w:r>
      </w:smartTag>
      <w:r>
        <w:t xml:space="preserve"> is included in </w:t>
      </w:r>
      <w:smartTag w:uri="http://www.bna.com/sgml2word/cite" w:element="cite.usc">
        <w:smartTagPr>
          <w:attr w:name="ref" w:val="USC\26\1411"/>
        </w:smartTagPr>
        <w:r>
          <w:t>§1411</w:t>
        </w:r>
      </w:smartTag>
      <w:r>
        <w:t xml:space="preserve">, it is highly likely that any Totalization Agreement argument will meet a similar fate to the treaty argument advanced in </w:t>
      </w:r>
      <w:r>
        <w:rPr>
          <w:rStyle w:val="BCasenamefull"/>
        </w:rPr>
        <w:t>Toulouse v. Commissioner</w:t>
      </w:r>
      <w:r>
        <w:t xml:space="preserve">. </w:t>
      </w:r>
    </w:p>
    <w:p w14:paraId="2E4FC1CC" w14:textId="77777777" w:rsidR="00494B49" w:rsidRDefault="00494B49">
      <w:r>
        <w:br w:type="page"/>
      </w:r>
    </w:p>
    <w:p w14:paraId="44CA6CED" w14:textId="77777777" w:rsidR="00494B49" w:rsidRDefault="00494B49" w:rsidP="00F45B2B">
      <w:pPr>
        <w:pStyle w:val="BChapterName"/>
      </w:pPr>
      <w:r>
        <w:lastRenderedPageBreak/>
        <w:t>Table of Worksheets</w:t>
      </w:r>
    </w:p>
    <w:tbl>
      <w:tblPr>
        <w:tblStyle w:val="TableGrid"/>
        <w:tblW w:w="0" w:type="auto"/>
        <w:tblLook w:val="04A0" w:firstRow="1" w:lastRow="0" w:firstColumn="1" w:lastColumn="0" w:noHBand="0" w:noVBand="1"/>
      </w:tblPr>
      <w:tblGrid>
        <w:gridCol w:w="2273"/>
        <w:gridCol w:w="2304"/>
        <w:gridCol w:w="2374"/>
        <w:gridCol w:w="2399"/>
      </w:tblGrid>
      <w:tr w:rsidR="00494B49" w14:paraId="4C3372F6" w14:textId="77777777">
        <w:tc>
          <w:tcPr>
            <w:tcW w:w="2520" w:type="dxa"/>
          </w:tcPr>
          <w:p w14:paraId="24C19452" w14:textId="77777777" w:rsidR="00494B49" w:rsidRDefault="00494B49"/>
        </w:tc>
        <w:tc>
          <w:tcPr>
            <w:tcW w:w="2520" w:type="dxa"/>
          </w:tcPr>
          <w:p w14:paraId="3163C78F" w14:textId="77777777" w:rsidR="00494B49" w:rsidRDefault="00494B49">
            <w:r>
              <w:t xml:space="preserve"> B-101</w:t>
            </w:r>
          </w:p>
        </w:tc>
        <w:tc>
          <w:tcPr>
            <w:tcW w:w="2520" w:type="dxa"/>
          </w:tcPr>
          <w:p w14:paraId="5BEB9483" w14:textId="77777777" w:rsidR="00494B49" w:rsidRDefault="00494B49">
            <w:smartTag w:uri="http://www.bna.com/sgml2word/cite" w:element="cite.bna.reference">
              <w:smartTagPr>
                <w:attr w:name="bna.id.ref" w:val="TM\511\wks1"/>
              </w:smartTagPr>
              <w:r>
                <w:t>Worksheet 1</w:t>
              </w:r>
            </w:smartTag>
            <w:smartTag w:uri="http://www.bna.com/sgml2word/cite" w:element="cite.bna.reference">
              <w:smartTagPr>
                <w:attr w:name="bna.id.ref" w:val="TM\873\wks1"/>
              </w:smartTagPr>
              <w:r>
                <w:t>Worksheet 1</w:t>
              </w:r>
            </w:smartTag>
          </w:p>
        </w:tc>
        <w:tc>
          <w:tcPr>
            <w:tcW w:w="2520" w:type="dxa"/>
          </w:tcPr>
          <w:p w14:paraId="77AD3E14" w14:textId="77777777" w:rsidR="00494B49" w:rsidRDefault="00494B49">
            <w:r>
              <w:t xml:space="preserve"> Table of Federal Tax Credits Creditable Against NIIT.</w:t>
            </w:r>
          </w:p>
        </w:tc>
      </w:tr>
      <w:tr w:rsidR="00494B49" w14:paraId="7084EAFC" w14:textId="77777777">
        <w:tc>
          <w:tcPr>
            <w:tcW w:w="2520" w:type="dxa"/>
          </w:tcPr>
          <w:p w14:paraId="6CCE1E35" w14:textId="77777777" w:rsidR="00494B49" w:rsidRDefault="00494B49"/>
        </w:tc>
        <w:tc>
          <w:tcPr>
            <w:tcW w:w="2520" w:type="dxa"/>
          </w:tcPr>
          <w:p w14:paraId="3A69C519" w14:textId="77777777" w:rsidR="00494B49" w:rsidRDefault="00494B49">
            <w:r>
              <w:t xml:space="preserve"> B-201</w:t>
            </w:r>
          </w:p>
        </w:tc>
        <w:tc>
          <w:tcPr>
            <w:tcW w:w="2520" w:type="dxa"/>
          </w:tcPr>
          <w:p w14:paraId="06BB3504" w14:textId="77777777" w:rsidR="00494B49" w:rsidRDefault="00494B49">
            <w:smartTag w:uri="http://www.bna.com/sgml2word/cite" w:element="cite.bna.reference">
              <w:smartTagPr>
                <w:attr w:name="bna.id.ref" w:val="TM\511\wks2"/>
              </w:smartTagPr>
              <w:r>
                <w:t>Worksheet 2</w:t>
              </w:r>
            </w:smartTag>
            <w:smartTag w:uri="http://www.bna.com/sgml2word/cite" w:element="cite.bna.reference">
              <w:smartTagPr>
                <w:attr w:name="bna.id.ref" w:val="TM\873\wks2"/>
              </w:smartTagPr>
              <w:r>
                <w:t>Worksheet 2</w:t>
              </w:r>
            </w:smartTag>
          </w:p>
        </w:tc>
        <w:tc>
          <w:tcPr>
            <w:tcW w:w="2520" w:type="dxa"/>
          </w:tcPr>
          <w:p w14:paraId="56ED8144" w14:textId="77777777" w:rsidR="00494B49" w:rsidRDefault="00494B49">
            <w:r>
              <w:t xml:space="preserve"> Comparison of Self-Charged Rents, Self-Charged Interest, and Self-Charged Royalties.</w:t>
            </w:r>
          </w:p>
        </w:tc>
      </w:tr>
      <w:tr w:rsidR="00494B49" w14:paraId="504A6A62" w14:textId="77777777">
        <w:tc>
          <w:tcPr>
            <w:tcW w:w="2520" w:type="dxa"/>
          </w:tcPr>
          <w:p w14:paraId="3637CB38" w14:textId="77777777" w:rsidR="00494B49" w:rsidRDefault="00494B49"/>
        </w:tc>
        <w:tc>
          <w:tcPr>
            <w:tcW w:w="2520" w:type="dxa"/>
          </w:tcPr>
          <w:p w14:paraId="157BFEFC" w14:textId="77777777" w:rsidR="00494B49" w:rsidRDefault="00494B49">
            <w:r>
              <w:t xml:space="preserve"> B-301</w:t>
            </w:r>
          </w:p>
        </w:tc>
        <w:tc>
          <w:tcPr>
            <w:tcW w:w="2520" w:type="dxa"/>
          </w:tcPr>
          <w:p w14:paraId="50F1C2A4" w14:textId="77777777" w:rsidR="00494B49" w:rsidRDefault="00494B49">
            <w:smartTag w:uri="http://www.bna.com/sgml2word/cite" w:element="cite.bna.reference">
              <w:smartTagPr>
                <w:attr w:name="bna.id.ref" w:val="TM\511\wks3"/>
              </w:smartTagPr>
              <w:r>
                <w:t>Worksheet 3</w:t>
              </w:r>
            </w:smartTag>
            <w:smartTag w:uri="http://www.bna.com/sgml2word/cite" w:element="cite.bna.reference">
              <w:smartTagPr>
                <w:attr w:name="bna.id.ref" w:val="TM\873\wks3"/>
              </w:smartTagPr>
              <w:r>
                <w:t>Worksheet 3</w:t>
              </w:r>
            </w:smartTag>
          </w:p>
        </w:tc>
        <w:tc>
          <w:tcPr>
            <w:tcW w:w="2520" w:type="dxa"/>
          </w:tcPr>
          <w:p w14:paraId="65C4F726" w14:textId="77777777" w:rsidR="00494B49" w:rsidRDefault="00494B49">
            <w:r>
              <w:t xml:space="preserve"> Section 469/Section 1411 Interaction Charts.</w:t>
            </w:r>
          </w:p>
        </w:tc>
      </w:tr>
      <w:tr w:rsidR="00494B49" w14:paraId="0DB13222" w14:textId="77777777">
        <w:tc>
          <w:tcPr>
            <w:tcW w:w="2520" w:type="dxa"/>
          </w:tcPr>
          <w:p w14:paraId="51E01BED" w14:textId="77777777" w:rsidR="00494B49" w:rsidRDefault="00494B49"/>
        </w:tc>
        <w:tc>
          <w:tcPr>
            <w:tcW w:w="2520" w:type="dxa"/>
          </w:tcPr>
          <w:p w14:paraId="1D9C2346" w14:textId="77777777" w:rsidR="00494B49" w:rsidRDefault="00494B49">
            <w:r>
              <w:t xml:space="preserve"> B-401</w:t>
            </w:r>
          </w:p>
        </w:tc>
        <w:tc>
          <w:tcPr>
            <w:tcW w:w="2520" w:type="dxa"/>
          </w:tcPr>
          <w:p w14:paraId="0A01F58C" w14:textId="77777777" w:rsidR="00494B49" w:rsidRDefault="00494B49">
            <w:smartTag w:uri="http://www.bna.com/sgml2word/cite" w:element="cite.bna.reference">
              <w:smartTagPr>
                <w:attr w:name="bna.id.ref" w:val="TM\511\wks4"/>
              </w:smartTagPr>
              <w:r>
                <w:t>Worksheet 4</w:t>
              </w:r>
            </w:smartTag>
            <w:smartTag w:uri="http://www.bna.com/sgml2word/cite" w:element="cite.bna.reference">
              <w:smartTagPr>
                <w:attr w:name="bna.id.ref" w:val="TM\873\wks4"/>
              </w:smartTagPr>
              <w:r>
                <w:t>Worksheet 4</w:t>
              </w:r>
            </w:smartTag>
          </w:p>
        </w:tc>
        <w:tc>
          <w:tcPr>
            <w:tcW w:w="2520" w:type="dxa"/>
          </w:tcPr>
          <w:p w14:paraId="0835A96B" w14:textId="77777777" w:rsidR="00494B49" w:rsidRDefault="00494B49">
            <w:r>
              <w:t xml:space="preserve"> Estate and Trust Distribution Reconciliation.</w:t>
            </w:r>
          </w:p>
        </w:tc>
      </w:tr>
      <w:tr w:rsidR="00494B49" w14:paraId="3BCDBB71" w14:textId="77777777">
        <w:tc>
          <w:tcPr>
            <w:tcW w:w="2520" w:type="dxa"/>
          </w:tcPr>
          <w:p w14:paraId="61DD0808" w14:textId="77777777" w:rsidR="00494B49" w:rsidRDefault="00494B49"/>
        </w:tc>
        <w:tc>
          <w:tcPr>
            <w:tcW w:w="2520" w:type="dxa"/>
          </w:tcPr>
          <w:p w14:paraId="778A1842" w14:textId="77777777" w:rsidR="00494B49" w:rsidRDefault="00494B49">
            <w:r>
              <w:t xml:space="preserve"> B-501</w:t>
            </w:r>
          </w:p>
        </w:tc>
        <w:tc>
          <w:tcPr>
            <w:tcW w:w="2520" w:type="dxa"/>
          </w:tcPr>
          <w:p w14:paraId="07D197C3" w14:textId="77777777" w:rsidR="00494B49" w:rsidRDefault="00494B49">
            <w:smartTag w:uri="http://www.bna.com/sgml2word/cite" w:element="cite.bna.reference">
              <w:smartTagPr>
                <w:attr w:name="bna.id.ref" w:val="TM\511\wks5"/>
              </w:smartTagPr>
              <w:r>
                <w:t>Worksheet 5</w:t>
              </w:r>
            </w:smartTag>
            <w:smartTag w:uri="http://www.bna.com/sgml2word/cite" w:element="cite.bna.reference">
              <w:smartTagPr>
                <w:attr w:name="bna.id.ref" w:val="TM\873\wks5"/>
              </w:smartTagPr>
              <w:r>
                <w:t>Worksheet 5</w:t>
              </w:r>
            </w:smartTag>
          </w:p>
        </w:tc>
        <w:tc>
          <w:tcPr>
            <w:tcW w:w="2520" w:type="dxa"/>
          </w:tcPr>
          <w:p w14:paraId="0EB7CA04" w14:textId="77777777" w:rsidR="00494B49" w:rsidRDefault="00494B49">
            <w:r>
              <w:t xml:space="preserve"> Prop. Reg. §1.1411-7(g)(1) Entity Statement (Single Trade or Business — No Section 1411 Property).</w:t>
            </w:r>
          </w:p>
        </w:tc>
      </w:tr>
      <w:tr w:rsidR="00494B49" w14:paraId="55B754B7" w14:textId="77777777">
        <w:tc>
          <w:tcPr>
            <w:tcW w:w="2520" w:type="dxa"/>
          </w:tcPr>
          <w:p w14:paraId="5E9CBC89" w14:textId="77777777" w:rsidR="00494B49" w:rsidRDefault="00494B49"/>
        </w:tc>
        <w:tc>
          <w:tcPr>
            <w:tcW w:w="2520" w:type="dxa"/>
          </w:tcPr>
          <w:p w14:paraId="3DF9AF7B" w14:textId="77777777" w:rsidR="00494B49" w:rsidRDefault="00494B49">
            <w:r>
              <w:t xml:space="preserve"> B-601</w:t>
            </w:r>
          </w:p>
        </w:tc>
        <w:tc>
          <w:tcPr>
            <w:tcW w:w="2520" w:type="dxa"/>
          </w:tcPr>
          <w:p w14:paraId="2ECDE81D" w14:textId="77777777" w:rsidR="00494B49" w:rsidRDefault="00494B49">
            <w:smartTag w:uri="http://www.bna.com/sgml2word/cite" w:element="cite.bna.reference">
              <w:smartTagPr>
                <w:attr w:name="bna.id.ref" w:val="TM\511\wks6"/>
              </w:smartTagPr>
              <w:r>
                <w:t>Worksheet 6</w:t>
              </w:r>
            </w:smartTag>
            <w:smartTag w:uri="http://www.bna.com/sgml2word/cite" w:element="cite.bna.reference">
              <w:smartTagPr>
                <w:attr w:name="bna.id.ref" w:val="TM\873\wks6"/>
              </w:smartTagPr>
              <w:r>
                <w:t>Worksheet 6</w:t>
              </w:r>
            </w:smartTag>
          </w:p>
        </w:tc>
        <w:tc>
          <w:tcPr>
            <w:tcW w:w="2520" w:type="dxa"/>
          </w:tcPr>
          <w:p w14:paraId="2C4E5FA0" w14:textId="77777777" w:rsidR="00494B49" w:rsidRDefault="00494B49">
            <w:r>
              <w:t xml:space="preserve"> Sample Line 5c Statement for Tiered Entities.</w:t>
            </w:r>
          </w:p>
        </w:tc>
      </w:tr>
      <w:tr w:rsidR="00494B49" w14:paraId="21216E5F" w14:textId="77777777">
        <w:tc>
          <w:tcPr>
            <w:tcW w:w="2520" w:type="dxa"/>
          </w:tcPr>
          <w:p w14:paraId="7539D747" w14:textId="77777777" w:rsidR="00494B49" w:rsidRDefault="00494B49"/>
        </w:tc>
        <w:tc>
          <w:tcPr>
            <w:tcW w:w="2520" w:type="dxa"/>
          </w:tcPr>
          <w:p w14:paraId="4704C716" w14:textId="77777777" w:rsidR="00494B49" w:rsidRDefault="00494B49">
            <w:r>
              <w:t xml:space="preserve"> B-701</w:t>
            </w:r>
          </w:p>
        </w:tc>
        <w:tc>
          <w:tcPr>
            <w:tcW w:w="2520" w:type="dxa"/>
          </w:tcPr>
          <w:p w14:paraId="1D56806B" w14:textId="77777777" w:rsidR="00494B49" w:rsidRDefault="00494B49">
            <w:smartTag w:uri="http://www.bna.com/sgml2word/cite" w:element="cite.bna.reference">
              <w:smartTagPr>
                <w:attr w:name="bna.id.ref" w:val="TM\511\wks7"/>
              </w:smartTagPr>
              <w:r>
                <w:t>Worksheet 7</w:t>
              </w:r>
            </w:smartTag>
            <w:smartTag w:uri="http://www.bna.com/sgml2word/cite" w:element="cite.bna.reference">
              <w:smartTagPr>
                <w:attr w:name="bna.id.ref" w:val="TM\873\wks7"/>
              </w:smartTagPr>
              <w:r>
                <w:t>Worksheet 7</w:t>
              </w:r>
            </w:smartTag>
          </w:p>
        </w:tc>
        <w:tc>
          <w:tcPr>
            <w:tcW w:w="2520" w:type="dxa"/>
          </w:tcPr>
          <w:p w14:paraId="1A895227" w14:textId="77777777" w:rsidR="00494B49" w:rsidRDefault="00494B49">
            <w:r>
              <w:t xml:space="preserve"> Partnership Information Reporting for Installment Sales of LTP Interests.</w:t>
            </w:r>
          </w:p>
        </w:tc>
      </w:tr>
      <w:tr w:rsidR="00494B49" w14:paraId="7315A9E2" w14:textId="77777777">
        <w:tc>
          <w:tcPr>
            <w:tcW w:w="2520" w:type="dxa"/>
          </w:tcPr>
          <w:p w14:paraId="1A9401F0" w14:textId="77777777" w:rsidR="00494B49" w:rsidRDefault="00494B49"/>
        </w:tc>
        <w:tc>
          <w:tcPr>
            <w:tcW w:w="2520" w:type="dxa"/>
          </w:tcPr>
          <w:p w14:paraId="3B1B1C58" w14:textId="77777777" w:rsidR="00494B49" w:rsidRDefault="00494B49">
            <w:r>
              <w:t xml:space="preserve"> B-801</w:t>
            </w:r>
          </w:p>
        </w:tc>
        <w:tc>
          <w:tcPr>
            <w:tcW w:w="2520" w:type="dxa"/>
          </w:tcPr>
          <w:p w14:paraId="1A1B32BD" w14:textId="77777777" w:rsidR="00494B49" w:rsidRDefault="00494B49">
            <w:smartTag w:uri="http://www.bna.com/sgml2word/cite" w:element="cite.bna.reference">
              <w:smartTagPr>
                <w:attr w:name="bna.id.ref" w:val="TM\511\wks8"/>
              </w:smartTagPr>
              <w:r>
                <w:t>Worksheet 8</w:t>
              </w:r>
            </w:smartTag>
            <w:smartTag w:uri="http://www.bna.com/sgml2word/cite" w:element="cite.bna.reference">
              <w:smartTagPr>
                <w:attr w:name="bna.id.ref" w:val="TM\873\wks8"/>
              </w:smartTagPr>
              <w:r>
                <w:t>Worksheet 8</w:t>
              </w:r>
            </w:smartTag>
          </w:p>
        </w:tc>
        <w:tc>
          <w:tcPr>
            <w:tcW w:w="2520" w:type="dxa"/>
          </w:tcPr>
          <w:p w14:paraId="20763D2D" w14:textId="77777777" w:rsidR="00494B49" w:rsidRDefault="00494B49">
            <w:r>
              <w:t xml:space="preserve"> 10(g) Election — 2013 Taxable Year. </w:t>
            </w:r>
          </w:p>
        </w:tc>
      </w:tr>
      <w:tr w:rsidR="00494B49" w14:paraId="701016BD" w14:textId="77777777">
        <w:tc>
          <w:tcPr>
            <w:tcW w:w="2520" w:type="dxa"/>
          </w:tcPr>
          <w:p w14:paraId="21232855" w14:textId="77777777" w:rsidR="00494B49" w:rsidRDefault="00494B49"/>
        </w:tc>
        <w:tc>
          <w:tcPr>
            <w:tcW w:w="2520" w:type="dxa"/>
          </w:tcPr>
          <w:p w14:paraId="5CCF07A3" w14:textId="77777777" w:rsidR="00494B49" w:rsidRDefault="00494B49">
            <w:r>
              <w:t xml:space="preserve"> B-901</w:t>
            </w:r>
          </w:p>
        </w:tc>
        <w:tc>
          <w:tcPr>
            <w:tcW w:w="2520" w:type="dxa"/>
          </w:tcPr>
          <w:p w14:paraId="0D64F25A" w14:textId="77777777" w:rsidR="00494B49" w:rsidRDefault="00494B49">
            <w:smartTag w:uri="http://www.bna.com/sgml2word/cite" w:element="cite.bna.reference">
              <w:smartTagPr>
                <w:attr w:name="bna.id.ref" w:val="TM\511\wks9"/>
              </w:smartTagPr>
              <w:r>
                <w:t>Worksheet 9</w:t>
              </w:r>
            </w:smartTag>
            <w:smartTag w:uri="http://www.bna.com/sgml2word/cite" w:element="cite.bna.reference">
              <w:smartTagPr>
                <w:attr w:name="bna.id.ref" w:val="TM\873\wks9"/>
              </w:smartTagPr>
              <w:r>
                <w:t>Worksheet 9</w:t>
              </w:r>
            </w:smartTag>
          </w:p>
        </w:tc>
        <w:tc>
          <w:tcPr>
            <w:tcW w:w="2520" w:type="dxa"/>
          </w:tcPr>
          <w:p w14:paraId="74B21D04" w14:textId="77777777" w:rsidR="00494B49" w:rsidRDefault="00494B49">
            <w:r>
              <w:t xml:space="preserve"> 10(g) Election — Post-2013 Taxable Year.</w:t>
            </w:r>
          </w:p>
        </w:tc>
      </w:tr>
    </w:tbl>
    <w:p w14:paraId="34454D44" w14:textId="77777777" w:rsidR="00494B49" w:rsidRDefault="00494B49">
      <w:pPr>
        <w:pStyle w:val="BNormal"/>
      </w:pPr>
    </w:p>
    <w:p w14:paraId="61B2063D" w14:textId="77777777" w:rsidR="00494B49" w:rsidRDefault="00494B49">
      <w:pPr>
        <w:rPr>
          <w:rFonts w:ascii="Times New Roman" w:hAnsi="Times New Roman" w:cs="Times New Roman"/>
          <w:b/>
          <w:kern w:val="24"/>
          <w:sz w:val="28"/>
          <w:szCs w:val="28"/>
          <w:lang w:bidi="en-US"/>
          <w14:ligatures w14:val="none"/>
        </w:rPr>
      </w:pPr>
      <w:r>
        <w:br w:type="page"/>
      </w:r>
    </w:p>
    <w:sectPr w:rsidR="00494B49" w:rsidSect="00494B49">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408FC" w14:textId="77777777" w:rsidR="00D71071" w:rsidRDefault="00D71071" w:rsidP="00494B49">
      <w:pPr>
        <w:spacing w:after="0" w:line="240" w:lineRule="auto"/>
      </w:pPr>
      <w:r>
        <w:separator/>
      </w:r>
    </w:p>
  </w:endnote>
  <w:endnote w:type="continuationSeparator" w:id="0">
    <w:p w14:paraId="71D9E52F" w14:textId="77777777" w:rsidR="00D71071" w:rsidRDefault="00D71071" w:rsidP="0049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758454032"/>
      <w:docPartObj>
        <w:docPartGallery w:val="Page Numbers (Bottom of Page)"/>
        <w:docPartUnique/>
      </w:docPartObj>
    </w:sdtPr>
    <w:sdtEndPr>
      <w:rPr>
        <w:noProof/>
      </w:rPr>
    </w:sdtEndPr>
    <w:sdtContent>
      <w:p w14:paraId="704ED0B1" w14:textId="46576275" w:rsidR="00494B49" w:rsidRPr="00494B49" w:rsidRDefault="00494B49">
        <w:pPr>
          <w:pStyle w:val="Footer"/>
          <w:jc w:val="center"/>
          <w:rPr>
            <w:rFonts w:ascii="Times New Roman" w:hAnsi="Times New Roman" w:cs="Times New Roman"/>
            <w:sz w:val="20"/>
            <w:szCs w:val="20"/>
          </w:rPr>
        </w:pPr>
        <w:r w:rsidRPr="00494B49">
          <w:rPr>
            <w:rFonts w:ascii="Times New Roman" w:hAnsi="Times New Roman" w:cs="Times New Roman"/>
            <w:sz w:val="20"/>
            <w:szCs w:val="20"/>
          </w:rPr>
          <w:fldChar w:fldCharType="begin"/>
        </w:r>
        <w:r w:rsidRPr="00494B49">
          <w:rPr>
            <w:rFonts w:ascii="Times New Roman" w:hAnsi="Times New Roman" w:cs="Times New Roman"/>
            <w:sz w:val="20"/>
            <w:szCs w:val="20"/>
          </w:rPr>
          <w:instrText xml:space="preserve"> PAGE   \* MERGEFORMAT </w:instrText>
        </w:r>
        <w:r w:rsidRPr="00494B49">
          <w:rPr>
            <w:rFonts w:ascii="Times New Roman" w:hAnsi="Times New Roman" w:cs="Times New Roman"/>
            <w:sz w:val="20"/>
            <w:szCs w:val="20"/>
          </w:rPr>
          <w:fldChar w:fldCharType="separate"/>
        </w:r>
        <w:r w:rsidRPr="00494B49">
          <w:rPr>
            <w:rFonts w:ascii="Times New Roman" w:hAnsi="Times New Roman" w:cs="Times New Roman"/>
            <w:noProof/>
            <w:sz w:val="20"/>
            <w:szCs w:val="20"/>
          </w:rPr>
          <w:t>2</w:t>
        </w:r>
        <w:r w:rsidRPr="00494B49">
          <w:rPr>
            <w:rFonts w:ascii="Times New Roman" w:hAnsi="Times New Roman" w:cs="Times New Roman"/>
            <w:noProof/>
            <w:sz w:val="20"/>
            <w:szCs w:val="20"/>
          </w:rPr>
          <w:fldChar w:fldCharType="end"/>
        </w:r>
      </w:p>
    </w:sdtContent>
  </w:sdt>
  <w:p w14:paraId="5E8F8C4E" w14:textId="77777777" w:rsidR="00494B49" w:rsidRDefault="00494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A8208" w14:textId="77777777" w:rsidR="00D71071" w:rsidRDefault="00D71071" w:rsidP="00494B49">
      <w:pPr>
        <w:spacing w:after="0" w:line="240" w:lineRule="auto"/>
      </w:pPr>
      <w:r>
        <w:separator/>
      </w:r>
    </w:p>
  </w:footnote>
  <w:footnote w:type="continuationSeparator" w:id="0">
    <w:p w14:paraId="7DE79669" w14:textId="77777777" w:rsidR="00D71071" w:rsidRDefault="00D71071" w:rsidP="00494B49">
      <w:pPr>
        <w:spacing w:after="0" w:line="240" w:lineRule="auto"/>
      </w:pPr>
      <w:r>
        <w:continuationSeparator/>
      </w:r>
    </w:p>
  </w:footnote>
  <w:footnote w:id="1">
    <w:p w14:paraId="11E79F8E" w14:textId="77777777" w:rsidR="00494B49" w:rsidRDefault="00494B49">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w:t>
      </w:r>
    </w:p>
  </w:footnote>
  <w:footnote w:id="2">
    <w:p w14:paraId="7DE0BD29" w14:textId="77777777" w:rsidR="00494B49" w:rsidRDefault="00494B49">
      <w:pPr>
        <w:pStyle w:val="FootnoteText"/>
      </w:pPr>
      <w:r>
        <w:rPr>
          <w:rStyle w:val="FootnoteReference"/>
        </w:rPr>
        <w:footnoteRef/>
      </w:r>
      <w:r>
        <w:t>Unless otherwise indicated, references to “§” or “Section” are to the Internal Revenue Code of 1986, as amended (Title 26 of the United States Code), and references to “Reg. §” are to the Treasury regulations thereunder.</w:t>
      </w:r>
    </w:p>
  </w:footnote>
  <w:footnote w:id="3">
    <w:p w14:paraId="31C5BF0A" w14:textId="77777777" w:rsidR="00494B49" w:rsidRDefault="00494B49">
      <w:pPr>
        <w:pStyle w:val="FootnoteText"/>
      </w:pPr>
      <w:r>
        <w:rPr>
          <w:rStyle w:val="FootnoteReference"/>
        </w:rPr>
        <w:footnoteRef/>
      </w:r>
      <w:r>
        <w:t xml:space="preserve">For purposes of this Portfolio, general references to the “NIIT” are meant to cover the entire taxation regime under </w:t>
      </w:r>
      <w:smartTag w:uri="http://www.bna.com/sgml2word/cite" w:element="cite.usc">
        <w:smartTagPr>
          <w:attr w:name="ref" w:val="USC\26\1411"/>
        </w:smartTagPr>
        <w:r>
          <w:t>§1411</w:t>
        </w:r>
      </w:smartTag>
      <w:r>
        <w:t xml:space="preserve"> and the associated Treasury regulations. </w:t>
      </w:r>
    </w:p>
  </w:footnote>
  <w:footnote w:id="4">
    <w:p w14:paraId="0A3EA0E7" w14:textId="77777777" w:rsidR="00494B49" w:rsidRDefault="00494B49">
      <w:pPr>
        <w:pStyle w:val="FootnoteText"/>
      </w:pPr>
      <w:r>
        <w:rPr>
          <w:rStyle w:val="FootnoteReference"/>
        </w:rPr>
        <w:footnoteRef/>
      </w:r>
      <w:smartTag w:uri="http://www.bna.com/sgml2word/cite" w:element="cite.usc">
        <w:smartTagPr>
          <w:attr w:name="ref" w:val="USC\26\1411(a)(1)"/>
        </w:smartTagPr>
        <w:r>
          <w:t>§1411(a)(1)</w:t>
        </w:r>
      </w:smartTag>
      <w:r>
        <w:t xml:space="preserve"> and </w:t>
      </w:r>
      <w:smartTag w:uri="http://www.bna.com/sgml2word/cite" w:element="cite.usc">
        <w:smartTagPr>
          <w:attr w:name="ref" w:val="USC\26\1411(a)(2)"/>
        </w:smartTagPr>
        <w:r>
          <w:t>§1411(a)(2)</w:t>
        </w:r>
      </w:smartTag>
      <w:r>
        <w:t xml:space="preserve">. </w:t>
      </w:r>
    </w:p>
  </w:footnote>
  <w:footnote w:id="5">
    <w:p w14:paraId="1FAF6F39" w14:textId="77777777" w:rsidR="00494B49" w:rsidRDefault="00494B49">
      <w:pPr>
        <w:pStyle w:val="FootnoteText"/>
      </w:pPr>
      <w:r>
        <w:rPr>
          <w:rStyle w:val="FootnoteReference"/>
        </w:rPr>
        <w:footnoteRef/>
      </w:r>
      <w:r>
        <w:t xml:space="preserve">Jt. Comm. on Tax’n, </w:t>
      </w:r>
      <w:r>
        <w:rPr>
          <w:i/>
        </w:rPr>
        <w:t>General Explanation of Tax Legislation Enacted in the 111th Congress</w:t>
      </w:r>
      <w:r>
        <w:t xml:space="preserve"> (JCS-2-11) (Mar. 24, 2011), at 364.</w:t>
      </w:r>
    </w:p>
  </w:footnote>
  <w:footnote w:id="6">
    <w:p w14:paraId="284AA51E" w14:textId="77777777" w:rsidR="00494B49" w:rsidRDefault="00494B49">
      <w:pPr>
        <w:pStyle w:val="FootnoteText"/>
      </w:pPr>
      <w:r>
        <w:rPr>
          <w:rStyle w:val="FootnoteReference"/>
        </w:rPr>
        <w:footnoteRef/>
      </w:r>
      <w:smartTag w:uri="http://www.bna.com/sgml2word/cite" w:element="cite.usc">
        <w:smartTagPr>
          <w:attr w:name="ref" w:val="USC\26\1411(e)"/>
        </w:smartTagPr>
        <w:r>
          <w:t>§1411(e)</w:t>
        </w:r>
      </w:smartTag>
      <w:r>
        <w:t xml:space="preserve"> (reference to the purposes in </w:t>
      </w:r>
      <w:smartTag w:uri="http://www.bna.com/sgml2word/cite" w:element="cite.usc">
        <w:smartTagPr>
          <w:attr w:name="ref" w:val="USC\26\170(c)(2)(B)"/>
        </w:smartTagPr>
        <w:r>
          <w:t>§170(c)(2)(B)</w:t>
        </w:r>
      </w:smartTag>
      <w:r>
        <w:t xml:space="preserve">). For further discussion, see </w:t>
      </w:r>
      <w:smartTag w:uri="http://www.bna.com/sgml2word/cite" w:element="cite.bna.reference">
        <w:smartTagPr>
          <w:attr w:name="bna.id.ref" w:val="TM\511.IX.A"/>
        </w:smartTagPr>
        <w:r>
          <w:t>IX.A.</w:t>
        </w:r>
      </w:smartTag>
      <w:smartTag w:uri="http://www.bna.com/sgml2word/cite" w:element="cite.bna.reference">
        <w:smartTagPr>
          <w:attr w:name="bna.id.ref" w:val="TM\873.IX.A"/>
        </w:smartTagPr>
        <w:r>
          <w:t>IX.A.</w:t>
        </w:r>
      </w:smartTag>
      <w:r>
        <w:t>, below.</w:t>
      </w:r>
    </w:p>
  </w:footnote>
  <w:footnote w:id="7">
    <w:p w14:paraId="52AD2758" w14:textId="77777777" w:rsidR="00494B49" w:rsidRDefault="00494B49">
      <w:pPr>
        <w:pStyle w:val="FootnoteText"/>
      </w:pPr>
      <w:r>
        <w:rPr>
          <w:rStyle w:val="FootnoteReference"/>
        </w:rPr>
        <w:footnoteRef/>
      </w:r>
      <w:r>
        <w:t xml:space="preserve">The Joint Committee on Taxation (JCT) stated that “[i]n the case of an individual, estate, or trust an unearned income Medicare contribution tax is imposed. No provision is made for the transfer of the tax imposed by this provision from the General Fund of the United States Treasury to any Trust Fund.” Jt. Comm. on Tax’n, </w:t>
      </w:r>
      <w:r>
        <w:rPr>
          <w:i/>
        </w:rPr>
        <w:t>General Explanation of Tax Legislation Enacted in the 111th Congress</w:t>
      </w:r>
      <w:r>
        <w:t xml:space="preserve"> (JCS-2-11) (Mar. 24, 2011), at 364; </w:t>
      </w:r>
      <w:r>
        <w:rPr>
          <w:i/>
        </w:rPr>
        <w:t>see also</w:t>
      </w:r>
      <w:r>
        <w:t xml:space="preserve"> Jt. Comm. on Tax’n, </w:t>
      </w:r>
      <w:r>
        <w:rPr>
          <w:i/>
        </w:rPr>
        <w:t>Description of the Social Security Tax Base</w:t>
      </w:r>
      <w:r>
        <w:t xml:space="preserve"> (JCX-36-11) (June 21, 2011), at 24.</w:t>
      </w:r>
    </w:p>
  </w:footnote>
  <w:footnote w:id="8">
    <w:p w14:paraId="57CB44B1" w14:textId="77777777" w:rsidR="00494B49" w:rsidRDefault="00494B49">
      <w:pPr>
        <w:pStyle w:val="FootnoteText"/>
      </w:pPr>
      <w:r>
        <w:rPr>
          <w:rStyle w:val="FootnoteReference"/>
        </w:rPr>
        <w:footnoteRef/>
      </w:r>
      <w:r>
        <w:t xml:space="preserve">The term “surviving spouse” is defined in </w:t>
      </w:r>
      <w:smartTag w:uri="http://www.bna.com/sgml2word/cite" w:element="cite.usc">
        <w:smartTagPr>
          <w:attr w:name="ref" w:val="USC\26\2(a)"/>
        </w:smartTagPr>
        <w:r>
          <w:t>§2(a)</w:t>
        </w:r>
      </w:smartTag>
      <w:r>
        <w:t xml:space="preserve">. </w:t>
      </w:r>
    </w:p>
  </w:footnote>
  <w:footnote w:id="9">
    <w:p w14:paraId="2C171F75" w14:textId="77777777" w:rsidR="00494B49" w:rsidRDefault="00494B49">
      <w:pPr>
        <w:pStyle w:val="FootnoteText"/>
      </w:pPr>
      <w:r>
        <w:rPr>
          <w:rStyle w:val="FootnoteReference"/>
        </w:rPr>
        <w:footnoteRef/>
      </w:r>
      <w:r>
        <w:t xml:space="preserve">Patient Protection and Affordable Care Act (PPACA), </w:t>
      </w:r>
      <w:smartTag w:uri="http://www.bna.com/sgml2word/cite" w:element="cite.pl">
        <w:smartTagPr>
          <w:attr w:name="ref" w:val="pl\111-148\9015"/>
        </w:smartTagPr>
        <w:r>
          <w:t>Pub. L. No. 111-148, §9015</w:t>
        </w:r>
      </w:smartTag>
      <w:r>
        <w:t xml:space="preserve">, </w:t>
      </w:r>
      <w:smartTag w:uri="http://www.bna.com/sgml2word/cite" w:element="cite.pl">
        <w:smartTagPr>
          <w:attr w:name="ref" w:val="STAT\124\119"/>
        </w:smartTagPr>
        <w:r>
          <w:t>124 Stat. 119</w:t>
        </w:r>
      </w:smartTag>
      <w:r>
        <w:t xml:space="preserve"> (2010), as amended by PPACA </w:t>
      </w:r>
      <w:smartTag w:uri="http://www.bna.com/sgml2word/cite" w:element="cite.usc">
        <w:smartTagPr>
          <w:attr w:name="ref" w:val="USC\26\10906"/>
        </w:smartTagPr>
        <w:r>
          <w:t>§10906</w:t>
        </w:r>
      </w:smartTag>
      <w:r>
        <w:t xml:space="preserve"> and by the Health Care and Education Reconciliation Act of 2010, </w:t>
      </w:r>
      <w:smartTag w:uri="http://www.bna.com/sgml2word/cite" w:element="cite.pl">
        <w:smartTagPr>
          <w:attr w:name="ref" w:val="PL\111-152\1402(b)"/>
        </w:smartTagPr>
        <w:r>
          <w:t>Pub. L. No. 111-152, §1402(b)</w:t>
        </w:r>
      </w:smartTag>
      <w:r>
        <w:t xml:space="preserve">, </w:t>
      </w:r>
      <w:smartTag w:uri="http://www.bna.com/sgml2word/cite" w:element="cite.pl">
        <w:smartTagPr>
          <w:attr w:name="ref" w:val="STAT\124\1029"/>
        </w:smartTagPr>
        <w:r>
          <w:t>124 Stat. 1029</w:t>
        </w:r>
      </w:smartTag>
      <w:r>
        <w:t xml:space="preserve"> (2010) (collectively, the “Affordable Care Act”).</w:t>
      </w:r>
    </w:p>
  </w:footnote>
  <w:footnote w:id="10">
    <w:p w14:paraId="0E1E873A" w14:textId="77777777" w:rsidR="00494B49" w:rsidRDefault="00494B49">
      <w:pPr>
        <w:pStyle w:val="FootnoteText"/>
      </w:pPr>
      <w:r>
        <w:rPr>
          <w:rStyle w:val="FootnoteReference"/>
        </w:rPr>
        <w:footnoteRef/>
      </w:r>
      <w:r>
        <w:t xml:space="preserve">Staff of the Joint Comm. on Tax’n,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(JCX-17-10) (Mar. 20, 2010).</w:t>
      </w:r>
    </w:p>
  </w:footnote>
  <w:footnote w:id="11">
    <w:p w14:paraId="443666A1" w14:textId="77777777" w:rsidR="00494B49" w:rsidRDefault="00494B49">
      <w:pPr>
        <w:pStyle w:val="FootnoteText"/>
      </w:pPr>
      <w:r>
        <w:rPr>
          <w:rStyle w:val="FootnoteReference"/>
        </w:rPr>
        <w:footnoteRef/>
      </w:r>
      <w:smartTag w:uri="http://www.bna.com/sgml2word/cite" w:element="cite.usc">
        <w:smartTagPr>
          <w:attr w:name="ref" w:val="USC\26\1411(d)"/>
        </w:smartTagPr>
        <w:r>
          <w:t>§1411(d)</w:t>
        </w:r>
      </w:smartTag>
      <w:r>
        <w:t xml:space="preserve">; Reg. </w:t>
      </w:r>
      <w:smartTag w:uri="http://www.bna.com/sgml2word/cite" w:element="cite.cfr">
        <w:smartTagPr>
          <w:attr w:name="ref" w:val="cfr\26\1.1411-2(c)(1)"/>
        </w:smartTagPr>
        <w:r>
          <w:t>§1.1411-2(c)(1)</w:t>
        </w:r>
      </w:smartTag>
      <w:r>
        <w:t>.</w:t>
      </w:r>
    </w:p>
  </w:footnote>
  <w:footnote w:id="12">
    <w:p w14:paraId="760C0EEB"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2(c)(2)"/>
        </w:smartTagPr>
        <w:r>
          <w:t>§1.1411-2(c)(2)</w:t>
        </w:r>
      </w:smartTag>
      <w:r>
        <w:t xml:space="preserve"> (individuals) and Reg. </w:t>
      </w:r>
      <w:smartTag w:uri="http://www.bna.com/sgml2word/cite" w:element="cite.cfr">
        <w:smartTagPr>
          <w:attr w:name="ref" w:val="cfr\26\1.1411-3(a)(3)"/>
        </w:smartTagPr>
        <w:r>
          <w:t>§1.1411-3(a)(3)</w:t>
        </w:r>
      </w:smartTag>
      <w:r>
        <w:t xml:space="preserve"> (estates and trusts), which cross-refer to Reg. </w:t>
      </w:r>
      <w:smartTag w:uri="http://www.bna.com/sgml2word/cite" w:element="cite.cfr">
        <w:smartTagPr>
          <w:attr w:name="ref" w:val="cfr\26\1.1411-10(e)(1)"/>
        </w:smartTagPr>
        <w:r>
          <w:t>§1.1411-10(e)(1)</w:t>
        </w:r>
      </w:smartTag>
      <w:r>
        <w:t xml:space="preserve"> and </w:t>
      </w:r>
      <w:smartTag w:uri="http://www.bna.com/sgml2word/cite" w:element="cite.cfr">
        <w:smartTagPr>
          <w:attr w:name="ref" w:val="cfr\26\1.1411-10(e)(2)"/>
        </w:smartTagPr>
        <w:r>
          <w:t>§1.1411-10(e)(2)</w:t>
        </w:r>
      </w:smartTag>
      <w:r>
        <w:t xml:space="preserve">, respectively, for the mechanical rules. </w:t>
      </w:r>
    </w:p>
  </w:footnote>
  <w:footnote w:id="13">
    <w:p w14:paraId="47A544CF" w14:textId="77777777" w:rsidR="00494B49" w:rsidRDefault="00494B49">
      <w:pPr>
        <w:pStyle w:val="FootnoteText"/>
      </w:pPr>
      <w:r>
        <w:rPr>
          <w:rStyle w:val="FootnoteReference"/>
        </w:rPr>
        <w:footnoteRef/>
      </w:r>
      <w:r>
        <w:t xml:space="preserve">The term “undistributed net investment income” is not defined in </w:t>
      </w:r>
      <w:smartTag w:uri="http://www.bna.com/sgml2word/cite" w:element="cite.usc">
        <w:smartTagPr>
          <w:attr w:name="ref" w:val="USC\26\1411(a)(2)"/>
        </w:smartTagPr>
        <w:r>
          <w:t>§1411(a)(2)</w:t>
        </w:r>
      </w:smartTag>
      <w:r>
        <w:t xml:space="preserve">. </w:t>
      </w:r>
    </w:p>
  </w:footnote>
  <w:footnote w:id="14">
    <w:p w14:paraId="2A4D815B"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7(e)"/>
        </w:smartTagPr>
        <w:r>
          <w:t>§67(e)</w:t>
        </w:r>
      </w:smartTag>
      <w:r>
        <w:t>.</w:t>
      </w:r>
    </w:p>
  </w:footnote>
  <w:footnote w:id="15">
    <w:p w14:paraId="7A6856D3"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B"/>
        </w:smartTagPr>
        <w:r>
          <w:t>III.B.</w:t>
        </w:r>
      </w:smartTag>
      <w:smartTag w:uri="http://www.bna.com/sgml2word/cite" w:element="cite.bna.reference">
        <w:smartTagPr>
          <w:attr w:name="bna.id.ref" w:val="TM\873.III.B"/>
        </w:smartTagPr>
        <w:r>
          <w:t>III.B.</w:t>
        </w:r>
      </w:smartTag>
      <w:r>
        <w:t>, below.</w:t>
      </w:r>
    </w:p>
  </w:footnote>
  <w:footnote w:id="16">
    <w:p w14:paraId="0FD7C388"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below</w:t>
      </w:r>
    </w:p>
  </w:footnote>
  <w:footnote w:id="17">
    <w:p w14:paraId="6374FB04"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r>
        <w:t>, below.</w:t>
      </w:r>
    </w:p>
  </w:footnote>
  <w:footnote w:id="18">
    <w:p w14:paraId="19CEB4A7"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footnote>
  <w:footnote w:id="19">
    <w:p w14:paraId="29F5293C"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20">
    <w:p w14:paraId="3D3BAFF9"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1">
    <w:p w14:paraId="35DAC0BE" w14:textId="77777777" w:rsidR="00494B49" w:rsidRDefault="00494B49">
      <w:pPr>
        <w:pStyle w:val="FootnoteText"/>
      </w:pPr>
      <w:r>
        <w:rPr>
          <w:rStyle w:val="FootnoteReference"/>
        </w:rPr>
        <w:footnoteRef/>
      </w:r>
      <w:smartTag w:uri="http://www.bna.com/sgml2word/cite" w:element="cite.usc">
        <w:smartTagPr>
          <w:attr w:name="ref" w:val="USC\26\1411(c)(2)(A)"/>
        </w:smartTagPr>
        <w:r>
          <w:t>§1411(c)(2)(A)</w:t>
        </w:r>
      </w:smartTag>
      <w:r>
        <w:t>.</w:t>
      </w:r>
    </w:p>
  </w:footnote>
  <w:footnote w:id="22">
    <w:p w14:paraId="24211856" w14:textId="77777777" w:rsidR="00494B49" w:rsidRDefault="00494B49">
      <w:pPr>
        <w:pStyle w:val="FootnoteText"/>
      </w:pPr>
      <w:r>
        <w:rPr>
          <w:rStyle w:val="FootnoteReference"/>
        </w:rPr>
        <w:footnoteRef/>
      </w:r>
      <w:smartTag w:uri="http://www.bna.com/sgml2word/cite" w:element="cite.usc">
        <w:smartTagPr>
          <w:attr w:name="ref" w:val="USC\26\1411(c)(2)(B)"/>
        </w:smartTagPr>
        <w:r>
          <w:t>§1411(c)(2)(B)</w:t>
        </w:r>
      </w:smartTag>
      <w:r>
        <w:t>.</w:t>
      </w:r>
    </w:p>
  </w:footnote>
  <w:footnote w:id="23">
    <w:p w14:paraId="24AF5085"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24">
    <w:p w14:paraId="74B0B769"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25">
    <w:p w14:paraId="3A7920B8"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6">
    <w:p w14:paraId="53E90A22"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27">
    <w:p w14:paraId="2E36ABA5" w14:textId="77777777" w:rsidR="00494B49" w:rsidRDefault="00494B49">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 xml:space="preserve">, §1402. </w:t>
      </w:r>
    </w:p>
  </w:footnote>
  <w:footnote w:id="28">
    <w:p w14:paraId="0263A4FF" w14:textId="77777777" w:rsidR="00494B49" w:rsidRDefault="00494B49">
      <w:pPr>
        <w:pStyle w:val="FootnoteText"/>
      </w:pPr>
      <w:r>
        <w:rPr>
          <w:rStyle w:val="FootnoteReference"/>
        </w:rPr>
        <w:footnoteRef/>
      </w:r>
      <w:r>
        <w:t xml:space="preserve">The NIIT was enacted by the 2010 Healthcare Reconciliation Act as companion legislation to the Patient Protection and Affordable Care Act of 2010 (PPACA), which it amended using a controversial “reconciliation procedure” by which Congress changes existing laws to conform tax and spending levels to the levels set in a budget resolution. </w:t>
      </w:r>
      <w:r>
        <w:rPr>
          <w:i/>
        </w:rPr>
        <w:t>See</w:t>
      </w:r>
      <w:r>
        <w:t xml:space="preserve"> U.S. Senate: Reference Home &gt; Glossary &gt; Reconciliation Process. This procedure, with respect to the 2010 Reconciliation Act, is more fully described in H.R. Rep. No. 111-448, at 1–2 (Mar. 21, 2010) (reporting House Resolution 1203 with a recommendation for adoption). Under Resolution 1203, the amended H.R. 4872 (enacted as </w:t>
      </w:r>
      <w:smartTag w:uri="http://www.bna.com/sgml2word/cite" w:element="cite.pl">
        <w:smartTagPr>
          <w:attr w:name="ref" w:val="PL\111-148"/>
        </w:smartTagPr>
        <w:r>
          <w:t>Pub. L. No. 111-148</w:t>
        </w:r>
      </w:smartTag>
      <w:r>
        <w:t>) was considered pursuant to a restrictive rule preventing all but limited points of order and then was subject to an up-or-down vote after limited debate.</w:t>
      </w:r>
    </w:p>
  </w:footnote>
  <w:footnote w:id="29">
    <w:p w14:paraId="43BD8C20" w14:textId="77777777" w:rsidR="00494B49" w:rsidRDefault="00494B49">
      <w:pPr>
        <w:pStyle w:val="FootnoteText"/>
      </w:pPr>
      <w:r>
        <w:rPr>
          <w:rStyle w:val="FootnoteReference"/>
        </w:rPr>
        <w:footnoteRef/>
      </w:r>
      <w:r>
        <w:t>The posting has since been removed from https://www.whitehouse.gov.</w:t>
      </w:r>
    </w:p>
  </w:footnote>
  <w:footnote w:id="30">
    <w:p w14:paraId="59B57806" w14:textId="77777777" w:rsidR="00494B49" w:rsidRDefault="00494B49">
      <w:pPr>
        <w:pStyle w:val="FootnoteText"/>
      </w:pPr>
      <w:r>
        <w:rPr>
          <w:rStyle w:val="FootnoteReference"/>
        </w:rPr>
        <w:footnoteRef/>
      </w:r>
      <w:r>
        <w:rPr>
          <w:i/>
        </w:rPr>
        <w:t>See</w:t>
      </w:r>
      <w:r>
        <w:t xml:space="preserve"> H. Rep. No. 111-448, at 20–21 (committee voting to report the rule) (Mar. 21, 2010); </w:t>
      </w:r>
      <w:r>
        <w:rPr>
          <w:i/>
        </w:rPr>
        <w:t>see also</w:t>
      </w:r>
      <w:r>
        <w:t xml:space="preserve"> Cong. Rec. H2153 (Mar. 21, 2010), Cong. Rec. H2161-63 (Mar. 21, 2010).</w:t>
      </w:r>
    </w:p>
  </w:footnote>
  <w:footnote w:id="31">
    <w:p w14:paraId="21CA6B34" w14:textId="77777777" w:rsidR="00494B49" w:rsidRDefault="00494B49">
      <w:pPr>
        <w:pStyle w:val="FootnoteText"/>
      </w:pPr>
      <w:r>
        <w:rPr>
          <w:rStyle w:val="FootnoteReference"/>
        </w:rPr>
        <w:footnoteRef/>
      </w:r>
      <w:r>
        <w:t xml:space="preserve">Jt. Comm. on Tax’n, Technical Explanation of the Revenue Provisions of the “Reconciliation Act of 2010,” as amended, in combination with the “Patient Protection and Affordable Care Act” (JCX-18-10) (Mar. 21, 2010) and Jt. Comm. on Tax’n, </w:t>
      </w:r>
      <w:r>
        <w:rPr>
          <w:i/>
        </w:rPr>
        <w:t>General Explanation of Tax Legislation Enacted in the 111th Congress</w:t>
      </w:r>
      <w:r>
        <w:t xml:space="preserve"> (JCS-2-11) (Mar. 24, 2011).</w:t>
      </w:r>
    </w:p>
  </w:footnote>
  <w:footnote w:id="32">
    <w:p w14:paraId="6D7F6861" w14:textId="77777777" w:rsidR="00494B49" w:rsidRDefault="00494B49">
      <w:pPr>
        <w:pStyle w:val="FootnoteText"/>
      </w:pPr>
      <w:r>
        <w:rPr>
          <w:rStyle w:val="FootnoteReference"/>
        </w:rPr>
        <w:footnoteRef/>
      </w:r>
      <w:r>
        <w:t xml:space="preserve">JCX-17-10 is officially titled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w:t>
      </w:r>
    </w:p>
  </w:footnote>
  <w:footnote w:id="33">
    <w:p w14:paraId="4BD43DCF" w14:textId="77777777" w:rsidR="00494B49" w:rsidRDefault="00494B49">
      <w:pPr>
        <w:pStyle w:val="FootnoteText"/>
      </w:pPr>
      <w:r>
        <w:rPr>
          <w:rStyle w:val="FootnoteReference"/>
        </w:rPr>
        <w:footnoteRef/>
      </w:r>
      <w:r>
        <w:t xml:space="preserve">CRS Report, </w:t>
      </w:r>
      <w:r>
        <w:rPr>
          <w:i/>
        </w:rPr>
        <w:t>The 3.8% Medicare Contribution Tax on Unearned Income, Including Real Estate Transactions</w:t>
      </w:r>
      <w:r>
        <w:t xml:space="preserve"> (Sept. 15, 2010 and Oct. 7, 2010), available on the Bloomberg Law: Tax website.</w:t>
      </w:r>
    </w:p>
  </w:footnote>
  <w:footnote w:id="34">
    <w:p w14:paraId="28540FAF"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X.C.2"/>
        </w:smartTagPr>
        <w:r>
          <w:t>X.C.2.</w:t>
        </w:r>
      </w:smartTag>
      <w:smartTag w:uri="http://www.bna.com/sgml2word/cite" w:element="cite.bna.reference">
        <w:smartTagPr>
          <w:attr w:name="bna.id.ref" w:val="TM\873.X.C.2"/>
        </w:smartTagPr>
        <w:r>
          <w:t>X.C.2.</w:t>
        </w:r>
      </w:smartTag>
      <w:r>
        <w:t xml:space="preserve">, below. In general, Totalization Agreements have two main purposes. First, they eliminate dual Social Security taxation, the situation that occurs when a worker from one country works in another country and is required to pay Social Security taxes to both countries on the same earnings. Second, the agreements help fill gaps in benefit protection for workers who have divided their careers between the United States and another country. For a more detailed discussion of Totalization Agreements, see </w:t>
      </w:r>
      <w:smartTag w:uri="http://www.bna.com/sgml2word/cite" w:element="cite.bna.reference">
        <w:smartTagPr>
          <w:attr w:name="bna.id.ref" w:val="TM\6080"/>
        </w:smartTagPr>
        <w:r>
          <w:t>6080 T.M.</w:t>
        </w:r>
      </w:smartTag>
      <w:r>
        <w:t xml:space="preserve">, </w:t>
      </w:r>
      <w:r>
        <w:rPr>
          <w:i/>
        </w:rPr>
        <w:t>Section 911 and Other International Tax Rules Relating to U.S. Citizens and Residents</w:t>
      </w:r>
      <w:r>
        <w:t xml:space="preserve"> (Foreign Income Series).</w:t>
      </w:r>
    </w:p>
  </w:footnote>
  <w:footnote w:id="35">
    <w:p w14:paraId="3BEA6C1D" w14:textId="77777777" w:rsidR="00494B49" w:rsidRDefault="00494B49">
      <w:pPr>
        <w:pStyle w:val="FootnoteText"/>
      </w:pPr>
      <w:r>
        <w:rPr>
          <w:rStyle w:val="FootnoteReference"/>
        </w:rPr>
        <w:footnoteRef/>
      </w:r>
      <w:r>
        <w:t xml:space="preserve">For example, </w:t>
      </w:r>
      <w:smartTag w:uri="http://www.bna.com/sgml2word/cite" w:element="cite.usc">
        <w:smartTagPr>
          <w:attr w:name="ref" w:val="USC\26\1402(e)"/>
        </w:smartTagPr>
        <w:r>
          <w:t>§1402(e)</w:t>
        </w:r>
      </w:smartTag>
      <w:r>
        <w:t xml:space="preserve"> provides an exemption from self-employment tax for ministers, members of religious orders, and Christian Science Practitioners if certain criteria are met. </w:t>
      </w:r>
      <w:r>
        <w:rPr>
          <w:i/>
        </w:rPr>
        <w:t>See also</w:t>
      </w:r>
      <w:r>
        <w:t xml:space="preserve"> </w:t>
      </w:r>
      <w:smartTag w:uri="http://www.bna.com/sgml2word/cite" w:element="cite.usc">
        <w:smartTagPr>
          <w:attr w:name="ref" w:val="USC\26\3127"/>
        </w:smartTagPr>
        <w:r>
          <w:t>§3127</w:t>
        </w:r>
      </w:smartTag>
      <w:r>
        <w:t xml:space="preserve">. For a detailed discussion of Medicare taxes, see </w:t>
      </w:r>
      <w:smartTag w:uri="http://www.bna.com/sgml2word/cite" w:element="cite.bna.reference">
        <w:smartTagPr>
          <w:attr w:name="bna.id.ref" w:val="TM\392"/>
        </w:smartTagPr>
        <w:r>
          <w:t>392 T.M.</w:t>
        </w:r>
      </w:smartTag>
      <w:r>
        <w:t xml:space="preserve">, </w:t>
      </w:r>
      <w:r>
        <w:rPr>
          <w:i/>
        </w:rPr>
        <w:t>Withholding, Social Security and Unemployment Taxes on Compensation</w:t>
      </w:r>
      <w:r>
        <w:t>.</w:t>
      </w:r>
    </w:p>
  </w:footnote>
  <w:footnote w:id="36">
    <w:p w14:paraId="2B426F93" w14:textId="77777777" w:rsidR="00494B49" w:rsidRDefault="00494B49">
      <w:pPr>
        <w:pStyle w:val="FootnoteText"/>
      </w:pPr>
      <w:r>
        <w:rPr>
          <w:rStyle w:val="FootnoteReference"/>
        </w:rPr>
        <w:footnoteRef/>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4"/>
        </w:smartTagPr>
        <w:r>
          <w:t>78 Fed. Reg. 72,394</w:t>
        </w:r>
      </w:smartTag>
      <w:r>
        <w:t xml:space="preserve">; (Dec. 2, 2013), corrected in </w:t>
      </w:r>
      <w:smartTag w:uri="http://www.bna.com/sgml2word/cite" w:element="cite.fr">
        <w:smartTagPr>
          <w:attr w:name="ref" w:val="FR\79\18159"/>
        </w:smartTagPr>
        <w:r>
          <w:t>79 Fed. Reg. 18,159</w:t>
        </w:r>
      </w:smartTag>
      <w:r>
        <w:t xml:space="preserve"> (Apr. 1, 2014).</w:t>
      </w:r>
    </w:p>
  </w:footnote>
  <w:footnote w:id="37">
    <w:p w14:paraId="2EBF287B" w14:textId="77777777" w:rsidR="00494B49" w:rsidRDefault="00494B49">
      <w:pPr>
        <w:pStyle w:val="FootnoteText"/>
      </w:pPr>
      <w:r>
        <w:rPr>
          <w:rStyle w:val="FootnoteReference"/>
        </w:rPr>
        <w:footnoteRef/>
      </w:r>
      <w:smartTag w:uri="http://www.bna.com/sgml2word/cite" w:element="cite.agency.doc">
        <w:smartTagPr>
          <w:attr w:name="ref" w:val="irs\nprm\REG-130507-11"/>
        </w:smartTagPr>
        <w:r>
          <w:t>REG-130507-11</w:t>
        </w:r>
      </w:smartTag>
      <w:r>
        <w:t xml:space="preserve">, </w:t>
      </w:r>
      <w:smartTag w:uri="http://www.bna.com/sgml2word/cite" w:element="cite.fr">
        <w:smartTagPr>
          <w:attr w:name="ref" w:val="FR\77\72612"/>
        </w:smartTagPr>
        <w:r>
          <w:t>77 Fed. Reg. 72,612</w:t>
        </w:r>
      </w:smartTag>
      <w:r>
        <w:t xml:space="preserve"> (Dec. 5, 2012). On January 31, 2013, corrections to the proposed regulations were published in the Federal Register. </w:t>
      </w:r>
      <w:smartTag w:uri="http://www.bna.com/sgml2word/cite" w:element="cite.fr">
        <w:smartTagPr>
          <w:attr w:name="ref" w:val="FR\78\6781"/>
        </w:smartTagPr>
        <w:r>
          <w:t>78 Fed. Reg. 6781</w:t>
        </w:r>
      </w:smartTag>
      <w:r>
        <w:t xml:space="preserve"> (Jan. 31, 2013).</w:t>
      </w:r>
    </w:p>
  </w:footnote>
  <w:footnote w:id="38">
    <w:p w14:paraId="7680B47F"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corrected on Feb. 24, 2014. </w:t>
      </w:r>
    </w:p>
  </w:footnote>
  <w:footnote w:id="39">
    <w:p w14:paraId="429966B8" w14:textId="77777777" w:rsidR="00494B49" w:rsidRDefault="00494B49">
      <w:pPr>
        <w:pStyle w:val="FootnoteText"/>
      </w:pPr>
      <w:r>
        <w:rPr>
          <w:rStyle w:val="FootnoteReference"/>
        </w:rPr>
        <w:footnoteRef/>
      </w:r>
      <w:r>
        <w:t xml:space="preserve">The 2013 Proposed Regulations are proposed to apply to tax years beginning after December 31, 2013, except that Prop. Reg. </w:t>
      </w:r>
      <w:smartTag w:uri="http://www.bna.com/sgml2word/cite" w:element="cite.cfr">
        <w:smartTagPr>
          <w:attr w:name="ref" w:val="prule\cfr\26\1.1411-3(d)(1)"/>
        </w:smartTagPr>
        <w:r>
          <w:t>§1.1411-3(d)(1)</w:t>
        </w:r>
      </w:smartTag>
      <w:r>
        <w:t xml:space="preserve">, Prop. Reg. </w:t>
      </w:r>
      <w:smartTag w:uri="http://www.bna.com/sgml2word/cite" w:element="cite.cfr">
        <w:smartTagPr>
          <w:attr w:name="ref" w:val="prule\cfr\26\1.1411-3(d)(2)(i)"/>
        </w:smartTagPr>
        <w:r>
          <w:t>§1.1411-3(d)(2)(i)</w:t>
        </w:r>
      </w:smartTag>
      <w:r>
        <w:t xml:space="preserve">, </w:t>
      </w:r>
      <w:r>
        <w:rPr>
          <w:i/>
        </w:rPr>
        <w:t>Example 1</w:t>
      </w:r>
      <w:r>
        <w:t xml:space="preserve"> of Prop. Reg. </w:t>
      </w:r>
      <w:smartTag w:uri="http://www.bna.com/sgml2word/cite" w:element="cite.cfr">
        <w:smartTagPr>
          <w:attr w:name="ref" w:val="prule\cfr\26\1.1411-3(d)(2)(iii)"/>
        </w:smartTagPr>
        <w:r>
          <w:t>§1.1411-3(d)(2)(iii)</w:t>
        </w:r>
      </w:smartTag>
      <w:r>
        <w:t xml:space="preserve">, and Prop. Reg. </w:t>
      </w:r>
      <w:smartTag w:uri="http://www.bna.com/sgml2word/cite" w:element="cite.cfr">
        <w:smartTagPr>
          <w:attr w:name="ref" w:val="prule\cfr\26\1.1411-3(d)(3)"/>
        </w:smartTagPr>
        <w:r>
          <w:t>§1.1411-3(d)(3)</w:t>
        </w:r>
      </w:smartTag>
      <w:r>
        <w:t xml:space="preserve"> apply to tax years of charitable remainder trusts that begin after December 31, 2012. The effective date is intended to align the effective date of the 2013 Proposed Regulations with the 2013 Final Regulations once the 2013 Proposed Regulations are finalized. However, any provisions adopted when the 2013 Proposed Regulations are finalized that are more restrictive than the 2013 Proposed Regulations would apply prospectively only. </w:t>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w:t>
      </w:r>
    </w:p>
  </w:footnote>
  <w:footnote w:id="40">
    <w:p w14:paraId="120680FB"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(citing Reg. </w:t>
      </w:r>
      <w:smartTag w:uri="http://www.bna.com/sgml2word/cite" w:element="cite.cfr">
        <w:smartTagPr>
          <w:attr w:name="ref" w:val="cfr\26\1.1411-1(f)"/>
        </w:smartTagPr>
        <w:r>
          <w:t>§1.1411-1(f)</w:t>
        </w:r>
      </w:smartTag>
      <w:r>
        <w:t xml:space="preserve">). </w:t>
      </w:r>
      <w:r>
        <w:rPr>
          <w:i/>
        </w:rPr>
        <w:t>See also</w:t>
      </w:r>
      <w:r>
        <w:t xml:space="preserve"> Prop. Reg. </w:t>
      </w:r>
      <w:smartTag w:uri="http://www.bna.com/sgml2word/cite" w:element="cite.cfr">
        <w:smartTagPr>
          <w:attr w:name="ref" w:val="prule\cfr\26\1.1411-7(h)"/>
        </w:smartTagPr>
        <w:r>
          <w:t>§1.1411-7(h)</w:t>
        </w:r>
      </w:smartTag>
      <w:r>
        <w:t>.</w:t>
      </w:r>
    </w:p>
  </w:footnote>
  <w:footnote w:id="41">
    <w:p w14:paraId="1E8ED26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The proposed regulations coordinate the application of the rules applicable to shareholders of CFCs and PFICs in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adopted in Reg. </w:t>
      </w:r>
      <w:smartTag w:uri="http://www.bna.com/sgml2word/cite" w:element="cite.cfr">
        <w:smartTagPr>
          <w:attr w:name="ref" w:val="cfr\26\1.1411-3"/>
        </w:smartTagPr>
        <w:r>
          <w:t>§1.1411-3(d)(2)</w:t>
        </w:r>
      </w:smartTag>
      <w:r>
        <w:t xml:space="preserve"> of the 2013 Final Regulations.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2">
    <w:p w14:paraId="6829D21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3)"/>
        </w:smartTagPr>
        <w:r>
          <w:t>§1.1411-3(d)(3)</w:t>
        </w:r>
      </w:smartTag>
      <w:r>
        <w:t xml:space="preserve">. Some comments responding to the 2012 Proposed Regulations had requested that the IRS provide an election.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3">
    <w:p w14:paraId="276DAA0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d)(4)(iii)"/>
        </w:smartTagPr>
        <w:r>
          <w:t>§1.1411-4(d)(4)(iii)</w:t>
        </w:r>
      </w:smartTag>
      <w:r>
        <w:t xml:space="preserve">. This topic is addressed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footnote>
  <w:footnote w:id="44">
    <w:p w14:paraId="35218B9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r>
        <w:t xml:space="preserve">. This topic is addressed in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r>
        <w:t>, below.</w:t>
      </w:r>
    </w:p>
  </w:footnote>
  <w:footnote w:id="45">
    <w:p w14:paraId="62F40128"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This topic is addressed in </w:t>
      </w:r>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III.E.4.</w:t>
        </w:r>
      </w:smartTag>
      <w:r>
        <w:t>, below.</w:t>
      </w:r>
    </w:p>
  </w:footnote>
  <w:footnote w:id="46">
    <w:p w14:paraId="45DD404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III.E.5.</w:t>
        </w:r>
      </w:smartTag>
      <w:r>
        <w:t>, below.</w:t>
      </w:r>
    </w:p>
  </w:footnote>
  <w:footnote w:id="47">
    <w:p w14:paraId="53F8FC4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smartTag w:uri="http://www.bna.com/sgml2word/cite" w:element="cite.bna.reference">
        <w:smartTagPr>
          <w:attr w:name="bna.id.ref" w:val="TM\511.III.E.2"/>
        </w:smartTagPr>
        <w:r>
          <w:t>III.E.2.</w:t>
        </w:r>
      </w:smartTag>
      <w:smartTag w:uri="http://www.bna.com/sgml2word/cite" w:element="cite.bna.reference">
        <w:smartTagPr>
          <w:attr w:name="bna.id.ref" w:val="TM\873.IV.D.2"/>
        </w:smartTagPr>
        <w:r>
          <w:t>III.E.2.</w:t>
        </w:r>
      </w:smartTag>
      <w:r>
        <w:t>, below.</w:t>
      </w:r>
    </w:p>
  </w:footnote>
  <w:footnote w:id="48">
    <w:p w14:paraId="11F3FB8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
        </w:smartTagPr>
        <w:r>
          <w:t>§1.1411-4(g)(12)</w:t>
        </w:r>
      </w:smartTag>
      <w:r>
        <w:t xml:space="preserve">. This topic is addressed in </w:t>
      </w:r>
      <w:smartTag w:uri="http://www.bna.com/sgml2word/cite" w:element="cite.bna.reference">
        <w:smartTagPr>
          <w:attr w:name="bna.id.ref" w:val="TM\511.III.E.1"/>
        </w:smartTagPr>
        <w:r>
          <w:t>III.E.1.</w:t>
        </w:r>
      </w:smartTag>
      <w:smartTag w:uri="http://www.bna.com/sgml2word/cite" w:element="cite.bna.reference">
        <w:smartTagPr>
          <w:attr w:name="bna.id.ref" w:val="TM\873.III.E.1"/>
        </w:smartTagPr>
        <w:r>
          <w:t>III.E.1.</w:t>
        </w:r>
      </w:smartTag>
      <w:r>
        <w:t>, below.</w:t>
      </w:r>
    </w:p>
  </w:footnote>
  <w:footnote w:id="49">
    <w:p w14:paraId="58043C0F"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50">
    <w:p w14:paraId="3580EE21" w14:textId="77777777" w:rsidR="00494B49" w:rsidRDefault="00494B49">
      <w:pPr>
        <w:pStyle w:val="FootnoteText"/>
      </w:pPr>
      <w:r>
        <w:rPr>
          <w:rStyle w:val="FootnoteReference"/>
        </w:rPr>
        <w:footnoteRef/>
      </w:r>
      <w:hyperlink r:id="rId1" w:history="1">
        <w:r>
          <w:rPr>
            <w:rStyle w:val="Hyperlink"/>
            <w:i/>
          </w:rPr>
          <w:t>Questions and Answers on the Net Investment Income Tax</w:t>
        </w:r>
      </w:hyperlink>
      <w:r>
        <w:t>.</w:t>
      </w:r>
    </w:p>
  </w:footnote>
  <w:footnote w:id="51">
    <w:p w14:paraId="2E3C4A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f)"/>
        </w:smartTagPr>
        <w:r>
          <w:t>§1.1411-1(f)</w:t>
        </w:r>
      </w:smartTag>
      <w:r>
        <w:t xml:space="preserve"> is not the first time that regulations have contained flexible and reliance-type language. The concepts in Reg. </w:t>
      </w:r>
      <w:smartTag w:uri="http://www.bna.com/sgml2word/cite" w:element="cite.cfr">
        <w:smartTagPr>
          <w:attr w:name="ref" w:val="cfr\26\1.1411-1(f)"/>
        </w:smartTagPr>
        <w:r>
          <w:t>§1.1411-1(f)</w:t>
        </w:r>
      </w:smartTag>
      <w:r>
        <w:t xml:space="preserve"> were modeled after Reg. </w:t>
      </w:r>
      <w:smartTag w:uri="http://www.bna.com/sgml2word/cite" w:element="cite.cfr">
        <w:smartTagPr>
          <w:attr w:name="ref" w:val="cfr\26\1.121-4(j)"/>
        </w:smartTagPr>
        <w:r>
          <w:t>§1.121-4(j)</w:t>
        </w:r>
      </w:smartTag>
      <w:r>
        <w:t xml:space="preserve"> and </w:t>
      </w:r>
      <w:smartTag w:uri="http://www.bna.com/sgml2word/cite" w:element="cite.cfr">
        <w:smartTagPr>
          <w:attr w:name="ref" w:val="cfr\26\1.121-4(k)"/>
        </w:smartTagPr>
        <w:r>
          <w:t>§1.121-4(k)</w:t>
        </w:r>
      </w:smartTag>
      <w:r>
        <w:t>.</w:t>
      </w:r>
    </w:p>
  </w:footnote>
  <w:footnote w:id="52">
    <w:p w14:paraId="59FB0513" w14:textId="77777777" w:rsidR="00494B49" w:rsidRDefault="00494B49">
      <w:pPr>
        <w:pStyle w:val="FootnoteText"/>
      </w:pPr>
      <w:r>
        <w:rPr>
          <w:rStyle w:val="FootnoteReference"/>
        </w:rPr>
        <w:footnoteRef/>
      </w:r>
      <w:smartTag w:uri="http://www.bna.com/sgml2word/cite" w:element="cite.agency.doc">
        <w:smartTagPr>
          <w:attr w:name="ref" w:val="irs\nprm\REG-130507-11"/>
        </w:smartTagPr>
        <w:r>
          <w:t>REG-130507-11</w:t>
        </w:r>
      </w:smartTag>
      <w:r>
        <w:t xml:space="preserve"> is the internal IRS reference for the 2012 Proposed Regulations.</w:t>
      </w:r>
    </w:p>
  </w:footnote>
  <w:footnote w:id="53">
    <w:p w14:paraId="0DFE7DFA"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is the internal IRS reference for the 2013 Proposed Regulations.</w:t>
      </w:r>
    </w:p>
  </w:footnote>
  <w:footnote w:id="54">
    <w:p w14:paraId="77338BA6" w14:textId="77777777" w:rsidR="00494B49" w:rsidRDefault="00494B49">
      <w:pPr>
        <w:pStyle w:val="FootnoteText"/>
      </w:pPr>
      <w:r>
        <w:rPr>
          <w:rStyle w:val="FootnoteReference"/>
        </w:rPr>
        <w:footnoteRef/>
      </w:r>
      <w:r>
        <w:t>For example, reasonable adjustments may be required to ensure that no item of income or deduction is taken into account in computing net investment income more than once, and that carryforwards, basis adjustments, and other similar items are adjusted appropriately.</w:t>
      </w:r>
    </w:p>
  </w:footnote>
  <w:footnote w:id="55">
    <w:p w14:paraId="0F81697A" w14:textId="77777777" w:rsidR="00494B49" w:rsidRDefault="00494B49">
      <w:pPr>
        <w:pStyle w:val="FootnoteText"/>
      </w:pPr>
      <w:r>
        <w:rPr>
          <w:rStyle w:val="FootnoteReference"/>
        </w:rPr>
        <w:footnoteRef/>
      </w:r>
      <w:smartTag w:uri="http://www.bna.com/sgml2word/cite" w:element="cite.usc">
        <w:smartTagPr>
          <w:attr w:name="ref" w:val="USC\26\1411"/>
        </w:smartTagPr>
        <w:r>
          <w:t>Section 1411</w:t>
        </w:r>
      </w:smartTag>
      <w:r>
        <w:t xml:space="preserve"> was added to a new Chapter 2A of Subtitle A (Income Taxes) of the Code. </w:t>
      </w:r>
    </w:p>
  </w:footnote>
  <w:footnote w:id="56">
    <w:p w14:paraId="72B81EB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e)"/>
        </w:smartTagPr>
        <w:r>
          <w:t>§1.1411-1(e)</w:t>
        </w:r>
      </w:smartTag>
      <w:r>
        <w:t>.</w:t>
      </w:r>
    </w:p>
  </w:footnote>
  <w:footnote w:id="57">
    <w:p w14:paraId="1C7E8768" w14:textId="77777777" w:rsidR="00494B49" w:rsidRDefault="00494B49">
      <w:pPr>
        <w:pStyle w:val="FootnoteText"/>
      </w:pPr>
      <w:r>
        <w:rPr>
          <w:rStyle w:val="FootnoteReference"/>
        </w:rPr>
        <w:footnoteRef/>
      </w:r>
      <w:r>
        <w:t xml:space="preserve">Although several taxpayer groups advocated for an allowance of foreign tax credits against a NIIT liability, such an outcome was not possible given the statutory language in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xml:space="preserve"> that allows a credit only against the tax imposed by Chapter 1. An analysis of the general business credit under </w:t>
      </w:r>
      <w:smartTag w:uri="http://www.bna.com/sgml2word/cite" w:element="cite.usc">
        <w:smartTagPr>
          <w:attr w:name="ref" w:val="USC\26\38"/>
        </w:smartTagPr>
        <w:r>
          <w:t>§38</w:t>
        </w:r>
      </w:smartTag>
      <w:r>
        <w:t xml:space="preserve"> yields the same noncreditable result. </w:t>
      </w:r>
      <w:smartTag w:uri="http://www.bna.com/sgml2word/cite" w:element="cite.usc">
        <w:smartTagPr>
          <w:attr w:name="ref" w:val="USC\26\38(a)"/>
        </w:smartTagPr>
        <w:r>
          <w:t>Section 38(a)</w:t>
        </w:r>
      </w:smartTag>
      <w:r>
        <w:t xml:space="preserve"> provides, “There shall be allowed as a credit against the tax imposed by this </w:t>
      </w:r>
      <w:r>
        <w:rPr>
          <w:i/>
        </w:rPr>
        <w:t>Chapter</w:t>
      </w:r>
      <w:r>
        <w:t xml:space="preserve"> [emphasis added] for the tax year an amount equal to the sum of….”</w:t>
      </w:r>
    </w:p>
  </w:footnote>
  <w:footnote w:id="58">
    <w:p w14:paraId="3D1D5442" w14:textId="77777777" w:rsidR="00494B49" w:rsidRDefault="00494B49">
      <w:pPr>
        <w:pStyle w:val="FootnoteText"/>
      </w:pPr>
      <w:r>
        <w:rPr>
          <w:rStyle w:val="FootnoteReference"/>
        </w:rPr>
        <w:footnoteRef/>
      </w:r>
      <w:r>
        <w:t xml:space="preserve">For example, even though the </w:t>
      </w:r>
      <w:smartTag w:uri="http://www.bna.com/sgml2word/cite" w:element="cite.usc">
        <w:smartTagPr>
          <w:attr w:name="ref" w:val="USC\26\32"/>
        </w:smartTagPr>
        <w:r>
          <w:t>§32</w:t>
        </w:r>
      </w:smartTag>
      <w:r>
        <w:t xml:space="preserve"> Earned Income Tax Credit (EITC) may offset any taxes imposed by Subtitle A (which includes the NIIT), the minimum MAGI thresholds needed to be surpassed to be liable for the NIIT makes it highly unlikely (if not impossible) to have a NIIT liability and an EITC in the same year.</w:t>
      </w:r>
    </w:p>
  </w:footnote>
  <w:footnote w:id="59">
    <w:p w14:paraId="293639A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6)"/>
        </w:smartTagPr>
        <w:r>
          <w:t>§1.1411-1(d)(6)</w:t>
        </w:r>
      </w:smartTag>
      <w:r>
        <w:t>.</w:t>
      </w:r>
    </w:p>
  </w:footnote>
  <w:footnote w:id="60">
    <w:p w14:paraId="204E6EB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
        </w:smartTagPr>
        <w:r>
          <w:t>§1.1411-1(d)(3)</w:t>
        </w:r>
      </w:smartTag>
      <w:r>
        <w:t xml:space="preserve">. </w:t>
      </w:r>
    </w:p>
  </w:footnote>
  <w:footnote w:id="61">
    <w:p w14:paraId="7BF970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62">
    <w:p w14:paraId="2B6CA69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1)"/>
        </w:smartTagPr>
        <w:r>
          <w:t>§1.1411-1(d)(11)</w:t>
        </w:r>
      </w:smartTag>
      <w:r>
        <w:t>.</w:t>
      </w:r>
    </w:p>
  </w:footnote>
  <w:footnote w:id="63">
    <w:p w14:paraId="023F6E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0)"/>
        </w:smartTagPr>
        <w:r>
          <w:t>§1.1411-1(d)(10)</w:t>
        </w:r>
      </w:smartTag>
      <w:r>
        <w:t>.</w:t>
      </w:r>
    </w:p>
  </w:footnote>
  <w:footnote w:id="64">
    <w:p w14:paraId="5672C28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w:t>
      </w:r>
    </w:p>
  </w:footnote>
  <w:footnote w:id="65">
    <w:p w14:paraId="0B9EDE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6">
    <w:p w14:paraId="68D2D92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
        </w:smartTagPr>
        <w:r>
          <w:t>§1.1411-1(d)(4)</w:t>
        </w:r>
      </w:smartTag>
      <w:r>
        <w:t>.</w:t>
      </w:r>
    </w:p>
  </w:footnote>
  <w:footnote w:id="67">
    <w:p w14:paraId="7BE0F89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8">
    <w:p w14:paraId="00ACBF40"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3"/>
        </w:smartTagPr>
        <w:r>
          <w:t>§63</w:t>
        </w:r>
      </w:smartTag>
      <w:r>
        <w:t xml:space="preserve">. </w:t>
      </w:r>
    </w:p>
  </w:footnote>
  <w:footnote w:id="69">
    <w:p w14:paraId="7E31B55D" w14:textId="77777777" w:rsidR="00494B49" w:rsidRDefault="00494B49">
      <w:pPr>
        <w:pStyle w:val="FootnoteText"/>
      </w:pPr>
      <w:r>
        <w:rPr>
          <w:rStyle w:val="FootnoteReference"/>
        </w:rPr>
        <w:footnoteRef/>
      </w:r>
      <w:r>
        <w:rPr>
          <w:i/>
        </w:rPr>
        <w:t>Compare</w:t>
      </w:r>
      <w:r>
        <w:t xml:space="preserve"> former Prop. Reg. §1.1411-4(f)(1)(ii) (2012) (“Deductions allowed under this paragraph (f) shall not exceed the total amount of gross income and net gain described in paragraph (a)(1) of this section”) </w:t>
      </w:r>
      <w:r>
        <w:rPr>
          <w:i/>
        </w:rPr>
        <w:t>with</w:t>
      </w:r>
      <w:r>
        <w:t xml:space="preserve"> Reg. </w:t>
      </w:r>
      <w:smartTag w:uri="http://www.bna.com/sgml2word/cite" w:element="cite.cfr">
        <w:smartTagPr>
          <w:attr w:name="ref" w:val="cfr\26\1.1411-4(f)(1)"/>
        </w:smartTagPr>
        <w:r>
          <w:t>§1.1411-4(f)(1)</w:t>
        </w:r>
      </w:smartTag>
      <w:r>
        <w:t xml:space="preserve"> (does not contain that sentence). </w:t>
      </w:r>
    </w:p>
  </w:footnote>
  <w:footnote w:id="70">
    <w:p w14:paraId="5407BD0D" w14:textId="77777777" w:rsidR="00494B49" w:rsidRDefault="00494B49">
      <w:pPr>
        <w:pStyle w:val="FootnoteText"/>
      </w:pPr>
      <w:r>
        <w:rPr>
          <w:rStyle w:val="FootnoteReference"/>
        </w:rPr>
        <w:footnoteRef/>
      </w:r>
      <w:r>
        <w:rPr>
          <w:i/>
        </w:rPr>
        <w:t>See generally</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217 (1941);</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See </w:t>
      </w:r>
      <w:r>
        <w:rPr>
          <w:rStyle w:val="BCasenamefull"/>
        </w:rPr>
        <w:t>Lender Mgmt., LLC v. Commissioner</w:t>
      </w:r>
      <w:r>
        <w:t xml:space="preserve">, </w:t>
      </w:r>
      <w:smartTag w:uri="http://www.bna.com/sgml2word/cite" w:element="cite.parallel">
        <w:smartTagPr>
          <w:attr w:name="ref" w:val="tcmemo\\2017-246"/>
        </w:smartTagPr>
        <w:r>
          <w:t>T.C. Memo 2017-246</w:t>
        </w:r>
      </w:smartTag>
      <w:r>
        <w:t>, for an illustrative list of cases discussing the meaning of trade or business.</w:t>
      </w:r>
    </w:p>
  </w:footnote>
  <w:footnote w:id="71">
    <w:p w14:paraId="47EC824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Reg. </w:t>
      </w:r>
      <w:smartTag w:uri="http://www.bna.com/sgml2word/cite" w:element="cite.cfr">
        <w:smartTagPr>
          <w:attr w:name="ref" w:val="cfr\26\1.183-1(d)"/>
        </w:smartTagPr>
        <w:r>
          <w:t>§1.183-1(d)</w:t>
        </w:r>
      </w:smartTag>
      <w:r>
        <w:t xml:space="preserve"> provides that activities are determined and their </w:t>
      </w:r>
      <w:smartTag w:uri="http://www.bna.com/sgml2word/cite" w:element="cite.usc">
        <w:smartTagPr>
          <w:attr w:name="ref" w:val="USC\26\162"/>
        </w:smartTagPr>
        <w:r>
          <w:t>§162</w:t>
        </w:r>
      </w:smartTag>
      <w:r>
        <w:t xml:space="preserve"> trade or business status is evaluated by aggregating undertakings in any reasonable manner determined by the taxpayer. The preamble to the 2013 Final Regulations (</w:t>
      </w:r>
      <w:smartTag w:uri="http://www.bna.com/sgml2word/cite" w:element="cite.agency.doc">
        <w:smartTagPr>
          <w:attr w:name="ref" w:val="IRS\PREAMBLE\TD9644"/>
        </w:smartTagPr>
        <w:r>
          <w:t>T.D. 9644</w:t>
        </w:r>
      </w:smartTag>
      <w:r>
        <w:t xml:space="preserve">) stated that the Treasury Department and the IRS do not believe that the determination of a trade or business under </w:t>
      </w:r>
      <w:smartTag w:uri="http://www.bna.com/sgml2word/cite" w:element="cite.usc">
        <w:smartTagPr>
          <w:attr w:name="ref" w:val="USC\26\162"/>
        </w:smartTagPr>
        <w:r>
          <w:t>§162</w:t>
        </w:r>
      </w:smartTag>
      <w:r>
        <w:t xml:space="preserve"> mandates the use of the definition of “activity” within the meaning of Reg. </w:t>
      </w:r>
      <w:smartTag w:uri="http://www.bna.com/sgml2word/cite" w:element="cite.cfr">
        <w:smartTagPr>
          <w:attr w:name="ref" w:val="cfr\26\1.183-1(d)"/>
        </w:smartTagPr>
        <w:r>
          <w:t>§1.183-1(d)</w:t>
        </w:r>
      </w:smartTag>
      <w:r>
        <w:t xml:space="preserve">. Furthermore,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contain different definitions of “activity.” Therefore, the Treasury Department and the IRS did not believe that determining whether a trade or business exists using the activity determinations of Code provisions unrelated to </w:t>
      </w:r>
      <w:smartTag w:uri="http://www.bna.com/sgml2word/cite" w:element="cite.usc">
        <w:smartTagPr>
          <w:attr w:name="ref" w:val="USC\26\162"/>
        </w:smartTagPr>
        <w:r>
          <w:t>§162</w:t>
        </w:r>
      </w:smartTag>
      <w:r>
        <w:t xml:space="preserve"> was appropriate in the NIIT context. In other words, the Treasury Department and IRS nonacquiesced to </w:t>
      </w:r>
      <w:r>
        <w:rPr>
          <w:rStyle w:val="BCasenamefull"/>
        </w:rPr>
        <w:t>Morton v. United States</w:t>
      </w:r>
      <w:r>
        <w:t xml:space="preserve">, </w:t>
      </w:r>
      <w:smartTag w:uri="http://www.bna.com/sgml2word/cite" w:element="cite.parallel">
        <w:smartTagPr>
          <w:attr w:name="ref" w:val="FEDCL\98\596"/>
        </w:smartTagPr>
        <w:r>
          <w:t>98 Fed. Cl. 596</w:t>
        </w:r>
      </w:smartTag>
      <w:r>
        <w:t xml:space="preserve"> (2011), at least for NIIT purposes.</w:t>
      </w:r>
    </w:p>
  </w:footnote>
  <w:footnote w:id="72">
    <w:p w14:paraId="574F90FF"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(treatment of certain nonpassive rental activities) and </w:t>
      </w:r>
      <w:smartTag w:uri="http://www.bna.com/sgml2word/cite" w:element="cite.cfr">
        <w:smartTagPr>
          <w:attr w:name="ref" w:val="cfr\26\1.1411-4(g)(7)"/>
        </w:smartTagPr>
        <w:r>
          <w:t>§1.1411-4(g)(7)</w:t>
        </w:r>
      </w:smartTag>
      <w:r>
        <w:t xml:space="preserve"> (treatment of certain real estate professionals). These rules are discussed in more detail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below. Note that the IRS added to its no-rule list whether a taxpayer is engaged in a trade or business. This does not include a request for a ruling that relies on a representation from a taxpayer that the taxpayer is or is not engaged in a trade or business, or a request for a ruling that relies on factual information provided by the taxpayer evidencing the active conduct of a trade or business. </w:t>
      </w:r>
      <w:smartTag w:uri="http://www.bna.com/sgml2word/cite" w:element="cite.agency.doc">
        <w:smartTagPr>
          <w:attr w:name="ref" w:val="IRS\RevProc\2024-3"/>
        </w:smartTagPr>
        <w:r>
          <w:t>Rev. Proc. 2024-3</w:t>
        </w:r>
      </w:smartTag>
      <w:r>
        <w:t>, §3.01(35).</w:t>
      </w:r>
    </w:p>
  </w:footnote>
  <w:footnote w:id="73">
    <w:p w14:paraId="227A7C5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469(c)(5)"/>
        </w:smartTagPr>
        <w:r>
          <w:t>§469(c)(5)</w:t>
        </w:r>
      </w:smartTag>
      <w:r>
        <w:t xml:space="preserve">; Reg. </w:t>
      </w:r>
      <w:smartTag w:uri="http://www.bna.com/sgml2word/cite" w:element="cite.cfr">
        <w:smartTagPr>
          <w:attr w:name="ref" w:val="cfr\26\1.469-1(e)(2)"/>
        </w:smartTagPr>
        <w:r>
          <w:t>§1.469-1(e)(2)</w:t>
        </w:r>
      </w:smartTag>
      <w:r>
        <w:t xml:space="preserve">, </w:t>
      </w:r>
      <w:smartTag w:uri="http://www.bna.com/sgml2word/cite" w:element="cite.cfr">
        <w:smartTagPr>
          <w:attr w:name="ref" w:val="cfr\26\1.469-4(b)(1)"/>
        </w:smartTagPr>
        <w:r>
          <w:t>§1.469-4(b)(1)</w:t>
        </w:r>
      </w:smartTag>
      <w:r>
        <w:t xml:space="preserve">. For a detailed discussion of the passive loss rules, see </w:t>
      </w:r>
      <w:smartTag w:uri="http://www.bna.com/sgml2word/cite" w:element="cite.bna.reference">
        <w:smartTagPr>
          <w:attr w:name="bna.id.ref" w:val="TM\549"/>
        </w:smartTagPr>
        <w:r>
          <w:t>549 T.M.</w:t>
        </w:r>
      </w:smartTag>
      <w:r>
        <w:t xml:space="preserve">, </w:t>
      </w:r>
      <w:r>
        <w:rPr>
          <w:i/>
        </w:rPr>
        <w:t>Passive Loss Rules.</w:t>
      </w:r>
    </w:p>
  </w:footnote>
  <w:footnote w:id="74">
    <w:p w14:paraId="500149E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469(c)(1)"/>
        </w:smartTagPr>
        <w:r>
          <w:t>§469(c)(1)</w:t>
        </w:r>
      </w:smartTag>
      <w:r>
        <w:t xml:space="preserve">, </w:t>
      </w:r>
      <w:smartTag w:uri="http://www.bna.com/sgml2word/cite" w:element="cite.usc">
        <w:smartTagPr>
          <w:attr w:name="ref" w:val="USC\26\469(c)(2)"/>
        </w:smartTagPr>
        <w:r>
          <w:t>§469(c)(2)</w:t>
        </w:r>
      </w:smartTag>
      <w:r>
        <w:t xml:space="preserve">. </w:t>
      </w:r>
    </w:p>
  </w:footnote>
  <w:footnote w:id="75">
    <w:p w14:paraId="5C7C3DF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a)(1)"/>
        </w:smartTagPr>
        <w:r>
          <w:t>§1.1411-5(a)(1)</w:t>
        </w:r>
      </w:smartTag>
      <w:r>
        <w:t xml:space="preserve">, </w:t>
      </w:r>
      <w:smartTag w:uri="http://www.bna.com/sgml2word/cite" w:element="cite.cfr">
        <w:smartTagPr>
          <w:attr w:name="ref" w:val="cfr\26\1.1411-5(b)(1)(i)"/>
        </w:smartTagPr>
        <w:r>
          <w:t>§1.1411-5(b)(1)(i)</w:t>
        </w:r>
      </w:smartTag>
      <w:r>
        <w:t xml:space="preserve">. </w:t>
      </w:r>
    </w:p>
  </w:footnote>
  <w:footnote w:id="76">
    <w:p w14:paraId="2562F96A"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77">
    <w:p w14:paraId="61071D90"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78">
    <w:p w14:paraId="69061725" w14:textId="77777777" w:rsidR="00494B49" w:rsidRDefault="00494B49">
      <w:pPr>
        <w:pStyle w:val="FootnoteText"/>
      </w:pPr>
      <w:r>
        <w:rPr>
          <w:rStyle w:val="FootnoteReference"/>
        </w:rPr>
        <w:footnoteRef/>
      </w:r>
      <w:smartTag w:uri="http://www.bna.com/sgml2word/cite" w:element="cite.usc">
        <w:smartTagPr>
          <w:attr w:name="ref" w:val="USC\26\1411(c)(2)(A)"/>
        </w:smartTagPr>
        <w:r>
          <w:t>Section 1411(c)(2)(A)</w:t>
        </w:r>
      </w:smartTag>
      <w:r>
        <w:t xml:space="preserve"> provides that the term passive activity has the same meaning as </w:t>
      </w:r>
      <w:smartTag w:uri="http://www.bna.com/sgml2word/cite" w:element="cite.usc">
        <w:smartTagPr>
          <w:attr w:name="ref" w:val="USC\26\469"/>
        </w:smartTagPr>
        <w:r>
          <w:t>§469</w:t>
        </w:r>
      </w:smartTag>
      <w:r>
        <w:t>.</w:t>
      </w:r>
    </w:p>
  </w:footnote>
  <w:footnote w:id="79">
    <w:p w14:paraId="29B2CD9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
        </w:smartTagPr>
        <w:r>
          <w:t>§1.469-5T</w:t>
        </w:r>
      </w:smartTag>
      <w:r>
        <w:t xml:space="preserve"> provides additional guidance for individuals on the meaning of “material participation.” </w:t>
      </w:r>
    </w:p>
  </w:footnote>
  <w:footnote w:id="80">
    <w:p w14:paraId="4B8704CF"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f)(2)"/>
        </w:smartTagPr>
        <w:r>
          <w:t>§1.469-2T(f)(2)</w:t>
        </w:r>
      </w:smartTag>
      <w:r>
        <w:t xml:space="preserve"> (special rule for significant participation); Reg. </w:t>
      </w:r>
      <w:smartTag w:uri="http://www.bna.com/sgml2word/cite" w:element="cite.cfr">
        <w:smartTagPr>
          <w:attr w:name="ref" w:val="cfr\26\1.469-2T(f)(3)"/>
        </w:smartTagPr>
        <w:r>
          <w:t>§1.469-2T(f)(3)</w:t>
        </w:r>
      </w:smartTag>
      <w:r>
        <w:t xml:space="preserve"> (rental of nondepreciable property); Reg. </w:t>
      </w:r>
      <w:smartTag w:uri="http://www.bna.com/sgml2word/cite" w:element="cite.cfr">
        <w:smartTagPr>
          <w:attr w:name="ref" w:val="cfr\26\1.469-2T(f)(4)"/>
        </w:smartTagPr>
        <w:r>
          <w:t>§1.469-2T(f)(4)</w:t>
        </w:r>
      </w:smartTag>
      <w:r>
        <w:t xml:space="preserve"> (net interest income from passive equity-financed lending activity); Reg. </w:t>
      </w:r>
      <w:smartTag w:uri="http://www.bna.com/sgml2word/cite" w:element="cite.cfr">
        <w:smartTagPr>
          <w:attr w:name="ref" w:val="cfr\26\1.469-2(f)(5)"/>
        </w:smartTagPr>
        <w:r>
          <w:t>§1.469-2(f)(5)</w:t>
        </w:r>
      </w:smartTag>
      <w:r>
        <w:t xml:space="preserve"> (net income from certain property rented incidental to development activity); Reg. </w:t>
      </w:r>
      <w:smartTag w:uri="http://www.bna.com/sgml2word/cite" w:element="cite.cfr">
        <w:smartTagPr>
          <w:attr w:name="ref" w:val="cfr\26\1.469-2(f)(6)"/>
        </w:smartTagPr>
        <w:r>
          <w:t>§1.469-2(f)(6)</w:t>
        </w:r>
      </w:smartTag>
      <w:r>
        <w:t xml:space="preserve"> (property rented to a nonpassive activity); Reg. </w:t>
      </w:r>
      <w:smartTag w:uri="http://www.bna.com/sgml2word/cite" w:element="cite.cfr">
        <w:smartTagPr>
          <w:attr w:name="ref" w:val="cfr\26\1.469-2T(f)(7)"/>
        </w:smartTagPr>
        <w:r>
          <w:t>§1.469-2T(f)(7)</w:t>
        </w:r>
      </w:smartTag>
      <w:r>
        <w:t xml:space="preserve"> (special rules applicable to the acquisition of an interest in a passthrough entity engaged in the trade or business of licensing intangible property).</w:t>
      </w:r>
    </w:p>
  </w:footnote>
  <w:footnote w:id="81">
    <w:p w14:paraId="15D04DF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
        </w:smartTagPr>
        <w:r>
          <w:t>§1.1411-5(b)(2)(i)</w:t>
        </w:r>
      </w:smartTag>
      <w:r>
        <w:t>.</w:t>
      </w:r>
    </w:p>
  </w:footnote>
  <w:footnote w:id="82">
    <w:p w14:paraId="734B011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2)"/>
        </w:smartTagPr>
        <w:r>
          <w:t>§1.469-2T(f)(2)</w:t>
        </w:r>
      </w:smartTag>
      <w:r>
        <w:t xml:space="preserve">. For a detailed discussion of significant participation passive activities,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3">
    <w:p w14:paraId="1F76012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5)"/>
        </w:smartTagPr>
        <w:r>
          <w:t>§1.469-2(f)(5)</w:t>
        </w:r>
      </w:smartTag>
      <w:r>
        <w:t xml:space="preserve">. For a detailed discussion of property rented incidental to development, see </w:t>
      </w:r>
      <w:smartTag w:uri="http://www.bna.com/sgml2word/cite" w:element="cite.bna.reference">
        <w:smartTagPr>
          <w:attr w:name="bna.id.ref" w:val="TM\549"/>
        </w:smartTagPr>
        <w:r>
          <w:t>549 T.M.</w:t>
        </w:r>
      </w:smartTag>
      <w:r>
        <w:t xml:space="preserve">, </w:t>
      </w:r>
      <w:r>
        <w:rPr>
          <w:i/>
        </w:rPr>
        <w:t>Passive Loss Rules</w:t>
      </w:r>
      <w:r>
        <w:t>.</w:t>
      </w:r>
    </w:p>
  </w:footnote>
  <w:footnote w:id="84">
    <w:p w14:paraId="0D175D1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For a detailed discussion of self-charged rental property, see </w:t>
      </w:r>
      <w:smartTag w:uri="http://www.bna.com/sgml2word/cite" w:element="cite.bna.reference">
        <w:smartTagPr>
          <w:attr w:name="bna.id.ref" w:val="TM\549"/>
        </w:smartTagPr>
        <w:r>
          <w:t>549 T.M.</w:t>
        </w:r>
      </w:smartTag>
      <w:r>
        <w:t xml:space="preserve">, </w:t>
      </w:r>
      <w:r>
        <w:rPr>
          <w:i/>
        </w:rPr>
        <w:t>Passive Loss Rules.</w:t>
      </w:r>
    </w:p>
  </w:footnote>
  <w:footnote w:id="85">
    <w:p w14:paraId="545ACAA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86">
    <w:p w14:paraId="3A1CD18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3)"/>
        </w:smartTagPr>
        <w:r>
          <w:t>§1.469-2T(f)(3)</w:t>
        </w:r>
      </w:smartTag>
      <w:r>
        <w:t>.</w:t>
      </w:r>
    </w:p>
  </w:footnote>
  <w:footnote w:id="87">
    <w:p w14:paraId="7E9E89E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4)"/>
        </w:smartTagPr>
        <w:r>
          <w:t>§1.469-2T(f)(4)</w:t>
        </w:r>
      </w:smartTag>
      <w:r>
        <w:t>.</w:t>
      </w:r>
    </w:p>
  </w:footnote>
  <w:footnote w:id="88">
    <w:p w14:paraId="231DFBD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7)"/>
        </w:smartTagPr>
        <w:r>
          <w:t>§1.469-2T(f)(7)</w:t>
        </w:r>
      </w:smartTag>
      <w:r>
        <w:t>.</w:t>
      </w:r>
    </w:p>
  </w:footnote>
  <w:footnote w:id="89">
    <w:p w14:paraId="5052A67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
        </w:smartTagPr>
        <w:r>
          <w:t>§1.1411-5(b)(2)(i)</w:t>
        </w:r>
      </w:smartTag>
      <w:r>
        <w:t xml:space="preserve">. </w:t>
      </w:r>
    </w:p>
  </w:footnote>
  <w:footnote w:id="90">
    <w:p w14:paraId="0DC82042" w14:textId="77777777" w:rsidR="00494B49" w:rsidRDefault="00494B49">
      <w:pPr>
        <w:pStyle w:val="FootnoteText"/>
      </w:pPr>
      <w:r>
        <w:rPr>
          <w:rStyle w:val="FootnoteReference"/>
        </w:rPr>
        <w:footnoteRef/>
      </w:r>
      <w:r>
        <w:t xml:space="preserve">A trade or business activity within the meaning of Reg. </w:t>
      </w:r>
      <w:smartTag w:uri="http://www.bna.com/sgml2word/cite" w:element="cite.cfr">
        <w:smartTagPr>
          <w:attr w:name="ref" w:val="cfr\26\1.469-1T(e)(2)"/>
        </w:smartTagPr>
        <w:r>
          <w:t>§1.469-1T(e)(2)</w:t>
        </w:r>
      </w:smartTag>
      <w:r>
        <w:t xml:space="preserve"> (which cross-references Reg. </w:t>
      </w:r>
      <w:smartTag w:uri="http://www.bna.com/sgml2word/cite" w:element="cite.cfr">
        <w:smartTagPr>
          <w:attr w:name="ref" w:val="cfr\26\1.469-1(e)(2)"/>
        </w:smartTagPr>
        <w:r>
          <w:t>§1.469-1(e)(2)</w:t>
        </w:r>
      </w:smartTag>
      <w:r>
        <w:t xml:space="preserve">, then Reg. </w:t>
      </w:r>
      <w:smartTag w:uri="http://www.bna.com/sgml2word/cite" w:element="cite.cfr">
        <w:smartTagPr>
          <w:attr w:name="ref" w:val="cfr\26\1.469-1(e)(2)"/>
        </w:smartTagPr>
        <w:r>
          <w:t>§1.469-1(e)(2)</w:t>
        </w:r>
      </w:smartTag>
      <w:r>
        <w:t xml:space="preserve"> further cross-references Reg. </w:t>
      </w:r>
      <w:smartTag w:uri="http://www.bna.com/sgml2word/cite" w:element="cite.cfr">
        <w:smartTagPr>
          <w:attr w:name="ref" w:val="cfr\26\1.469-4(b)(1)"/>
        </w:smartTagPr>
        <w:r>
          <w:t>§1.469-4(b)(1)</w:t>
        </w:r>
      </w:smartTag>
      <w:r>
        <w:t xml:space="preserve">). </w:t>
      </w:r>
    </w:p>
  </w:footnote>
  <w:footnote w:id="91">
    <w:p w14:paraId="518A4A55" w14:textId="77777777" w:rsidR="00494B49" w:rsidRDefault="00494B49">
      <w:pPr>
        <w:pStyle w:val="FootnoteText"/>
      </w:pPr>
      <w:r>
        <w:rPr>
          <w:rStyle w:val="FootnoteReference"/>
        </w:rPr>
        <w:footnoteRef/>
      </w:r>
      <w:r>
        <w:t xml:space="preserve">Under Reg. </w:t>
      </w:r>
      <w:smartTag w:uri="http://www.bna.com/sgml2word/cite" w:element="cite.cfr">
        <w:smartTagPr>
          <w:attr w:name="ref" w:val="cfr\26\1.469-5T(c)(2)"/>
        </w:smartTagPr>
        <w:r>
          <w:t>§1.469-5T(c)(2)</w:t>
        </w:r>
      </w:smartTag>
      <w:r>
        <w:t>, an individual is treated as significantly participating in an activity for a tax year if the individual participates in the activity for more than 100 hours during the year.</w:t>
      </w:r>
    </w:p>
  </w:footnote>
  <w:footnote w:id="92">
    <w:p w14:paraId="41528E39" w14:textId="77777777" w:rsidR="00494B49" w:rsidRDefault="00494B49">
      <w:pPr>
        <w:pStyle w:val="FootnoteText"/>
      </w:pPr>
      <w:r>
        <w:rPr>
          <w:rStyle w:val="FootnoteReference"/>
        </w:rPr>
        <w:footnoteRef/>
      </w:r>
      <w:r>
        <w:t xml:space="preserve">Material participation is defined in Reg. </w:t>
      </w:r>
      <w:smartTag w:uri="http://www.bna.com/sgml2word/cite" w:element="cite.cfr">
        <w:smartTagPr>
          <w:attr w:name="ref" w:val="cfr\26\1.469-5T"/>
        </w:smartTagPr>
        <w:r>
          <w:t>§1.469-5T</w:t>
        </w:r>
      </w:smartTag>
      <w:r>
        <w:t xml:space="preserve">. </w:t>
      </w:r>
    </w:p>
  </w:footnote>
  <w:footnote w:id="93">
    <w:p w14:paraId="1726F767" w14:textId="77777777" w:rsidR="00494B49" w:rsidRDefault="00494B49">
      <w:pPr>
        <w:pStyle w:val="FootnoteText"/>
      </w:pPr>
      <w:r>
        <w:rPr>
          <w:rStyle w:val="FootnoteReference"/>
        </w:rPr>
        <w:footnoteRef/>
      </w:r>
      <w:r>
        <w:t xml:space="preserve">Consequently, an SPPA cannot be a rental activity (within the meaning of Reg. </w:t>
      </w:r>
      <w:smartTag w:uri="http://www.bna.com/sgml2word/cite" w:element="cite.cfr">
        <w:smartTagPr>
          <w:attr w:name="ref" w:val="cfr\26\1.469-1T(e)(3)"/>
        </w:smartTagPr>
        <w:r>
          <w:t>§1.469-1T(e)(3)</w:t>
        </w:r>
      </w:smartTag>
      <w:r>
        <w:t xml:space="preserve">), nor is it a trade or business activity in which the taxpayer otherwise qualifies as a material participant under any of the seven tests of Reg. </w:t>
      </w:r>
      <w:smartTag w:uri="http://www.bna.com/sgml2word/cite" w:element="cite.cfr">
        <w:smartTagPr>
          <w:attr w:name="ref" w:val="cfr\26\1.469-5T(a)"/>
        </w:smartTagPr>
        <w:r>
          <w:t>§1.469-5T(a)</w:t>
        </w:r>
      </w:smartTag>
      <w:r>
        <w:t>.</w:t>
      </w:r>
    </w:p>
  </w:footnote>
  <w:footnote w:id="94">
    <w:p w14:paraId="4CEDE3F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c)(2)"/>
        </w:smartTagPr>
        <w:r>
          <w:t>§1.469-5T(c)(2)</w:t>
        </w:r>
      </w:smartTag>
      <w:r>
        <w:t xml:space="preserve">. </w:t>
      </w:r>
    </w:p>
  </w:footnote>
  <w:footnote w:id="95">
    <w:p w14:paraId="5D4F4163" w14:textId="77777777" w:rsidR="00494B49" w:rsidRDefault="00494B49">
      <w:pPr>
        <w:pStyle w:val="FootnoteText"/>
      </w:pPr>
      <w:r>
        <w:rPr>
          <w:rStyle w:val="FootnoteReference"/>
        </w:rPr>
        <w:footnoteRef/>
      </w:r>
      <w:r>
        <w:t xml:space="preserve">The individual would materially participate if the taxpayer participates in the activity for more than 500 hours during the year (Reg. </w:t>
      </w:r>
      <w:smartTag w:uri="http://www.bna.com/sgml2word/cite" w:element="cite.cfr">
        <w:smartTagPr>
          <w:attr w:name="ref" w:val="cfr\26\1.469-5T(a)(1)"/>
        </w:smartTagPr>
        <w:r>
          <w:t>§1.469-5T(a)(1)</w:t>
        </w:r>
      </w:smartTag>
      <w:r>
        <w:t xml:space="preserve">) or participates in all significant participation activities combined for more than 500 hours during the year (Reg. </w:t>
      </w:r>
      <w:smartTag w:uri="http://www.bna.com/sgml2word/cite" w:element="cite.cfr">
        <w:smartTagPr>
          <w:attr w:name="ref" w:val="cfr\26\1.469-5T(a)(4)"/>
        </w:smartTagPr>
        <w:r>
          <w:t>§1.469-5T(a)(4)</w:t>
        </w:r>
      </w:smartTag>
      <w:r>
        <w:t xml:space="preserve">). The application of the 500 hours of material participation across all significant participation activities is applied regardless of whether the significant participation activities are grouped together (or are even eligible for grouping). </w:t>
      </w:r>
    </w:p>
  </w:footnote>
  <w:footnote w:id="96">
    <w:p w14:paraId="448C57D2" w14:textId="77777777" w:rsidR="00494B49" w:rsidRDefault="00494B49">
      <w:pPr>
        <w:pStyle w:val="FootnoteText"/>
      </w:pPr>
      <w:r>
        <w:rPr>
          <w:rStyle w:val="FootnoteReference"/>
        </w:rPr>
        <w:footnoteRef/>
      </w:r>
      <w:r>
        <w:t xml:space="preserve">A passive loss that is disallowed in a year due to </w:t>
      </w:r>
      <w:smartTag w:uri="http://www.bna.com/sgml2word/cite" w:element="cite.usc">
        <w:smartTagPr>
          <w:attr w:name="ref" w:val="USC\26\469(a)"/>
        </w:smartTagPr>
        <w:r>
          <w:t>§469(a)</w:t>
        </w:r>
      </w:smartTag>
      <w:r>
        <w:t xml:space="preserve"> is treated as a deduction from the activity in the following year. Reg. </w:t>
      </w:r>
      <w:smartTag w:uri="http://www.bna.com/sgml2word/cite" w:element="cite.cfr">
        <w:smartTagPr>
          <w:attr w:name="ref" w:val="cfr\26\1.469-1(f)(4)(i)(B)"/>
        </w:smartTagPr>
        <w:r>
          <w:t>§1.469-1(f)(4)(i)(B)</w:t>
        </w:r>
      </w:smartTag>
      <w:r>
        <w:t>.</w:t>
      </w:r>
    </w:p>
  </w:footnote>
  <w:footnote w:id="97">
    <w:p w14:paraId="5711D97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f)(2)(i)(C)"/>
        </w:smartTagPr>
        <w:r>
          <w:t>§1.469-1T(f)(2)(i)(C)</w:t>
        </w:r>
      </w:smartTag>
      <w:r>
        <w:t xml:space="preserve">. </w:t>
      </w:r>
    </w:p>
  </w:footnote>
  <w:footnote w:id="98">
    <w:p w14:paraId="62D1BE8B"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1T(f)(2)(i)(A)"/>
        </w:smartTagPr>
        <w:r>
          <w:t>§1.469-1T(f)(2)(i)(A)</w:t>
        </w:r>
      </w:smartTag>
      <w:r>
        <w:t>.</w:t>
      </w:r>
    </w:p>
  </w:footnote>
  <w:footnote w:id="99">
    <w:p w14:paraId="2387B96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
        </w:smartTagPr>
        <w:r>
          <w:t>§1.1411-5(b)(2)(ii)</w:t>
        </w:r>
      </w:smartTag>
      <w:r>
        <w:t>.</w:t>
      </w:r>
    </w:p>
  </w:footnote>
  <w:footnote w:id="100">
    <w:p w14:paraId="28E1901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101">
    <w:p w14:paraId="7062C2F6" w14:textId="77777777" w:rsidR="00494B49" w:rsidRDefault="00494B49">
      <w:pPr>
        <w:pStyle w:val="FootnoteText"/>
      </w:pPr>
      <w:r>
        <w:rPr>
          <w:rStyle w:val="FootnoteReference"/>
        </w:rPr>
        <w:footnoteRef/>
      </w:r>
      <w:r>
        <w:t xml:space="preserve">For this purpose, Reg. </w:t>
      </w:r>
      <w:smartTag w:uri="http://www.bna.com/sgml2word/cite" w:element="cite.cfr">
        <w:smartTagPr>
          <w:attr w:name="ref" w:val="cfr\26\1.469-1T(e)(6)(ii)"/>
        </w:smartTagPr>
        <w:r>
          <w:t>§1.469-1T(e)(6)(ii)</w:t>
        </w:r>
      </w:smartTag>
      <w:r>
        <w:t xml:space="preserve"> provides that the term personal property means personal property (within the meaning of </w:t>
      </w:r>
      <w:smartTag w:uri="http://www.bna.com/sgml2word/cite" w:element="cite.usc">
        <w:smartTagPr>
          <w:attr w:name="ref" w:val="USC\26\1092(d)"/>
        </w:smartTagPr>
        <w:r>
          <w:t>§1092(d)</w:t>
        </w:r>
      </w:smartTag>
      <w:r>
        <w:t xml:space="preserve">, without regard to </w:t>
      </w:r>
      <w:smartTag w:uri="http://www.bna.com/sgml2word/cite" w:element="cite.usc">
        <w:smartTagPr>
          <w:attr w:name="ref" w:val="USC\26\1092(d)(3)"/>
        </w:smartTagPr>
        <w:r>
          <w:t>§1092(d)(3)</w:t>
        </w:r>
      </w:smartTag>
      <w:r>
        <w:t xml:space="preserve">). </w:t>
      </w:r>
      <w:smartTag w:uri="http://www.bna.com/sgml2word/cite" w:element="cite.usc">
        <w:smartTagPr>
          <w:attr w:name="ref" w:val="USC\26\1092(d)(1)"/>
        </w:smartTagPr>
        <w:r>
          <w:t>Section 1092(d)(1)</w:t>
        </w:r>
      </w:smartTag>
      <w:r>
        <w:t xml:space="preserve"> provides that personal property means any personal property of a type that is actively traded. </w:t>
      </w:r>
    </w:p>
  </w:footnote>
  <w:footnote w:id="102">
    <w:p w14:paraId="17DE3F12"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2. </w:t>
      </w:r>
    </w:p>
  </w:footnote>
  <w:footnote w:id="103">
    <w:p w14:paraId="44265800" w14:textId="77777777" w:rsidR="00494B49" w:rsidRDefault="00494B49">
      <w:pPr>
        <w:pStyle w:val="FootnoteText"/>
      </w:pPr>
      <w:r>
        <w:rPr>
          <w:rStyle w:val="FootnoteReference"/>
        </w:rPr>
        <w:footnoteRef/>
      </w:r>
      <w:r>
        <w:t>2010-4 I.R.B. 329.</w:t>
      </w:r>
    </w:p>
  </w:footnote>
  <w:footnote w:id="104">
    <w:p w14:paraId="0E0AD643"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Bus. Entities (Mar./Apr. 2015).</w:t>
      </w:r>
    </w:p>
  </w:footnote>
  <w:footnote w:id="105">
    <w:p w14:paraId="50CA8F2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w:t>
      </w:r>
    </w:p>
  </w:footnote>
  <w:footnote w:id="106">
    <w:p w14:paraId="05E2713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A)"/>
        </w:smartTagPr>
        <w:r>
          <w:t>§1.469-11(b)(3)(iv)(A)</w:t>
        </w:r>
      </w:smartTag>
      <w:r>
        <w:t xml:space="preserve">. </w:t>
      </w:r>
    </w:p>
  </w:footnote>
  <w:footnote w:id="107">
    <w:p w14:paraId="5B1EC8C3"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This rule applies equally to changes to modified adjusted gross income or net investment income upon an IRS examination.</w:t>
      </w:r>
    </w:p>
  </w:footnote>
  <w:footnote w:id="108">
    <w:p w14:paraId="4708C2F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xml:space="preserve">. The voiding of the regrouping may cause additional changes to the taxpayer’s current year return and may result in amended returns in subsequent years to restore the taxpayer’s original groupings. </w:t>
      </w:r>
    </w:p>
  </w:footnote>
  <w:footnote w:id="109">
    <w:p w14:paraId="362D888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0">
    <w:p w14:paraId="0BDB7F5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1">
    <w:p w14:paraId="7EB19781" w14:textId="77777777" w:rsidR="00494B49" w:rsidRDefault="00494B49">
      <w:pPr>
        <w:pStyle w:val="FootnoteText"/>
      </w:pPr>
      <w:r>
        <w:rPr>
          <w:rStyle w:val="FootnoteReference"/>
        </w:rPr>
        <w:footnoteRef/>
      </w:r>
      <w:r>
        <w:t xml:space="preserve">In support of that position, commentators cited cases such as </w:t>
      </w:r>
      <w:r>
        <w:rPr>
          <w:rStyle w:val="BCasenamefull"/>
        </w:rPr>
        <w:t>Fackler v. Commissioner</w:t>
      </w:r>
      <w:r>
        <w:t xml:space="preserve">, </w:t>
      </w:r>
      <w:smartTag w:uri="http://www.bna.com/sgml2word/cite" w:element="cite.parallel">
        <w:smartTagPr>
          <w:attr w:name="ref" w:val="BTA\45\708"/>
        </w:smartTagPr>
        <w:r>
          <w:t>45 BTA 708</w:t>
        </w:r>
      </w:smartTag>
      <w:r>
        <w:t xml:space="preserve"> (1941), aff’d, </w:t>
      </w:r>
      <w:smartTag w:uri="http://www.bna.com/sgml2word/cite" w:element="cite.parallel">
        <w:smartTagPr>
          <w:attr w:name="ref" w:val="F2D\133\509"/>
        </w:smartTagPr>
        <w:r>
          <w:t>133 F.2d 509</w:t>
        </w:r>
      </w:smartTag>
      <w:r>
        <w:t xml:space="preserve"> (6th Cir. 1943); </w:t>
      </w:r>
      <w:r>
        <w:rPr>
          <w:rStyle w:val="BCasenamefull"/>
        </w:rPr>
        <w:t>Hazard v. Commissioner</w:t>
      </w:r>
      <w:r>
        <w:t xml:space="preserve">, </w:t>
      </w:r>
      <w:smartTag w:uri="http://www.bna.com/sgml2word/cite" w:element="cite.parallel">
        <w:smartTagPr>
          <w:attr w:name="ref" w:val="TC\7\372"/>
        </w:smartTagPr>
        <w:r>
          <w:t>7 T.C. 372</w:t>
        </w:r>
      </w:smartTag>
      <w:r>
        <w:t xml:space="preserve"> (1946); and </w:t>
      </w:r>
      <w:r>
        <w:rPr>
          <w:rStyle w:val="BCasenamefull"/>
        </w:rPr>
        <w:t>Lagreide v. Commissioner</w:t>
      </w:r>
      <w:r>
        <w:t xml:space="preserve">, </w:t>
      </w:r>
      <w:smartTag w:uri="http://www.bna.com/sgml2word/cite" w:element="cite.parallel">
        <w:smartTagPr>
          <w:attr w:name="ref" w:val="TC\23\508"/>
        </w:smartTagPr>
        <w:r>
          <w:t>23 T.C. 508</w:t>
        </w:r>
      </w:smartTag>
      <w:r>
        <w:t xml:space="preserve"> (1954), for the proposition that the activities of a single property can rise to the level of a trade or business. </w:t>
      </w:r>
    </w:p>
  </w:footnote>
  <w:footnote w:id="112">
    <w:p w14:paraId="7E0E1AB5"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5.B.ii.a.</w:t>
      </w:r>
    </w:p>
  </w:footnote>
  <w:footnote w:id="113">
    <w:p w14:paraId="7E2392D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3)"/>
        </w:smartTagPr>
        <w:r>
          <w:t>§1.1411-5(b)(3)</w:t>
        </w:r>
      </w:smartTag>
      <w:r>
        <w:t xml:space="preserve"> </w:t>
      </w:r>
      <w:r>
        <w:rPr>
          <w:i/>
        </w:rPr>
        <w:t>Ex. 1</w:t>
      </w:r>
      <w:r>
        <w:t>.</w:t>
      </w:r>
    </w:p>
  </w:footnote>
  <w:footnote w:id="114">
    <w:p w14:paraId="35C5B433" w14:textId="77777777" w:rsidR="00494B49" w:rsidRDefault="00494B49">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Part 5.B.ii.a. (“In cases where other Code provisions use a trade or business standard that is the same or substantially similar to the </w:t>
      </w:r>
      <w:smartTag w:uri="http://www.bna.com/sgml2word/cite" w:element="cite.usc">
        <w:smartTagPr>
          <w:attr w:name="ref" w:val="USC\26\162"/>
        </w:smartTagPr>
        <w:r>
          <w:t>§162</w:t>
        </w:r>
      </w:smartTag>
      <w:r>
        <w:t xml:space="preserve"> standard adopted in these final regulations, the IRS will closely scrutinize situations where taxpayers take the position that an activity is a trade or business for purposes of </w:t>
      </w:r>
      <w:smartTag w:uri="http://www.bna.com/sgml2word/cite" w:element="cite.usc">
        <w:smartTagPr>
          <w:attr w:name="ref" w:val="USC\26\1411"/>
        </w:smartTagPr>
        <w:r>
          <w:t>§1411</w:t>
        </w:r>
      </w:smartTag>
      <w:r>
        <w:t xml:space="preserve">, but not a trade or business for purposes of other provisions. For example, if a taxpayer takes the position that a certain rental activity is a trade or business for purposes of </w:t>
      </w:r>
      <w:smartTag w:uri="http://www.bna.com/sgml2word/cite" w:element="cite.usc">
        <w:smartTagPr>
          <w:attr w:name="ref" w:val="USC\26\1411"/>
        </w:smartTagPr>
        <w:r>
          <w:t>§1411</w:t>
        </w:r>
      </w:smartTag>
      <w:r>
        <w:t xml:space="preserve">, the IRS will take into account the facts and circumstances surrounding the taxpayer’s determination of a trade or business for other purposes, such as whether the taxpayer complies with any information reporting requirements for the rental activity imposed by </w:t>
      </w:r>
      <w:smartTag w:uri="http://www.bna.com/sgml2word/cite" w:element="cite.usc">
        <w:smartTagPr>
          <w:attr w:name="ref" w:val="USC\26\6041"/>
        </w:smartTagPr>
        <w:r>
          <w:t>section 6041</w:t>
        </w:r>
      </w:smartTag>
      <w:r>
        <w:t>.”).</w:t>
      </w:r>
    </w:p>
  </w:footnote>
  <w:footnote w:id="115">
    <w:p w14:paraId="7C9EDDDE"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643"/>
        </w:smartTagPr>
        <w:r>
          <w:t>643 T.M.</w:t>
        </w:r>
      </w:smartTag>
      <w:r>
        <w:t xml:space="preserve">, </w:t>
      </w:r>
      <w:r>
        <w:rPr>
          <w:i/>
        </w:rPr>
        <w:t>Information Reporting to U.S. Persons — Payments Subject to Back-Up Withholding</w:t>
      </w:r>
      <w:r>
        <w:t xml:space="preserve">. </w:t>
      </w:r>
    </w:p>
  </w:footnote>
  <w:footnote w:id="116">
    <w:p w14:paraId="75B2899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6721(a)"/>
        </w:smartTagPr>
        <w:r>
          <w:t>§6721(a)</w:t>
        </w:r>
      </w:smartTag>
      <w:r>
        <w:t xml:space="preserve">. For a detailed discussion of information reporting penalties, see </w:t>
      </w:r>
      <w:smartTag w:uri="http://www.bna.com/sgml2word/cite" w:element="cite.bna.reference">
        <w:smartTagPr>
          <w:attr w:name="bna.id.ref" w:val="TM\634"/>
        </w:smartTagPr>
        <w:r>
          <w:t>634 T.M.</w:t>
        </w:r>
      </w:smartTag>
      <w:r>
        <w:t xml:space="preserve">, </w:t>
      </w:r>
      <w:r>
        <w:rPr>
          <w:i/>
        </w:rPr>
        <w:t>Certain Information Returns and Payee Statements</w:t>
      </w:r>
      <w:r>
        <w:t>.</w:t>
      </w:r>
    </w:p>
  </w:footnote>
  <w:footnote w:id="117">
    <w:p w14:paraId="5D54DD63" w14:textId="77777777" w:rsidR="00494B49" w:rsidRDefault="00494B49">
      <w:pPr>
        <w:pStyle w:val="FootnoteText"/>
      </w:pPr>
      <w:r>
        <w:rPr>
          <w:rStyle w:val="FootnoteReference"/>
        </w:rPr>
        <w:footnoteRef/>
      </w:r>
      <w:r>
        <w:t xml:space="preserve">There was some question about whether hedging transactions conducted by farmers would cause the farmer to be a trader in commodities or financial instruments related to commodities. Unless the farm operation is conducting transactions in the financial markets that are unrelated to hedging of the farm’s operations (such as trading futures contracts on 1 million bushels of corn when the farm’s historical yield has only been 50,000 bushels), there is a very low likelihood that anyone would consider a farm a </w:t>
      </w:r>
      <w:smartTag w:uri="http://www.bna.com/sgml2word/cite" w:element="cite.usc">
        <w:smartTagPr>
          <w:attr w:name="ref" w:val="USC\26\1411(c)(2)(B)"/>
        </w:smartTagPr>
        <w:r>
          <w:t>§1411(c)(2)(B)</w:t>
        </w:r>
      </w:smartTag>
      <w:r>
        <w:t xml:space="preserve"> business. </w:t>
      </w:r>
    </w:p>
  </w:footnote>
  <w:footnote w:id="118">
    <w:p w14:paraId="1BBE0B17"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2032A"/>
        </w:smartTagPr>
        <w:r>
          <w:t>§2032A</w:t>
        </w:r>
      </w:smartTag>
      <w:r>
        <w:t xml:space="preserve">, see </w:t>
      </w:r>
      <w:smartTag w:uri="http://www.bna.com/sgml2word/cite" w:element="cite.bna.reference">
        <w:smartTagPr>
          <w:attr w:name="bna.id.ref" w:val="TM\833"/>
        </w:smartTagPr>
        <w:r>
          <w:t>833 T.M.</w:t>
        </w:r>
      </w:smartTag>
      <w:r>
        <w:t xml:space="preserve">, </w:t>
      </w:r>
      <w:r>
        <w:rPr>
          <w:i/>
        </w:rPr>
        <w:t>Special Use Valuation (Section 2032A)</w:t>
      </w:r>
      <w:r>
        <w:t xml:space="preserve"> (Estates, Gifts, and Trusts Series).</w:t>
      </w:r>
    </w:p>
  </w:footnote>
  <w:footnote w:id="119">
    <w:p w14:paraId="64BC28F3" w14:textId="77777777" w:rsidR="00494B49" w:rsidRDefault="00494B49">
      <w:pPr>
        <w:pStyle w:val="FootnoteText"/>
      </w:pPr>
      <w:r>
        <w:rPr>
          <w:rStyle w:val="FootnoteReference"/>
        </w:rPr>
        <w:footnoteRef/>
      </w:r>
      <w:smartTag w:uri="http://www.bna.com/sgml2word/cite" w:element="cite.usc">
        <w:smartTagPr>
          <w:attr w:name="ref" w:val="USC\26\2032A(b)(4)"/>
        </w:smartTagPr>
        <w:r>
          <w:t>Section 2032A(b)(4)</w:t>
        </w:r>
      </w:smartTag>
      <w:r>
        <w:t xml:space="preserve"> provides that, in applying the above “5-out-of-8 years” rule, the taxpayer may disregard periods in which the decedent was retired (i.e., receiving old-age Social Security benefits), or disabled (i.e., mentally or physically impaired such that material participation is not possible).</w:t>
      </w:r>
    </w:p>
  </w:footnote>
  <w:footnote w:id="120">
    <w:p w14:paraId="217BE9F1" w14:textId="77777777" w:rsidR="00494B49" w:rsidRDefault="00494B49">
      <w:pPr>
        <w:pStyle w:val="FootnoteText"/>
      </w:pPr>
      <w:r>
        <w:rPr>
          <w:rStyle w:val="FootnoteReference"/>
        </w:rPr>
        <w:footnoteRef/>
      </w:r>
      <w:smartTag w:uri="http://www.bna.com/sgml2word/cite" w:element="cite.usc">
        <w:smartTagPr>
          <w:attr w:name="ref" w:val="USC\26\2032A(b)(5)"/>
        </w:smartTagPr>
        <w:r>
          <w:t>Section 2032A(b)(5)</w:t>
        </w:r>
      </w:smartTag>
      <w:r>
        <w:t xml:space="preserve"> provides that, if the 5-out-of-8 years rule is met with regard to a deceased taxpayer (including through the application of </w:t>
      </w:r>
      <w:smartTag w:uri="http://www.bna.com/sgml2word/cite" w:element="cite.usc">
        <w:smartTagPr>
          <w:attr w:name="ref" w:val="USC\26\2032A(b)(4)"/>
        </w:smartTagPr>
        <w:r>
          <w:t>§2032A(b)(4)</w:t>
        </w:r>
      </w:smartTag>
      <w:r>
        <w:t xml:space="preserve"> described above), it is deemed to be met with regard to the taxpayer’s surviving spouse, provided that the surviving spouse actively manages the farming activity when not retired or disabled (as defined in </w:t>
      </w:r>
      <w:smartTag w:uri="http://www.bna.com/sgml2word/cite" w:element="cite.usc">
        <w:smartTagPr>
          <w:attr w:name="ref" w:val="USC\26\2032A(b)(4)"/>
        </w:smartTagPr>
        <w:r>
          <w:t>§2032A(b)(4)</w:t>
        </w:r>
      </w:smartTag>
      <w:r>
        <w:t xml:space="preserve"> above). </w:t>
      </w:r>
    </w:p>
  </w:footnote>
  <w:footnote w:id="121">
    <w:p w14:paraId="29CA791A" w14:textId="77777777" w:rsidR="00494B49" w:rsidRDefault="00494B49">
      <w:pPr>
        <w:pStyle w:val="FootnoteText"/>
      </w:pPr>
      <w:r>
        <w:rPr>
          <w:rStyle w:val="FootnoteReference"/>
        </w:rPr>
        <w:footnoteRef/>
      </w:r>
      <w:r>
        <w:t xml:space="preserve">Active management is defined as “the making of the management decisions of a business (other than the daily operating decisions).” </w:t>
      </w:r>
      <w:smartTag w:uri="http://www.bna.com/sgml2word/cite" w:element="cite.usc">
        <w:smartTagPr>
          <w:attr w:name="ref" w:val="USC\26\2032A(e)(12)"/>
        </w:smartTagPr>
        <w:r>
          <w:t>§2032A(e)(12)</w:t>
        </w:r>
      </w:smartTag>
      <w:r>
        <w:t xml:space="preserve">. The Senate Finance Committee report for adding this provision through the Economic Recovery Tax Act of 1981 notes that the activity management test may be met even though no self-employment tax is payable under </w:t>
      </w:r>
      <w:smartTag w:uri="http://www.bna.com/sgml2word/cite" w:element="cite.usc">
        <w:smartTagPr>
          <w:attr w:name="ref" w:val="USC\26\1401"/>
        </w:smartTagPr>
        <w:r>
          <w:t>§1401</w:t>
        </w:r>
      </w:smartTag>
      <w:r>
        <w:t xml:space="preserve"> by the spouse. Active management may involve inspecting growing crops, reviewing and approving annual crop plans in advance of planting, making a substantial number of management decisions of the business operation and approving expenditures for other than nominal operating expenses in advance of incurring the expense. Deciding which crops to plant or how many head of livestock to raise, how to finance business operations, and which expenditures for capital improvements are part of what, is considered active management (S. Rep. No. 144, 97th Cong., 1st Sess., 1981).</w:t>
      </w:r>
    </w:p>
  </w:footnote>
  <w:footnote w:id="122">
    <w:p w14:paraId="579496E9" w14:textId="77777777" w:rsidR="00494B49" w:rsidRDefault="00494B49">
      <w:pPr>
        <w:pStyle w:val="FootnoteText"/>
      </w:pPr>
      <w:r>
        <w:rPr>
          <w:rStyle w:val="FootnoteReference"/>
        </w:rPr>
        <w:footnoteRef/>
      </w:r>
      <w:r>
        <w:t xml:space="preserve">The conversion of the property from a farming trade or business activity to a rental activity is a </w:t>
      </w:r>
      <w:smartTag w:uri="http://www.bna.com/sgml2word/cite" w:element="cite.usc">
        <w:smartTagPr>
          <w:attr w:name="ref" w:val="USC\26\469"/>
        </w:smartTagPr>
        <w:r>
          <w:t>§469</w:t>
        </w:r>
      </w:smartTag>
      <w:r>
        <w:t xml:space="preserve"> determination and is independent of whether it would continue to be considered a “qualified use” under </w:t>
      </w:r>
      <w:smartTag w:uri="http://www.bna.com/sgml2word/cite" w:element="cite.usc">
        <w:smartTagPr>
          <w:attr w:name="ref" w:val="USC\26\2032A(b)(2)"/>
        </w:smartTagPr>
        <w:r>
          <w:t>§2032A(b)(2)</w:t>
        </w:r>
      </w:smartTag>
      <w:r>
        <w:t xml:space="preserve">. </w:t>
      </w:r>
    </w:p>
  </w:footnote>
  <w:footnote w:id="123">
    <w:p w14:paraId="7A6E58E2" w14:textId="77777777" w:rsidR="00494B49" w:rsidRDefault="00494B49">
      <w:pPr>
        <w:pStyle w:val="FootnoteText"/>
      </w:pPr>
      <w:r>
        <w:rPr>
          <w:rStyle w:val="FootnoteReference"/>
        </w:rPr>
        <w:footnoteRef/>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w:t>
      </w:r>
    </w:p>
  </w:footnote>
  <w:footnote w:id="124">
    <w:p w14:paraId="7654DA0C" w14:textId="77777777" w:rsidR="00494B49" w:rsidRDefault="00494B49">
      <w:pPr>
        <w:pStyle w:val="FootnoteText"/>
      </w:pPr>
      <w:r>
        <w:rPr>
          <w:rStyle w:val="FootnoteReference"/>
        </w:rPr>
        <w:footnoteRef/>
      </w:r>
      <w:r>
        <w:t xml:space="preserve">For a detailed discussion of what constitutes a dealer in securities under </w:t>
      </w:r>
      <w:smartTag w:uri="http://www.bna.com/sgml2word/cite" w:element="cite.usc">
        <w:smartTagPr>
          <w:attr w:name="ref" w:val="USC\26\475"/>
        </w:smartTagPr>
        <w:r>
          <w:t>§475</w:t>
        </w:r>
      </w:smartTag>
      <w:r>
        <w:t xml:space="preserve">, see </w:t>
      </w:r>
      <w:smartTag w:uri="http://www.bna.com/sgml2word/cite" w:element="cite.bna.reference">
        <w:smartTagPr>
          <w:attr w:name="bna.id.ref" w:val="TM\543"/>
        </w:smartTagPr>
        <w:r>
          <w:t>543 T.M.</w:t>
        </w:r>
      </w:smartTag>
      <w:r>
        <w:t xml:space="preserve">, </w:t>
      </w:r>
      <w:r>
        <w:rPr>
          <w:i/>
        </w:rPr>
        <w:t xml:space="preserve">The Mark-to-Market Rules of </w:t>
      </w:r>
      <w:smartTag w:uri="http://www.bna.com/sgml2word/cite" w:element="cite.usc">
        <w:smartTagPr>
          <w:attr w:name="ref" w:val="USC\26\475"/>
        </w:smartTagPr>
        <w:r>
          <w:rPr>
            <w:i/>
          </w:rPr>
          <w:t>Section 475</w:t>
        </w:r>
      </w:smartTag>
      <w:r>
        <w:t>.</w:t>
      </w:r>
    </w:p>
  </w:footnote>
  <w:footnote w:id="125">
    <w:p w14:paraId="303DF99E" w14:textId="77777777" w:rsidR="00494B49" w:rsidRDefault="00494B49">
      <w:pPr>
        <w:pStyle w:val="FootnoteText"/>
      </w:pPr>
      <w:r>
        <w:rPr>
          <w:rStyle w:val="FootnoteReference"/>
        </w:rPr>
        <w:footnoteRef/>
      </w:r>
      <w:r>
        <w:rPr>
          <w:i/>
        </w:rPr>
        <w:t>See</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King v. Commissioner</w:t>
      </w:r>
      <w:r>
        <w:t xml:space="preserve">, </w:t>
      </w:r>
      <w:smartTag w:uri="http://www.bna.com/sgml2word/cite" w:element="cite.parallel">
        <w:smartTagPr>
          <w:attr w:name="ref" w:val="TC\89\445"/>
        </w:smartTagPr>
        <w:r>
          <w:t>89 T.C. 445</w:t>
        </w:r>
      </w:smartTag>
      <w:r>
        <w:t xml:space="preserve"> (1987).</w:t>
      </w:r>
    </w:p>
  </w:footnote>
  <w:footnote w:id="126">
    <w:p w14:paraId="549DF498" w14:textId="77777777" w:rsidR="00494B49" w:rsidRDefault="00494B49">
      <w:pPr>
        <w:pStyle w:val="FootnoteText"/>
      </w:pPr>
      <w:r>
        <w:rPr>
          <w:rStyle w:val="FootnoteReference"/>
        </w:rPr>
        <w:footnoteRef/>
      </w:r>
      <w:r>
        <w:t xml:space="preserve">For a detailed discussion of how the courts have wrestled with the trader vs. investor classification, see </w:t>
      </w:r>
      <w:smartTag w:uri="http://www.bna.com/sgml2word/cite" w:element="cite.bna.reference">
        <w:smartTagPr>
          <w:attr w:name="bna.id.ref" w:val="TM\736"/>
        </w:smartTagPr>
        <w:r>
          <w:t>736 T.M.</w:t>
        </w:r>
      </w:smartTag>
      <w:r>
        <w:t xml:space="preserve">, </w:t>
      </w:r>
      <w:r>
        <w:rPr>
          <w:i/>
        </w:rPr>
        <w:t>Hedge Funds</w:t>
      </w:r>
      <w:r>
        <w:t>.</w:t>
      </w:r>
    </w:p>
  </w:footnote>
  <w:footnote w:id="127">
    <w:p w14:paraId="4ABD4F06" w14:textId="77777777" w:rsidR="00494B49" w:rsidRDefault="00494B49">
      <w:pPr>
        <w:pStyle w:val="FootnoteText"/>
      </w:pPr>
      <w:r>
        <w:rPr>
          <w:rStyle w:val="FootnoteReference"/>
        </w:rPr>
        <w:footnoteRef/>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w:t>
      </w:r>
    </w:p>
  </w:footnote>
  <w:footnote w:id="128">
    <w:p w14:paraId="5B8D70EB" w14:textId="77777777" w:rsidR="00494B49" w:rsidRDefault="00494B49">
      <w:pPr>
        <w:pStyle w:val="FootnoteText"/>
      </w:pPr>
      <w:r>
        <w:rPr>
          <w:rStyle w:val="FootnoteReference"/>
        </w:rPr>
        <w:footnoteRef/>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unpub. op., </w:t>
      </w:r>
      <w:smartTag w:uri="http://www.bna.com/sgml2word/cite" w:element="cite.parallel">
        <w:smartTagPr>
          <w:attr w:name="ref" w:val="F3D\164\629"/>
        </w:smartTagPr>
        <w:r>
          <w:t>164 F.3d 629</w:t>
        </w:r>
      </w:smartTag>
      <w:r>
        <w:t xml:space="preserve"> (9th Cir. 1998).</w:t>
      </w:r>
    </w:p>
  </w:footnote>
  <w:footnote w:id="129">
    <w:p w14:paraId="5C31DC1C" w14:textId="77777777" w:rsidR="00494B49" w:rsidRDefault="00494B49">
      <w:pPr>
        <w:pStyle w:val="FootnoteText"/>
      </w:pPr>
      <w:r>
        <w:rPr>
          <w:rStyle w:val="FootnoteReference"/>
        </w:rPr>
        <w:footnoteRef/>
      </w:r>
      <w:smartTag w:uri="http://www.bna.com/sgml2word/cite" w:element="cite.usc">
        <w:smartTagPr>
          <w:attr w:name="ref" w:val="USC\26\1411(c)(2)(B)"/>
        </w:smartTagPr>
        <w:r>
          <w:t>§1411(c)(2)(B)</w:t>
        </w:r>
      </w:smartTag>
      <w:r>
        <w:t xml:space="preserve">. </w:t>
      </w:r>
    </w:p>
  </w:footnote>
  <w:footnote w:id="130">
    <w:p w14:paraId="7FD5F7DC" w14:textId="77777777" w:rsidR="00494B49" w:rsidRDefault="00494B49">
      <w:pPr>
        <w:pStyle w:val="FootnoteText"/>
      </w:pPr>
      <w:r>
        <w:rPr>
          <w:rStyle w:val="FootnoteReference"/>
        </w:rPr>
        <w:footnoteRef/>
      </w:r>
      <w:r>
        <w:t xml:space="preserve">One commentator to the 2012 Proposed Regulations had suggested that the term “stock” in the definition of a financial instrument be replaced with the phrase “security as defined in </w:t>
      </w:r>
      <w:smartTag w:uri="http://www.bna.com/sgml2word/cite" w:element="cite.usc">
        <w:smartTagPr>
          <w:attr w:name="ref" w:val="USC\26\2(a)(1)"/>
        </w:smartTagPr>
        <w:r>
          <w:t>section 2(a)(1)</w:t>
        </w:r>
      </w:smartTag>
      <w:r>
        <w:t xml:space="preserve"> of the Securities Act of 1933” to broaden the scope of the definition. The Treasury Department and IRS did not adopt this suggestion, finding no indication that Congress intended the definition of “financial instrument” to be coextensive with the definition of the term “security” used by the SEC, as evidenced by the use of “financial instrument” rather than “security” in </w:t>
      </w:r>
      <w:smartTag w:uri="http://www.bna.com/sgml2word/cite" w:element="cite.usc">
        <w:smartTagPr>
          <w:attr w:name="ref" w:val="USC\26\1411(c)(2)(B)"/>
        </w:smartTagPr>
        <w:r>
          <w:t>§1411(c)(2)(B)</w:t>
        </w:r>
      </w:smartTag>
      <w:r>
        <w:t xml:space="preserve">. </w:t>
      </w:r>
    </w:p>
  </w:footnote>
  <w:footnote w:id="131">
    <w:p w14:paraId="4E929D0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c)(1)"/>
        </w:smartTagPr>
        <w:r>
          <w:t>§1.1411-5(c)(1)</w:t>
        </w:r>
      </w:smartTag>
      <w:r>
        <w:t xml:space="preserve">. </w:t>
      </w:r>
    </w:p>
  </w:footnote>
  <w:footnote w:id="132">
    <w:p w14:paraId="699EAA72" w14:textId="77777777" w:rsidR="00494B49" w:rsidRDefault="00494B49">
      <w:pPr>
        <w:pStyle w:val="FootnoteText"/>
      </w:pPr>
      <w:r>
        <w:rPr>
          <w:rStyle w:val="FootnoteReference"/>
        </w:rPr>
        <w:footnoteRef/>
      </w:r>
      <w:r>
        <w:t xml:space="preserve">The NIIT definition of “financial instrument” in Reg. </w:t>
      </w:r>
      <w:smartTag w:uri="http://www.bna.com/sgml2word/cite" w:element="cite.cfr">
        <w:smartTagPr>
          <w:attr w:name="ref" w:val="cfr\26\1.1411-5(c)(1)"/>
        </w:smartTagPr>
        <w:r>
          <w:t>§1.1411-5(c)(1)</w:t>
        </w:r>
      </w:smartTag>
      <w:r>
        <w:t xml:space="preserve"> also includes “any evidence of an interest in any of the listed items” in Reg. </w:t>
      </w:r>
      <w:smartTag w:uri="http://www.bna.com/sgml2word/cite" w:element="cite.cfr">
        <w:smartTagPr>
          <w:attr w:name="ref" w:val="cfr\26\1.1411-5(c)(1)"/>
        </w:smartTagPr>
        <w:r>
          <w:t>§1.1411-5(c)(1)</w:t>
        </w:r>
      </w:smartTag>
      <w:r>
        <w:t xml:space="preserve"> that is not contained in </w:t>
      </w:r>
      <w:smartTag w:uri="http://www.bna.com/sgml2word/cite" w:element="cite.usc">
        <w:smartTagPr>
          <w:attr w:name="ref" w:val="USC\26\731(c)(2)(C)"/>
        </w:smartTagPr>
        <w:r>
          <w:t>§731(c)(2)(C)</w:t>
        </w:r>
      </w:smartTag>
      <w:r>
        <w:t xml:space="preserve">. Evidence of an interest in any of the items described in Reg. </w:t>
      </w:r>
      <w:smartTag w:uri="http://www.bna.com/sgml2word/cite" w:element="cite.cfr">
        <w:smartTagPr>
          <w:attr w:name="ref" w:val="cfr\26\1.1411-5(c)(1)"/>
        </w:smartTagPr>
        <w:r>
          <w:t>§1.1411-5(c)(1)</w:t>
        </w:r>
      </w:smartTag>
      <w:r>
        <w:t xml:space="preserve"> includes, but is not limited to, short positions or partial units. For a detailed discussion of what constitutes a financial instrument within the meaning of </w:t>
      </w:r>
      <w:smartTag w:uri="http://www.bna.com/sgml2word/cite" w:element="cite.usc">
        <w:smartTagPr>
          <w:attr w:name="ref" w:val="USC\26\731(c)(2)(C)"/>
        </w:smartTagPr>
        <w:r>
          <w:t>§731(c)(2)(C)</w:t>
        </w:r>
      </w:smartTag>
      <w:r>
        <w:t xml:space="preserve">,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w:t>
      </w:r>
    </w:p>
  </w:footnote>
  <w:footnote w:id="133">
    <w:p w14:paraId="06FDCB42"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6.B. </w:t>
      </w:r>
    </w:p>
  </w:footnote>
  <w:footnote w:id="134">
    <w:p w14:paraId="516B4F6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6)(i)"/>
        </w:smartTagPr>
        <w:r>
          <w:t>§1.469-1T(e)(6)(i)</w:t>
        </w:r>
      </w:smartTag>
      <w:r>
        <w:t xml:space="preserve">. For this purpose, the rule applies regardless of whether the activity is a trade or business within the meaning of Reg. </w:t>
      </w:r>
      <w:smartTag w:uri="http://www.bna.com/sgml2word/cite" w:element="cite.cfr">
        <w:smartTagPr>
          <w:attr w:name="ref" w:val="cfr\26\1.469-1(e)(2)"/>
        </w:smartTagPr>
        <w:r>
          <w:t>§1.469-1(e)(2)</w:t>
        </w:r>
      </w:smartTag>
      <w:r>
        <w:t xml:space="preserve">. </w:t>
      </w:r>
    </w:p>
  </w:footnote>
  <w:footnote w:id="135">
    <w:p w14:paraId="1CD23DF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6)(ii)"/>
        </w:smartTagPr>
        <w:r>
          <w:t>§1.469-1T(e)(6)(ii)</w:t>
        </w:r>
      </w:smartTag>
      <w:r>
        <w:t>.</w:t>
      </w:r>
    </w:p>
  </w:footnote>
  <w:footnote w:id="136">
    <w:p w14:paraId="48A0303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c)(3)"/>
        </w:smartTagPr>
        <w:r>
          <w:t>§1411(c)(3)</w:t>
        </w:r>
      </w:smartTag>
      <w:r>
        <w:t xml:space="preserve"> (working capital); Reg. </w:t>
      </w:r>
      <w:smartTag w:uri="http://www.bna.com/sgml2word/cite" w:element="cite.cfr">
        <w:smartTagPr>
          <w:attr w:name="ref" w:val="cfr\26\1.1411-6(a)"/>
        </w:smartTagPr>
        <w:r>
          <w:t>§1.1411-6(a)</w:t>
        </w:r>
      </w:smartTag>
      <w:r>
        <w:t xml:space="preserve"> (cross-reference to Reg. </w:t>
      </w:r>
      <w:smartTag w:uri="http://www.bna.com/sgml2word/cite" w:element="cite.cfr">
        <w:smartTagPr>
          <w:attr w:name="ref" w:val="cfr\26\1.1411-2T(c)(e)(ii)"/>
        </w:smartTagPr>
        <w:r>
          <w:t>§1.1411-2T(c)(e)(ii)</w:t>
        </w:r>
      </w:smartTag>
      <w:r>
        <w:t xml:space="preserve">), and Reg. </w:t>
      </w:r>
      <w:smartTag w:uri="http://www.bna.com/sgml2word/cite" w:element="cite.cfr">
        <w:smartTagPr>
          <w:attr w:name="ref" w:val="cfr\26\1.1411-4(b)(3)"/>
        </w:smartTagPr>
        <w:r>
          <w:t>§1.1411-4(b)(3)</w:t>
        </w:r>
      </w:smartTag>
      <w:r>
        <w:rPr>
          <w:i/>
        </w:rPr>
        <w:t xml:space="preserve"> Ex.</w:t>
      </w:r>
      <w:r>
        <w:t xml:space="preserve"> 4 (interest derived in the ordinary course). </w:t>
      </w:r>
    </w:p>
  </w:footnote>
  <w:footnote w:id="137">
    <w:p w14:paraId="446718CE"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138">
    <w:p w14:paraId="422F7AB7"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139">
    <w:p w14:paraId="32839D31"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140">
    <w:p w14:paraId="7E322B0D"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1">
    <w:p w14:paraId="65AA9226" w14:textId="77777777" w:rsidR="00494B49" w:rsidRDefault="00494B49">
      <w:pPr>
        <w:pStyle w:val="FootnoteText"/>
      </w:pPr>
      <w:r>
        <w:rPr>
          <w:rStyle w:val="FootnoteReference"/>
        </w:rPr>
        <w:footnoteRef/>
      </w:r>
      <w:smartTag w:uri="http://www.bna.com/sgml2word/cite" w:element="cite.usc">
        <w:smartTagPr>
          <w:attr w:name="ref" w:val="USC\26\1411(c)(4)"/>
        </w:smartTagPr>
        <w:r>
          <w:t>§1411(c)(4)</w:t>
        </w:r>
      </w:smartTag>
      <w:r>
        <w:t xml:space="preserve">, </w:t>
      </w:r>
      <w:smartTag w:uri="http://www.bna.com/sgml2word/cite" w:element="cite.usc">
        <w:smartTagPr>
          <w:attr w:name="ref" w:val="USC\26\1411(c)(5)"/>
        </w:smartTagPr>
        <w:r>
          <w:t>§1411(c)(5)</w:t>
        </w:r>
      </w:smartTag>
      <w:r>
        <w:t xml:space="preserve">, and </w:t>
      </w:r>
      <w:smartTag w:uri="http://www.bna.com/sgml2word/cite" w:element="cite.usc">
        <w:smartTagPr>
          <w:attr w:name="ref" w:val="USC\26\1411(c)(6)"/>
        </w:smartTagPr>
        <w:r>
          <w:t>§1411(c)(6)</w:t>
        </w:r>
      </w:smartTag>
      <w:r>
        <w:t>.</w:t>
      </w:r>
    </w:p>
  </w:footnote>
  <w:footnote w:id="142">
    <w:p w14:paraId="5BB5A288"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143">
    <w:p w14:paraId="6229165E" w14:textId="77777777" w:rsidR="00494B49" w:rsidRDefault="00494B49">
      <w:pPr>
        <w:pStyle w:val="FootnoteText"/>
      </w:pPr>
      <w:r>
        <w:rPr>
          <w:rStyle w:val="FootnoteReference"/>
        </w:rPr>
        <w:footnoteRef/>
      </w:r>
      <w:r>
        <w:t xml:space="preserve">Because payments or other benefits an employee receives from an employer generally are derived from the trade or business of being an employee, these amounts should not be treated as net investment income even if the amount of the taxable payment or benefit is calculated by reference to nominal interest or other earnings. By contrast, the income tax treatment resulting from an </w:t>
      </w:r>
      <w:smartTag w:uri="http://www.bna.com/sgml2word/cite" w:element="cite.usc">
        <w:smartTagPr>
          <w:attr w:name="ref" w:val="USC\26\83(b)"/>
        </w:smartTagPr>
        <w:r>
          <w:t>§83(b)</w:t>
        </w:r>
      </w:smartTag>
      <w:r>
        <w:t xml:space="preserve"> election should flow through to the application of </w:t>
      </w:r>
      <w:smartTag w:uri="http://www.bna.com/sgml2word/cite" w:element="cite.usc">
        <w:smartTagPr>
          <w:attr w:name="ref" w:val="USC\26\1411"/>
        </w:smartTagPr>
        <w:r>
          <w:t>§1411</w:t>
        </w:r>
      </w:smartTag>
      <w:r>
        <w:t xml:space="preserve">, so that the amount realized on the property at the time it is sold, in excess of the employee’s basis in the property (which would include any amounts taken into income under </w:t>
      </w:r>
      <w:smartTag w:uri="http://www.bna.com/sgml2word/cite" w:element="cite.usc">
        <w:smartTagPr>
          <w:attr w:name="ref" w:val="USC\26\83(b)"/>
        </w:smartTagPr>
        <w:r>
          <w:t>§83(b)</w:t>
        </w:r>
      </w:smartTag>
      <w:r>
        <w:t xml:space="preserve">), would be treated both as capital gain and as net investment income. </w:t>
      </w:r>
      <w:r>
        <w:rPr>
          <w:i/>
        </w:rPr>
        <w:t>See also</w:t>
      </w:r>
      <w:r>
        <w:t xml:space="preserve"> Preamble, 2012 Proposed Regulations, Part 5.A.vii.</w:t>
      </w:r>
    </w:p>
  </w:footnote>
  <w:footnote w:id="144">
    <w:p w14:paraId="5D4C019E" w14:textId="77777777" w:rsidR="00494B49" w:rsidRDefault="00494B49">
      <w:pPr>
        <w:pStyle w:val="FootnoteText"/>
      </w:pPr>
      <w:r>
        <w:rPr>
          <w:rStyle w:val="FootnoteReference"/>
        </w:rPr>
        <w:footnoteRef/>
      </w:r>
      <w:r>
        <w:t xml:space="preserve">VEBAs may provide benefits that are not taxable to employees (such as medical insurance coverage for spouses and children, and limited group term life insurance coverage) or benefits that are taxable (such as certain education or housing assistance benefits). For detailed information on distributions from VEBAs, see </w:t>
      </w:r>
      <w:smartTag w:uri="http://www.bna.com/sgml2word/cite" w:element="cite.bna.reference">
        <w:smartTagPr>
          <w:attr w:name="bna.id.ref" w:val="TM\395"/>
        </w:smartTagPr>
        <w:r>
          <w:t>395 T.M.</w:t>
        </w:r>
      </w:smartTag>
      <w:r>
        <w:t xml:space="preserve">, </w:t>
      </w:r>
      <w:r>
        <w:rPr>
          <w:i/>
        </w:rPr>
        <w:t>VEBAs and Other Welfare Benefit Funding Arrangements</w:t>
      </w:r>
      <w:r>
        <w:t xml:space="preserve">. </w:t>
      </w:r>
    </w:p>
  </w:footnote>
  <w:footnote w:id="145">
    <w:p w14:paraId="47E6F2B3" w14:textId="77777777" w:rsidR="00494B49" w:rsidRDefault="00494B49">
      <w:pPr>
        <w:pStyle w:val="FootnoteText"/>
      </w:pPr>
      <w:r>
        <w:rPr>
          <w:rStyle w:val="FootnoteReference"/>
        </w:rPr>
        <w:footnoteRef/>
      </w:r>
      <w:r>
        <w:t xml:space="preserve">For detailed information on distributions from supplemental unemployment benefits trusts, see </w:t>
      </w:r>
      <w:smartTag w:uri="http://www.bna.com/sgml2word/cite" w:element="cite.bna.reference">
        <w:smartTagPr>
          <w:attr w:name="bna.id.ref" w:val="TM\394"/>
        </w:smartTagPr>
        <w:r>
          <w:t>394 T.M.</w:t>
        </w:r>
      </w:smartTag>
      <w:r>
        <w:t xml:space="preserve">, </w:t>
      </w:r>
      <w:r>
        <w:rPr>
          <w:i/>
        </w:rPr>
        <w:t>Employee Fringe Benefits</w:t>
      </w:r>
      <w:r>
        <w:t>.</w:t>
      </w:r>
    </w:p>
  </w:footnote>
  <w:footnote w:id="146">
    <w:p w14:paraId="01F990E0"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7">
    <w:p w14:paraId="5E379EA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a)(1)(i)"/>
        </w:smartTagPr>
        <w:r>
          <w:t>§1.1411-4(a)(1)(i)</w:t>
        </w:r>
      </w:smartTag>
      <w:r>
        <w:t xml:space="preserve"> (reference to </w:t>
      </w:r>
      <w:smartTag w:uri="http://www.bna.com/sgml2word/cite" w:element="cite.cfr">
        <w:smartTagPr>
          <w:attr w:name="ref" w:val="cfr\26\1.1411-4(b)"/>
        </w:smartTagPr>
        <w:r>
          <w:t>§1.1411-4(b)</w:t>
        </w:r>
      </w:smartTag>
      <w:r>
        <w:t xml:space="preserve">). A similar concept also applies under </w:t>
      </w:r>
      <w:smartTag w:uri="http://www.bna.com/sgml2word/cite" w:element="cite.usc">
        <w:smartTagPr>
          <w:attr w:name="ref" w:val="USC\26\1411(c)(1)(A)(iii)"/>
        </w:smartTagPr>
        <w:r>
          <w:t>§1411(c)(1)(A)(iii)</w:t>
        </w:r>
      </w:smartTag>
      <w:r>
        <w:t xml:space="preserve"> (net gain) because gains and losses from assets held in a trade or business are excluded from gross investment income if the asset was held in the “ordinary course of a trade or business.” </w:t>
      </w:r>
      <w:r>
        <w:rPr>
          <w:i/>
        </w:rPr>
        <w:t>See</w:t>
      </w:r>
      <w:r>
        <w:t xml:space="preserve"> Reg. </w:t>
      </w:r>
      <w:smartTag w:uri="http://www.bna.com/sgml2word/cite" w:element="cite.cfr">
        <w:smartTagPr>
          <w:attr w:name="ref" w:val="cfr\26\1.1411-4(d)(4)(i)"/>
        </w:smartTagPr>
        <w:r>
          <w:t>§1.1411-4(d)(4)(i)</w:t>
        </w:r>
      </w:smartTag>
      <w:r>
        <w:t xml:space="preserve"> and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footnote>
  <w:footnote w:id="148">
    <w:p w14:paraId="16CECFE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w:t>
      </w:r>
    </w:p>
  </w:footnote>
  <w:footnote w:id="149">
    <w:p w14:paraId="170BA4B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a)(1)"/>
        </w:smartTagPr>
        <w:r>
          <w:t>§1.1411-5(a)(1)</w:t>
        </w:r>
      </w:smartTag>
      <w:r>
        <w:t xml:space="preserve"> and </w:t>
      </w:r>
      <w:smartTag w:uri="http://www.bna.com/sgml2word/cite" w:element="cite.cfr">
        <w:smartTagPr>
          <w:attr w:name="ref" w:val="cfr\26\1.1411-5(b)"/>
        </w:smartTagPr>
        <w:r>
          <w:t>§1.1411-5(b)</w:t>
        </w:r>
      </w:smartTag>
      <w:r>
        <w:t xml:space="preserve"> and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t>
      </w:r>
    </w:p>
  </w:footnote>
  <w:footnote w:id="150">
    <w:p w14:paraId="34BAF6B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a)(2)"/>
        </w:smartTagPr>
        <w:r>
          <w:t>§1.1411-5(a)(2)</w:t>
        </w:r>
      </w:smartTag>
      <w:r>
        <w:t xml:space="preserve"> and </w:t>
      </w:r>
      <w:smartTag w:uri="http://www.bna.com/sgml2word/cite" w:element="cite.cfr">
        <w:smartTagPr>
          <w:attr w:name="ref" w:val="cfr\26\1.1411-5(c)"/>
        </w:smartTagPr>
        <w:r>
          <w:t>§1.1411-5(c)</w:t>
        </w:r>
      </w:smartTag>
      <w:r>
        <w:t xml:space="preserve"> and </w:t>
      </w:r>
      <w:smartTag w:uri="http://www.bna.com/sgml2word/cite" w:element="cite.bna.reference">
        <w:smartTagPr>
          <w:attr w:name="bna.id.ref" w:val="TM\511.II.D.2"/>
        </w:smartTagPr>
        <w:r>
          <w:t>II.D.2</w:t>
        </w:r>
      </w:smartTag>
      <w:smartTag w:uri="http://www.bna.com/sgml2word/cite" w:element="cite.bna.reference">
        <w:smartTagPr>
          <w:attr w:name="bna.id.ref" w:val="TM\873.II.D.2"/>
        </w:smartTagPr>
        <w:r>
          <w:t>II.D.2</w:t>
        </w:r>
      </w:smartTag>
      <w:r>
        <w:t xml:space="preserve">., above. </w:t>
      </w:r>
    </w:p>
  </w:footnote>
  <w:footnote w:id="151">
    <w:p w14:paraId="0397BC7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1)"/>
        </w:smartTagPr>
        <w:r>
          <w:t>§1.1411-4(b)(1)</w:t>
        </w:r>
      </w:smartTag>
      <w:r>
        <w:t xml:space="preserve"> and </w:t>
      </w:r>
      <w:smartTag w:uri="http://www.bna.com/sgml2word/cite" w:element="cite.cfr">
        <w:smartTagPr>
          <w:attr w:name="ref" w:val="cfr\26\1.1411-4(d)(4)(i)"/>
        </w:smartTagPr>
        <w:r>
          <w:t>§1.1411-4(d)(4)(i)</w:t>
        </w:r>
      </w:smartTag>
      <w:r>
        <w:t xml:space="preserve">. </w:t>
      </w:r>
    </w:p>
  </w:footnote>
  <w:footnote w:id="152">
    <w:p w14:paraId="6F2545D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b)(1)(v)"/>
        </w:smartTagPr>
        <w:r>
          <w:t>§1.1411-3(b)(1)(v)</w:t>
        </w:r>
      </w:smartTag>
      <w:r>
        <w:t xml:space="preserve">. </w:t>
      </w:r>
    </w:p>
  </w:footnote>
  <w:footnote w:id="153">
    <w:p w14:paraId="03F44C0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2)(i)"/>
        </w:smartTagPr>
        <w:r>
          <w:t>§1.1411-4(b)(2)(i)</w:t>
        </w:r>
      </w:smartTag>
      <w:r>
        <w:t>.</w:t>
      </w:r>
    </w:p>
  </w:footnote>
  <w:footnote w:id="154">
    <w:p w14:paraId="4E16629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2)(ii)"/>
        </w:smartTagPr>
        <w:r>
          <w:t>§1.1411-4(b)(2)(ii)</w:t>
        </w:r>
      </w:smartTag>
      <w:r>
        <w:t>.</w:t>
      </w:r>
    </w:p>
  </w:footnote>
  <w:footnote w:id="155">
    <w:p w14:paraId="4BD03854"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2. </w:t>
      </w:r>
    </w:p>
  </w:footnote>
  <w:footnote w:id="156">
    <w:p w14:paraId="0E0DDEB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1.</w:t>
      </w:r>
    </w:p>
  </w:footnote>
  <w:footnote w:id="157">
    <w:p w14:paraId="4524B63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1.</w:t>
      </w:r>
    </w:p>
  </w:footnote>
  <w:footnote w:id="158">
    <w:p w14:paraId="2C6E4EB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2. </w:t>
      </w:r>
    </w:p>
  </w:footnote>
  <w:footnote w:id="159">
    <w:p w14:paraId="1ECF99CE" w14:textId="77777777" w:rsidR="00494B49" w:rsidRDefault="00494B49">
      <w:pPr>
        <w:pStyle w:val="FootnoteText"/>
      </w:pPr>
      <w:r>
        <w:rPr>
          <w:rStyle w:val="FootnoteReference"/>
        </w:rPr>
        <w:footnoteRef/>
      </w:r>
      <w:r>
        <w:t xml:space="preserve">It is important to note that the Commissioner has yet to invoke Reg. </w:t>
      </w:r>
      <w:smartTag w:uri="http://www.bna.com/sgml2word/cite" w:element="cite.cfr">
        <w:smartTagPr>
          <w:attr w:name="ref" w:val="cfr\26\1.469-2T(c)(3)(ii)(G)"/>
        </w:smartTagPr>
        <w:r>
          <w:t>§1.469-2T(c)(3)(ii)(G)</w:t>
        </w:r>
      </w:smartTag>
      <w:r>
        <w:t xml:space="preserve"> in identifying other income that would be considered derived by the taxpayer in the ordinary course of a trade or business. However, in </w:t>
      </w:r>
      <w:smartTag w:uri="http://www.bna.com/sgml2word/cite" w:element="cite.agency.doc">
        <w:smartTagPr>
          <w:attr w:name="ref" w:val="IRS\PLR\199924020"/>
        </w:smartTagPr>
        <w:r>
          <w:t>PLR 199924020</w:t>
        </w:r>
      </w:smartTag>
      <w:r>
        <w:t xml:space="preserve">, </w:t>
      </w:r>
      <w:smartTag w:uri="http://www.bna.com/sgml2word/cite" w:element="cite.agency.doc">
        <w:smartTagPr>
          <w:attr w:name="ref" w:val="IRS\PLR\199924022"/>
        </w:smartTagPr>
        <w:r>
          <w:t>PLR 199924022</w:t>
        </w:r>
      </w:smartTag>
      <w:r>
        <w:t xml:space="preserve">, and </w:t>
      </w:r>
      <w:smartTag w:uri="http://www.bna.com/sgml2word/cite" w:element="cite.agency.doc">
        <w:smartTagPr>
          <w:attr w:name="ref" w:val="IRS\PLR\199924023"/>
        </w:smartTagPr>
        <w:r>
          <w:t>PLR 199924023</w:t>
        </w:r>
      </w:smartTag>
      <w:r>
        <w:t xml:space="preserve">, the IRS applied this exception to the portfolio category to certain interest income earned by partnerships that provided freight payment, auditing, and information management services to large manufacturers. The IRS ruled that the interest income earned on such funds during float periods were properly viewed as a substitute for service fees rather than as portfolio income. Although these letter rulings may be examples of ways the IRS may expand these rules, the authority resides solely with the IRS. Thus, these rulings have little precedential weight. </w:t>
      </w:r>
    </w:p>
  </w:footnote>
  <w:footnote w:id="160">
    <w:p w14:paraId="1D4C31F4" w14:textId="77777777" w:rsidR="00494B49" w:rsidRDefault="00494B49">
      <w:pPr>
        <w:pStyle w:val="FootnoteText"/>
      </w:pPr>
      <w:r>
        <w:rPr>
          <w:rStyle w:val="FootnoteReference"/>
        </w:rPr>
        <w:footnoteRef/>
      </w:r>
      <w:r>
        <w:rPr>
          <w:i/>
        </w:rPr>
        <w:t>See also</w:t>
      </w:r>
      <w:r>
        <w:t xml:space="preserve"> </w:t>
      </w:r>
      <w:r>
        <w:rPr>
          <w:rStyle w:val="BCasenamefull"/>
        </w:rPr>
        <w:t>More v. Commissioner</w:t>
      </w:r>
      <w:r>
        <w:t xml:space="preserve">, </w:t>
      </w:r>
      <w:smartTag w:uri="http://www.bna.com/sgml2word/cite" w:element="cite.parallel">
        <w:smartTagPr>
          <w:attr w:name="ref" w:val="TC\115\125"/>
        </w:smartTagPr>
        <w:r>
          <w:t>115 T.C. 125</w:t>
        </w:r>
      </w:smartTag>
      <w:r>
        <w:t xml:space="preserve"> (2000); </w:t>
      </w:r>
      <w:smartTag w:uri="http://www.bna.com/sgml2word/cite" w:element="cite.agency.doc">
        <w:smartTagPr>
          <w:attr w:name="ref" w:val="IRS\FSA\200002015"/>
        </w:smartTagPr>
        <w:r>
          <w:t>FSA 200002015</w:t>
        </w:r>
      </w:smartTag>
      <w:r>
        <w:t xml:space="preserve">. </w:t>
      </w:r>
    </w:p>
  </w:footnote>
  <w:footnote w:id="161">
    <w:p w14:paraId="0F252760" w14:textId="77777777" w:rsidR="00494B49" w:rsidRDefault="00494B49">
      <w:pPr>
        <w:pStyle w:val="FootnoteText"/>
      </w:pPr>
      <w:r>
        <w:rPr>
          <w:rStyle w:val="FootnoteReference"/>
        </w:rPr>
        <w:footnoteRef/>
      </w:r>
      <w:r>
        <w:rPr>
          <w:i/>
        </w:rPr>
        <w:t>Accord</w:t>
      </w:r>
      <w:r>
        <w:t xml:space="preserve"> </w:t>
      </w:r>
      <w:smartTag w:uri="http://www.bna.com/sgml2word/cite" w:element="cite.agency.doc">
        <w:smartTagPr>
          <w:attr w:name="ref" w:val="irs\cca\202118009"/>
        </w:smartTagPr>
        <w:r>
          <w:t>CCA 202118009</w:t>
        </w:r>
      </w:smartTag>
      <w:r>
        <w:t xml:space="preserve"> (dividends paid to shareholder-employee in closely held corporation are net investment income under </w:t>
      </w:r>
      <w:smartTag w:uri="http://www.bna.com/sgml2word/cite" w:element="cite.usc">
        <w:smartTagPr>
          <w:attr w:name="ref" w:val="USC\26\1411(c)(1)(A)(i)"/>
        </w:smartTagPr>
        <w:r>
          <w:t>§1411(c)(1)(A)(i)</w:t>
        </w:r>
      </w:smartTag>
      <w:r>
        <w:t xml:space="preserve"> because neither exception in Reg. </w:t>
      </w:r>
      <w:smartTag w:uri="http://www.bna.com/sgml2word/cite" w:element="cite.cfr">
        <w:smartTagPr>
          <w:attr w:name="ref" w:val="cfr\26\1.469-2T(c)(3)(ii)"/>
        </w:smartTagPr>
        <w:r>
          <w:t>§1.469-2T(c)(3)(ii)</w:t>
        </w:r>
      </w:smartTag>
      <w:r>
        <w:t xml:space="preserve"> applies).</w:t>
      </w:r>
    </w:p>
  </w:footnote>
  <w:footnote w:id="162">
    <w:p w14:paraId="1F64372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6(a)"/>
        </w:smartTagPr>
        <w:r>
          <w:t>§1.1411-6(a)</w:t>
        </w:r>
      </w:smartTag>
      <w:r>
        <w:t>.</w:t>
      </w:r>
    </w:p>
  </w:footnote>
  <w:footnote w:id="163">
    <w:p w14:paraId="62A4FCF4" w14:textId="77777777" w:rsidR="00494B49" w:rsidRDefault="00494B49">
      <w:pPr>
        <w:pStyle w:val="FootnoteText"/>
      </w:pPr>
      <w:r>
        <w:rPr>
          <w:rStyle w:val="FootnoteReference"/>
        </w:rPr>
        <w:footnoteRef/>
      </w:r>
      <w:r>
        <w:t>S. Rep. No. 99-313, at 729.</w:t>
      </w:r>
    </w:p>
  </w:footnote>
  <w:footnote w:id="164">
    <w:p w14:paraId="6E890D6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6)"/>
        </w:smartTagPr>
        <w:r>
          <w:t>§1.1411-1(d)(6)</w:t>
        </w:r>
      </w:smartTag>
      <w:r>
        <w:t xml:space="preserve">. </w:t>
      </w:r>
    </w:p>
  </w:footnote>
  <w:footnote w:id="165">
    <w:p w14:paraId="1AD436C9" w14:textId="77777777" w:rsidR="00494B49" w:rsidRDefault="00494B49">
      <w:pPr>
        <w:pStyle w:val="FootnoteText"/>
      </w:pPr>
      <w:r>
        <w:rPr>
          <w:rStyle w:val="FootnoteReference"/>
        </w:rPr>
        <w:footnoteRef/>
      </w:r>
      <w:r>
        <w:t xml:space="preserve">For this purpose, it is reasonable to assume that a sale-repurchase transaction is substantially similar to those covered by, for example, Reg. </w:t>
      </w:r>
      <w:smartTag w:uri="http://www.bna.com/sgml2word/cite" w:element="cite.cfr">
        <w:smartTagPr>
          <w:attr w:name="ref" w:val="cfr\26\1.861-2(a)(7)"/>
        </w:smartTagPr>
        <w:r>
          <w:t>§1.861-2(a)(7)</w:t>
        </w:r>
      </w:smartTag>
      <w:r>
        <w:t xml:space="preserve"> and </w:t>
      </w:r>
      <w:smartTag w:uri="http://www.bna.com/sgml2word/cite" w:element="cite.cfr">
        <w:smartTagPr>
          <w:attr w:name="ref" w:val="cfr\26\1.861-3(a)(6)"/>
        </w:smartTagPr>
        <w:r>
          <w:t>§1.861-3(a)(6)</w:t>
        </w:r>
      </w:smartTag>
      <w:r>
        <w:t xml:space="preserve">. </w:t>
      </w:r>
    </w:p>
  </w:footnote>
  <w:footnote w:id="166">
    <w:p w14:paraId="5A4674FD" w14:textId="77777777" w:rsidR="00494B49" w:rsidRDefault="00494B49">
      <w:pPr>
        <w:pStyle w:val="FootnoteText"/>
      </w:pPr>
      <w:r>
        <w:rPr>
          <w:rStyle w:val="FootnoteReference"/>
        </w:rPr>
        <w:footnoteRef/>
      </w:r>
      <w:r>
        <w:rPr>
          <w:rStyle w:val="BCasenamefull"/>
        </w:rPr>
        <w:t>Commissioner v. Meyer</w:t>
      </w:r>
      <w:r>
        <w:t xml:space="preserve">, </w:t>
      </w:r>
      <w:smartTag w:uri="http://www.bna.com/sgml2word/cite" w:element="cite.parallel">
        <w:smartTagPr>
          <w:attr w:name="ref" w:val="F2D\139\256"/>
        </w:smartTagPr>
        <w:r>
          <w:t>139 F.2d 256</w:t>
        </w:r>
      </w:smartTag>
      <w:r>
        <w:t xml:space="preserve"> (6th Cir. 1943); </w:t>
      </w:r>
      <w:r>
        <w:rPr>
          <w:rStyle w:val="BCasenamefull"/>
        </w:rPr>
        <w:t>Lloyd v. Commissioner</w:t>
      </w:r>
      <w:r>
        <w:t xml:space="preserve">, </w:t>
      </w:r>
      <w:smartTag w:uri="http://www.bna.com/sgml2word/cite" w:element="cite.parallel">
        <w:smartTagPr>
          <w:attr w:name="ref" w:val="F2D\154\643"/>
        </w:smartTagPr>
        <w:r>
          <w:t>154 F.2d 643</w:t>
        </w:r>
      </w:smartTag>
      <w:r>
        <w:t xml:space="preserve"> (3d Cir. 1946), cert. denied, </w:t>
      </w:r>
      <w:smartTag w:uri="http://www.bna.com/sgml2word/cite" w:element="cite.parallel">
        <w:smartTagPr>
          <w:attr w:name="ref" w:val="US\329\717"/>
        </w:smartTagPr>
        <w:r>
          <w:t>329 U.S. 717</w:t>
        </w:r>
      </w:smartTag>
      <w:r>
        <w:t xml:space="preserve"> (1946).</w:t>
      </w:r>
    </w:p>
  </w:footnote>
  <w:footnote w:id="167">
    <w:p w14:paraId="5C03020C" w14:textId="77777777" w:rsidR="00494B49" w:rsidRDefault="00494B49">
      <w:pPr>
        <w:pStyle w:val="FootnoteText"/>
      </w:pPr>
      <w:r>
        <w:rPr>
          <w:rStyle w:val="FootnoteReference"/>
        </w:rPr>
        <w:footnoteRef/>
      </w:r>
      <w:r>
        <w:t>Although the assets sold in an installment sale transaction may have been used in a nonpassive, nontrading, trade or business (the installment sale was related to the disposition of an interest in a partnership or S corporation that conducted a nonpassive nontrading trade or business), it would be exceptionally rare for a taxpayer to make a plausible argument that the taxpayer is holding the resulting debt instruments in the ordinary course of a trade or business.</w:t>
      </w:r>
    </w:p>
  </w:footnote>
  <w:footnote w:id="168">
    <w:p w14:paraId="7A727506" w14:textId="77777777" w:rsidR="00494B49" w:rsidRDefault="00494B49">
      <w:pPr>
        <w:pStyle w:val="FootnoteText"/>
      </w:pPr>
      <w:r>
        <w:rPr>
          <w:rStyle w:val="FootnoteReference"/>
        </w:rPr>
        <w:footnoteRef/>
      </w:r>
      <w:r>
        <w:t xml:space="preserve">Reg. </w:t>
      </w:r>
      <w:smartTag w:uri="http://www.bna.com/sgml2word/cite" w:element="cite.cfr">
        <w:smartTagPr>
          <w:attr w:name="ref" w:val="cfr\26\1.61-7(d)"/>
        </w:smartTagPr>
        <w:r>
          <w:t>§1.61-7(d)</w:t>
        </w:r>
      </w:smartTag>
      <w:r>
        <w:t>.</w:t>
      </w:r>
    </w:p>
  </w:footnote>
  <w:footnote w:id="169">
    <w:p w14:paraId="14007240" w14:textId="77777777" w:rsidR="00494B49" w:rsidRDefault="00494B49">
      <w:pPr>
        <w:pStyle w:val="FootnoteText"/>
      </w:pPr>
      <w:r>
        <w:rPr>
          <w:rStyle w:val="FootnoteReference"/>
        </w:rPr>
        <w:footnoteRef/>
      </w:r>
      <w:r>
        <w:t xml:space="preserve">Reg. </w:t>
      </w:r>
      <w:smartTag w:uri="http://www.bna.com/sgml2word/cite" w:element="cite.cfr">
        <w:smartTagPr>
          <w:attr w:name="ref" w:val="cfr\26\1.1272-1(a)(1)"/>
        </w:smartTagPr>
        <w:r>
          <w:t>§1.1272-1(a)(1)</w:t>
        </w:r>
      </w:smartTag>
      <w:r>
        <w:t xml:space="preserve">; </w:t>
      </w:r>
      <w:r>
        <w:rPr>
          <w:rStyle w:val="BCasenamefull"/>
        </w:rPr>
        <w:t>United States v. Midland-Ross Corp.</w:t>
      </w:r>
      <w:r>
        <w:t xml:space="preserve">, </w:t>
      </w:r>
      <w:smartTag w:uri="http://www.bna.com/sgml2word/cite" w:element="cite.parallel">
        <w:smartTagPr>
          <w:attr w:name="ref" w:val="US\381\54"/>
        </w:smartTagPr>
        <w:r>
          <w:t>381 U.S. 54</w:t>
        </w:r>
      </w:smartTag>
      <w:r>
        <w:t xml:space="preserve"> (1965).</w:t>
      </w:r>
    </w:p>
  </w:footnote>
  <w:footnote w:id="170">
    <w:p w14:paraId="702BB985" w14:textId="77777777" w:rsidR="00494B49" w:rsidRDefault="00494B49">
      <w:pPr>
        <w:pStyle w:val="FootnoteText"/>
      </w:pPr>
      <w:r>
        <w:rPr>
          <w:rStyle w:val="FootnoteReference"/>
        </w:rPr>
        <w:footnoteRef/>
      </w:r>
      <w:smartTag w:uri="http://www.bna.com/sgml2word/cite" w:element="cite.usc">
        <w:smartTagPr>
          <w:attr w:name="ref" w:val="USC\26\1276(a)(4)"/>
        </w:smartTagPr>
        <w:r>
          <w:t>§1276(a)(4)</w:t>
        </w:r>
      </w:smartTag>
      <w:r>
        <w:t xml:space="preserve">. </w:t>
      </w:r>
    </w:p>
  </w:footnote>
  <w:footnote w:id="171">
    <w:p w14:paraId="58790CF7" w14:textId="77777777" w:rsidR="00494B49" w:rsidRDefault="00494B49">
      <w:pPr>
        <w:pStyle w:val="FootnoteText"/>
      </w:pPr>
      <w:r>
        <w:rPr>
          <w:rStyle w:val="FootnoteReference"/>
        </w:rPr>
        <w:footnoteRef/>
      </w:r>
      <w:r>
        <w:rPr>
          <w:rStyle w:val="BCasenamefull"/>
        </w:rPr>
        <w:t>United States v. Folckemer</w:t>
      </w:r>
      <w:r>
        <w:t xml:space="preserve">, </w:t>
      </w:r>
      <w:smartTag w:uri="http://www.bna.com/sgml2word/cite" w:element="cite.parallel">
        <w:smartTagPr>
          <w:attr w:name="ref" w:val="F2D\307\171"/>
        </w:smartTagPr>
        <w:r>
          <w:t>307 F.2d 171</w:t>
        </w:r>
      </w:smartTag>
      <w:r>
        <w:t xml:space="preserve"> (5th Cir. 1962).</w:t>
      </w:r>
    </w:p>
  </w:footnote>
  <w:footnote w:id="172">
    <w:p w14:paraId="36F33E11" w14:textId="77777777" w:rsidR="00494B49" w:rsidRDefault="00494B49">
      <w:pPr>
        <w:pStyle w:val="FootnoteText"/>
      </w:pPr>
      <w:r>
        <w:rPr>
          <w:rStyle w:val="FootnoteReference"/>
        </w:rPr>
        <w:footnoteRef/>
      </w:r>
      <w:r>
        <w:rPr>
          <w:rStyle w:val="BCasenamefull"/>
        </w:rPr>
        <w:t>Chamberlain v. United States,</w:t>
      </w:r>
      <w:r>
        <w:t xml:space="preserve"> </w:t>
      </w:r>
      <w:smartTag w:uri="http://www.bna.com/sgml2word/cite" w:element="cite.parallel">
        <w:smartTagPr>
          <w:attr w:name="ref" w:val="F3D\401\335"/>
        </w:smartTagPr>
        <w:r>
          <w:t>401 F.3d 335</w:t>
        </w:r>
      </w:smartTag>
      <w:r>
        <w:t xml:space="preserve"> (5th Cir. 2005); </w:t>
      </w:r>
      <w:r>
        <w:rPr>
          <w:rStyle w:val="BCasenamefull"/>
        </w:rPr>
        <w:t>Granger v. Commissioner,</w:t>
      </w:r>
      <w:r>
        <w:t xml:space="preserve"> </w:t>
      </w:r>
      <w:smartTag w:uri="http://www.bna.com/sgml2word/cite" w:element="cite.parallel">
        <w:smartTagPr>
          <w:attr w:name="ref" w:val="TCMEMO\\1978-474"/>
        </w:smartTagPr>
        <w:r>
          <w:t>T.C. Memo 1978-474</w:t>
        </w:r>
      </w:smartTag>
      <w:r>
        <w:t xml:space="preserve">; </w:t>
      </w:r>
      <w:r>
        <w:rPr>
          <w:rStyle w:val="BCasenamefull"/>
        </w:rPr>
        <w:t>Nichol v. United States</w:t>
      </w:r>
      <w:r>
        <w:t xml:space="preserve">, </w:t>
      </w:r>
      <w:smartTag w:uri="http://www.bna.com/sgml2word/cite" w:element="cite.parallel">
        <w:smartTagPr>
          <w:attr w:name="ref" w:val="FSUPP\48\662"/>
        </w:smartTagPr>
        <w:r>
          <w:t>48 F. Supp. 662</w:t>
        </w:r>
      </w:smartTag>
      <w:r>
        <w:t xml:space="preserve"> (1943).</w:t>
      </w:r>
    </w:p>
  </w:footnote>
  <w:footnote w:id="173">
    <w:p w14:paraId="2CA0DFF4" w14:textId="77777777" w:rsidR="00494B49" w:rsidRDefault="00494B49">
      <w:pPr>
        <w:pStyle w:val="FootnoteText"/>
      </w:pPr>
      <w:r>
        <w:rPr>
          <w:rStyle w:val="FootnoteReference"/>
        </w:rPr>
        <w:footnoteRef/>
      </w:r>
      <w:smartTag w:uri="http://www.bna.com/sgml2word/cite" w:element="cite.usc">
        <w:smartTagPr>
          <w:attr w:name="ref" w:val="USC\26\101(c)"/>
        </w:smartTagPr>
        <w:r>
          <w:t>§101(c)</w:t>
        </w:r>
      </w:smartTag>
      <w:r>
        <w:t xml:space="preserve">; Reg. </w:t>
      </w:r>
      <w:smartTag w:uri="http://www.bna.com/sgml2word/cite" w:element="cite.cfr">
        <w:smartTagPr>
          <w:attr w:name="ref" w:val="cfr\26\1.101-7(a)"/>
        </w:smartTagPr>
        <w:r>
          <w:t>§1.101-7(a)</w:t>
        </w:r>
      </w:smartTag>
      <w:r>
        <w:t>.</w:t>
      </w:r>
    </w:p>
  </w:footnote>
  <w:footnote w:id="174">
    <w:p w14:paraId="32BC5BF3"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III.E.5.</w:t>
        </w:r>
      </w:smartTag>
      <w:r>
        <w:t xml:space="preserve">, below. </w:t>
      </w:r>
    </w:p>
  </w:footnote>
  <w:footnote w:id="175">
    <w:p w14:paraId="7F20379D"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III.E.4.</w:t>
        </w:r>
      </w:smartTag>
      <w:r>
        <w:t>, below.</w:t>
      </w:r>
    </w:p>
  </w:footnote>
  <w:footnote w:id="176">
    <w:p w14:paraId="12028709" w14:textId="77777777" w:rsidR="00494B49" w:rsidRDefault="00494B49">
      <w:pPr>
        <w:pStyle w:val="FootnoteText"/>
      </w:pPr>
      <w:r>
        <w:rPr>
          <w:rStyle w:val="FootnoteReference"/>
        </w:rPr>
        <w:footnoteRef/>
      </w:r>
      <w:smartTag w:uri="http://www.bna.com/sgml2word/cite" w:element="cite.agency.doc">
        <w:smartTagPr>
          <w:attr w:name="ref" w:val="IRS\RevRul\70-362"/>
        </w:smartTagPr>
        <w:r>
          <w:t>Rev. Rul. 70-362</w:t>
        </w:r>
      </w:smartTag>
      <w:r>
        <w:t>.</w:t>
      </w:r>
    </w:p>
  </w:footnote>
  <w:footnote w:id="177">
    <w:p w14:paraId="060327A2" w14:textId="77777777" w:rsidR="00494B49" w:rsidRDefault="00494B49">
      <w:pPr>
        <w:pStyle w:val="FootnoteText"/>
      </w:pPr>
      <w:r>
        <w:rPr>
          <w:rStyle w:val="FootnoteReference"/>
        </w:rPr>
        <w:footnoteRef/>
      </w:r>
      <w:smartTag w:uri="http://www.bna.com/sgml2word/cite" w:element="cite.agency.doc">
        <w:smartTagPr>
          <w:attr w:name="ref" w:val="IRS\RevRul\87-2"/>
        </w:smartTagPr>
        <w:r>
          <w:t>Rev. Rul. 87-2</w:t>
        </w:r>
      </w:smartTag>
      <w:r>
        <w:t>.</w:t>
      </w:r>
    </w:p>
  </w:footnote>
  <w:footnote w:id="178">
    <w:p w14:paraId="421430A4" w14:textId="77777777" w:rsidR="00494B49" w:rsidRDefault="00494B49">
      <w:pPr>
        <w:pStyle w:val="FootnoteText"/>
      </w:pPr>
      <w:r>
        <w:rPr>
          <w:rStyle w:val="FootnoteReference"/>
        </w:rPr>
        <w:footnoteRef/>
      </w:r>
      <w:r>
        <w:t xml:space="preserve">Reg. </w:t>
      </w:r>
      <w:smartTag w:uri="http://www.bna.com/sgml2word/cite" w:element="cite.cfr">
        <w:smartTagPr>
          <w:attr w:name="ref" w:val="cfr\26\1.61-7(c)"/>
        </w:smartTagPr>
        <w:r>
          <w:t>§1.61-7(c)</w:t>
        </w:r>
      </w:smartTag>
      <w:r>
        <w:t>. Interest that accrues after the date of purchase, however, is taxable interest income for the year in which received or accrued.</w:t>
      </w:r>
    </w:p>
  </w:footnote>
  <w:footnote w:id="179">
    <w:p w14:paraId="1B9AE5A9" w14:textId="77777777" w:rsidR="00494B49" w:rsidRDefault="00494B49">
      <w:pPr>
        <w:pStyle w:val="FootnoteText"/>
      </w:pPr>
      <w:r>
        <w:rPr>
          <w:rStyle w:val="FootnoteReference"/>
        </w:rPr>
        <w:footnoteRef/>
      </w:r>
      <w:r>
        <w:t xml:space="preserve">This type of interest income is also included in net earnings from self-employment. </w:t>
      </w:r>
      <w:r>
        <w:rPr>
          <w:i/>
        </w:rPr>
        <w:t>See</w:t>
      </w:r>
      <w:r>
        <w:t xml:space="preserve"> </w:t>
      </w:r>
      <w:smartTag w:uri="http://www.bna.com/sgml2word/cite" w:element="cite.agency.doc">
        <w:smartTagPr>
          <w:attr w:name="ref" w:val="IRS\RevRul\58-195"/>
        </w:smartTagPr>
        <w:r>
          <w:t>Rev. Rul. 58-195</w:t>
        </w:r>
      </w:smartTag>
      <w:r>
        <w:t xml:space="preserve">. </w:t>
      </w:r>
    </w:p>
  </w:footnote>
  <w:footnote w:id="180">
    <w:p w14:paraId="20695552" w14:textId="77777777" w:rsidR="00494B49" w:rsidRDefault="00494B49">
      <w:pPr>
        <w:pStyle w:val="FootnoteText"/>
      </w:pPr>
      <w:r>
        <w:rPr>
          <w:rStyle w:val="FootnoteReference"/>
        </w:rPr>
        <w:footnoteRef/>
      </w:r>
      <w:r>
        <w:t xml:space="preserve">For this provision to apply, an insurance-related trade or business must be operating in a pass-through entity form (or through disregarded entities) that is ultimately reported on the income tax return of an individual, estate, or trust. Although it is rare for insurance companies to be organized as non-C corporations, such a provision could be possible in certain captive insurance company structures. </w:t>
      </w:r>
    </w:p>
  </w:footnote>
  <w:footnote w:id="181">
    <w:p w14:paraId="03FAE4D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02(a)-5(b)"/>
        </w:smartTagPr>
        <w:r>
          <w:t>§1.1402(a)-5(b)</w:t>
        </w:r>
      </w:smartTag>
      <w:r>
        <w:t xml:space="preserve">. Notwithstanding the self-employment tax rules for limited partner and S corporation shareholders, the interest income that is excluded from net investment income is likely included in net earnings from self-employment (NESE). However, to the extent that the interest income included in NESE is broader than gross income identified in Reg. </w:t>
      </w:r>
      <w:smartTag w:uri="http://www.bna.com/sgml2word/cite" w:element="cite.cfr">
        <w:smartTagPr>
          <w:attr w:name="ref" w:val="cfr\26\1.469-2T(c)(3)(ii)(A)"/>
        </w:smartTagPr>
        <w:r>
          <w:t>§1.469-2T(c)(3)(ii)(A)</w:t>
        </w:r>
      </w:smartTag>
      <w:r>
        <w:t xml:space="preserve"> and </w:t>
      </w:r>
      <w:smartTag w:uri="http://www.bna.com/sgml2word/cite" w:element="cite.cfr">
        <w:smartTagPr>
          <w:attr w:name="ref" w:val="cfr\26\1.469-2T(c)(3)(ii)(B)"/>
        </w:smartTagPr>
        <w:r>
          <w:t>§1.469-2T(c)(3)(ii)(B)</w:t>
        </w:r>
      </w:smartTag>
      <w:r>
        <w:t xml:space="preserve"> as derived in the ordinary course of a trade or business, </w:t>
      </w:r>
      <w:smartTag w:uri="http://www.bna.com/sgml2word/cite" w:element="cite.usc">
        <w:smartTagPr>
          <w:attr w:name="ref" w:val="USC\26\1411(c)(6)"/>
        </w:smartTagPr>
        <w:r>
          <w:t>§1411(c)(6)</w:t>
        </w:r>
      </w:smartTag>
      <w:r>
        <w:t xml:space="preserve"> would provide a broader exclusion from net investment income. </w:t>
      </w:r>
    </w:p>
  </w:footnote>
  <w:footnote w:id="182">
    <w:p w14:paraId="4B2A9CFE" w14:textId="77777777" w:rsidR="00494B49" w:rsidRDefault="00494B49">
      <w:pPr>
        <w:pStyle w:val="FootnoteText"/>
      </w:pPr>
      <w:r>
        <w:rPr>
          <w:rStyle w:val="FootnoteReference"/>
        </w:rPr>
        <w:footnoteRef/>
      </w:r>
      <w:r>
        <w:t xml:space="preserve">A lending transaction also includes guaranteed payments for the use of capital under </w:t>
      </w:r>
      <w:smartTag w:uri="http://www.bna.com/sgml2word/cite" w:element="cite.usc">
        <w:smartTagPr>
          <w:attr w:name="ref" w:val="USC\26\707(c)"/>
        </w:smartTagPr>
        <w:r>
          <w:t>§707(c)</w:t>
        </w:r>
      </w:smartTag>
      <w:r>
        <w:t xml:space="preserve">. Reg. </w:t>
      </w:r>
      <w:smartTag w:uri="http://www.bna.com/sgml2word/cite" w:element="cite.cfr">
        <w:smartTagPr>
          <w:attr w:name="ref" w:val="cfr\26\1.469-7(a)(1)"/>
        </w:smartTagPr>
        <w:r>
          <w:t>§1.469-7(a)(1)</w:t>
        </w:r>
      </w:smartTag>
      <w:r>
        <w:t>.</w:t>
      </w:r>
    </w:p>
  </w:footnote>
  <w:footnote w:id="183">
    <w:p w14:paraId="3CD5AAA5" w14:textId="77777777" w:rsidR="00494B49" w:rsidRDefault="00494B49">
      <w:pPr>
        <w:pStyle w:val="FootnoteText"/>
      </w:pPr>
      <w:r>
        <w:rPr>
          <w:rStyle w:val="FootnoteReference"/>
        </w:rPr>
        <w:footnoteRef/>
      </w:r>
      <w:r>
        <w:t xml:space="preserve">For a detailed discussion of the self-charged interest rules under Reg. </w:t>
      </w:r>
      <w:smartTag w:uri="http://www.bna.com/sgml2word/cite" w:element="cite.cfr">
        <w:smartTagPr>
          <w:attr w:name="ref" w:val="cfr\26\1.469-7"/>
        </w:smartTagPr>
        <w:r>
          <w:t>§1.469-7</w:t>
        </w:r>
      </w:smartTag>
      <w:r>
        <w:t xml:space="preserve">, see </w:t>
      </w:r>
      <w:smartTag w:uri="http://www.bna.com/sgml2word/cite" w:element="cite.bna.reference">
        <w:smartTagPr>
          <w:attr w:name="bna.id.ref" w:val="TM\549"/>
        </w:smartTagPr>
        <w:r>
          <w:t>549 T.M.</w:t>
        </w:r>
      </w:smartTag>
      <w:r>
        <w:t xml:space="preserve">, </w:t>
      </w:r>
      <w:r>
        <w:rPr>
          <w:i/>
        </w:rPr>
        <w:t>Passive Loss Rules</w:t>
      </w:r>
      <w:r>
        <w:t>.</w:t>
      </w:r>
    </w:p>
  </w:footnote>
  <w:footnote w:id="184">
    <w:p w14:paraId="6C0044C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c)"/>
        </w:smartTagPr>
        <w:r>
          <w:t>§1.469-7(c)</w:t>
        </w:r>
      </w:smartTag>
      <w:r>
        <w:t xml:space="preserve">. </w:t>
      </w:r>
    </w:p>
  </w:footnote>
  <w:footnote w:id="185">
    <w:p w14:paraId="615B28A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d)"/>
        </w:smartTagPr>
        <w:r>
          <w:t>§1.469-7(d)</w:t>
        </w:r>
      </w:smartTag>
      <w:r>
        <w:t>.</w:t>
      </w:r>
    </w:p>
  </w:footnote>
  <w:footnote w:id="186">
    <w:p w14:paraId="0134A9C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e)"/>
        </w:smartTagPr>
        <w:r>
          <w:t>§1.469-7(e)</w:t>
        </w:r>
      </w:smartTag>
      <w:r>
        <w:t xml:space="preserve"> (each owner of the borrowing entity has the same proportionate ownership interest in the lending entity).</w:t>
      </w:r>
    </w:p>
  </w:footnote>
  <w:footnote w:id="187">
    <w:p w14:paraId="5C62EA59" w14:textId="77777777" w:rsidR="00494B49" w:rsidRDefault="00494B49">
      <w:pPr>
        <w:pStyle w:val="FootnoteText"/>
      </w:pPr>
      <w:r>
        <w:rPr>
          <w:rStyle w:val="FootnoteReference"/>
        </w:rPr>
        <w:footnoteRef/>
      </w:r>
      <w:r>
        <w:t xml:space="preserve">Only applies to a taxpayer’s share of an item of income or deduction of a pass-through entity which is the amount treated as an item of income or deduction of the taxpayer for the tax year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Reg. </w:t>
      </w:r>
      <w:smartTag w:uri="http://www.bna.com/sgml2word/cite" w:element="cite.cfr">
        <w:smartTagPr>
          <w:attr w:name="ref" w:val="cfr\26\1.469-7(b)(2)"/>
        </w:smartTagPr>
        <w:r>
          <w:t>§1.469-7(b)(2)</w:t>
        </w:r>
      </w:smartTag>
      <w:r>
        <w:t xml:space="preserve">. </w:t>
      </w:r>
    </w:p>
  </w:footnote>
  <w:footnote w:id="188">
    <w:p w14:paraId="59C5401C" w14:textId="77777777" w:rsidR="00494B49" w:rsidRDefault="00494B49">
      <w:pPr>
        <w:pStyle w:val="FootnoteText"/>
      </w:pPr>
      <w:r>
        <w:rPr>
          <w:rStyle w:val="FootnoteReference"/>
        </w:rPr>
        <w:footnoteRef/>
      </w:r>
      <w:r>
        <w:rPr>
          <w:i/>
        </w:rPr>
        <w:t>See</w:t>
      </w:r>
      <w:r>
        <w:t xml:space="preserve"> Preamble to T.D. </w:t>
      </w:r>
      <w:smartTag w:uri="http://www.bna.com/sgml2word/cite" w:element="cite.agency.doc">
        <w:smartTagPr>
          <w:attr w:name="ref" w:val="IRS\PREAMBLE\TD9013"/>
        </w:smartTagPr>
        <w:r>
          <w:t>9013</w:t>
        </w:r>
      </w:smartTag>
      <w:r>
        <w:t>. The preamble to the final self-charged interest regulations provides, in part, that “the self-charged rules are extended to identically owned pass-through entities. This extension is limited to identically owned entities because of concerns regarding the difficulty of identifying self-charged items in transactions between less closely related or unrelated entities.”</w:t>
      </w:r>
    </w:p>
  </w:footnote>
  <w:footnote w:id="189">
    <w:p w14:paraId="7F394710" w14:textId="77777777" w:rsidR="00494B49" w:rsidRDefault="00494B49">
      <w:pPr>
        <w:pStyle w:val="FootnoteText"/>
      </w:pPr>
      <w:r>
        <w:rPr>
          <w:rStyle w:val="FootnoteReference"/>
        </w:rPr>
        <w:footnoteRef/>
      </w:r>
      <w:r>
        <w:t xml:space="preserve">Deductions attributable to rental or royalties under </w:t>
      </w:r>
      <w:smartTag w:uri="http://www.bna.com/sgml2word/cite" w:element="cite.usc">
        <w:smartTagPr>
          <w:attr w:name="ref" w:val="USC\26\62(a)(4)"/>
        </w:smartTagPr>
        <w:r>
          <w:t>§62(a)(4)</w:t>
        </w:r>
      </w:smartTag>
      <w:r>
        <w:t>.</w:t>
      </w:r>
    </w:p>
  </w:footnote>
  <w:footnote w:id="190">
    <w:p w14:paraId="5368294C" w14:textId="77777777" w:rsidR="00494B49" w:rsidRDefault="00494B49">
      <w:pPr>
        <w:pStyle w:val="FootnoteText"/>
      </w:pPr>
      <w:r>
        <w:rPr>
          <w:rStyle w:val="FootnoteReference"/>
        </w:rPr>
        <w:footnoteRef/>
      </w:r>
      <w:r>
        <w:t xml:space="preserve">Deductions attributable to a trade or business under </w:t>
      </w:r>
      <w:smartTag w:uri="http://www.bna.com/sgml2word/cite" w:element="cite.usc">
        <w:smartTagPr>
          <w:attr w:name="ref" w:val="USC\26\62(a)(1)"/>
        </w:smartTagPr>
        <w:r>
          <w:t>§62(a)(1)</w:t>
        </w:r>
      </w:smartTag>
      <w:r>
        <w:t>.</w:t>
      </w:r>
    </w:p>
  </w:footnote>
  <w:footnote w:id="191">
    <w:p w14:paraId="5E05257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5)"/>
        </w:smartTagPr>
        <w:r>
          <w:t>§1.1411-4(g)(5)</w:t>
        </w:r>
      </w:smartTag>
      <w:r>
        <w:t xml:space="preserve">. </w:t>
      </w:r>
    </w:p>
  </w:footnote>
  <w:footnote w:id="192">
    <w:p w14:paraId="067A6248" w14:textId="77777777" w:rsidR="00494B49" w:rsidRDefault="00494B49">
      <w:pPr>
        <w:pStyle w:val="FootnoteText"/>
      </w:pPr>
      <w:r>
        <w:rPr>
          <w:rStyle w:val="FootnoteReference"/>
        </w:rPr>
        <w:footnoteRef/>
      </w:r>
      <w:r>
        <w:t xml:space="preserve">The mathematical result of the special rule is to exclude an amount of interest income from net investment income that is equal to the amount of interest income that would have been considered passive income under Reg. </w:t>
      </w:r>
      <w:smartTag w:uri="http://www.bna.com/sgml2word/cite" w:element="cite.cfr">
        <w:smartTagPr>
          <w:attr w:name="ref" w:val="cfr\26\1.469-7"/>
        </w:smartTagPr>
        <w:r>
          <w:t>§1.469-7</w:t>
        </w:r>
      </w:smartTag>
      <w:r>
        <w:t xml:space="preserve"> if the nonpassive activity was considered a passive activity.</w:t>
      </w:r>
    </w:p>
  </w:footnote>
  <w:footnote w:id="193">
    <w:p w14:paraId="20190BCC" w14:textId="77777777" w:rsidR="00494B49" w:rsidRDefault="00494B49">
      <w:pPr>
        <w:pStyle w:val="FootnoteText"/>
      </w:pPr>
      <w:r>
        <w:rPr>
          <w:rStyle w:val="FootnoteReference"/>
        </w:rPr>
        <w:footnoteRef/>
      </w:r>
      <w:r>
        <w:t xml:space="preserve">Without this carve-out, interest on loans to trading entities would likely be excluded from net investment income because such entities are likely nonpassive activities due to Reg. </w:t>
      </w:r>
      <w:smartTag w:uri="http://www.bna.com/sgml2word/cite" w:element="cite.cfr">
        <w:smartTagPr>
          <w:attr w:name="ref" w:val="cfr\26\1.469-1T(e)(6)"/>
        </w:smartTagPr>
        <w:r>
          <w:t>§1.469-1T(e)(6)</w:t>
        </w:r>
      </w:smartTag>
      <w:r>
        <w:t>.</w:t>
      </w:r>
    </w:p>
  </w:footnote>
  <w:footnote w:id="194">
    <w:p w14:paraId="7BE647F4" w14:textId="77777777" w:rsidR="00494B49" w:rsidRDefault="00494B49">
      <w:pPr>
        <w:pStyle w:val="FootnoteText"/>
      </w:pPr>
      <w:r>
        <w:rPr>
          <w:rStyle w:val="FootnoteReference"/>
        </w:rPr>
        <w:footnoteRef/>
      </w:r>
      <w:r>
        <w:t xml:space="preserve">The general theory of Reg. </w:t>
      </w:r>
      <w:smartTag w:uri="http://www.bna.com/sgml2word/cite" w:element="cite.cfr">
        <w:smartTagPr>
          <w:attr w:name="ref" w:val="cfr\26\1.1411-1(a)"/>
        </w:smartTagPr>
        <w:r>
          <w:t>§1.1411-1(a)</w:t>
        </w:r>
      </w:smartTag>
      <w:r>
        <w:t xml:space="preserve"> provides that all provisions of Chapter 1 apply. See also Examples 1 and 2 in Reg. </w:t>
      </w:r>
      <w:smartTag w:uri="http://www.bna.com/sgml2word/cite" w:element="cite.cfr">
        <w:smartTagPr>
          <w:attr w:name="ref" w:val="cfr\26\1.1411-4(f)(2)(v)"/>
        </w:smartTagPr>
        <w:r>
          <w:t>§1.1411-4(f)(2)(v)</w:t>
        </w:r>
      </w:smartTag>
      <w:r>
        <w:t xml:space="preserve"> for the proposition that </w:t>
      </w:r>
      <w:smartTag w:uri="http://www.bna.com/sgml2word/cite" w:element="cite.usc">
        <w:smartTagPr>
          <w:attr w:name="ref" w:val="USC\26\465"/>
        </w:smartTagPr>
        <w:r>
          <w:t>§465</w:t>
        </w:r>
      </w:smartTag>
      <w:r>
        <w:t xml:space="preserve"> limits properly allocable deductions for NIIT purposes.</w:t>
      </w:r>
    </w:p>
  </w:footnote>
  <w:footnote w:id="195">
    <w:p w14:paraId="4C635A58"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469-2T(d)(6)"/>
        </w:smartTagPr>
        <w:r>
          <w:t>§1.469-2T(d)(6)</w:t>
        </w:r>
      </w:smartTag>
      <w:r>
        <w:t xml:space="preserve"> for the loss limitation ordering rules for </w:t>
      </w:r>
      <w:smartTag w:uri="http://www.bna.com/sgml2word/cite" w:element="cite.usc">
        <w:smartTagPr>
          <w:attr w:name="ref" w:val="USC\26\469"/>
        </w:smartTagPr>
        <w:r>
          <w:t>§469</w:t>
        </w:r>
      </w:smartTag>
      <w:r>
        <w:t xml:space="preserve"> purposes. </w:t>
      </w:r>
    </w:p>
  </w:footnote>
  <w:footnote w:id="196">
    <w:p w14:paraId="1A8DC1C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0)"/>
        </w:smartTagPr>
        <w:r>
          <w:t>§1.1411-4(g)(10)</w:t>
        </w:r>
      </w:smartTag>
      <w:r>
        <w:t xml:space="preserve"> [Reserved].</w:t>
      </w:r>
    </w:p>
  </w:footnote>
  <w:footnote w:id="197">
    <w:p w14:paraId="4B50BB8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7(a)(1)"/>
        </w:smartTagPr>
        <w:r>
          <w:t>§1.469-7(a)(1)</w:t>
        </w:r>
      </w:smartTag>
      <w:r>
        <w:t xml:space="preserve"> (treating guaranteed payments for the use of capital under </w:t>
      </w:r>
      <w:smartTag w:uri="http://www.bna.com/sgml2word/cite" w:element="cite.usc">
        <w:smartTagPr>
          <w:attr w:name="ref" w:val="USC\26\707(c)"/>
        </w:smartTagPr>
        <w:r>
          <w:t>§707(c)</w:t>
        </w:r>
      </w:smartTag>
      <w:r>
        <w:t xml:space="preserve"> as a lending transaction). </w:t>
      </w:r>
    </w:p>
  </w:footnote>
  <w:footnote w:id="198">
    <w:p w14:paraId="7336ECA7"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5.E.i. The preamble stated “[t]he mathematical result of the special rule is to exclude an amount of interest income from net investment income that is equal to the amount of interest income that would have been considered passive income under </w:t>
      </w:r>
      <w:smartTag w:uri="http://www.bna.com/sgml2word/cite" w:element="cite.cfr">
        <w:smartTagPr>
          <w:attr w:name="ref" w:val="cfr\26\1.469-7"/>
        </w:smartTagPr>
        <w:r>
          <w:t>§1.469-7</w:t>
        </w:r>
      </w:smartTag>
      <w:r>
        <w:t xml:space="preserve"> if the nonpassive activity was considered a passive activity.” </w:t>
      </w:r>
    </w:p>
  </w:footnote>
  <w:footnote w:id="199">
    <w:p w14:paraId="1D21AED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702-1(b)"/>
        </w:smartTagPr>
        <w:r>
          <w:t>§1.702-1(b)</w:t>
        </w:r>
      </w:smartTag>
      <w:r>
        <w:t xml:space="preserve"> and Reg. </w:t>
      </w:r>
      <w:smartTag w:uri="http://www.bna.com/sgml2word/cite" w:element="cite.cfr">
        <w:smartTagPr>
          <w:attr w:name="ref" w:val="cfr\26\1.1366-1(b)(1)"/>
        </w:smartTagPr>
        <w:r>
          <w:t>§1.1366-1(b)(1)</w:t>
        </w:r>
      </w:smartTag>
      <w:r>
        <w:t>.</w:t>
      </w:r>
    </w:p>
  </w:footnote>
  <w:footnote w:id="200">
    <w:p w14:paraId="303E3937" w14:textId="77777777" w:rsidR="00494B49" w:rsidRDefault="00494B49">
      <w:pPr>
        <w:pStyle w:val="FootnoteText"/>
      </w:pPr>
      <w:r>
        <w:rPr>
          <w:rStyle w:val="FootnoteReference"/>
        </w:rPr>
        <w:footnoteRef/>
      </w:r>
      <w:r>
        <w:t>Conf. Rep. at pp. II-145-47; 1986 Bluebook at 234.</w:t>
      </w:r>
    </w:p>
  </w:footnote>
  <w:footnote w:id="201">
    <w:p w14:paraId="5E25C028" w14:textId="77777777" w:rsidR="00494B49" w:rsidRDefault="00494B49">
      <w:pPr>
        <w:pStyle w:val="FootnoteText"/>
      </w:pPr>
      <w:r>
        <w:rPr>
          <w:rStyle w:val="FootnoteReference"/>
        </w:rPr>
        <w:footnoteRef/>
      </w:r>
      <w:r>
        <w:t xml:space="preserve">The offsetting interest expense allocable to the taxpayer from the nonpassive activity would not be a properly allocable deduction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w:t>
      </w:r>
    </w:p>
  </w:footnote>
  <w:footnote w:id="202">
    <w:p w14:paraId="69499BD1" w14:textId="77777777" w:rsidR="00494B49" w:rsidRDefault="00494B49">
      <w:pPr>
        <w:pStyle w:val="FootnoteText"/>
      </w:pPr>
      <w:r>
        <w:rPr>
          <w:rStyle w:val="FootnoteReference"/>
        </w:rPr>
        <w:footnoteRef/>
      </w:r>
      <w:r>
        <w:t xml:space="preserve">The attribution of “trade or business status” to the lender was necessary because the loan would not be considered derived in the ordinary course of a trade or business “naturally” under Reg. </w:t>
      </w:r>
      <w:smartTag w:uri="http://www.bna.com/sgml2word/cite" w:element="cite.cfr">
        <w:smartTagPr>
          <w:attr w:name="ref" w:val="cfr\26\1.1411-4(b)"/>
        </w:smartTagPr>
        <w:r>
          <w:t>§1.1411-4(b)</w:t>
        </w:r>
      </w:smartTag>
      <w:r>
        <w:t xml:space="preserve"> because of the interrelationship with the </w:t>
      </w:r>
      <w:smartTag w:uri="http://www.bna.com/sgml2word/cite" w:element="cite.usc">
        <w:smartTagPr>
          <w:attr w:name="ref" w:val="USC\26\469(e)(1)(B)"/>
        </w:smartTagPr>
        <w:r>
          <w:t>§469(e)(1)(B)</w:t>
        </w:r>
      </w:smartTag>
      <w:r>
        <w:t xml:space="preserve"> working capital rule in Reg. </w:t>
      </w:r>
      <w:smartTag w:uri="http://www.bna.com/sgml2word/cite" w:element="cite.cfr">
        <w:smartTagPr>
          <w:attr w:name="ref" w:val="cfr\26\1.1411-6"/>
        </w:smartTagPr>
        <w:r>
          <w:t>§1.1411-6</w:t>
        </w:r>
      </w:smartTag>
      <w:r>
        <w:t xml:space="preserve">. In the case of interest, dividends, annuities, and some royalty income, the excludability from net investment income turns on whether the income meets the exclusion from portfolio income under Reg. </w:t>
      </w:r>
      <w:smartTag w:uri="http://www.bna.com/sgml2word/cite" w:element="cite.cfr">
        <w:smartTagPr>
          <w:attr w:name="ref" w:val="cfr\26\1.469-2T(c)(3)(ii)"/>
        </w:smartTagPr>
        <w:r>
          <w:t>§1.469-2T(c)(3)(ii)</w:t>
        </w:r>
      </w:smartTag>
      <w:r>
        <w:t xml:space="preserve">. In the case of interest income, neither of the exceptions to portfolio income in Reg. </w:t>
      </w:r>
      <w:smartTag w:uri="http://www.bna.com/sgml2word/cite" w:element="cite.cfr">
        <w:smartTagPr>
          <w:attr w:name="ref" w:val="cfr\26\1.469-2T(c)(3)(ii)(A)"/>
        </w:smartTagPr>
        <w:r>
          <w:t>§1.469-2T(c)(3)(ii)(A)</w:t>
        </w:r>
      </w:smartTag>
      <w:r>
        <w:t xml:space="preserve"> or </w:t>
      </w:r>
      <w:smartTag w:uri="http://www.bna.com/sgml2word/cite" w:element="cite.cfr">
        <w:smartTagPr>
          <w:attr w:name="ref" w:val="cfr\26\1.469-2T(c)(3)(ii)(B)"/>
        </w:smartTagPr>
        <w:r>
          <w:t>§1.469-2T(c)(3)(ii)(B)</w:t>
        </w:r>
      </w:smartTag>
      <w:r>
        <w:t xml:space="preserve"> would apply. </w:t>
      </w:r>
    </w:p>
  </w:footnote>
  <w:footnote w:id="203">
    <w:p w14:paraId="47EB803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1T(d)(1)"/>
        </w:smartTagPr>
        <w:r>
          <w:t>§1.469-1T(d)(1)</w:t>
        </w:r>
      </w:smartTag>
      <w:r>
        <w:t>.</w:t>
      </w:r>
    </w:p>
  </w:footnote>
  <w:footnote w:id="204">
    <w:p w14:paraId="30A3596F" w14:textId="77777777" w:rsidR="00494B49" w:rsidRDefault="00494B49">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 xml:space="preserve">. </w:t>
      </w:r>
    </w:p>
  </w:footnote>
  <w:footnote w:id="205">
    <w:p w14:paraId="05AAD6C9" w14:textId="77777777" w:rsidR="00494B49" w:rsidRDefault="00494B49">
      <w:pPr>
        <w:pStyle w:val="FootnoteText"/>
      </w:pPr>
      <w:r>
        <w:rPr>
          <w:rStyle w:val="FootnoteReference"/>
        </w:rPr>
        <w:footnoteRef/>
      </w:r>
      <w:r>
        <w:t xml:space="preserve">Interest received in the normal course of any trade or business (such as interest on delinquent accounts receivable) is not excludible from NESE. </w:t>
      </w:r>
      <w:smartTag w:uri="http://www.bna.com/sgml2word/cite" w:element="cite.agency.doc">
        <w:smartTagPr>
          <w:attr w:name="ref" w:val="IRS\RevRul\58-195"/>
        </w:smartTagPr>
        <w:r>
          <w:t>Rev. Rul. 58-195</w:t>
        </w:r>
      </w:smartTag>
      <w:r>
        <w:t xml:space="preserve">. </w:t>
      </w:r>
      <w:r>
        <w:rPr>
          <w:i/>
        </w:rPr>
        <w:t>Cf.</w:t>
      </w:r>
      <w:r>
        <w:t xml:space="preserve"> </w:t>
      </w:r>
      <w:r>
        <w:rPr>
          <w:rStyle w:val="BCasenamefull"/>
        </w:rPr>
        <w:t>Lessin v. Celebrezze</w:t>
      </w:r>
      <w:r>
        <w:t xml:space="preserve">, </w:t>
      </w:r>
      <w:smartTag w:uri="http://www.bna.com/sgml2word/cite" w:element="cite.parallel">
        <w:smartTagPr>
          <w:attr w:name="ref" w:val="F2D\314\283"/>
        </w:smartTagPr>
        <w:r>
          <w:t>314 F.2d 283</w:t>
        </w:r>
      </w:smartTag>
      <w:r>
        <w:t xml:space="preserve"> (D.C. Cir. 1963) (interest income on installment sale is excludible from NESE). </w:t>
      </w:r>
    </w:p>
  </w:footnote>
  <w:footnote w:id="206">
    <w:p w14:paraId="05FEA03C"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2(a)(13)"/>
        </w:smartTagPr>
        <w:r>
          <w:t>§1402(a)(13)</w:t>
        </w:r>
      </w:smartTag>
      <w:r>
        <w:t xml:space="preserve"> (limited partnerships); </w:t>
      </w:r>
      <w:smartTag w:uri="http://www.bna.com/sgml2word/cite" w:element="cite.agency.doc">
        <w:smartTagPr>
          <w:attr w:name="ref" w:val="IRS\RevRul\59-221"/>
        </w:smartTagPr>
        <w:r>
          <w:t>Rev. Rul. 59-221</w:t>
        </w:r>
      </w:smartTag>
      <w:r>
        <w:t xml:space="preserve"> (distributive share of S corporation earnings are not included in NESE). For a further discussion of these provisions, see </w:t>
      </w:r>
      <w:smartTag w:uri="http://www.bna.com/sgml2word/cite" w:element="cite.bna.reference">
        <w:smartTagPr>
          <w:attr w:name="bna.id.ref" w:val="TM\392"/>
        </w:smartTagPr>
        <w:r>
          <w:t>392</w:t>
        </w:r>
      </w:smartTag>
      <w:r>
        <w:t xml:space="preserve"> T.M., </w:t>
      </w:r>
      <w:r>
        <w:rPr>
          <w:i/>
        </w:rPr>
        <w:t>Withholding, Social Security and Unemployment Taxes on Compensation</w:t>
      </w:r>
      <w:r>
        <w:t xml:space="preserve">. </w:t>
      </w:r>
    </w:p>
  </w:footnote>
  <w:footnote w:id="207">
    <w:p w14:paraId="1455CEA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
        </w:smartTagPr>
        <w:r>
          <w:t>§1.1411-1(d)(3)</w:t>
        </w:r>
      </w:smartTag>
      <w:r>
        <w:t>.</w:t>
      </w:r>
    </w:p>
  </w:footnote>
  <w:footnote w:id="208">
    <w:p w14:paraId="3AE5A0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
        </w:smartTagPr>
        <w:r>
          <w:t>§1.1411-1(d)(3)(i)</w:t>
        </w:r>
      </w:smartTag>
      <w:r>
        <w:t>.</w:t>
      </w:r>
    </w:p>
  </w:footnote>
  <w:footnote w:id="209">
    <w:p w14:paraId="165010A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i)"/>
        </w:smartTagPr>
        <w:r>
          <w:t>§1.1411-1(d)(3)(ii)</w:t>
        </w:r>
      </w:smartTag>
      <w:r>
        <w:t>.</w:t>
      </w:r>
    </w:p>
  </w:footnote>
  <w:footnote w:id="210">
    <w:p w14:paraId="189C0AE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ii)"/>
        </w:smartTagPr>
        <w:r>
          <w:t>§1.1411-1(d)(3)(iii)</w:t>
        </w:r>
      </w:smartTag>
      <w:r>
        <w:t>.</w:t>
      </w:r>
    </w:p>
  </w:footnote>
  <w:footnote w:id="211">
    <w:p w14:paraId="3559E0E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v)"/>
        </w:smartTagPr>
        <w:r>
          <w:t>§1.1411-1(d)(3)(iv)</w:t>
        </w:r>
      </w:smartTag>
      <w:r>
        <w:t>.</w:t>
      </w:r>
    </w:p>
  </w:footnote>
  <w:footnote w:id="212">
    <w:p w14:paraId="5416F51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v)"/>
        </w:smartTagPr>
        <w:r>
          <w:t>§1.1411-1(d)(3)(v)</w:t>
        </w:r>
      </w:smartTag>
      <w:r>
        <w:t xml:space="preserve">. A substitute dividend payment is a payment made to the transferor of a security in a securities lending transaction or a sale-repurchase transaction of an amount equivalent to a dividend distribution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p>
  </w:footnote>
  <w:footnote w:id="213">
    <w:p w14:paraId="0FC512A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385-1(c)"/>
        </w:smartTagPr>
        <w:r>
          <w:t>§1.1385-1(c)</w:t>
        </w:r>
      </w:smartTag>
      <w:r>
        <w:t>. The exclusion is also available, on the same terms, for any amount received on the redemption, sale, or other disposition of a nonqualified written notice of allocation that was paid as a patronage dividend.</w:t>
      </w:r>
    </w:p>
  </w:footnote>
  <w:footnote w:id="214">
    <w:p w14:paraId="166A4DD8"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10(c)(1)(i)(A)(2)"/>
        </w:smartTagPr>
        <w:r>
          <w:t>§1.1411-10(c)(1)(i)(A)(2)</w:t>
        </w:r>
      </w:smartTag>
      <w:r>
        <w:t xml:space="preserve"> and </w:t>
      </w:r>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r>
        <w:t xml:space="preserve">, below, for a detailed discussion of these rules. </w:t>
      </w:r>
    </w:p>
  </w:footnote>
  <w:footnote w:id="215">
    <w:p w14:paraId="07390687" w14:textId="77777777" w:rsidR="00494B49" w:rsidRDefault="00494B49">
      <w:pPr>
        <w:pStyle w:val="FootnoteText"/>
      </w:pPr>
      <w:r>
        <w:rPr>
          <w:rStyle w:val="FootnoteReference"/>
        </w:rPr>
        <w:footnoteRef/>
      </w:r>
      <w:smartTag w:uri="http://www.bna.com/sgml2word/cite" w:element="cite.cfr">
        <w:smartTagPr>
          <w:attr w:name="ref" w:val="prule\cfr\26\1.301-1(j)"/>
        </w:smartTagPr>
        <w:r>
          <w:t>Prop. Reg. §1.301-1(j)</w:t>
        </w:r>
      </w:smartTag>
      <w:r>
        <w:t xml:space="preserve">, REG-121694-16 (distributions with respect to stock may occur at the same time as other transactions); Reg. </w:t>
      </w:r>
      <w:smartTag w:uri="http://www.bna.com/sgml2word/cite" w:element="cite.cfr">
        <w:smartTagPr>
          <w:attr w:name="ref" w:val="cfr\26\1.671-2(e)(4)"/>
        </w:smartTagPr>
        <w:r>
          <w:t>§1.671-2(e)(4)</w:t>
        </w:r>
      </w:smartTag>
      <w:r>
        <w:t xml:space="preserve"> (gratuitous transfers may be treated as constructive distributions); Reg. </w:t>
      </w:r>
      <w:smartTag w:uri="http://www.bna.com/sgml2word/cite" w:element="cite.cfr">
        <w:smartTagPr>
          <w:attr w:name="ref" w:val="cfr\26\1.1041-2(a)(2)"/>
        </w:smartTagPr>
        <w:r>
          <w:t>§1.1041-2(a)(2)</w:t>
        </w:r>
      </w:smartTag>
      <w:r>
        <w:t xml:space="preserve"> (redemptions of stock resulting in constructive distributions). </w:t>
      </w:r>
    </w:p>
  </w:footnote>
  <w:footnote w:id="216">
    <w:p w14:paraId="31BC1F38" w14:textId="77777777" w:rsidR="00494B49" w:rsidRDefault="00494B49">
      <w:pPr>
        <w:pStyle w:val="FootnoteText"/>
      </w:pPr>
      <w:r>
        <w:rPr>
          <w:rStyle w:val="FootnoteReference"/>
        </w:rPr>
        <w:footnoteRef/>
      </w:r>
      <w:r>
        <w:rPr>
          <w:i/>
        </w:rPr>
        <w:t>See, e.g.,</w:t>
      </w:r>
      <w:r>
        <w:t xml:space="preserve"> </w:t>
      </w:r>
      <w:r>
        <w:rPr>
          <w:rStyle w:val="BCasenamefull"/>
        </w:rPr>
        <w:t>Jaques v. Commissioner</w:t>
      </w:r>
      <w:r>
        <w:t xml:space="preserve">, </w:t>
      </w:r>
      <w:smartTag w:uri="http://www.bna.com/sgml2word/cite" w:element="cite.parallel">
        <w:smartTagPr>
          <w:attr w:name="ref" w:val="F2D\935\104"/>
        </w:smartTagPr>
        <w:r>
          <w:t>935 F.2d 104</w:t>
        </w:r>
      </w:smartTag>
      <w:r>
        <w:t xml:space="preserve"> (6th Cir. 1991) (based on the facts and circumstances, purported loans from a corporation to its sole shareholder were held to be dividends).</w:t>
      </w:r>
    </w:p>
  </w:footnote>
  <w:footnote w:id="217">
    <w:p w14:paraId="19066756" w14:textId="77777777" w:rsidR="00494B49" w:rsidRDefault="00494B49">
      <w:pPr>
        <w:pStyle w:val="FootnoteText"/>
      </w:pPr>
      <w:r>
        <w:rPr>
          <w:rStyle w:val="FootnoteReference"/>
        </w:rPr>
        <w:footnoteRef/>
      </w:r>
      <w:smartTag w:uri="http://www.bna.com/sgml2word/cite" w:element="cite.agency.doc">
        <w:smartTagPr>
          <w:attr w:name="ref" w:val="IRS\RevRul\54-140"/>
        </w:smartTagPr>
        <w:r>
          <w:t>Rev. Rul. 54-140</w:t>
        </w:r>
      </w:smartTag>
      <w:r>
        <w:t xml:space="preserve">. </w:t>
      </w:r>
    </w:p>
  </w:footnote>
  <w:footnote w:id="218">
    <w:p w14:paraId="25B7065E" w14:textId="77777777" w:rsidR="00494B49" w:rsidRDefault="00494B49">
      <w:pPr>
        <w:pStyle w:val="FootnoteText"/>
      </w:pPr>
      <w:r>
        <w:rPr>
          <w:rStyle w:val="FootnoteReference"/>
        </w:rPr>
        <w:footnoteRef/>
      </w:r>
      <w:smartTag w:uri="http://www.bna.com/sgml2word/cite" w:element="cite.agency.doc">
        <w:smartTagPr>
          <w:attr w:name="ref" w:val="IRS\RevRul\69-608"/>
        </w:smartTagPr>
        <w:r>
          <w:t>Rev. Rul. 69-608</w:t>
        </w:r>
      </w:smartTag>
      <w:r>
        <w:t xml:space="preserve"> (citing case law). </w:t>
      </w:r>
    </w:p>
  </w:footnote>
  <w:footnote w:id="219">
    <w:p w14:paraId="797BF97F" w14:textId="77777777" w:rsidR="00494B49" w:rsidRDefault="00494B49">
      <w:pPr>
        <w:pStyle w:val="FootnoteText"/>
      </w:pPr>
      <w:r>
        <w:rPr>
          <w:rStyle w:val="FootnoteReference"/>
        </w:rPr>
        <w:footnoteRef/>
      </w:r>
      <w:smartTag w:uri="http://www.bna.com/sgml2word/cite" w:element="cite.agency.doc">
        <w:smartTagPr>
          <w:attr w:name="ref" w:val="IRS\RevRul\69-630"/>
        </w:smartTagPr>
        <w:r>
          <w:t>Rev. Rul. 69-630</w:t>
        </w:r>
      </w:smartTag>
      <w:r>
        <w:t xml:space="preserve"> (citing </w:t>
      </w:r>
      <w:smartTag w:uri="http://www.bna.com/sgml2word/cite" w:element="cite.usc">
        <w:smartTagPr>
          <w:attr w:name="ref" w:val="USC\26\482"/>
        </w:smartTagPr>
        <w:r>
          <w:t>§482</w:t>
        </w:r>
      </w:smartTag>
      <w:r>
        <w:t xml:space="preserve">). </w:t>
      </w:r>
      <w:r>
        <w:rPr>
          <w:i/>
        </w:rPr>
        <w:t>See also</w:t>
      </w:r>
      <w:r>
        <w:t xml:space="preserve"> </w:t>
      </w:r>
      <w:smartTag w:uri="http://www.bna.com/sgml2word/cite" w:element="cite.agency.doc">
        <w:smartTagPr>
          <w:attr w:name="ref" w:val="IRS\RevRul\78-83"/>
        </w:smartTagPr>
        <w:r>
          <w:t>Rev. Rul. 78-83</w:t>
        </w:r>
      </w:smartTag>
      <w:r>
        <w:t xml:space="preserve">. </w:t>
      </w:r>
    </w:p>
  </w:footnote>
  <w:footnote w:id="220">
    <w:p w14:paraId="241F6391" w14:textId="77777777" w:rsidR="00494B49" w:rsidRDefault="00494B49">
      <w:pPr>
        <w:pStyle w:val="FootnoteText"/>
      </w:pPr>
      <w:r>
        <w:rPr>
          <w:rStyle w:val="FootnoteReference"/>
        </w:rPr>
        <w:footnoteRef/>
      </w:r>
      <w:smartTag w:uri="http://www.bna.com/sgml2word/cite" w:element="cite.agency.doc">
        <w:smartTagPr>
          <w:attr w:name="ref" w:val="IRS\RevRul\73-605"/>
        </w:smartTagPr>
        <w:r>
          <w:t>Rev. Rul. 73-605</w:t>
        </w:r>
      </w:smartTag>
      <w:r>
        <w:t xml:space="preserve"> (citing case law). </w:t>
      </w:r>
    </w:p>
  </w:footnote>
  <w:footnote w:id="221">
    <w:p w14:paraId="633B70D7" w14:textId="77777777" w:rsidR="00494B49" w:rsidRDefault="00494B49">
      <w:pPr>
        <w:pStyle w:val="FootnoteText"/>
      </w:pPr>
      <w:r>
        <w:rPr>
          <w:rStyle w:val="FootnoteReference"/>
        </w:rPr>
        <w:footnoteRef/>
      </w:r>
      <w:smartTag w:uri="http://www.bna.com/sgml2word/cite" w:element="cite.agency.doc">
        <w:smartTagPr>
          <w:attr w:name="ref" w:val="IRS\RevRul\74-573"/>
        </w:smartTagPr>
        <w:r>
          <w:t>Rev. Rul. 74-573</w:t>
        </w:r>
      </w:smartTag>
      <w:r>
        <w:t xml:space="preserve">. </w:t>
      </w:r>
    </w:p>
  </w:footnote>
  <w:footnote w:id="222">
    <w:p w14:paraId="7A64C6A9" w14:textId="77777777" w:rsidR="00494B49" w:rsidRDefault="00494B49">
      <w:pPr>
        <w:pStyle w:val="FootnoteText"/>
      </w:pPr>
      <w:r>
        <w:rPr>
          <w:rStyle w:val="FootnoteReference"/>
        </w:rPr>
        <w:footnoteRef/>
      </w:r>
      <w:smartTag w:uri="http://www.bna.com/sgml2word/cite" w:element="cite.agency.doc">
        <w:smartTagPr>
          <w:attr w:name="ref" w:val="IRS\RevRul\75-513"/>
        </w:smartTagPr>
        <w:r>
          <w:t>Rev. Rul. 75-513</w:t>
        </w:r>
      </w:smartTag>
      <w:r>
        <w:t>.</w:t>
      </w:r>
    </w:p>
  </w:footnote>
  <w:footnote w:id="223">
    <w:p w14:paraId="07264A71" w14:textId="77777777" w:rsidR="00494B49" w:rsidRDefault="00494B49">
      <w:pPr>
        <w:pStyle w:val="FootnoteText"/>
      </w:pPr>
      <w:r>
        <w:rPr>
          <w:rStyle w:val="FootnoteReference"/>
        </w:rPr>
        <w:footnoteRef/>
      </w:r>
      <w:smartTag w:uri="http://www.bna.com/sgml2word/cite" w:element="cite.agency.doc">
        <w:smartTagPr>
          <w:attr w:name="ref" w:val="IRS\RevRul\80-292"/>
        </w:smartTagPr>
        <w:r>
          <w:t>Rev. Rul. 80-292</w:t>
        </w:r>
      </w:smartTag>
      <w:r>
        <w:t xml:space="preserve"> (citing </w:t>
      </w:r>
      <w:smartTag w:uri="http://www.bna.com/sgml2word/cite" w:element="cite.usc">
        <w:smartTagPr>
          <w:attr w:name="ref" w:val="USC\26\301"/>
        </w:smartTagPr>
        <w:r>
          <w:t>§301</w:t>
        </w:r>
      </w:smartTag>
      <w:r>
        <w:t xml:space="preserve"> and </w:t>
      </w:r>
      <w:smartTag w:uri="http://www.bna.com/sgml2word/cite" w:element="cite.usc">
        <w:smartTagPr>
          <w:attr w:name="ref" w:val="USC\26\305"/>
        </w:smartTagPr>
        <w:r>
          <w:t>§305</w:t>
        </w:r>
      </w:smartTag>
      <w:r>
        <w:t>).</w:t>
      </w:r>
    </w:p>
  </w:footnote>
  <w:footnote w:id="224">
    <w:p w14:paraId="63028D11" w14:textId="77777777" w:rsidR="00494B49" w:rsidRDefault="00494B49">
      <w:pPr>
        <w:pStyle w:val="FootnoteText"/>
      </w:pPr>
      <w:r>
        <w:rPr>
          <w:rStyle w:val="FootnoteReference"/>
        </w:rPr>
        <w:footnoteRef/>
      </w:r>
      <w:smartTag w:uri="http://www.bna.com/sgml2word/cite" w:element="cite.agency.doc">
        <w:smartTagPr>
          <w:attr w:name="ref" w:val="IRS\RevRul\83-141"/>
        </w:smartTagPr>
        <w:r>
          <w:t>Rev. Rul. 83-141</w:t>
        </w:r>
      </w:smartTag>
      <w:r>
        <w:t xml:space="preserve"> (citing </w:t>
      </w:r>
      <w:smartTag w:uri="http://www.bna.com/sgml2word/cite" w:element="cite.usc">
        <w:smartTagPr>
          <w:attr w:name="ref" w:val="USC\26\301"/>
        </w:smartTagPr>
        <w:r>
          <w:t>§301</w:t>
        </w:r>
      </w:smartTag>
      <w:r>
        <w:t xml:space="preserve">, </w:t>
      </w:r>
      <w:smartTag w:uri="http://www.bna.com/sgml2word/cite" w:element="cite.usc">
        <w:smartTagPr>
          <w:attr w:name="ref" w:val="USC\26\316"/>
        </w:smartTagPr>
        <w:r>
          <w:t>§316</w:t>
        </w:r>
      </w:smartTag>
      <w:r>
        <w:t>, and case law).</w:t>
      </w:r>
    </w:p>
  </w:footnote>
  <w:footnote w:id="225">
    <w:p w14:paraId="73EAB1F8"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226">
    <w:p w14:paraId="0DBA6D69" w14:textId="77777777" w:rsidR="00494B49" w:rsidRDefault="00494B49">
      <w:pPr>
        <w:pStyle w:val="FootnoteText"/>
      </w:pPr>
      <w:r>
        <w:rPr>
          <w:rStyle w:val="FootnoteReference"/>
        </w:rPr>
        <w:footnoteRef/>
      </w:r>
      <w:smartTag w:uri="http://www.bna.com/sgml2word/cite" w:element="cite.usc">
        <w:smartTagPr>
          <w:attr w:name="ref" w:val="USC\26\1402(a)(13)"/>
        </w:smartTagPr>
        <w:r>
          <w:t>§1402(a)(13)</w:t>
        </w:r>
      </w:smartTag>
      <w:r>
        <w:t>.</w:t>
      </w:r>
    </w:p>
  </w:footnote>
  <w:footnote w:id="227">
    <w:p w14:paraId="4404016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c)(3)(ii)(C)"/>
        </w:smartTagPr>
        <w:r>
          <w:t>§1.469-2T(c)(3)(ii)(C)</w:t>
        </w:r>
      </w:smartTag>
      <w:r>
        <w:t xml:space="preserve">. For this provision to apply, an insurance-related trade or business must be operating in a pass-through entity form (or through disregarded entities) that are ultimately reported on the income tax return of an individual, estate, or trust. Although it is rare for insurance companies to be organized as non-C-corporations, this provision could apply to certain captive insurance company structures. </w:t>
      </w:r>
    </w:p>
  </w:footnote>
  <w:footnote w:id="228">
    <w:p w14:paraId="68B799D9" w14:textId="77777777" w:rsidR="00494B49" w:rsidRDefault="00494B49">
      <w:pPr>
        <w:pStyle w:val="FootnoteText"/>
      </w:pPr>
      <w:r>
        <w:rPr>
          <w:rStyle w:val="FootnoteReference"/>
        </w:rPr>
        <w:footnoteRef/>
      </w:r>
      <w:r>
        <w:t xml:space="preserve">Similar to the case of interest income, dividends earned as from being a dealer are exempt from net investment income but are likewise not exempt from net earnings from self-employment. </w:t>
      </w:r>
      <w:r>
        <w:rPr>
          <w:i/>
        </w:rPr>
        <w:t>See</w:t>
      </w:r>
      <w:r>
        <w:t xml:space="preserve"> </w:t>
      </w:r>
      <w:smartTag w:uri="http://www.bna.com/sgml2word/cite" w:element="cite.usc">
        <w:smartTagPr>
          <w:attr w:name="ref" w:val="USC\26\1402(a)(2)"/>
        </w:smartTagPr>
        <w:r>
          <w:t>§1402(a)(2)</w:t>
        </w:r>
      </w:smartTag>
      <w:r>
        <w:t xml:space="preserve">; Reg. </w:t>
      </w:r>
      <w:smartTag w:uri="http://www.bna.com/sgml2word/cite" w:element="cite.cfr">
        <w:smartTagPr>
          <w:attr w:name="ref" w:val="cfr\26\1.1402(a)-5(a)"/>
        </w:smartTagPr>
        <w:r>
          <w:t>§1.1402(a)-5(a)</w:t>
        </w:r>
      </w:smartTag>
      <w:r>
        <w:t>.</w:t>
      </w:r>
    </w:p>
  </w:footnote>
  <w:footnote w:id="229">
    <w:p w14:paraId="6695FF35" w14:textId="77777777" w:rsidR="00494B49" w:rsidRDefault="00494B49">
      <w:pPr>
        <w:pStyle w:val="FootnoteText"/>
      </w:pPr>
      <w:r>
        <w:rPr>
          <w:rStyle w:val="FootnoteReference"/>
        </w:rPr>
        <w:footnoteRef/>
      </w:r>
      <w:r>
        <w:t xml:space="preserve">These dividends are generally subject to the self-employment tax because the income is derived from the patron’s transaction of business with the cooperative. </w:t>
      </w:r>
      <w:r>
        <w:rPr>
          <w:i/>
        </w:rPr>
        <w:t>See</w:t>
      </w:r>
      <w:r>
        <w:t xml:space="preserve"> </w:t>
      </w:r>
      <w:r>
        <w:rPr>
          <w:rStyle w:val="BCasenamefull"/>
        </w:rPr>
        <w:t>Shumaker v. Commissioner</w:t>
      </w:r>
      <w:r>
        <w:t xml:space="preserve">, </w:t>
      </w:r>
      <w:smartTag w:uri="http://www.bna.com/sgml2word/cite" w:element="cite.parallel">
        <w:smartTagPr>
          <w:attr w:name="ref" w:val="F2D\648\1198"/>
        </w:smartTagPr>
        <w:r>
          <w:t>648 F.2d 1198</w:t>
        </w:r>
      </w:smartTag>
      <w:r>
        <w:t xml:space="preserve">, 1200 (9th Cir. 1981), aff’g in part and rev’g and rem’g on another issue </w:t>
      </w:r>
      <w:smartTag w:uri="http://www.bna.com/sgml2word/cite" w:element="cite.parallel">
        <w:smartTagPr>
          <w:attr w:name="ref" w:val="TCMEMO\\1979-71"/>
        </w:smartTagPr>
        <w:r>
          <w:t>T.C. Memo 1979-71</w:t>
        </w:r>
      </w:smartTag>
      <w:r>
        <w:t xml:space="preserve">. For more on patronage dividends, see </w:t>
      </w:r>
      <w:smartTag w:uri="http://www.bna.com/sgml2word/cite" w:element="cite.bna.reference">
        <w:smartTagPr>
          <w:attr w:name="bna.id.ref" w:val="TM\744"/>
        </w:smartTagPr>
        <w:r>
          <w:t>744 T.M.</w:t>
        </w:r>
      </w:smartTag>
      <w:r>
        <w:t xml:space="preserve">, </w:t>
      </w:r>
      <w:r>
        <w:rPr>
          <w:i/>
        </w:rPr>
        <w:t>Taxation of Cooperatives and Their Patrons</w:t>
      </w:r>
      <w:r>
        <w:t>. As a practical matter, if the payment occurs with respect to a trade or business of the patron and the patron files a Schedule F, for example, the dividend will be included on Schedule F.</w:t>
      </w:r>
    </w:p>
  </w:footnote>
  <w:footnote w:id="230">
    <w:p w14:paraId="236C8B3E" w14:textId="77777777" w:rsidR="00494B49" w:rsidRDefault="00494B49">
      <w:pPr>
        <w:pStyle w:val="FootnoteText"/>
      </w:pPr>
      <w:r>
        <w:rPr>
          <w:rStyle w:val="FootnoteReference"/>
        </w:rPr>
        <w:footnoteRef/>
      </w:r>
      <w:smartTag w:uri="http://www.bna.com/sgml2word/cite" w:element="cite.agency.doc">
        <w:smartTagPr>
          <w:attr w:name="ref" w:val="irs\cca\202118009"/>
        </w:smartTagPr>
        <w:r>
          <w:t>CCA 202118009</w:t>
        </w:r>
      </w:smartTag>
      <w:r>
        <w:t>.</w:t>
      </w:r>
    </w:p>
  </w:footnote>
  <w:footnote w:id="231">
    <w:p w14:paraId="16268E16" w14:textId="77777777" w:rsidR="00494B49" w:rsidRDefault="00494B49">
      <w:pPr>
        <w:pStyle w:val="FootnoteText"/>
      </w:pPr>
      <w:r>
        <w:rPr>
          <w:rStyle w:val="FootnoteReference"/>
        </w:rPr>
        <w:footnoteRef/>
      </w:r>
      <w:r>
        <w:t xml:space="preserve">An interest-charge domestic international sales corporation (DISC) is primarily intended to allow a shareholder to defer the tax on a portion of export-related income. </w:t>
      </w:r>
      <w:r>
        <w:rPr>
          <w:i/>
        </w:rPr>
        <w:t>See</w:t>
      </w:r>
      <w:r>
        <w:t xml:space="preserve"> </w:t>
      </w:r>
      <w:smartTag w:uri="http://www.bna.com/sgml2word/cite" w:element="cite.usc">
        <w:smartTagPr>
          <w:attr w:name="ref" w:val="USC\26\995"/>
        </w:smartTagPr>
        <w:r>
          <w:t>§995</w:t>
        </w:r>
      </w:smartTag>
      <w:r>
        <w:t xml:space="preserve"> and </w:t>
      </w:r>
      <w:smartTag w:uri="http://www.bna.com/sgml2word/cite" w:element="cite.bna.reference">
        <w:smartTagPr>
          <w:attr w:name="bna.id.ref" w:val="TM\6360"/>
        </w:smartTagPr>
        <w:r>
          <w:t>6360 T.M.</w:t>
        </w:r>
      </w:smartTag>
      <w:r>
        <w:t xml:space="preserve">, </w:t>
      </w:r>
      <w:r>
        <w:rPr>
          <w:i/>
        </w:rPr>
        <w:t>Export Tax Incentives</w:t>
      </w:r>
      <w:r>
        <w:t xml:space="preserve"> (Foreign Income Series).</w:t>
      </w:r>
    </w:p>
  </w:footnote>
  <w:footnote w:id="232">
    <w:p w14:paraId="60259D2F" w14:textId="77777777" w:rsidR="00494B49" w:rsidRDefault="00494B49">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w:t>
      </w:r>
    </w:p>
  </w:footnote>
  <w:footnote w:id="233">
    <w:p w14:paraId="1E0C00F3" w14:textId="77777777" w:rsidR="00494B49" w:rsidRDefault="00494B49">
      <w:pPr>
        <w:pStyle w:val="FootnoteText"/>
      </w:pPr>
      <w:r>
        <w:rPr>
          <w:rStyle w:val="FootnoteReference"/>
        </w:rPr>
        <w:footnoteRef/>
      </w:r>
      <w:r>
        <w:t xml:space="preserve">One commentator on the 2012 Proposed Regulations had requested that the 2013 Final Regulations clarify that the income recognized and distributed from charitable gift annuities established before 2013 is not subject to the NIIT. The commentator had asked that the final regulation extend the benefit afforded to charitable remainder trusts (CRTs) with regard to pre-2013 gifts to pre-2013 funded charitable gift annuities. This suggestion was not adopted. The IRS and the Treasury Department considered charitable gift annuities to share more characteristics with installment sales than with CRTs. In the case of installment sales, amounts received in tax years beginning after December 31, 2012, on installment sales made before the effective date of </w:t>
      </w:r>
      <w:smartTag w:uri="http://www.bna.com/sgml2word/cite" w:element="cite.usc">
        <w:smartTagPr>
          <w:attr w:name="ref" w:val="USC\26\1411"/>
        </w:smartTagPr>
        <w:r>
          <w:t>§1411</w:t>
        </w:r>
      </w:smartTag>
      <w:r>
        <w:t xml:space="preserve"> are included in net investment income, unless an exception applies. Therefore, charitable gift annuities have the same net investment income includible treatment as all other commercial and private annuities. </w:t>
      </w:r>
    </w:p>
  </w:footnote>
  <w:footnote w:id="234">
    <w:p w14:paraId="4D8D1AD5"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72-2(a)(1)"/>
        </w:smartTagPr>
        <w:r>
          <w:t>§1.72-2(a)(1)</w:t>
        </w:r>
      </w:smartTag>
      <w:r>
        <w:t xml:space="preserve"> (“For the purposes of </w:t>
      </w:r>
      <w:smartTag w:uri="http://www.bna.com/sgml2word/cite" w:element="cite.usc">
        <w:smartTagPr>
          <w:attr w:name="ref" w:val="USC\26\72"/>
        </w:smartTagPr>
        <w:r>
          <w:t>section 72</w:t>
        </w:r>
      </w:smartTag>
      <w:r>
        <w:t xml:space="preserve">, however, it is immaterial whether such contracts are entered into with an insurance company”). Unlike commercial annuities, private annuities can contain a component of ordinary income and a component of gain. The gain portion of the private annuity will be included in net investment income under </w:t>
      </w:r>
      <w:smartTag w:uri="http://www.bna.com/sgml2word/cite" w:element="cite.usc">
        <w:smartTagPr>
          <w:attr w:name="ref" w:val="USC\26\1411(c)(1)(A)(iii)"/>
        </w:smartTagPr>
        <w:r>
          <w:t>§1411(c)(1)(A)(iii)</w:t>
        </w:r>
      </w:smartTag>
      <w:r>
        <w:t xml:space="preserve"> unless (i) excluded by the ordinary course exception; or (ii) attributable to a disposition of a partnership or S corporation covered by </w:t>
      </w:r>
      <w:smartTag w:uri="http://www.bna.com/sgml2word/cite" w:element="cite.usc">
        <w:smartTagPr>
          <w:attr w:name="ref" w:val="USC\26\1411(c)(4)"/>
        </w:smartTagPr>
        <w:r>
          <w:t>§1411(c)(4)</w:t>
        </w:r>
      </w:smartTag>
      <w:r>
        <w:t xml:space="preserve">. For a general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235">
    <w:p w14:paraId="394B2BD4" w14:textId="77777777" w:rsidR="00494B49" w:rsidRDefault="00494B49">
      <w:pPr>
        <w:pStyle w:val="FootnoteText"/>
      </w:pPr>
      <w:r>
        <w:rPr>
          <w:rStyle w:val="FootnoteReference"/>
        </w:rPr>
        <w:footnoteRef/>
      </w:r>
      <w:r>
        <w:t xml:space="preserve">For this purpose, the common understanding on annuity may be something like “specified income payable at stated intervals for a fixed or a contingent period.” Black’s Law Dictionary 88 (7th ed. 1999) defines annuity as “[a]n obligation to pay a stated sum, usu. monthly or annually, to a stated recipient” and as “[a] fixed sum of money payable periodically.” </w:t>
      </w:r>
    </w:p>
  </w:footnote>
  <w:footnote w:id="236">
    <w:p w14:paraId="13DD44A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 xml:space="preserve">. </w:t>
      </w:r>
    </w:p>
  </w:footnote>
  <w:footnote w:id="237">
    <w:p w14:paraId="2AA06077"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below.</w:t>
      </w:r>
    </w:p>
  </w:footnote>
  <w:footnote w:id="238">
    <w:p w14:paraId="65A170D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39">
    <w:p w14:paraId="7D740B53" w14:textId="77777777" w:rsidR="00494B49" w:rsidRDefault="00494B49">
      <w:pPr>
        <w:pStyle w:val="FootnoteText"/>
      </w:pPr>
      <w:r>
        <w:rPr>
          <w:rStyle w:val="FootnoteReference"/>
        </w:rPr>
        <w:footnoteRef/>
      </w:r>
      <w:r>
        <w:t xml:space="preserve">This is consistent with U.S. income tax treaties that prescribe one set of rules for “annuities” that are not paid in exchange for services, and another set of rules for pension distributions paid in the form of an annuity. </w:t>
      </w:r>
      <w:r>
        <w:rPr>
          <w:i/>
        </w:rPr>
        <w:t>See</w:t>
      </w:r>
      <w:r>
        <w:t xml:space="preserve">, </w:t>
      </w:r>
      <w:r>
        <w:rPr>
          <w:i/>
        </w:rPr>
        <w:t>e.g.</w:t>
      </w:r>
      <w:r>
        <w:t xml:space="preserve">, </w:t>
      </w:r>
      <w:r>
        <w:rPr>
          <w:i/>
        </w:rPr>
        <w:t>2006 United States Model Income Tax Convention</w:t>
      </w:r>
      <w:r>
        <w:t>, art. 17 (Pensions, Social Security, Annuities, Alimony, and Child Support), ¶ 1 and ¶ 3.</w:t>
      </w:r>
    </w:p>
  </w:footnote>
  <w:footnote w:id="240">
    <w:p w14:paraId="67E37A11"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RevProc\2014-55"/>
        </w:smartTagPr>
        <w:r>
          <w:t>Rev. Proc. 2014-55</w:t>
        </w:r>
      </w:smartTag>
      <w:r>
        <w:t>.</w:t>
      </w:r>
    </w:p>
  </w:footnote>
  <w:footnote w:id="241">
    <w:p w14:paraId="1CCED564"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PLR\199936032"/>
        </w:smartTagPr>
        <w:r>
          <w:t>PLR 199936032</w:t>
        </w:r>
      </w:smartTag>
      <w:r>
        <w:t xml:space="preserve"> and </w:t>
      </w:r>
      <w:smartTag w:uri="http://www.bna.com/sgml2word/cite" w:element="cite.agency.doc">
        <w:smartTagPr>
          <w:attr w:name="ref" w:val="IRS\PLR\200844002"/>
        </w:smartTagPr>
        <w:r>
          <w:t>PLR 200844002</w:t>
        </w:r>
      </w:smartTag>
      <w:r>
        <w:t xml:space="preserve">. </w:t>
      </w:r>
    </w:p>
  </w:footnote>
  <w:footnote w:id="242">
    <w:p w14:paraId="45DD106E"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TAM\9808002"/>
        </w:smartTagPr>
        <w:r>
          <w:t>TAM 9808002</w:t>
        </w:r>
      </w:smartTag>
      <w:r>
        <w:t xml:space="preserve"> (annual payments received from state lottery as prize are </w:t>
      </w:r>
      <w:smartTag w:uri="http://www.bna.com/sgml2word/cite" w:element="cite.usc">
        <w:smartTagPr>
          <w:attr w:name="ref" w:val="USC\26\165(d)"/>
        </w:smartTagPr>
        <w:r>
          <w:t>§165(d)</w:t>
        </w:r>
      </w:smartTag>
      <w:r>
        <w:t xml:space="preserve"> “gains from wagering transactions” in the tax years in which they are received for purpose of deducting gambling losses).</w:t>
      </w:r>
    </w:p>
  </w:footnote>
  <w:footnote w:id="243">
    <w:p w14:paraId="4CCC2127"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TAM\199945008"/>
        </w:smartTagPr>
        <w:r>
          <w:t>TAM 199945008</w:t>
        </w:r>
      </w:smartTag>
      <w:r>
        <w:t xml:space="preserve"> (sale of a right to receive lottery winnings is ordinary income and not capital gain income; Taxpayer does not have an equity interest in the lottery winnings; the state lottery is the owner and beneficiary of the Treasury securities used to fund the lottery). </w:t>
      </w:r>
    </w:p>
  </w:footnote>
  <w:footnote w:id="244">
    <w:p w14:paraId="4E20C32A" w14:textId="77777777" w:rsidR="00494B49" w:rsidRDefault="00494B49">
      <w:pPr>
        <w:pStyle w:val="FootnoteText"/>
      </w:pPr>
      <w:r>
        <w:rPr>
          <w:rStyle w:val="FootnoteReference"/>
        </w:rPr>
        <w:footnoteRef/>
      </w:r>
      <w:r>
        <w:rPr>
          <w:i/>
        </w:rPr>
        <w:t>See</w:t>
      </w:r>
      <w:r>
        <w:t xml:space="preserve"> </w:t>
      </w:r>
      <w:r>
        <w:rPr>
          <w:rStyle w:val="BCasenamefull"/>
        </w:rPr>
        <w:t>Estate of Gribauskas v. Commissioner</w:t>
      </w:r>
      <w:r>
        <w:t xml:space="preserve">, </w:t>
      </w:r>
      <w:smartTag w:uri="http://www.bna.com/sgml2word/cite" w:element="cite.parallel">
        <w:smartTagPr>
          <w:attr w:name="ref" w:val="TC\116\142"/>
        </w:smartTagPr>
        <w:r>
          <w:t>116 T.C. 142</w:t>
        </w:r>
      </w:smartTag>
      <w:r>
        <w:t xml:space="preserve"> (2001) (state lotto payments are includible in an estate and valued as an annuity under the </w:t>
      </w:r>
      <w:smartTag w:uri="http://www.bna.com/sgml2word/cite" w:element="cite.usc">
        <w:smartTagPr>
          <w:attr w:name="ref" w:val="USC\26\7520"/>
        </w:smartTagPr>
        <w:r>
          <w:t>§7520</w:t>
        </w:r>
      </w:smartTag>
      <w:r>
        <w:t xml:space="preserve"> tables); </w:t>
      </w:r>
      <w:r>
        <w:rPr>
          <w:rStyle w:val="BCasenamefull"/>
        </w:rPr>
        <w:t>Cook v. Commissioner</w:t>
      </w:r>
      <w:r>
        <w:t xml:space="preserve">, </w:t>
      </w:r>
      <w:smartTag w:uri="http://www.bna.com/sgml2word/cite" w:element="cite.parallel">
        <w:smartTagPr>
          <w:attr w:name="ref" w:val="F3D\349\850"/>
        </w:smartTagPr>
        <w:r>
          <w:t>349 F.3d 850</w:t>
        </w:r>
      </w:smartTag>
      <w:r>
        <w:t xml:space="preserve"> (5th Cir. 2003) (similar facts); </w:t>
      </w:r>
      <w:r>
        <w:rPr>
          <w:rStyle w:val="BCasenamefull"/>
        </w:rPr>
        <w:t>Estate of Shackleford v. United States</w:t>
      </w:r>
      <w:r>
        <w:t xml:space="preserve">, </w:t>
      </w:r>
      <w:smartTag w:uri="http://www.bna.com/sgml2word/cite" w:element="cite.parallel">
        <w:smartTagPr>
          <w:attr w:name="ref" w:val="AFTR2D\84\99-5902"/>
        </w:smartTagPr>
        <w:r>
          <w:t>84 AFTR 2d 99-5902</w:t>
        </w:r>
      </w:smartTag>
      <w:r>
        <w:t xml:space="preserve"> (E.D. Cal. 1999) (departure from actuarial tables warranted for lack of liquidity). </w:t>
      </w:r>
    </w:p>
  </w:footnote>
  <w:footnote w:id="245">
    <w:p w14:paraId="59EBEE9C" w14:textId="77777777" w:rsidR="00494B49" w:rsidRDefault="00494B49">
      <w:pPr>
        <w:pStyle w:val="FootnoteText"/>
      </w:pPr>
      <w:r>
        <w:rPr>
          <w:rStyle w:val="FootnoteReference"/>
        </w:rPr>
        <w:footnoteRef/>
      </w:r>
      <w:r>
        <w:rPr>
          <w:i/>
        </w:rPr>
        <w:t>See</w:t>
      </w:r>
      <w:r>
        <w:t xml:space="preserve"> </w:t>
      </w:r>
      <w:r>
        <w:rPr>
          <w:rStyle w:val="BCasenamefull"/>
        </w:rPr>
        <w:t>Anastasio v. Commissioner</w:t>
      </w:r>
      <w:r>
        <w:t xml:space="preserve">, </w:t>
      </w:r>
      <w:smartTag w:uri="http://www.bna.com/sgml2word/cite" w:element="cite.parallel">
        <w:smartTagPr>
          <w:attr w:name="ref" w:val="TC\67\814"/>
        </w:smartTagPr>
        <w:r>
          <w:t>67 T.C. 814</w:t>
        </w:r>
      </w:smartTag>
      <w:r>
        <w:t xml:space="preserve"> (1977), aff’d without pub. op., </w:t>
      </w:r>
      <w:smartTag w:uri="http://www.bna.com/sgml2word/cite" w:element="cite.parallel">
        <w:smartTagPr>
          <w:attr w:name="ref" w:val="F2D\573\1287"/>
        </w:smartTagPr>
        <w:r>
          <w:t>573 F.2d 1287</w:t>
        </w:r>
      </w:smartTag>
      <w:r>
        <w:t xml:space="preserve"> (2d Cir. 1977); </w:t>
      </w:r>
      <w:r>
        <w:rPr>
          <w:rStyle w:val="BCasenamefull"/>
        </w:rPr>
        <w:t>Solomon v. Commissioner</w:t>
      </w:r>
      <w:r>
        <w:t xml:space="preserve">, </w:t>
      </w:r>
      <w:smartTag w:uri="http://www.bna.com/sgml2word/cite" w:element="cite.parallel">
        <w:smartTagPr>
          <w:attr w:name="ref" w:val="TC\25\936"/>
        </w:smartTagPr>
        <w:r>
          <w:t>25 T.C. 936</w:t>
        </w:r>
      </w:smartTag>
      <w:r>
        <w:t xml:space="preserve"> (1956); </w:t>
      </w:r>
      <w:r>
        <w:rPr>
          <w:rStyle w:val="BCasenamefull"/>
        </w:rPr>
        <w:t>Rusnak v. Commissioner</w:t>
      </w:r>
      <w:r>
        <w:t xml:space="preserve">, </w:t>
      </w:r>
      <w:smartTag w:uri="http://www.bna.com/sgml2word/cite" w:element="cite.parallel">
        <w:smartTagPr>
          <w:attr w:name="ref" w:val="TCMEMO\\1987-249"/>
        </w:smartTagPr>
        <w:r>
          <w:t>T.C. Memo 1987-249</w:t>
        </w:r>
      </w:smartTag>
      <w:r>
        <w:t xml:space="preserve">; </w:t>
      </w:r>
      <w:r>
        <w:rPr>
          <w:rStyle w:val="BCasenamefull"/>
        </w:rPr>
        <w:t>Bodine v. Commissioner</w:t>
      </w:r>
      <w:r>
        <w:t xml:space="preserve">, </w:t>
      </w:r>
      <w:smartTag w:uri="http://www.bna.com/sgml2word/cite" w:element="cite.parallel">
        <w:smartTagPr>
          <w:attr w:name="ref" w:val="TCMEMO\\1984-143"/>
        </w:smartTagPr>
        <w:r>
          <w:t>T.C. Memo 1984-143</w:t>
        </w:r>
      </w:smartTag>
      <w:r>
        <w:t xml:space="preserve">; </w:t>
      </w:r>
      <w:r>
        <w:rPr>
          <w:rStyle w:val="BCasenamefull"/>
        </w:rPr>
        <w:t>Paul v. Commissioner</w:t>
      </w:r>
      <w:r>
        <w:t xml:space="preserve">, </w:t>
      </w:r>
      <w:smartTag w:uri="http://www.bna.com/sgml2word/cite" w:element="cite.parallel">
        <w:smartTagPr>
          <w:attr w:name="ref" w:val="TCMEMO\\1992-582"/>
        </w:smartTagPr>
        <w:r>
          <w:t>T.C. Memo 1992-582</w:t>
        </w:r>
      </w:smartTag>
      <w:r>
        <w:t xml:space="preserve">. </w:t>
      </w:r>
    </w:p>
  </w:footnote>
  <w:footnote w:id="246">
    <w:p w14:paraId="4B2DB40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7">
    <w:p w14:paraId="33607D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8">
    <w:p w14:paraId="17AF4B98" w14:textId="77777777" w:rsidR="00494B49" w:rsidRDefault="00494B49">
      <w:pPr>
        <w:pStyle w:val="FootnoteText"/>
      </w:pPr>
      <w:r>
        <w:rPr>
          <w:rStyle w:val="FootnoteReference"/>
        </w:rPr>
        <w:footnoteRef/>
      </w:r>
      <w:r>
        <w:t>In general, a viatical settlement is the sale of a policy owner’s existing life insurance policy to a third party for more than its cash surrender value, but less than its net death benefit. The form of payment for such a policy is often a lump sum, but a lump-sum payment is not required.</w:t>
      </w:r>
    </w:p>
  </w:footnote>
  <w:footnote w:id="249">
    <w:p w14:paraId="3AF3BFB0" w14:textId="77777777" w:rsidR="00494B49" w:rsidRDefault="00494B49">
      <w:pPr>
        <w:pStyle w:val="FootnoteText"/>
      </w:pPr>
      <w:r>
        <w:rPr>
          <w:rStyle w:val="FootnoteReference"/>
        </w:rPr>
        <w:footnoteRef/>
      </w:r>
      <w:r>
        <w:t xml:space="preserve">The 2012 Proposed Regulations allowed losses only to the extent of gains (or net gain could not be less than zero). Therefore, the differentiation between gain on a contract and annuity income was important because of the self-limiting rule embodied in the 2012 Proposed Regulations that limited losses to the extent of gains. Under this rule, the treatment of a gain or loss from the disposition of a contract affected the amount of losses that could be used. However, because the 2013 Final Regulations included Reg. </w:t>
      </w:r>
      <w:smartTag w:uri="http://www.bna.com/sgml2word/cite" w:element="cite.cfr">
        <w:smartTagPr>
          <w:attr w:name="ref" w:val="cfr\26\1.1411-4(f)(4)"/>
        </w:smartTagPr>
        <w:r>
          <w:t>§1.1411-4(f)(4)</w:t>
        </w:r>
      </w:smartTag>
      <w:r>
        <w:t xml:space="preserve">, which allowed losses in excess of gains to be utilized as a properly allocable deduction, there is no need to differentiate between gains and losses on insurance contracts. </w:t>
      </w:r>
    </w:p>
  </w:footnote>
  <w:footnote w:id="250">
    <w:p w14:paraId="340DA8FE"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7702(f)(1)"/>
        </w:smartTagPr>
        <w:r>
          <w:t>§7702(f)(1)</w:t>
        </w:r>
      </w:smartTag>
      <w:r>
        <w:t>.</w:t>
      </w:r>
    </w:p>
  </w:footnote>
  <w:footnote w:id="251">
    <w:p w14:paraId="0B18DA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1)"/>
        </w:smartTagPr>
        <w:r>
          <w:t>§1.1411-1(d)(11)</w:t>
        </w:r>
      </w:smartTag>
      <w:r>
        <w:t xml:space="preserve">. </w:t>
      </w:r>
    </w:p>
  </w:footnote>
  <w:footnote w:id="252">
    <w:p w14:paraId="5391FC4C" w14:textId="77777777" w:rsidR="00494B49" w:rsidRDefault="00494B49">
      <w:pPr>
        <w:pStyle w:val="FootnoteText"/>
      </w:pPr>
      <w:r>
        <w:rPr>
          <w:rStyle w:val="FootnoteReference"/>
        </w:rPr>
        <w:footnoteRef/>
      </w:r>
      <w:r>
        <w:t xml:space="preserve">Unlike the definition of interest and dividends in Reg. </w:t>
      </w:r>
      <w:smartTag w:uri="http://www.bna.com/sgml2word/cite" w:element="cite.cfr">
        <w:smartTagPr>
          <w:attr w:name="ref" w:val="cfr\26\1.1411-1(d)"/>
        </w:smartTagPr>
        <w:r>
          <w:t>§1.1411-1(d)</w:t>
        </w:r>
      </w:smartTag>
      <w:r>
        <w:t xml:space="preserve">, but similar to the definition of rent, the definition of royalties in Reg. </w:t>
      </w:r>
      <w:smartTag w:uri="http://www.bna.com/sgml2word/cite" w:element="cite.cfr">
        <w:smartTagPr>
          <w:attr w:name="ref" w:val="cfr\26\1.1411-1(d)(11)"/>
        </w:smartTagPr>
        <w:r>
          <w:t>§1.1411-1(d)(11)</w:t>
        </w:r>
      </w:smartTag>
      <w:r>
        <w:t xml:space="preserve"> makes no reference to amounts “treated as … for purposes of Chapter 1.”</w:t>
      </w:r>
    </w:p>
  </w:footnote>
  <w:footnote w:id="253">
    <w:p w14:paraId="2288D48A" w14:textId="77777777" w:rsidR="00494B49" w:rsidRDefault="00494B49">
      <w:pPr>
        <w:pStyle w:val="FootnoteText"/>
      </w:pPr>
      <w:r>
        <w:rPr>
          <w:rStyle w:val="FootnoteReference"/>
        </w:rPr>
        <w:footnoteRef/>
      </w:r>
      <w:r>
        <w:t xml:space="preserve">Reg. </w:t>
      </w:r>
      <w:smartTag w:uri="http://www.bna.com/sgml2word/cite" w:element="cite.cfr">
        <w:smartTagPr>
          <w:attr w:name="ref" w:val="cfr\26\1.61-8(a)"/>
        </w:smartTagPr>
        <w:r>
          <w:t>§1.61-8(a)</w:t>
        </w:r>
      </w:smartTag>
      <w:r>
        <w:t xml:space="preserve">. </w:t>
      </w:r>
    </w:p>
  </w:footnote>
  <w:footnote w:id="254">
    <w:p w14:paraId="764E7F4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w:t>
      </w:r>
    </w:p>
  </w:footnote>
  <w:footnote w:id="255">
    <w:p w14:paraId="3C76D6FC"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w:t>
      </w:r>
    </w:p>
  </w:footnote>
  <w:footnote w:id="256">
    <w:p w14:paraId="362260E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3)"/>
        </w:smartTagPr>
        <w:r>
          <w:t>§1.469-2T(c)(3)(iii)(B)(3)</w:t>
        </w:r>
      </w:smartTag>
      <w:r>
        <w:t>.</w:t>
      </w:r>
    </w:p>
  </w:footnote>
  <w:footnote w:id="257">
    <w:p w14:paraId="5FED6D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
        </w:smartTagPr>
        <w:r>
          <w:t>§1.469-2T(c)(3)(iii)(B)(2)(i)</w:t>
        </w:r>
      </w:smartTag>
      <w:r>
        <w:t>.</w:t>
      </w:r>
    </w:p>
  </w:footnote>
  <w:footnote w:id="258">
    <w:p w14:paraId="327E008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59">
    <w:p w14:paraId="26E68B8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60">
    <w:p w14:paraId="758400D3"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 These temporary regulations include only one example illustrating the treatment of mineral royalties. This example, which follows from Reg. </w:t>
      </w:r>
      <w:smartTag w:uri="http://www.bna.com/sgml2word/cite" w:element="cite.cfr">
        <w:smartTagPr>
          <w:attr w:name="ref" w:val="cfr\26\1.469-2T(c)(3)(ii)(D)"/>
        </w:smartTagPr>
        <w:r>
          <w:t>§1.469-2T(c)(3)(ii)(D)</w:t>
        </w:r>
      </w:smartTag>
      <w:r>
        <w:t>, indicates that royalty income derived from royalty interests held in a trade or business activity of trading or dealing in such interests is treated as derived in the ordinary course of a trade or business.</w:t>
      </w:r>
    </w:p>
  </w:footnote>
  <w:footnote w:id="261">
    <w:p w14:paraId="64209ABB" w14:textId="77777777" w:rsidR="00494B49" w:rsidRDefault="00494B49">
      <w:pPr>
        <w:pStyle w:val="FootnoteText"/>
      </w:pPr>
      <w:r>
        <w:rPr>
          <w:rStyle w:val="FootnoteReference"/>
        </w:rPr>
        <w:footnoteRef/>
      </w:r>
      <w:r>
        <w:t xml:space="preserve">T.D. </w:t>
      </w:r>
      <w:smartTag w:uri="http://www.bna.com/sgml2word/cite" w:element="cite.agency.doc">
        <w:smartTagPr>
          <w:attr w:name="ref" w:val="IRS\PREAMBLE\TD8175"/>
        </w:smartTagPr>
        <w:r>
          <w:t>8175</w:t>
        </w:r>
      </w:smartTag>
      <w:r>
        <w:t xml:space="preserve"> (Feb. 25, 1988).</w:t>
      </w:r>
    </w:p>
  </w:footnote>
  <w:footnote w:id="262">
    <w:p w14:paraId="51DCF058" w14:textId="77777777" w:rsidR="00494B49" w:rsidRDefault="00494B49">
      <w:pPr>
        <w:pStyle w:val="FootnoteText"/>
      </w:pPr>
      <w:r>
        <w:rPr>
          <w:rStyle w:val="FootnoteReference"/>
        </w:rPr>
        <w:footnoteRef/>
      </w:r>
      <w:smartTag w:uri="http://www.bna.com/sgml2word/cite" w:element="cite.parallel">
        <w:smartTagPr>
          <w:attr w:name="ref" w:val="TCMEMO\\2014-39"/>
        </w:smartTagPr>
        <w:r>
          <w:t>T.C. Memo 2014-39</w:t>
        </w:r>
      </w:smartTag>
      <w:r>
        <w:t>.</w:t>
      </w:r>
    </w:p>
  </w:footnote>
  <w:footnote w:id="263">
    <w:p w14:paraId="23FD35D7" w14:textId="77777777" w:rsidR="00494B49" w:rsidRDefault="00494B49">
      <w:pPr>
        <w:pStyle w:val="FootnoteText"/>
      </w:pPr>
      <w:r>
        <w:rPr>
          <w:rStyle w:val="FootnoteReference"/>
        </w:rPr>
        <w:footnoteRef/>
      </w:r>
      <w:r>
        <w:t xml:space="preserve">Citing </w:t>
      </w:r>
      <w:r>
        <w:rPr>
          <w:rStyle w:val="BCasenamefull"/>
        </w:rPr>
        <w:t>United States v. Smith,</w:t>
      </w:r>
      <w:r>
        <w:t xml:space="preserve"> </w:t>
      </w:r>
      <w:smartTag w:uri="http://www.bna.com/sgml2word/cite" w:element="cite.parallel">
        <w:smartTagPr>
          <w:attr w:name="ref" w:val="US\449\160"/>
        </w:smartTagPr>
        <w:r>
          <w:t>449 U.S. 160</w:t>
        </w:r>
      </w:smartTag>
      <w:r>
        <w:t xml:space="preserve">, 167 (1991) (quoting </w:t>
      </w:r>
      <w:r>
        <w:rPr>
          <w:rStyle w:val="BCasenamefull"/>
        </w:rPr>
        <w:t>Andrus v. Glober Constr. Co.,</w:t>
      </w:r>
      <w:r>
        <w:t xml:space="preserve"> </w:t>
      </w:r>
      <w:smartTag w:uri="http://www.bna.com/sgml2word/cite" w:element="cite.parallel">
        <w:smartTagPr>
          <w:attr w:name="ref" w:val="US\446\608"/>
        </w:smartTagPr>
        <w:r>
          <w:t>446 U.S. 608</w:t>
        </w:r>
      </w:smartTag>
      <w:r>
        <w:t xml:space="preserve">, 616–617 (1980)); </w:t>
      </w:r>
      <w:r>
        <w:rPr>
          <w:rStyle w:val="BCasenamefull"/>
        </w:rPr>
        <w:t>Catterall v. Commissioner</w:t>
      </w:r>
      <w:r>
        <w:t xml:space="preserve">, </w:t>
      </w:r>
      <w:smartTag w:uri="http://www.bna.com/sgml2word/cite" w:element="cite.parallel">
        <w:smartTagPr>
          <w:attr w:name="ref" w:val="TC\68\413"/>
        </w:smartTagPr>
        <w:r>
          <w:t>68 T.C. 413</w:t>
        </w:r>
      </w:smartTag>
      <w:r>
        <w:t xml:space="preserve">, 421 (1977), aff’d sub nom., </w:t>
      </w:r>
      <w:r>
        <w:rPr>
          <w:rStyle w:val="BCasenamefull"/>
        </w:rPr>
        <w:t>Vorbleski v. Commissioner</w:t>
      </w:r>
      <w:r>
        <w:t xml:space="preserve">, </w:t>
      </w:r>
      <w:smartTag w:uri="http://www.bna.com/sgml2word/cite" w:element="cite.parallel">
        <w:smartTagPr>
          <w:attr w:name="ref" w:val="F2D\589\123"/>
        </w:smartTagPr>
        <w:r>
          <w:t>589 F.2d 123</w:t>
        </w:r>
      </w:smartTag>
      <w:r>
        <w:t xml:space="preserve"> (3d Cir. 1978).</w:t>
      </w:r>
    </w:p>
  </w:footnote>
  <w:footnote w:id="264">
    <w:p w14:paraId="440732BA" w14:textId="77777777" w:rsidR="00494B49" w:rsidRDefault="00494B49">
      <w:pPr>
        <w:pStyle w:val="FootnoteText"/>
      </w:pPr>
      <w:r>
        <w:rPr>
          <w:rStyle w:val="FootnoteReference"/>
        </w:rPr>
        <w:footnoteRef/>
      </w:r>
      <w:r>
        <w:t xml:space="preserve">Citing </w:t>
      </w:r>
      <w:r>
        <w:rPr>
          <w:rStyle w:val="BCasenamefull"/>
        </w:rPr>
        <w:t>Duncan v. Walker</w:t>
      </w:r>
      <w:r>
        <w:t xml:space="preserve">, </w:t>
      </w:r>
      <w:smartTag w:uri="http://www.bna.com/sgml2word/cite" w:element="cite.parallel">
        <w:smartTagPr>
          <w:attr w:name="ref" w:val="US\533\167"/>
        </w:smartTagPr>
        <w:r>
          <w:t>533 U.S. 167</w:t>
        </w:r>
      </w:smartTag>
      <w:r>
        <w:t xml:space="preserve">, 174 (2001); </w:t>
      </w:r>
      <w:r>
        <w:rPr>
          <w:rStyle w:val="BCasenamefull"/>
        </w:rPr>
        <w:t>Weinberger v. Hynson, Westcott &amp; Dunning, Inc.</w:t>
      </w:r>
      <w:r>
        <w:t xml:space="preserve">, </w:t>
      </w:r>
      <w:smartTag w:uri="http://www.bna.com/sgml2word/cite" w:element="cite.parallel">
        <w:smartTagPr>
          <w:attr w:name="ref" w:val="US\412\609"/>
        </w:smartTagPr>
        <w:r>
          <w:t>412 U.S. 609</w:t>
        </w:r>
      </w:smartTag>
      <w:r>
        <w:t>, 633 (1973) (“[A]ll parts of a statute, if at all possible, are to be given effect.”).</w:t>
      </w:r>
    </w:p>
  </w:footnote>
  <w:footnote w:id="265">
    <w:p w14:paraId="6331D732" w14:textId="77777777" w:rsidR="00494B49" w:rsidRDefault="00494B49">
      <w:pPr>
        <w:pStyle w:val="FootnoteText"/>
      </w:pPr>
      <w:r>
        <w:rPr>
          <w:rStyle w:val="FootnoteReference"/>
        </w:rPr>
        <w:footnoteRef/>
      </w:r>
      <w:r>
        <w:t xml:space="preserve">In </w:t>
      </w:r>
      <w:smartTag w:uri="http://www.bna.com/sgml2word/cite" w:element="cite.agency.doc">
        <w:smartTagPr>
          <w:attr w:name="ref" w:val="IRS\PREAMBLE\TD8175"/>
        </w:smartTagPr>
        <w:r>
          <w:t>T.D. 8175</w:t>
        </w:r>
      </w:smartTag>
      <w:r>
        <w:t>, the Treasury Department and the IRS requested public comments on the appropriateness of these rules and the need for additional guidance. In particular, the IRS sought comments on the quantitative test described above. However, the rules have remained unchanged since their issuance in January 1988.</w:t>
      </w:r>
    </w:p>
  </w:footnote>
  <w:footnote w:id="266">
    <w:p w14:paraId="0A1979E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7">
    <w:p w14:paraId="0E66332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8">
    <w:p w14:paraId="01C4A39B" w14:textId="77777777" w:rsidR="00494B49" w:rsidRDefault="00494B49">
      <w:pPr>
        <w:pStyle w:val="FootnoteText"/>
      </w:pPr>
      <w:r>
        <w:rPr>
          <w:rStyle w:val="FootnoteReference"/>
        </w:rPr>
        <w:footnoteRef/>
      </w:r>
      <w:r>
        <w:t xml:space="preserve">Similar to the request regarding the mechanics of the ordinary royalty rule discussed above, the preamble to the 1988 Temporary Regulations requested comments on the rules employed in Reg. </w:t>
      </w:r>
      <w:smartTag w:uri="http://www.bna.com/sgml2word/cite" w:element="cite.cfr">
        <w:smartTagPr>
          <w:attr w:name="ref" w:val="cfr\26\1.469-2T(f)(7)"/>
        </w:smartTagPr>
        <w:r>
          <w:t>§1.469-2T(f)(7)</w:t>
        </w:r>
      </w:smartTag>
      <w:r>
        <w:t xml:space="preserve"> to determine when taxpayers are subject to this rule. Nonetheless, the rules have remained unchanged since 1988.</w:t>
      </w:r>
    </w:p>
  </w:footnote>
  <w:footnote w:id="269">
    <w:p w14:paraId="6FC51546" w14:textId="77777777" w:rsidR="00494B49" w:rsidRDefault="00494B49">
      <w:pPr>
        <w:pStyle w:val="FootnoteText"/>
      </w:pPr>
      <w:r>
        <w:rPr>
          <w:rStyle w:val="FootnoteReference"/>
        </w:rPr>
        <w:footnoteRef/>
      </w:r>
      <w:r>
        <w:t xml:space="preserve">As a technical matter, although not expressly stated in the </w:t>
      </w:r>
      <w:smartTag w:uri="http://www.bna.com/sgml2word/cite" w:element="cite.usc">
        <w:smartTagPr>
          <w:attr w:name="ref" w:val="USC\26\469"/>
        </w:smartTagPr>
        <w:r>
          <w:t>§469</w:t>
        </w:r>
      </w:smartTag>
      <w:r>
        <w:t xml:space="preserve"> regulations, this provision has the effect of reversing the treatment of the royalties as nonportfolio income due to Reg. </w:t>
      </w:r>
      <w:smartTag w:uri="http://www.bna.com/sgml2word/cite" w:element="cite.cfr">
        <w:smartTagPr>
          <w:attr w:name="ref" w:val="cfr\26\1.469-2T(c)(3)(ii)(E)"/>
        </w:smartTagPr>
        <w:r>
          <w:t>§1.469-2T(c)(3)(ii)(E)</w:t>
        </w:r>
      </w:smartTag>
      <w:r>
        <w:t xml:space="preserve"> and Reg. </w:t>
      </w:r>
      <w:smartTag w:uri="http://www.bna.com/sgml2word/cite" w:element="cite.cfr">
        <w:smartTagPr>
          <w:attr w:name="ref" w:val="cfr\26\1.469-2T(c)(3)(iii)(B)"/>
        </w:smartTagPr>
        <w:r>
          <w:t>§1.469-2T(c)(3)(iii)(B)</w:t>
        </w:r>
      </w:smartTag>
      <w:r>
        <w:t>.</w:t>
      </w:r>
    </w:p>
  </w:footnote>
  <w:footnote w:id="270">
    <w:p w14:paraId="76CDFF76" w14:textId="77777777" w:rsidR="00494B49" w:rsidRDefault="00494B49">
      <w:pPr>
        <w:pStyle w:val="FootnoteText"/>
      </w:pPr>
      <w:r>
        <w:rPr>
          <w:rStyle w:val="FootnoteReference"/>
        </w:rPr>
        <w:footnoteRef/>
      </w:r>
      <w:r>
        <w:t xml:space="preserve">As stated in the preamble to the 2013 Final Regulations under </w:t>
      </w:r>
      <w:smartTag w:uri="http://www.bna.com/sgml2word/cite" w:element="cite.usc">
        <w:smartTagPr>
          <w:attr w:name="ref" w:val="USC\26\1411"/>
        </w:smartTagPr>
        <w:r>
          <w:t>§1411</w:t>
        </w:r>
      </w:smartTag>
      <w:r>
        <w:t>:The commentator stated that the various income recharacterization rules do not recharacterize all the income and gains in the same way. In the case of income recharacterizations covered by [Reg.] §</w:t>
      </w:r>
      <w:smartTag w:uri="http://www.bna.com/sgml2word/cite" w:element="cite.cfr">
        <w:smartTagPr>
          <w:attr w:name="ref" w:val="cfr\26\1.469-2T(f)(3)"/>
        </w:smartTagPr>
        <w:r>
          <w:t>§1.469-2T(f)(3)</w:t>
        </w:r>
      </w:smartTag>
      <w:r>
        <w:t xml:space="preserve">, </w:t>
      </w:r>
      <w:smartTag w:uri="http://www.bna.com/sgml2word/cite" w:element="cite.cfr">
        <w:smartTagPr>
          <w:attr w:name="ref" w:val="cfr\26\1.469-2T(f)(4)"/>
        </w:smartTagPr>
        <w:r>
          <w:t>§1.469-2T(f)(4)</w:t>
        </w:r>
      </w:smartTag>
      <w:r>
        <w:t xml:space="preserve">, and </w:t>
      </w:r>
      <w:smartTag w:uri="http://www.bna.com/sgml2word/cite" w:element="cite.cfr">
        <w:smartTagPr>
          <w:attr w:name="ref" w:val="cfr\26\1.469-2T(f)(7)"/>
        </w:smartTagPr>
        <w:r>
          <w:t>§1.469-2T(f)(7)</w:t>
        </w:r>
      </w:smartTag>
      <w:r>
        <w:t xml:space="preserve">, such income is further characterized as portfolio income (within the meaning of </w:t>
      </w:r>
      <w:smartTag w:uri="http://www.bna.com/sgml2word/cite" w:element="cite.usc">
        <w:smartTagPr>
          <w:attr w:name="ref" w:val="USC\26\469(e)(1)(A)"/>
        </w:smartTagPr>
        <w:r>
          <w:t>section 469(e)(1)(A)</w:t>
        </w:r>
      </w:smartTag>
      <w:r>
        <w:t xml:space="preserve">) by [Reg.] </w:t>
      </w:r>
      <w:smartTag w:uri="http://www.bna.com/sgml2word/cite" w:element="cite.cfr">
        <w:smartTagPr>
          <w:attr w:name="ref" w:val="cfr\26\1.469-2T(f)(10)"/>
        </w:smartTagPr>
        <w:r>
          <w:t>§1.469-2T(f)(10)</w:t>
        </w:r>
      </w:smartTag>
      <w:r>
        <w:t xml:space="preserve">. In the case of the recharacterization of gains under [Reg.] </w:t>
      </w:r>
      <w:smartTag w:uri="http://www.bna.com/sgml2word/cite" w:element="cite.cfr">
        <w:smartTagPr>
          <w:attr w:name="ref" w:val="cfr\26\1.469-2(c)(2)(iii)"/>
        </w:smartTagPr>
        <w:r>
          <w:t>§1.469-2(c)(2)(iii)</w:t>
        </w:r>
      </w:smartTag>
      <w:r>
        <w:t xml:space="preserve">, the characterization of the gain as portfolio income is determined under [Reg.] </w:t>
      </w:r>
      <w:smartTag w:uri="http://www.bna.com/sgml2word/cite" w:element="cite.cfr">
        <w:smartTagPr>
          <w:attr w:name="ref" w:val="cfr\26\1.469-2(c)(2)(iii)(F)"/>
        </w:smartTagPr>
        <w:r>
          <w:t>§1.469-2(c)(2)(iii)(F)</w:t>
        </w:r>
      </w:smartTag>
      <w:r>
        <w:t xml:space="preserve"> based on whether the property was held in an investment activity before it was used in a passive activity. The commentator recommended that the 2013 Final Regulations distinguish recharacterized income treated as portfolio income from recharacterized income not treated as portfolio income. ...start of quoteFor purposes of </w:t>
      </w:r>
      <w:smartTag w:uri="http://www.bna.com/sgml2word/cite" w:element="cite.usc">
        <w:smartTagPr>
          <w:attr w:name="ref" w:val="USC\26\1411"/>
        </w:smartTagPr>
        <w:r>
          <w:t>section 1411</w:t>
        </w:r>
      </w:smartTag>
      <w:r>
        <w:t xml:space="preserve">, the final regulationspart of a quote generally follow the </w:t>
      </w:r>
      <w:smartTag w:uri="http://www.bna.com/sgml2word/cite" w:element="cite.usc">
        <w:smartTagPr>
          <w:attr w:name="ref" w:val="USC\26\469"/>
        </w:smartTagPr>
        <w:r>
          <w:t>section 469</w:t>
        </w:r>
      </w:smartTag>
      <w:r>
        <w:t xml:space="preserve"> characterization of the income and gain, particularly the treatment of the items as portfolio income. Section </w:t>
      </w:r>
      <w:smartTag w:uri="http://www.bna.com/sgml2word/cite" w:element="cite.cfr">
        <w:smartTagPr>
          <w:attr w:name="ref" w:val="cfr\26\1.1411-5(b)(2)"/>
        </w:smartTagPr>
        <w:r>
          <w:t>1.1411-5(b)(2)</w:t>
        </w:r>
      </w:smartTag>
      <w:r>
        <w:t xml:space="preserve"> of the final regulationspart of a quote provides that, to the extent that income or gain from a trade or business is subject to a net income recharacterization rule described in [Reg.] </w:t>
      </w:r>
      <w:smartTag w:uri="http://www.bna.com/sgml2word/cite" w:element="cite.cfr">
        <w:smartTagPr>
          <w:attr w:name="ref" w:val="cfr\26\1.469-2T(f)(2)"/>
        </w:smartTagPr>
        <w:r>
          <w:t>§1.469-2T(f)(2)</w:t>
        </w:r>
      </w:smartTag>
      <w:r>
        <w:t xml:space="preserve">, </w:t>
      </w:r>
      <w:smartTag w:uri="http://www.bna.com/sgml2word/cite" w:element="cite.cfr">
        <w:smartTagPr>
          <w:attr w:name="ref" w:val="cfr\26\1.469-2(f)(5)"/>
        </w:smartTagPr>
        <w:r>
          <w:t>§1.469-2(f)(5)</w:t>
        </w:r>
      </w:smartTag>
      <w:r>
        <w:t xml:space="preserve">, or </w:t>
      </w:r>
      <w:smartTag w:uri="http://www.bna.com/sgml2word/cite" w:element="cite.cfr">
        <w:smartTagPr>
          <w:attr w:name="ref" w:val="cfr\26\1.469-2(f)(6)"/>
        </w:smartTagPr>
        <w:r>
          <w:t>§1.469-2(f)(6)</w:t>
        </w:r>
      </w:smartTag>
      <w:r>
        <w:t xml:space="preserve">, the gross income or gain treated as “not from a passive activity” will not be considered derived from a trade or business described in </w:t>
      </w:r>
      <w:smartTag w:uri="http://www.bna.com/sgml2word/cite" w:element="cite.usc">
        <w:smartTagPr>
          <w:attr w:name="ref" w:val="USC\26\1411(c)(2)(A)"/>
        </w:smartTagPr>
        <w:r>
          <w:t>section 1411(c)(2)(A)</w:t>
        </w:r>
      </w:smartTag>
      <w:r>
        <w:t>.end of quotePreamble, 2013 Final Regulations (</w:t>
      </w:r>
      <w:smartTag w:uri="http://www.bna.com/sgml2word/cite" w:element="cite.agency.doc">
        <w:smartTagPr>
          <w:attr w:name="ref" w:val="IRS\PREAMBLE\TD9644"/>
        </w:smartTagPr>
        <w:r>
          <w:t>T.D. 9644</w:t>
        </w:r>
      </w:smartTag>
      <w:r>
        <w:t>), Part 6.A.</w:t>
      </w:r>
    </w:p>
  </w:footnote>
  <w:footnote w:id="271">
    <w:p w14:paraId="57CE4B53" w14:textId="77777777" w:rsidR="00494B49" w:rsidRDefault="00494B49">
      <w:pPr>
        <w:pStyle w:val="FootnoteText"/>
      </w:pPr>
      <w:r>
        <w:rPr>
          <w:rStyle w:val="FootnoteReference"/>
        </w:rPr>
        <w:footnoteRef/>
      </w: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 the 2013 Final Regulations actually provide that in determining whether any item is gross income from or net gain attributable to an investment in working capital, “</w:t>
      </w:r>
      <w:r>
        <w:rPr>
          <w:i/>
        </w:rPr>
        <w:t>principles similar</w:t>
      </w:r>
      <w:r>
        <w:t xml:space="preserve"> </w:t>
      </w:r>
      <w:r>
        <w:rPr>
          <w:i/>
        </w:rPr>
        <w:t>to</w:t>
      </w:r>
      <w:r>
        <w:t xml:space="preserve"> those described in Reg. </w:t>
      </w:r>
      <w:smartTag w:uri="http://www.bna.com/sgml2word/cite" w:element="cite.cfr">
        <w:smartTagPr>
          <w:attr w:name="ref" w:val="cfr\26\1.469-2T(c)(3)(ii)"/>
        </w:smartTagPr>
        <w:r>
          <w:t>§1.469-2T(c)(3)(ii)</w:t>
        </w:r>
      </w:smartTag>
      <w:r>
        <w:t xml:space="preserve"> apply.” (Emphasis added.) </w:t>
      </w:r>
    </w:p>
  </w:footnote>
  <w:footnote w:id="272">
    <w:p w14:paraId="202C99E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Example 4 states: D, an individual, owns stock in S corporation, S. S is engaged in a banking trade or business (that is not a trade or business of trading in financial instruments or commodities), and S’s trade or business is not a passive activity (within the meaning of </w:t>
      </w:r>
      <w:smartTag w:uri="http://www.bna.com/sgml2word/cite" w:element="cite.usc">
        <w:smartTagPr>
          <w:attr w:name="ref" w:val="USC\26\469"/>
        </w:smartTagPr>
        <w:r>
          <w:t>section 469</w:t>
        </w:r>
      </w:smartTag>
      <w:r>
        <w:t xml:space="preserve">) with respect to D because D materially participates in the activity. S earns $100,000 of interest in the ordinary course of its trade or business, of which $5,000 is D’s pro rata share. For purposes of [Reg.] </w:t>
      </w:r>
      <w:smartTag w:uri="http://www.bna.com/sgml2word/cite" w:element="cite.cfr">
        <w:smartTagPr>
          <w:attr w:name="ref" w:val="cfr\26\1.1411-4(b)"/>
        </w:smartTagPr>
        <w:r>
          <w:t>§1.1411-4(b)</w:t>
        </w:r>
      </w:smartTag>
      <w:r>
        <w:t xml:space="preserve">, the interest income is derived in the ordinary course of S’s banking business because it is not working capital under </w:t>
      </w:r>
      <w:smartTag w:uri="http://www.bna.com/sgml2word/cite" w:element="cite.usc">
        <w:smartTagPr>
          <w:attr w:name="ref" w:val="USC\26\1411(c)(3)"/>
        </w:smartTagPr>
        <w:r>
          <w:t>section 1411(c)(3)</w:t>
        </w:r>
      </w:smartTag>
      <w:r>
        <w:t xml:space="preserve"> and [Reg.] </w:t>
      </w:r>
      <w:smartTag w:uri="http://www.bna.com/sgml2word/cite" w:element="cite.cfr">
        <w:smartTagPr>
          <w:attr w:name="ref" w:val="cfr\26\1.1411-6(a)"/>
        </w:smartTagPr>
        <w:r>
          <w:t>§1.1411-6(a)</w:t>
        </w:r>
      </w:smartTag>
      <w:r>
        <w:t xml:space="preserve"> (because it is considered to be derived in the ordinary course of a trade or business under the principles of [Reg.] </w:t>
      </w:r>
      <w:smartTag w:uri="http://www.bna.com/sgml2word/cite" w:element="cite.cfr">
        <w:smartTagPr>
          <w:attr w:name="ref" w:val="cfr\26\1.469-2T(c)(3)(ii)(A)"/>
        </w:smartTagPr>
        <w:r>
          <w:t>§1.469-2T(c)(3)(ii)(A)</w:t>
        </w:r>
      </w:smartTag>
      <w:r>
        <w:t xml:space="preserve">). Because S is not engaged in a trade or business described in [Reg.] </w:t>
      </w:r>
      <w:smartTag w:uri="http://www.bna.com/sgml2word/cite" w:element="cite.cfr">
        <w:smartTagPr>
          <w:attr w:name="ref" w:val="cfr\26\1.1411-5(a)(2)"/>
        </w:smartTagPr>
        <w:r>
          <w:t>§1.1411-5(a)(2)</w:t>
        </w:r>
      </w:smartTag>
      <w:r>
        <w:t xml:space="preserve"> and because S’s trade or business is not a passive activity with respect to D (as described in [Reg.] </w:t>
      </w:r>
      <w:smartTag w:uri="http://www.bna.com/sgml2word/cite" w:element="cite.cfr">
        <w:smartTagPr>
          <w:attr w:name="ref" w:val="cfr\26\1.1411-5(a)(1)"/>
        </w:smartTagPr>
        <w:r>
          <w:t>§1.1411-5(a)(1)</w:t>
        </w:r>
      </w:smartTag>
      <w:r>
        <w:t xml:space="preserve">), the ordinary course of a trade or business exception described in [Reg.] </w:t>
      </w:r>
      <w:smartTag w:uri="http://www.bna.com/sgml2word/cite" w:element="cite.cfr">
        <w:smartTagPr>
          <w:attr w:name="ref" w:val="cfr\26\1.1411-4(b)"/>
        </w:smartTagPr>
        <w:r>
          <w:t>§1.1411-4(b)</w:t>
        </w:r>
      </w:smartTag>
      <w:r>
        <w:t xml:space="preserve"> applies, and D’s $5,000 of interest is not included [in net investment income] under [Reg.] </w:t>
      </w:r>
      <w:smartTag w:uri="http://www.bna.com/sgml2word/cite" w:element="cite.cfr">
        <w:smartTagPr>
          <w:attr w:name="ref" w:val="cfr\26\1.1411-4(a)(1)(i)"/>
        </w:smartTagPr>
        <w:r>
          <w:t>§1.1411-4(a)(1)(i)</w:t>
        </w:r>
      </w:smartTag>
      <w:r>
        <w:t>.</w:t>
      </w:r>
    </w:p>
  </w:footnote>
  <w:footnote w:id="273">
    <w:p w14:paraId="6A19ECB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6"/>
        </w:smartTagPr>
        <w:r>
          <w:t>§1.1411-6</w:t>
        </w:r>
      </w:smartTag>
      <w:r>
        <w:t xml:space="preserve"> (cross-reference to Reg. </w:t>
      </w:r>
      <w:smartTag w:uri="http://www.bna.com/sgml2word/cite" w:element="cite.cfr">
        <w:smartTagPr>
          <w:attr w:name="ref" w:val="cfr\26\1.469-2T(c)(3)(ii)"/>
        </w:smartTagPr>
        <w:r>
          <w:t>§1.469-2T(c)(3)(ii)</w:t>
        </w:r>
      </w:smartTag>
      <w:r>
        <w:t>).</w:t>
      </w:r>
    </w:p>
  </w:footnote>
  <w:footnote w:id="274">
    <w:p w14:paraId="7F9B1D9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“interest income on loans and investments made in the ordinary course of a trade or business of lending money.” </w:t>
      </w:r>
    </w:p>
  </w:footnote>
  <w:footnote w:id="275">
    <w:p w14:paraId="7CCB266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“royalties derived by the taxpayer in the ordinary course of a trade or business of licensing intangible property.” </w:t>
      </w:r>
    </w:p>
  </w:footnote>
  <w:footnote w:id="276">
    <w:p w14:paraId="188C799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 xml:space="preserve"> provides that royalties received by any person with respect to a license or other transfer of any rights in intangible property shall be considered to be derived in the ordinary course of the trade or business of licensing such property only if such person either (i) created such property, or (ii) performed substantial services or incurred substantial costs with respect to the development or marketing of such property. </w:t>
      </w:r>
    </w:p>
  </w:footnote>
  <w:footnote w:id="277">
    <w:p w14:paraId="602220D3" w14:textId="77777777" w:rsidR="00494B49" w:rsidRDefault="00494B49">
      <w:pPr>
        <w:pStyle w:val="FootnoteText"/>
      </w:pPr>
      <w:r>
        <w:rPr>
          <w:rStyle w:val="FootnoteReference"/>
        </w:rPr>
        <w:footnoteRef/>
      </w:r>
      <w:r>
        <w:t xml:space="preserve">In that case, the net royalty income would be exempt from net investment income under </w:t>
      </w:r>
      <w:smartTag w:uri="http://www.bna.com/sgml2word/cite" w:element="cite.usc">
        <w:smartTagPr>
          <w:attr w:name="ref" w:val="USC\26\1411(c)(6)"/>
        </w:smartTagPr>
        <w:r>
          <w:t>§1411(c)(6)</w:t>
        </w:r>
      </w:smartTag>
      <w:r>
        <w:t xml:space="preserve">. </w:t>
      </w:r>
    </w:p>
  </w:footnote>
  <w:footnote w:id="278">
    <w:p w14:paraId="18521F9D" w14:textId="77777777" w:rsidR="00494B49" w:rsidRDefault="00494B49">
      <w:pPr>
        <w:pStyle w:val="FootnoteText"/>
      </w:pPr>
      <w:r>
        <w:rPr>
          <w:rStyle w:val="FootnoteReference"/>
        </w:rPr>
        <w:footnoteRef/>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contain specific exclusions for items of income and deduction that are not taken into account in computing NESE — none of which specifically excludes royalties.</w:t>
      </w:r>
    </w:p>
  </w:footnote>
  <w:footnote w:id="279">
    <w:p w14:paraId="21937F29" w14:textId="77777777" w:rsidR="00494B49" w:rsidRDefault="00494B49">
      <w:pPr>
        <w:pStyle w:val="FootnoteText"/>
      </w:pPr>
      <w:r>
        <w:rPr>
          <w:rStyle w:val="FootnoteReference"/>
        </w:rPr>
        <w:footnoteRef/>
      </w:r>
      <w:r>
        <w:t xml:space="preserve">The distributive share of any item of income or loss of a limited partner, other than </w:t>
      </w:r>
      <w:smartTag w:uri="http://www.bna.com/sgml2word/cite" w:element="cite.usc">
        <w:smartTagPr>
          <w:attr w:name="ref" w:val="USC\26\707(c)"/>
        </w:smartTagPr>
        <w:r>
          <w:t>§707(c)</w:t>
        </w:r>
      </w:smartTag>
      <w:r>
        <w:t xml:space="preserve"> guaranteed payments for services rendered to the partnership, is excluded under </w:t>
      </w:r>
      <w:smartTag w:uri="http://www.bna.com/sgml2word/cite" w:element="cite.usc">
        <w:smartTagPr>
          <w:attr w:name="ref" w:val="USC\26\1402(a)(13)"/>
        </w:smartTagPr>
        <w:r>
          <w:t>§1402(a)(13)</w:t>
        </w:r>
      </w:smartTag>
      <w:r>
        <w:t xml:space="preserve"> in determining a partner’s NESE.</w:t>
      </w:r>
    </w:p>
  </w:footnote>
  <w:footnote w:id="280">
    <w:p w14:paraId="3282196B" w14:textId="77777777" w:rsidR="00494B49" w:rsidRDefault="00494B49">
      <w:pPr>
        <w:pStyle w:val="FootnoteText"/>
      </w:pPr>
      <w:r>
        <w:rPr>
          <w:rStyle w:val="FootnoteReference"/>
        </w:rPr>
        <w:footnoteRef/>
      </w:r>
      <w:r>
        <w:t xml:space="preserve">Distributive shares of S corporation earnings are not included in NESE. </w:t>
      </w:r>
      <w:r>
        <w:rPr>
          <w:i/>
        </w:rPr>
        <w:t>See</w:t>
      </w:r>
      <w:r>
        <w:t xml:space="preserve"> </w:t>
      </w:r>
      <w:smartTag w:uri="http://www.bna.com/sgml2word/cite" w:element="cite.agency.doc">
        <w:smartTagPr>
          <w:attr w:name="ref" w:val="IRS\RevRul\59-221"/>
        </w:smartTagPr>
        <w:r>
          <w:t>Rev. Rul. 59-221</w:t>
        </w:r>
      </w:smartTag>
      <w:r>
        <w:t xml:space="preserve">; </w:t>
      </w:r>
      <w:r>
        <w:rPr>
          <w:rStyle w:val="BCasenamefull"/>
        </w:rPr>
        <w:t>Ding v. Commissioner</w:t>
      </w:r>
      <w:r>
        <w:t xml:space="preserve">, </w:t>
      </w:r>
      <w:smartTag w:uri="http://www.bna.com/sgml2word/cite" w:element="cite.parallel">
        <w:smartTagPr>
          <w:attr w:name="ref" w:val="TCMEMO\\1997-435"/>
        </w:smartTagPr>
        <w:r>
          <w:t>T.C. Memo 1997-435</w:t>
        </w:r>
      </w:smartTag>
      <w:r>
        <w:t xml:space="preserve">, aff’d, </w:t>
      </w:r>
      <w:smartTag w:uri="http://www.bna.com/sgml2word/cite" w:element="cite.parallel">
        <w:smartTagPr>
          <w:attr w:name="ref" w:val="F3D\200\587"/>
        </w:smartTagPr>
        <w:r>
          <w:t>200 F.3d 587</w:t>
        </w:r>
      </w:smartTag>
      <w:r>
        <w:t xml:space="preserve"> (9th Cir. 1999).</w:t>
      </w:r>
    </w:p>
  </w:footnote>
  <w:footnote w:id="281">
    <w:p w14:paraId="4415E953" w14:textId="77777777" w:rsidR="00494B49" w:rsidRDefault="00494B49">
      <w:pPr>
        <w:pStyle w:val="FootnoteText"/>
      </w:pPr>
      <w:r>
        <w:rPr>
          <w:rStyle w:val="FootnoteReference"/>
        </w:rPr>
        <w:footnoteRef/>
      </w:r>
      <w:smartTag w:uri="http://www.bna.com/sgml2word/cite" w:element="cite.usc">
        <w:smartTagPr>
          <w:attr w:name="ref" w:val="USC\26\1402(b)"/>
        </w:smartTagPr>
        <w:r>
          <w:t>Section 1402(b)</w:t>
        </w:r>
      </w:smartTag>
      <w:r>
        <w:t xml:space="preserve"> provides that the term “self-employment income” generally means the net earnings from self-employment derived by an individual, but it does not include the net earnings from self-employment if such net earnings for the tax year are less than $400. </w:t>
      </w:r>
    </w:p>
  </w:footnote>
  <w:footnote w:id="282">
    <w:p w14:paraId="17A4EB9F" w14:textId="77777777" w:rsidR="00494B49" w:rsidRDefault="00494B49">
      <w:pPr>
        <w:pStyle w:val="FootnoteText"/>
      </w:pPr>
      <w:r>
        <w:rPr>
          <w:rStyle w:val="FootnoteReference"/>
        </w:rPr>
        <w:footnoteRef/>
      </w:r>
      <w:smartTag w:uri="http://www.bna.com/sgml2word/cite" w:element="cite.usc">
        <w:smartTagPr>
          <w:attr w:name="ref" w:val="USC\26\1402(a)"/>
        </w:smartTagPr>
        <w:r>
          <w:t>Section 1402(a)</w:t>
        </w:r>
      </w:smartTag>
      <w:r>
        <w:t xml:space="preserve"> generally defines the term “net earnings from self-employment” (NESE) as the gross income an individual derives from carrying on any trade or business, less the allowed deductions attributable to the trade or business, plus his distributive share (whether or not distributed) of income or loss described in </w:t>
      </w:r>
      <w:smartTag w:uri="http://www.bna.com/sgml2word/cite" w:element="cite.usc">
        <w:smartTagPr>
          <w:attr w:name="ref" w:val="USC\26\702(a)(8)"/>
        </w:smartTagPr>
        <w:r>
          <w:t>§702(a)(8)</w:t>
        </w:r>
      </w:smartTag>
      <w:r>
        <w:t xml:space="preserve"> from any trade or business carried on by a partnership of which he is a member.</w:t>
      </w:r>
    </w:p>
  </w:footnote>
  <w:footnote w:id="283">
    <w:p w14:paraId="2CEFFDC4" w14:textId="77777777" w:rsidR="00494B49" w:rsidRDefault="00494B49">
      <w:pPr>
        <w:pStyle w:val="FootnoteText"/>
      </w:pPr>
      <w:r>
        <w:rPr>
          <w:rStyle w:val="FootnoteReference"/>
        </w:rPr>
        <w:footnoteRef/>
      </w:r>
      <w:smartTag w:uri="http://www.bna.com/sgml2word/cite" w:element="cite.usc">
        <w:smartTagPr>
          <w:attr w:name="ref" w:val="USC\26\1402(a)(1)"/>
        </w:smartTagPr>
        <w:r>
          <w:t>Section 1402(a)(1)</w:t>
        </w:r>
      </w:smartTag>
      <w:r>
        <w:t>–</w:t>
      </w:r>
      <w:smartTag w:uri="http://www.bna.com/sgml2word/cite" w:element="cite.usc">
        <w:smartTagPr>
          <w:attr w:name="ref" w:val="usc\26\1402(a)(17)"/>
        </w:smartTagPr>
        <w:r>
          <w:t>§1402(a)(17)</w:t>
        </w:r>
      </w:smartTag>
      <w:r>
        <w:t xml:space="preserve"> contain specific exclusions for items of income and deduction that are not taken into account in computing net earnings from self-employment — none of which specifically exclude royalties. However, </w:t>
      </w:r>
      <w:smartTag w:uri="http://www.bna.com/sgml2word/cite" w:element="cite.usc">
        <w:smartTagPr>
          <w:attr w:name="ref" w:val="USC\26\1402(a)(13)"/>
        </w:smartTagPr>
        <w:r>
          <w:t>§1402(a)(13)</w:t>
        </w:r>
      </w:smartTag>
      <w:r>
        <w:t xml:space="preserve"> might exclude such income from NESE for certain limited partners. </w:t>
      </w:r>
    </w:p>
  </w:footnote>
  <w:footnote w:id="284">
    <w:p w14:paraId="0DE71B3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0)"/>
        </w:smartTagPr>
        <w:r>
          <w:t>§1.1411-1(d)(10)</w:t>
        </w:r>
      </w:smartTag>
      <w:r>
        <w:t xml:space="preserve">. </w:t>
      </w:r>
    </w:p>
  </w:footnote>
  <w:footnote w:id="285">
    <w:p w14:paraId="760C3D6F" w14:textId="77777777" w:rsidR="00494B49" w:rsidRDefault="00494B49">
      <w:pPr>
        <w:pStyle w:val="FootnoteText"/>
      </w:pPr>
      <w:r>
        <w:rPr>
          <w:rStyle w:val="FootnoteReference"/>
        </w:rPr>
        <w:footnoteRef/>
      </w:r>
      <w:r>
        <w:t xml:space="preserve">Reg. </w:t>
      </w:r>
      <w:smartTag w:uri="http://www.bna.com/sgml2word/cite" w:element="cite.cfr">
        <w:smartTagPr>
          <w:attr w:name="ref" w:val="cfr\26\1.61-8(b)"/>
        </w:smartTagPr>
        <w:r>
          <w:t>§1.61-8(b)</w:t>
        </w:r>
      </w:smartTag>
      <w:r>
        <w:t xml:space="preserve">. Payments to a lessor to secure permission for a lessee’s assignment of a lease are considered a substitution for rent (ordinary income to the lessor), similar to payments for the cancellation of a lease. </w:t>
      </w:r>
      <w:r>
        <w:rPr>
          <w:rStyle w:val="BCasenamefull"/>
        </w:rPr>
        <w:t>Oliver v. Commissioner</w:t>
      </w:r>
      <w:r>
        <w:t xml:space="preserve">, </w:t>
      </w:r>
      <w:smartTag w:uri="http://www.bna.com/sgml2word/cite" w:element="cite.parallel">
        <w:smartTagPr>
          <w:attr w:name="ref" w:val="TCMEMO\\1965-83"/>
        </w:smartTagPr>
        <w:r>
          <w:t>T.C. Memo 1965-83</w:t>
        </w:r>
      </w:smartTag>
      <w:r>
        <w:t xml:space="preserve">, aff’d, </w:t>
      </w:r>
      <w:smartTag w:uri="http://www.bna.com/sgml2word/cite" w:element="cite.parallel">
        <w:smartTagPr>
          <w:attr w:name="ref" w:val="F2D\364\575"/>
        </w:smartTagPr>
        <w:r>
          <w:t>364 F.2d 575</w:t>
        </w:r>
      </w:smartTag>
      <w:r>
        <w:t xml:space="preserve"> (8th Cir. 1966).</w:t>
      </w:r>
    </w:p>
  </w:footnote>
  <w:footnote w:id="286">
    <w:p w14:paraId="4E9DC276" w14:textId="77777777" w:rsidR="00494B49" w:rsidRDefault="00494B49">
      <w:pPr>
        <w:pStyle w:val="FootnoteText"/>
      </w:pPr>
      <w:r>
        <w:rPr>
          <w:rStyle w:val="FootnoteReference"/>
        </w:rPr>
        <w:footnoteRef/>
      </w:r>
      <w:r>
        <w:t xml:space="preserve">Reg. </w:t>
      </w:r>
      <w:smartTag w:uri="http://www.bna.com/sgml2word/cite" w:element="cite.cfr">
        <w:smartTagPr>
          <w:attr w:name="ref" w:val="cfr\26\1.61-8(c)"/>
        </w:smartTagPr>
        <w:r>
          <w:t>§1.61-8(c)</w:t>
        </w:r>
      </w:smartTag>
      <w:r>
        <w:t>.</w:t>
      </w:r>
    </w:p>
  </w:footnote>
  <w:footnote w:id="287">
    <w:p w14:paraId="1539FB84" w14:textId="77777777" w:rsidR="00494B49" w:rsidRDefault="00494B49">
      <w:pPr>
        <w:pStyle w:val="FootnoteText"/>
      </w:pPr>
      <w:r>
        <w:rPr>
          <w:rStyle w:val="FootnoteReference"/>
        </w:rPr>
        <w:footnoteRef/>
      </w:r>
      <w:r>
        <w:rPr>
          <w:i/>
        </w:rPr>
        <w:t>Id</w:t>
      </w:r>
      <w:r>
        <w:t xml:space="preserve">. Whether or not improvements made by a lessee result in rental income to the lessor in a particular case depends upon the intention of the parties, which may be indicated either by the terms of the lease or by the surrounding circumstances. To the extent that </w:t>
      </w:r>
      <w:smartTag w:uri="http://www.bna.com/sgml2word/cite" w:element="cite.usc">
        <w:smartTagPr>
          <w:attr w:name="ref" w:val="USC\26\109"/>
        </w:smartTagPr>
        <w:r>
          <w:t>§109</w:t>
        </w:r>
      </w:smartTag>
      <w:r>
        <w:t xml:space="preserve"> would provide the lessor an exclusion from gross income of income on the termination of a lease, representing the value of such property attributable to buildings erected or other improvements made by a lessee such excluded income is not rent under </w:t>
      </w:r>
      <w:smartTag w:uri="http://www.bna.com/sgml2word/cite" w:element="cite.usc">
        <w:smartTagPr>
          <w:attr w:name="ref" w:val="USC\26\1411(c)(1)(A)(i)"/>
        </w:smartTagPr>
        <w:r>
          <w:t>§1411(c)(1)(A)(i)</w:t>
        </w:r>
      </w:smartTag>
      <w:r>
        <w:t xml:space="preserve">. </w:t>
      </w:r>
      <w:r>
        <w:rPr>
          <w:i/>
        </w:rPr>
        <w:t>See</w:t>
      </w:r>
      <w:r>
        <w:t xml:space="preserve"> Reg. </w:t>
      </w:r>
      <w:smartTag w:uri="http://www.bna.com/sgml2word/cite" w:element="cite.cfr">
        <w:smartTagPr>
          <w:attr w:name="ref" w:val="cfr\26\1.1411-4(d)(4)"/>
        </w:smartTagPr>
        <w:r>
          <w:t>§1.1411-4(d)(4)</w:t>
        </w:r>
      </w:smartTag>
      <w:r>
        <w:t xml:space="preserve"> (definition of excluded income). </w:t>
      </w:r>
    </w:p>
  </w:footnote>
  <w:footnote w:id="288">
    <w:p w14:paraId="6C72B7D7" w14:textId="77777777" w:rsidR="00494B49" w:rsidRDefault="00494B49">
      <w:pPr>
        <w:pStyle w:val="FootnoteText"/>
      </w:pPr>
      <w:r>
        <w:rPr>
          <w:rStyle w:val="FootnoteReference"/>
        </w:rPr>
        <w:footnoteRef/>
      </w:r>
      <w:r>
        <w:t xml:space="preserve">It also follows that expenses associated with such rental income that are specifically nondeductible by reason of </w:t>
      </w:r>
      <w:smartTag w:uri="http://www.bna.com/sgml2word/cite" w:element="cite.usc">
        <w:smartTagPr>
          <w:attr w:name="ref" w:val="USC\26\280A(g)(1)"/>
        </w:smartTagPr>
        <w:r>
          <w:t>§280A(g)(1)</w:t>
        </w:r>
      </w:smartTag>
      <w:r>
        <w:t xml:space="preserve"> are not properly allocable deductions under </w:t>
      </w:r>
      <w:smartTag w:uri="http://www.bna.com/sgml2word/cite" w:element="cite.usc">
        <w:smartTagPr>
          <w:attr w:name="ref" w:val="USC\26\1411(c)(1)(B)"/>
        </w:smartTagPr>
        <w:r>
          <w:t>§1411(c)(1)(B)</w:t>
        </w:r>
      </w:smartTag>
      <w:r>
        <w:t xml:space="preserve"> because they are not deductions allowed by Subtitle A. </w:t>
      </w:r>
    </w:p>
  </w:footnote>
  <w:footnote w:id="289">
    <w:p w14:paraId="0803987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and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below. </w:t>
      </w:r>
    </w:p>
  </w:footnote>
  <w:footnote w:id="290">
    <w:p w14:paraId="0CFD9DC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7)"/>
        </w:smartTagPr>
        <w:r>
          <w:t>§1.1411-4(g)(7)</w:t>
        </w:r>
      </w:smartTag>
      <w:r>
        <w:t xml:space="preserve"> and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below.</w:t>
      </w:r>
    </w:p>
  </w:footnote>
  <w:footnote w:id="291">
    <w:p w14:paraId="789973E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A)"/>
        </w:smartTagPr>
        <w:r>
          <w:t>§1.469-1T(e)(3)(i)(A)</w:t>
        </w:r>
      </w:smartTag>
      <w:r>
        <w:t>.</w:t>
      </w:r>
    </w:p>
  </w:footnote>
  <w:footnote w:id="292">
    <w:p w14:paraId="3200B57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293">
    <w:p w14:paraId="603D9D5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A)"/>
        </w:smartTagPr>
        <w:r>
          <w:t>§1.469-1T(e)(3)(ii)(A)</w:t>
        </w:r>
      </w:smartTag>
      <w:r>
        <w:t xml:space="preserve">. This exception excludes from treatment as a “rental activity” most activities involving short-term use of tangible personal property such as automobiles, videocassettes, tuxedos, and tools, and short-term use of hotel and motel rooms. </w:t>
      </w:r>
    </w:p>
  </w:footnote>
  <w:footnote w:id="294">
    <w:p w14:paraId="36CB1FE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B)"/>
        </w:smartTagPr>
        <w:r>
          <w:t>§1.469-1T(e)(3)(ii)(B)</w:t>
        </w:r>
      </w:smartTag>
      <w:r>
        <w:t xml:space="preserve">. See Reg. </w:t>
      </w:r>
      <w:smartTag w:uri="http://www.bna.com/sgml2word/cite" w:element="cite.cfr">
        <w:smartTagPr>
          <w:attr w:name="ref" w:val="cfr\26\1.469-1T(e)(3)(iv)"/>
        </w:smartTagPr>
        <w:r>
          <w:t>§1.469-1T(e)(3)(iv)</w:t>
        </w:r>
      </w:smartTag>
      <w:r>
        <w:t xml:space="preserve"> for what constitutes significant personal services.</w:t>
      </w:r>
    </w:p>
  </w:footnote>
  <w:footnote w:id="295">
    <w:p w14:paraId="2992B07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C)"/>
        </w:smartTagPr>
        <w:r>
          <w:t>§1.469-1T(e)(3)(ii)(C)</w:t>
        </w:r>
      </w:smartTag>
      <w:r>
        <w:t>. This exception applies even if, on average, the period for which each customer uses the property exceeds 30 days. Extraordinary personal services are provided only if the services are performed by individuals, and the customers’ use of the property is incidental to their receipt of the services provided.</w:t>
      </w:r>
    </w:p>
  </w:footnote>
  <w:footnote w:id="296">
    <w:p w14:paraId="7B8881C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D)"/>
        </w:smartTagPr>
        <w:r>
          <w:t>§1.469-1T(e)(3)(ii)(D)</w:t>
        </w:r>
      </w:smartTag>
      <w:r>
        <w:t>.</w:t>
      </w:r>
    </w:p>
  </w:footnote>
  <w:footnote w:id="297">
    <w:p w14:paraId="3EE759C7" w14:textId="77777777" w:rsidR="00494B49" w:rsidRDefault="00494B49">
      <w:pPr>
        <w:pStyle w:val="FootnoteText"/>
      </w:pPr>
      <w:r>
        <w:rPr>
          <w:rStyle w:val="FootnoteReference"/>
        </w:rPr>
        <w:footnoteRef/>
      </w:r>
      <w:r>
        <w:t>It would be asymmetrical to exclude the rental income that is incidental to an investment activity because income and gain from the investment activity itself is likely net investment income.</w:t>
      </w:r>
    </w:p>
  </w:footnote>
  <w:footnote w:id="298">
    <w:p w14:paraId="4C6C00D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E)"/>
        </w:smartTagPr>
        <w:r>
          <w:t>§1.469-1T(e)(3)(ii)(E)</w:t>
        </w:r>
      </w:smartTag>
      <w:r>
        <w:t>.</w:t>
      </w:r>
    </w:p>
  </w:footnote>
  <w:footnote w:id="299">
    <w:p w14:paraId="6668C78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F)"/>
        </w:smartTagPr>
        <w:r>
          <w:t>§1.469-1T(e)(3)(ii)(F)</w:t>
        </w:r>
      </w:smartTag>
      <w:r>
        <w:t>.</w:t>
      </w:r>
    </w:p>
  </w:footnote>
  <w:footnote w:id="300">
    <w:p w14:paraId="5CBBE301" w14:textId="77777777" w:rsidR="00494B49" w:rsidRDefault="00494B49">
      <w:pPr>
        <w:pStyle w:val="FootnoteText"/>
      </w:pPr>
      <w:r>
        <w:rPr>
          <w:rStyle w:val="FootnoteReference"/>
        </w:rPr>
        <w:footnoteRef/>
      </w:r>
      <w:r>
        <w:t xml:space="preserve">I.e., </w:t>
      </w:r>
      <w:smartTag w:uri="http://www.bna.com/sgml2word/cite" w:element="cite.usc">
        <w:smartTagPr>
          <w:attr w:name="ref" w:val="USC\26\707(c)"/>
        </w:smartTagPr>
        <w:r>
          <w:t>§707(c)</w:t>
        </w:r>
      </w:smartTag>
      <w:r>
        <w:t xml:space="preserve"> guaranteed payments.</w:t>
      </w:r>
    </w:p>
  </w:footnote>
  <w:footnote w:id="301">
    <w:p w14:paraId="2F009074"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302">
    <w:p w14:paraId="43B28BFB" w14:textId="77777777" w:rsidR="00494B49" w:rsidRDefault="00494B49">
      <w:pPr>
        <w:pStyle w:val="FootnoteText"/>
      </w:pPr>
      <w:r>
        <w:rPr>
          <w:rStyle w:val="FootnoteReference"/>
        </w:rPr>
        <w:footnoteRef/>
      </w:r>
      <w:r>
        <w:t xml:space="preserve">In fact, because the nondepreciable rental rule in Reg. </w:t>
      </w:r>
      <w:smartTag w:uri="http://www.bna.com/sgml2word/cite" w:element="cite.cfr">
        <w:smartTagPr>
          <w:attr w:name="ref" w:val="cfr\26\1.469-2T(f)(3)"/>
        </w:smartTagPr>
        <w:r>
          <w:t>§1.469-2T(f)(3)</w:t>
        </w:r>
      </w:smartTag>
      <w:r>
        <w:t xml:space="preserve"> is further recharacterized as portfolio income, Reg. </w:t>
      </w:r>
      <w:smartTag w:uri="http://www.bna.com/sgml2word/cite" w:element="cite.cfr">
        <w:smartTagPr>
          <w:attr w:name="ref" w:val="cfr\26\1.1411-5(b)(2)"/>
        </w:smartTagPr>
        <w:r>
          <w:t>§1.1411-5(b)(2)</w:t>
        </w:r>
      </w:smartTag>
      <w:r>
        <w:t xml:space="preserve"> deems such nonpassive rental income to be net investment income.</w:t>
      </w:r>
    </w:p>
  </w:footnote>
  <w:footnote w:id="303">
    <w:p w14:paraId="33B0EDD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states, in relevant part, that an amount of the taxpayer’s gross rental activity income for the tax year from an item of property equal to the net rental activity income for the year from that item of property is treated as not from a passive activity if the property (i) is rented for use in a trade or business activity in which the taxpayer materially participates for the tax year; and (ii) is not described in Reg. </w:t>
      </w:r>
      <w:smartTag w:uri="http://www.bna.com/sgml2word/cite" w:element="cite.cfr">
        <w:smartTagPr>
          <w:attr w:name="ref" w:val="cfr\26\1.469-2T(f)(5)"/>
        </w:smartTagPr>
        <w:r>
          <w:t>§1.469-2T(f)(5)</w:t>
        </w:r>
      </w:smartTag>
      <w:r>
        <w:t xml:space="preserve"> (rented incidental to a development activity). </w:t>
      </w:r>
    </w:p>
  </w:footnote>
  <w:footnote w:id="304">
    <w:p w14:paraId="25A1C3F3"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5)"/>
        </w:smartTagPr>
        <w:r>
          <w:t>§1.1411-4(g)(5)</w:t>
        </w:r>
      </w:smartTag>
      <w:r>
        <w:t>.</w:t>
      </w:r>
    </w:p>
  </w:footnote>
  <w:footnote w:id="305">
    <w:p w14:paraId="49E70F8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6)(i)"/>
        </w:smartTagPr>
        <w:r>
          <w:t>§1.1411-4(g)(6)(i)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 xml:space="preserve">. </w:t>
      </w:r>
    </w:p>
  </w:footnote>
  <w:footnote w:id="306">
    <w:p w14:paraId="404A939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f)(4)"/>
        </w:smartTagPr>
        <w:r>
          <w:t>§1.469-1(f)(4)</w:t>
        </w:r>
      </w:smartTag>
      <w:r>
        <w:t xml:space="preserve">.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a discussion of the treatment of losses suspended under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footnote>
  <w:footnote w:id="307">
    <w:p w14:paraId="080DE06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i)"/>
        </w:smartTagPr>
        <w:r>
          <w:t>§1.1411-4(g)(6)(i)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w:t>
      </w:r>
    </w:p>
  </w:footnote>
  <w:footnote w:id="308">
    <w:p w14:paraId="1765A3C3"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2)(i)(A)"/>
        </w:smartTagPr>
        <w:r>
          <w:t>§1.469-2T(c)(2)(i)(A)</w:t>
        </w:r>
      </w:smartTag>
      <w:r>
        <w:t xml:space="preserve">. </w:t>
      </w:r>
    </w:p>
  </w:footnote>
  <w:footnote w:id="309">
    <w:p w14:paraId="31481DFF" w14:textId="77777777" w:rsidR="00494B49" w:rsidRDefault="00494B49">
      <w:pPr>
        <w:pStyle w:val="FootnoteText"/>
      </w:pPr>
      <w:r>
        <w:rPr>
          <w:rStyle w:val="FootnoteReference"/>
        </w:rPr>
        <w:footnoteRef/>
      </w:r>
      <w:r>
        <w:t xml:space="preserve">The question of whether the property is used in a trade or business is irrelevant. If the rental activity is a </w:t>
      </w:r>
      <w:smartTag w:uri="http://www.bna.com/sgml2word/cite" w:element="cite.usc">
        <w:smartTagPr>
          <w:attr w:name="ref" w:val="USC\26\212"/>
        </w:smartTagPr>
        <w:r>
          <w:t>§212</w:t>
        </w:r>
      </w:smartTag>
      <w:r>
        <w:t xml:space="preserve"> activity, the gain would be included in </w:t>
      </w:r>
      <w:smartTag w:uri="http://www.bna.com/sgml2word/cite" w:element="cite.usc">
        <w:smartTagPr>
          <w:attr w:name="ref" w:val="USC\26\1411(c)(1)(A)(iii)"/>
        </w:smartTagPr>
        <w:r>
          <w:t>§1411(c)(1)(A)(iii)</w:t>
        </w:r>
      </w:smartTag>
      <w:r>
        <w:t xml:space="preserve">. If the rental activity is a </w:t>
      </w:r>
      <w:smartTag w:uri="http://www.bna.com/sgml2word/cite" w:element="cite.usc">
        <w:smartTagPr>
          <w:attr w:name="ref" w:val="USC\26\162"/>
        </w:smartTagPr>
        <w:r>
          <w:t>§162</w:t>
        </w:r>
      </w:smartTag>
      <w:r>
        <w:t xml:space="preserve"> activity, it would be attributable to a passive trade or business and would still be included in </w:t>
      </w:r>
      <w:smartTag w:uri="http://www.bna.com/sgml2word/cite" w:element="cite.usc">
        <w:smartTagPr>
          <w:attr w:name="ref" w:val="USC\26\1411(c)(1)(A)(iii)"/>
        </w:smartTagPr>
        <w:r>
          <w:t>§1411(c)(1)(A)(iii)</w:t>
        </w:r>
      </w:smartTag>
      <w:r>
        <w:t xml:space="preserve">. </w:t>
      </w:r>
    </w:p>
  </w:footnote>
  <w:footnote w:id="310">
    <w:p w14:paraId="36B39548" w14:textId="77777777" w:rsidR="00494B49" w:rsidRDefault="00494B49">
      <w:pPr>
        <w:pStyle w:val="FootnoteText"/>
      </w:pPr>
      <w:r>
        <w:rPr>
          <w:rStyle w:val="FootnoteReference"/>
        </w:rPr>
        <w:footnoteRef/>
      </w:r>
      <w:r>
        <w:t xml:space="preserve">For a more detailed discussion of the special rules under </w:t>
      </w:r>
      <w:smartTag w:uri="http://www.bna.com/sgml2word/cite" w:element="cite.usc">
        <w:smartTagPr>
          <w:attr w:name="ref" w:val="USC\26\469(c)(7)"/>
        </w:smartTagPr>
        <w:r>
          <w:t>§469(c)(7)</w:t>
        </w:r>
      </w:smartTag>
      <w:r>
        <w:t xml:space="preserve"> for the rental real estate activity of taxpayers conducting a real property trade or business, see </w:t>
      </w:r>
      <w:smartTag w:uri="http://www.bna.com/sgml2word/cite" w:element="cite.bna.reference">
        <w:smartTagPr>
          <w:attr w:name="bna.id.ref" w:val="TM\549"/>
        </w:smartTagPr>
        <w:r>
          <w:t>549 T.M.</w:t>
        </w:r>
      </w:smartTag>
      <w:r>
        <w:t xml:space="preserve">, </w:t>
      </w:r>
      <w:r>
        <w:rPr>
          <w:i/>
        </w:rPr>
        <w:t>Passive Loss Rules</w:t>
      </w:r>
      <w:r>
        <w:t xml:space="preserve">. For a good summary of the rules for determining real estate professional status under </w:t>
      </w:r>
      <w:smartTag w:uri="http://www.bna.com/sgml2word/cite" w:element="cite.usc">
        <w:smartTagPr>
          <w:attr w:name="ref" w:val="USC\26\469(c)(7)(B)"/>
        </w:smartTagPr>
        <w:r>
          <w:t>§469(c)(7)(B)</w:t>
        </w:r>
      </w:smartTag>
      <w:r>
        <w:t xml:space="preserve">, see </w:t>
      </w:r>
      <w:smartTag w:uri="http://www.bna.com/sgml2word/cite" w:element="cite.agency.doc">
        <w:smartTagPr>
          <w:attr w:name="ref" w:val="IRS\CCA\201427016"/>
        </w:smartTagPr>
        <w:r>
          <w:t>CCA 201427016</w:t>
        </w:r>
      </w:smartTag>
      <w:r>
        <w:t>.</w:t>
      </w:r>
    </w:p>
  </w:footnote>
  <w:footnote w:id="311">
    <w:p w14:paraId="2272B63D" w14:textId="77777777" w:rsidR="00494B49" w:rsidRDefault="00494B49">
      <w:pPr>
        <w:pStyle w:val="FootnoteText"/>
      </w:pPr>
      <w:r>
        <w:rPr>
          <w:rStyle w:val="FootnoteReference"/>
        </w:rPr>
        <w:footnoteRef/>
      </w:r>
      <w:r>
        <w:t xml:space="preserve">In general, “personal services” include any work performed by an individual in connection with a trade or business included in </w:t>
      </w:r>
      <w:smartTag w:uri="http://www.bna.com/sgml2word/cite" w:element="cite.usc">
        <w:smartTagPr>
          <w:attr w:name="ref" w:val="USC\26\469(c)(7)(C)"/>
        </w:smartTagPr>
        <w:r>
          <w:t>§469(c)(7)(C)</w:t>
        </w:r>
      </w:smartTag>
      <w:r>
        <w:t xml:space="preserve">. However, Reg. </w:t>
      </w:r>
      <w:smartTag w:uri="http://www.bna.com/sgml2word/cite" w:element="cite.cfr">
        <w:smartTagPr>
          <w:attr w:name="ref" w:val="cfr\26\1.469-9(b)"/>
        </w:smartTagPr>
        <w:r>
          <w:t>§1.469-9(b)</w:t>
        </w:r>
      </w:smartTag>
      <w:r>
        <w:t xml:space="preserve"> provides that for purposes to testing “personal services” and trades or businesses in </w:t>
      </w:r>
      <w:smartTag w:uri="http://www.bna.com/sgml2word/cite" w:element="cite.usc">
        <w:smartTagPr>
          <w:attr w:name="ref" w:val="USC\26\469(c)(7)(C)"/>
        </w:smartTagPr>
        <w:r>
          <w:t>§469(c)(7)(C)</w:t>
        </w:r>
      </w:smartTag>
      <w:r>
        <w:t xml:space="preserve">, activities also include </w:t>
      </w:r>
      <w:smartTag w:uri="http://www.bna.com/sgml2word/cite" w:element="cite.usc">
        <w:smartTagPr>
          <w:attr w:name="ref" w:val="USC\26\212"/>
        </w:smartTagPr>
        <w:r>
          <w:t>§212</w:t>
        </w:r>
      </w:smartTag>
      <w:r>
        <w:t xml:space="preserve"> activities. </w:t>
      </w:r>
    </w:p>
  </w:footnote>
  <w:footnote w:id="312">
    <w:p w14:paraId="25C5F5CA" w14:textId="77777777" w:rsidR="00494B49" w:rsidRDefault="00494B49">
      <w:pPr>
        <w:pStyle w:val="FootnoteText"/>
      </w:pPr>
      <w:r>
        <w:rPr>
          <w:rStyle w:val="FootnoteReference"/>
        </w:rPr>
        <w:footnoteRef/>
      </w:r>
      <w:smartTag w:uri="http://www.bna.com/sgml2word/cite" w:element="cite.usc">
        <w:smartTagPr>
          <w:attr w:name="ref" w:val="USC\26\469(c)(7)(B)(i)"/>
        </w:smartTagPr>
        <w:r>
          <w:t>§469(c)(7)(B)(i)</w:t>
        </w:r>
      </w:smartTag>
      <w:r>
        <w:t xml:space="preserve">. </w:t>
      </w:r>
    </w:p>
  </w:footnote>
  <w:footnote w:id="313">
    <w:p w14:paraId="3672FFA1" w14:textId="77777777" w:rsidR="00494B49" w:rsidRDefault="00494B49">
      <w:pPr>
        <w:pStyle w:val="FootnoteText"/>
      </w:pPr>
      <w:r>
        <w:rPr>
          <w:rStyle w:val="FootnoteReference"/>
        </w:rPr>
        <w:footnoteRef/>
      </w:r>
      <w:smartTag w:uri="http://www.bna.com/sgml2word/cite" w:element="cite.usc">
        <w:smartTagPr>
          <w:attr w:name="ref" w:val="USC\26\469(c)(7)(B)(ii)"/>
        </w:smartTagPr>
        <w:r>
          <w:t>§469(c)(7)(B)(ii)</w:t>
        </w:r>
      </w:smartTag>
      <w:r>
        <w:t>.</w:t>
      </w:r>
    </w:p>
  </w:footnote>
  <w:footnote w:id="314">
    <w:p w14:paraId="74C594A2" w14:textId="77777777" w:rsidR="00494B49" w:rsidRDefault="00494B49">
      <w:pPr>
        <w:pStyle w:val="FootnoteText"/>
      </w:pPr>
      <w:r>
        <w:rPr>
          <w:rStyle w:val="FootnoteReference"/>
        </w:rPr>
        <w:footnoteRef/>
      </w:r>
      <w:smartTag w:uri="http://www.bna.com/sgml2word/cite" w:element="cite.usc">
        <w:smartTagPr>
          <w:attr w:name="ref" w:val="USC\26\469(c)(7)(C)"/>
        </w:smartTagPr>
        <w:r>
          <w:t>§469(c)(7)(C)</w:t>
        </w:r>
      </w:smartTag>
      <w:r>
        <w:t xml:space="preserve">. For the definitions of these terms, see Reg. </w:t>
      </w:r>
      <w:smartTag w:uri="http://www.bna.com/sgml2word/cite" w:element="cite.cfr">
        <w:smartTagPr>
          <w:attr w:name="ref" w:val="cfr\26\1.469-9(b)"/>
        </w:smartTagPr>
        <w:r>
          <w:t>§1.469-9(b)</w:t>
        </w:r>
      </w:smartTag>
      <w:r>
        <w:t xml:space="preserve"> and </w:t>
      </w:r>
      <w:smartTag w:uri="http://www.bna.com/sgml2word/cite" w:element="cite.bna.reference">
        <w:smartTagPr>
          <w:attr w:name="bna.id.ref" w:val="TM\549"/>
        </w:smartTagPr>
        <w:r>
          <w:t>549 T.M.</w:t>
        </w:r>
      </w:smartTag>
      <w:r>
        <w:t xml:space="preserve">, </w:t>
      </w:r>
      <w:r>
        <w:rPr>
          <w:i/>
        </w:rPr>
        <w:t>Passive Loss Rules</w:t>
      </w:r>
      <w:r>
        <w:t>.</w:t>
      </w:r>
    </w:p>
  </w:footnote>
  <w:footnote w:id="315">
    <w:p w14:paraId="5AE4003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f)(2)(ii)"/>
        </w:smartTagPr>
        <w:r>
          <w:t>§1.469-5T(f)(2)(ii)</w:t>
        </w:r>
      </w:smartTag>
      <w:r>
        <w:t>.</w:t>
      </w:r>
    </w:p>
  </w:footnote>
  <w:footnote w:id="316">
    <w:p w14:paraId="77E81CA8" w14:textId="77777777" w:rsidR="00494B49" w:rsidRDefault="00494B49">
      <w:pPr>
        <w:pStyle w:val="FootnoteText"/>
      </w:pPr>
      <w:r>
        <w:rPr>
          <w:rStyle w:val="FootnoteReference"/>
        </w:rPr>
        <w:footnoteRef/>
      </w:r>
      <w:smartTag w:uri="http://www.bna.com/sgml2word/cite" w:element="cite.usc">
        <w:smartTagPr>
          <w:attr w:name="ref" w:val="USC\26\469(c)(7)(D)(ii)"/>
        </w:smartTagPr>
        <w:r>
          <w:t>§469(c)(7)(D)(ii)</w:t>
        </w:r>
      </w:smartTag>
      <w:r>
        <w:t xml:space="preserve">; Reg. </w:t>
      </w:r>
      <w:smartTag w:uri="http://www.bna.com/sgml2word/cite" w:element="cite.cfr">
        <w:smartTagPr>
          <w:attr w:name="ref" w:val="cfr\26\1.469-9(c)(5)"/>
        </w:smartTagPr>
        <w:r>
          <w:t>§1.469-9(c)(5)</w:t>
        </w:r>
      </w:smartTag>
      <w:r>
        <w:t>.</w:t>
      </w:r>
    </w:p>
  </w:footnote>
  <w:footnote w:id="317">
    <w:p w14:paraId="1EA0567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b)(1)"/>
        </w:smartTagPr>
        <w:r>
          <w:t>§1.469-9(b)(1)</w:t>
        </w:r>
      </w:smartTag>
      <w:r>
        <w:t>.</w:t>
      </w:r>
    </w:p>
  </w:footnote>
  <w:footnote w:id="318">
    <w:p w14:paraId="0821C968"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e)(1)"/>
        </w:smartTagPr>
        <w:r>
          <w:t>§1.469-9(e)(1)</w:t>
        </w:r>
      </w:smartTag>
      <w:r>
        <w:t>.</w:t>
      </w:r>
    </w:p>
  </w:footnote>
  <w:footnote w:id="319">
    <w:p w14:paraId="13385AC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d)(1)"/>
        </w:smartTagPr>
        <w:r>
          <w:t>§1.469-9(d)(1)</w:t>
        </w:r>
      </w:smartTag>
      <w:r>
        <w:t>.</w:t>
      </w:r>
    </w:p>
  </w:footnote>
  <w:footnote w:id="320">
    <w:p w14:paraId="73FF160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d)(1)"/>
        </w:smartTagPr>
        <w:r>
          <w:t>§1.469-9(d)(1)</w:t>
        </w:r>
      </w:smartTag>
    </w:p>
  </w:footnote>
  <w:footnote w:id="321">
    <w:p w14:paraId="1BFDCC70" w14:textId="77777777" w:rsidR="00494B49" w:rsidRDefault="00494B49">
      <w:pPr>
        <w:pStyle w:val="FootnoteText"/>
      </w:pPr>
      <w:r>
        <w:rPr>
          <w:rStyle w:val="FootnoteReference"/>
        </w:rPr>
        <w:footnoteRef/>
      </w:r>
      <w:r>
        <w:t xml:space="preserve">For example, an individual engaged in real property construction could satisfy the two tests enumerated in </w:t>
      </w:r>
      <w:smartTag w:uri="http://www.bna.com/sgml2word/cite" w:element="cite.usc">
        <w:smartTagPr>
          <w:attr w:name="ref" w:val="USC\26\469(c)(7)(B)"/>
        </w:smartTagPr>
        <w:r>
          <w:t>§469(c)(7)(B)</w:t>
        </w:r>
      </w:smartTag>
      <w:r>
        <w:t xml:space="preserve"> to qualify as a real estate professional, but the construction activities may not have any relation to whether the individual’s rental income is derived in the ordinary course of a trade or business.</w:t>
      </w:r>
    </w:p>
  </w:footnote>
  <w:footnote w:id="322">
    <w:p w14:paraId="7298A4C0" w14:textId="77777777" w:rsidR="00494B49" w:rsidRDefault="00494B49">
      <w:pPr>
        <w:pStyle w:val="FootnoteText"/>
      </w:pPr>
      <w:r>
        <w:rPr>
          <w:rStyle w:val="FootnoteReference"/>
        </w:rPr>
        <w:footnoteRef/>
      </w:r>
      <w:r>
        <w:t xml:space="preserve">For example, a real estate broker that satisfies the </w:t>
      </w:r>
      <w:smartTag w:uri="http://www.bna.com/sgml2word/cite" w:element="cite.usc">
        <w:smartTagPr>
          <w:attr w:name="ref" w:val="USC\26\469(c)(7)"/>
        </w:smartTagPr>
        <w:r>
          <w:t>§469(c)(7)</w:t>
        </w:r>
      </w:smartTag>
      <w:r>
        <w:t xml:space="preserve"> real estate professional requirements by reason of hours devoted to brokerage could classify his or her real property rental activity as nonpassive by satisfying Reg. </w:t>
      </w:r>
      <w:smartTag w:uri="http://www.bna.com/sgml2word/cite" w:element="cite.cfr">
        <w:smartTagPr>
          <w:attr w:name="ref" w:val="cfr\26\1.469-5T(a)(2)"/>
        </w:smartTagPr>
        <w:r>
          <w:t>§1.469-5T(a)(2)</w:t>
        </w:r>
      </w:smartTag>
      <w:r>
        <w:t>. Under this test, the taxpayer needs to establish only that the taxpayer’s participation in the activity was substantially all of the activity (taking into account all other persons involved in the activity) to establish material participation.</w:t>
      </w:r>
    </w:p>
  </w:footnote>
  <w:footnote w:id="323">
    <w:p w14:paraId="64F53F3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A)"/>
        </w:smartTagPr>
        <w:r>
          <w:t>§1.1411-4(g)(7)(i)(A)</w:t>
        </w:r>
      </w:smartTag>
      <w:r>
        <w:t>.</w:t>
      </w:r>
    </w:p>
  </w:footnote>
  <w:footnote w:id="324">
    <w:p w14:paraId="2F8685A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B)"/>
        </w:smartTagPr>
        <w:r>
          <w:t>§1.1411-4(g)(7)(i)(B)</w:t>
        </w:r>
      </w:smartTag>
      <w:r>
        <w:t>.</w:t>
      </w:r>
    </w:p>
  </w:footnote>
  <w:footnote w:id="325">
    <w:p w14:paraId="56C1663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A)"/>
        </w:smartTagPr>
        <w:r>
          <w:t>§1.1411-4(g)(7)(ii)(A)</w:t>
        </w:r>
      </w:smartTag>
      <w:r>
        <w:t xml:space="preserve">. In other words, the rules in Reg. </w:t>
      </w:r>
      <w:smartTag w:uri="http://www.bna.com/sgml2word/cite" w:element="cite.cfr">
        <w:smartTagPr>
          <w:attr w:name="ref" w:val="cfr\26\1.469-5T"/>
        </w:smartTagPr>
        <w:r>
          <w:t>§1.469-5T</w:t>
        </w:r>
      </w:smartTag>
      <w:r>
        <w:t xml:space="preserve">, </w:t>
      </w:r>
      <w:smartTag w:uri="http://www.bna.com/sgml2word/cite" w:element="cite.cfr">
        <w:smartTagPr>
          <w:attr w:name="ref" w:val="cfr\26\1.469-9(e)(3)"/>
        </w:smartTagPr>
        <w:r>
          <w:t>§1.469-9(e)(3)</w:t>
        </w:r>
      </w:smartTag>
      <w:r>
        <w:t xml:space="preserve">, and </w:t>
      </w:r>
      <w:smartTag w:uri="http://www.bna.com/sgml2word/cite" w:element="cite.cfr">
        <w:smartTagPr>
          <w:attr w:name="ref" w:val="cfr\26\1.469-9(f)"/>
        </w:smartTagPr>
        <w:r>
          <w:t>§1.469-9(f)</w:t>
        </w:r>
      </w:smartTag>
      <w:r>
        <w:t xml:space="preserve"> are adopted by cross-reference. </w:t>
      </w:r>
    </w:p>
  </w:footnote>
  <w:footnote w:id="326">
    <w:p w14:paraId="547B98C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B)"/>
        </w:smartTagPr>
        <w:r>
          <w:t>§1.1411-4(g)(7)(ii)(B)</w:t>
        </w:r>
      </w:smartTag>
      <w:r>
        <w:t xml:space="preserve">. </w:t>
      </w:r>
    </w:p>
  </w:footnote>
  <w:footnote w:id="327">
    <w:p w14:paraId="24A03494" w14:textId="77777777" w:rsidR="00494B49" w:rsidRDefault="00494B49">
      <w:pPr>
        <w:pStyle w:val="FootnoteText"/>
      </w:pPr>
      <w:r>
        <w:rPr>
          <w:rStyle w:val="FootnoteReference"/>
        </w:rPr>
        <w:footnoteRef/>
      </w:r>
      <w:r>
        <w:t xml:space="preserve">For grouping real estate activities with trade or business activities, see Reg. </w:t>
      </w:r>
      <w:smartTag w:uri="http://www.bna.com/sgml2word/cite" w:element="cite.cfr">
        <w:smartTagPr>
          <w:attr w:name="ref" w:val="cfr\26\1.469-4(d)(1)(i)(A)"/>
        </w:smartTagPr>
        <w:r>
          <w:t>§1.469-4(d)(1)(i)(A)</w:t>
        </w:r>
      </w:smartTag>
      <w:r>
        <w:t xml:space="preserve"> and </w:t>
      </w:r>
      <w:smartTag w:uri="http://www.bna.com/sgml2word/cite" w:element="cite.cfr">
        <w:smartTagPr>
          <w:attr w:name="ref" w:val="cfr\26\1.469-4(d)(1)(i)(C)"/>
        </w:smartTagPr>
        <w:r>
          <w:t>§1.469-4(d)(1)(i)(C)</w:t>
        </w:r>
      </w:smartTag>
      <w:r>
        <w:t>.</w:t>
      </w:r>
    </w:p>
  </w:footnote>
  <w:footnote w:id="328">
    <w:p w14:paraId="310DCD0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A)"/>
        </w:smartTagPr>
        <w:r>
          <w:t>§1.1411-4(g)(7)(i)(A)</w:t>
        </w:r>
      </w:smartTag>
      <w:r>
        <w:t>.</w:t>
      </w:r>
    </w:p>
  </w:footnote>
  <w:footnote w:id="329">
    <w:p w14:paraId="797F9FB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B)"/>
        </w:smartTagPr>
        <w:r>
          <w:t>§1.1411-4(g)(7)(i)(B)</w:t>
        </w:r>
      </w:smartTag>
      <w:r>
        <w:t>.</w:t>
      </w:r>
    </w:p>
  </w:footnote>
  <w:footnote w:id="330">
    <w:p w14:paraId="302035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i)"/>
        </w:smartTagPr>
        <w:r>
          <w:t>§1.1411-4(g)(7)(iii)</w:t>
        </w:r>
      </w:smartTag>
      <w:r>
        <w:t>.</w:t>
      </w:r>
    </w:p>
  </w:footnote>
  <w:footnote w:id="331">
    <w:p w14:paraId="5EA51AF9" w14:textId="77777777" w:rsidR="00494B49" w:rsidRDefault="00494B49">
      <w:pPr>
        <w:pStyle w:val="FootnoteText"/>
      </w:pPr>
      <w:r>
        <w:rPr>
          <w:rStyle w:val="FootnoteReference"/>
        </w:rPr>
        <w:footnoteRef/>
      </w:r>
      <w:r>
        <w:t xml:space="preserve">In addition to the aggregation election not being respected, any grouping of rental properties will likewise only be respected to the extent it results in the taxpayer’s having income from a nonpassive activity, but these two special features of </w:t>
      </w:r>
      <w:smartTag w:uri="http://www.bna.com/sgml2word/cite" w:element="cite.usc">
        <w:smartTagPr>
          <w:attr w:name="ref" w:val="USC\26\469"/>
        </w:smartTagPr>
        <w:r>
          <w:t>§469</w:t>
        </w:r>
      </w:smartTag>
      <w:r>
        <w:t xml:space="preserve"> will not be respected outside of </w:t>
      </w:r>
      <w:smartTag w:uri="http://www.bna.com/sgml2word/cite" w:element="cite.usc">
        <w:smartTagPr>
          <w:attr w:name="ref" w:val="USC\26\469"/>
        </w:smartTagPr>
        <w:r>
          <w:t>§469</w:t>
        </w:r>
      </w:smartTag>
      <w:r>
        <w:t xml:space="preserve"> under Reg. </w:t>
      </w:r>
      <w:smartTag w:uri="http://www.bna.com/sgml2word/cite" w:element="cite.cfr">
        <w:smartTagPr>
          <w:attr w:name="ref" w:val="cfr\26\1.469-1T(d)(1)"/>
        </w:smartTagPr>
        <w:r>
          <w:t>§1.469-1T(d)(1)</w:t>
        </w:r>
      </w:smartTag>
      <w:r>
        <w:t xml:space="preserve">. </w:t>
      </w:r>
    </w:p>
  </w:footnote>
  <w:footnote w:id="332">
    <w:p w14:paraId="7F08A68F"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RevRul\73-522"/>
        </w:smartTagPr>
        <w:r>
          <w:t>Rev. Rul. 73-522</w:t>
        </w:r>
      </w:smartTag>
      <w:r>
        <w:t xml:space="preserve"> (net leases are not a trade or business for </w:t>
      </w:r>
      <w:smartTag w:uri="http://www.bna.com/sgml2word/cite" w:element="cite.usc">
        <w:smartTagPr>
          <w:attr w:name="ref" w:val="USC\26\871"/>
        </w:smartTagPr>
        <w:r>
          <w:t>§871</w:t>
        </w:r>
      </w:smartTag>
      <w:r>
        <w:t xml:space="preserve"> purposes). Alternatively, a real estate professional could have rental income from an investment activity covered by Reg. </w:t>
      </w:r>
      <w:smartTag w:uri="http://www.bna.com/sgml2word/cite" w:element="cite.cfr">
        <w:smartTagPr>
          <w:attr w:name="ref" w:val="cfr\26\1.469-1T(e)(3)(vi)(B)"/>
        </w:smartTagPr>
        <w:r>
          <w:t>§1.469-1T(e)(3)(vi)(B)</w:t>
        </w:r>
      </w:smartTag>
      <w:r>
        <w:t xml:space="preserve">. </w:t>
      </w:r>
    </w:p>
  </w:footnote>
  <w:footnote w:id="333">
    <w:p w14:paraId="09EAAF91" w14:textId="77777777" w:rsidR="00494B49" w:rsidRDefault="00494B49">
      <w:pPr>
        <w:pStyle w:val="FootnoteText"/>
      </w:pPr>
      <w:r>
        <w:rPr>
          <w:rStyle w:val="FootnoteReference"/>
        </w:rPr>
        <w:footnoteRef/>
      </w:r>
      <w:r>
        <w:rPr>
          <w:i/>
        </w:rPr>
        <w:t>See</w:t>
      </w:r>
      <w:r>
        <w:t xml:space="preserve"> Instructions for Form </w:t>
      </w:r>
      <w:smartTag w:uri="http://www.bna.com/sgml2word/cite" w:element="cite.fed.form">
        <w:smartTagPr>
          <w:attr w:name="ref" w:val="irs\form1065"/>
        </w:smartTagPr>
        <w:r>
          <w:t>1065</w:t>
        </w:r>
      </w:smartTag>
      <w:r>
        <w:t xml:space="preserve">, </w:t>
      </w:r>
      <w:r>
        <w:rPr>
          <w:i/>
        </w:rPr>
        <w:t>U.S. Return of Partnership Income</w:t>
      </w:r>
      <w:r>
        <w:t xml:space="preserve">. A similar phrase exists for Form </w:t>
      </w:r>
      <w:smartTag w:uri="http://www.bna.com/sgml2word/cite" w:element="cite.fed.form">
        <w:smartTagPr>
          <w:attr w:name="ref" w:val="irs\form1120S"/>
        </w:smartTagPr>
        <w:r>
          <w:t>1120S</w:t>
        </w:r>
      </w:smartTag>
      <w:r>
        <w:t xml:space="preserve">, Schedule K-1, Code U. </w:t>
      </w:r>
    </w:p>
  </w:footnote>
  <w:footnote w:id="334">
    <w:p w14:paraId="0B5E0BA5" w14:textId="77777777" w:rsidR="00494B49" w:rsidRDefault="00494B49">
      <w:pPr>
        <w:pStyle w:val="FootnoteText"/>
      </w:pPr>
      <w:r>
        <w:rPr>
          <w:rStyle w:val="FootnoteReference"/>
        </w:rPr>
        <w:footnoteRef/>
      </w:r>
      <w:r>
        <w:t xml:space="preserve">This is consistent with Reg. </w:t>
      </w:r>
      <w:smartTag w:uri="http://www.bna.com/sgml2word/cite" w:element="cite.cfr">
        <w:smartTagPr>
          <w:attr w:name="ref" w:val="cfr\26\1.1411-4(b)(2)"/>
        </w:smartTagPr>
        <w:r>
          <w:t>§1.1411-4(b)(2)</w:t>
        </w:r>
      </w:smartTag>
      <w:r>
        <w:t>, which states that a trade or business status is tested at the entity level, but passive or nonpassive activity is tested at the taxpayer level.</w:t>
      </w:r>
    </w:p>
  </w:footnote>
  <w:footnote w:id="335">
    <w:p w14:paraId="31F174BC" w14:textId="77777777" w:rsidR="00494B49" w:rsidRDefault="00494B49">
      <w:pPr>
        <w:pStyle w:val="FootnoteText"/>
      </w:pPr>
      <w:r>
        <w:rPr>
          <w:rStyle w:val="FootnoteReference"/>
        </w:rPr>
        <w:footnoteRef/>
      </w:r>
      <w:r>
        <w:t xml:space="preserve">In the dairy farm context, these are usually called share-milking arrangements. The discussion in this part refers to share-cropping but applies equally to share-milking. </w:t>
      </w:r>
    </w:p>
  </w:footnote>
  <w:footnote w:id="336">
    <w:p w14:paraId="17182831" w14:textId="77777777" w:rsidR="00494B49" w:rsidRDefault="00494B49">
      <w:pPr>
        <w:pStyle w:val="FootnoteText"/>
      </w:pPr>
      <w:r>
        <w:rPr>
          <w:rStyle w:val="FootnoteReference"/>
        </w:rPr>
        <w:footnoteRef/>
      </w:r>
      <w:r>
        <w:t xml:space="preserve">To the extent that the land is not grouped with a nonpassive activity, the land lease would be considered per se passive under </w:t>
      </w:r>
      <w:smartTag w:uri="http://www.bna.com/sgml2word/cite" w:element="cite.usc">
        <w:smartTagPr>
          <w:attr w:name="ref" w:val="USC\26\469(c)(2)"/>
        </w:smartTagPr>
        <w:r>
          <w:t>§469(c)(2)</w:t>
        </w:r>
      </w:smartTag>
      <w:r>
        <w:t xml:space="preserve">. For rules relating to grouping of rental real property with a trade or business, see Reg. </w:t>
      </w:r>
      <w:smartTag w:uri="http://www.bna.com/sgml2word/cite" w:element="cite.cfr">
        <w:smartTagPr>
          <w:attr w:name="ref" w:val="cfr\26\1.469-4(d)"/>
        </w:smartTagPr>
        <w:r>
          <w:t>§1.469-4(d)</w:t>
        </w:r>
      </w:smartTag>
      <w:r>
        <w:t xml:space="preserve">. However, in the case of nondepreciable property (such as farm land), the net income is recharacterized as nonpassive by reason of Reg. </w:t>
      </w:r>
      <w:smartTag w:uri="http://www.bna.com/sgml2word/cite" w:element="cite.cfr">
        <w:smartTagPr>
          <w:attr w:name="ref" w:val="cfr\26\1.469-2T(f)(3)"/>
        </w:smartTagPr>
        <w:r>
          <w:t>§1.469-2T(f)(3)</w:t>
        </w:r>
      </w:smartTag>
      <w:r>
        <w:t xml:space="preserve">, and further recharacterized as portfolio income. Therefore, although nonpassive, the income would be included in net investment income by reason of Reg. </w:t>
      </w:r>
      <w:smartTag w:uri="http://www.bna.com/sgml2word/cite" w:element="cite.cfr">
        <w:smartTagPr>
          <w:attr w:name="ref" w:val="cfr\26\1.1411-5(b)(2)(iii)"/>
        </w:smartTagPr>
        <w:r>
          <w:t>§1.1411-5(b)(2)(iii)</w:t>
        </w:r>
      </w:smartTag>
      <w:r>
        <w:t xml:space="preserve">. There would be two exceptions to this rule: (1) the lessee of the land is a nonpassive activity of the taxpayer such that the rent is considered self-charged under 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or (2) the lessor is a real estate professional such that the rental income is nonpassive by reason of </w:t>
      </w:r>
      <w:smartTag w:uri="http://www.bna.com/sgml2word/cite" w:element="cite.usc">
        <w:smartTagPr>
          <w:attr w:name="ref" w:val="USC\26\469(c)(7)"/>
        </w:smartTagPr>
        <w:r>
          <w:t>§469(c)(7)</w:t>
        </w:r>
      </w:smartTag>
      <w:r>
        <w:t xml:space="preserve"> (see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xml:space="preserve">, above). </w:t>
      </w:r>
    </w:p>
  </w:footnote>
  <w:footnote w:id="337">
    <w:p w14:paraId="14CA95C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for a discussion of these provisions. </w:t>
      </w:r>
    </w:p>
  </w:footnote>
  <w:footnote w:id="338">
    <w:p w14:paraId="3ADFB833" w14:textId="77777777" w:rsidR="00494B49" w:rsidRDefault="00494B49">
      <w:pPr>
        <w:pStyle w:val="FootnoteText"/>
      </w:pPr>
      <w:r>
        <w:rPr>
          <w:rStyle w:val="FootnoteReference"/>
        </w:rPr>
        <w:footnoteRef/>
      </w:r>
      <w:r>
        <w:t>Of course, the regulation also provides that the determination of whether property used in an activity is provided by the taxpayer in the taxpayer’s capacity as an owner of an interest in a partnership, S corporation, or joint venture is made on the basis of all of the facts and circumstances.</w:t>
      </w:r>
    </w:p>
  </w:footnote>
  <w:footnote w:id="339">
    <w:p w14:paraId="33AA4103" w14:textId="77777777" w:rsidR="00494B49" w:rsidRDefault="00494B49">
      <w:pPr>
        <w:pStyle w:val="FootnoteText"/>
      </w:pPr>
      <w:r>
        <w:rPr>
          <w:rStyle w:val="FootnoteReference"/>
        </w:rPr>
        <w:footnoteRef/>
      </w:r>
      <w:r>
        <w:t xml:space="preserve">This outcome may be viewed as affirming that if the property is provided for use by the partnership (but without payment of rent), the income from the partnership (i.e., any allocable part of the partner’s allocated income) is not rental income. But if the partner rented the property to the partnership, the partner is renting in a capacity other than as a partner under </w:t>
      </w:r>
      <w:smartTag w:uri="http://www.bna.com/sgml2word/cite" w:element="cite.usc">
        <w:smartTagPr>
          <w:attr w:name="ref" w:val="USC\26\707"/>
        </w:smartTagPr>
        <w:r>
          <w:t>§707</w:t>
        </w:r>
      </w:smartTag>
      <w:r>
        <w:t>, and the income is rental income. The provision does not translate as well for the shareholder of an S corporation providing property in the shareholder’s capacity as an owner of the S corporation for the S corporation’s use of the property. An owner of a corporation typically does not provide property for the use of the corporation without being compensated.</w:t>
      </w:r>
    </w:p>
  </w:footnote>
  <w:footnote w:id="340">
    <w:p w14:paraId="258CEAA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viii)"/>
        </w:smartTagPr>
        <w:r>
          <w:t>§1.469-1T(e)(3)(viii)</w:t>
        </w:r>
      </w:smartTag>
      <w:r>
        <w:rPr>
          <w:i/>
        </w:rPr>
        <w:t xml:space="preserve"> Ex.</w:t>
      </w:r>
      <w:r>
        <w:t xml:space="preserve"> 8. </w:t>
      </w:r>
    </w:p>
  </w:footnote>
  <w:footnote w:id="341">
    <w:p w14:paraId="2A13DFD7" w14:textId="77777777" w:rsidR="00494B49" w:rsidRDefault="00494B49">
      <w:pPr>
        <w:pStyle w:val="FootnoteText"/>
      </w:pPr>
      <w:r>
        <w:rPr>
          <w:rStyle w:val="FootnoteReference"/>
        </w:rPr>
        <w:footnoteRef/>
      </w:r>
      <w:r>
        <w:t xml:space="preserve">Note that Reg. </w:t>
      </w:r>
      <w:smartTag w:uri="http://www.bna.com/sgml2word/cite" w:element="cite.cfr">
        <w:smartTagPr>
          <w:attr w:name="ref" w:val="cfr\26\1.469-2T(f)(3)"/>
        </w:smartTagPr>
        <w:r>
          <w:t>§1.469-2T(f)(3)</w:t>
        </w:r>
      </w:smartTag>
      <w:r>
        <w:t xml:space="preserve"> (rental of nondepreciable land) does not apply because it is not a rental activity. </w:t>
      </w:r>
    </w:p>
  </w:footnote>
  <w:footnote w:id="342">
    <w:p w14:paraId="577F11A6" w14:textId="77777777" w:rsidR="00494B49" w:rsidRDefault="00494B49">
      <w:pPr>
        <w:pStyle w:val="FootnoteText"/>
      </w:pPr>
      <w:r>
        <w:rPr>
          <w:rStyle w:val="FootnoteReference"/>
        </w:rPr>
        <w:footnoteRef/>
      </w:r>
      <w:r>
        <w:t xml:space="preserve">For example, if a retired farmer leases one half of the farm land under a crop share arrangement to a neighboring farmer, but continues to operate the scaled down farming operations through agents, the farmer’s farming activity would be excluded from net investment income due to </w:t>
      </w:r>
      <w:smartTag w:uri="http://www.bna.com/sgml2word/cite" w:element="cite.usc">
        <w:smartTagPr>
          <w:attr w:name="ref" w:val="USC\26\469(h)(3)"/>
        </w:smartTagPr>
        <w:r>
          <w:t>§469(h)(3)</w:t>
        </w:r>
      </w:smartTag>
      <w:r>
        <w:t xml:space="preserve"> and the crop share could be grouped with the farming activity to cause the chop-share to be nonpassive. Interestingly, the use of the </w:t>
      </w:r>
      <w:smartTag w:uri="http://www.bna.com/sgml2word/cite" w:element="cite.usc">
        <w:smartTagPr>
          <w:attr w:name="ref" w:val="USC\26\469(h)(3)"/>
        </w:smartTagPr>
        <w:r>
          <w:t>§469(h)(3)</w:t>
        </w:r>
      </w:smartTag>
      <w:r>
        <w:t xml:space="preserve"> look-back rule to get nonpassive treatment for an activity newly grouped with the trade or business is only available in the farming context. Reg. </w:t>
      </w:r>
      <w:smartTag w:uri="http://www.bna.com/sgml2word/cite" w:element="cite.cfr">
        <w:smartTagPr>
          <w:attr w:name="ref" w:val="cfr\26\1.469-5(f)(1)"/>
        </w:smartTagPr>
        <w:r>
          <w:t>§1.469-5(f)(1)</w:t>
        </w:r>
      </w:smartTag>
      <w:r>
        <w:t xml:space="preserve"> provides that the 5-of-10 year rule in Reg. </w:t>
      </w:r>
      <w:smartTag w:uri="http://www.bna.com/sgml2word/cite" w:element="cite.cfr">
        <w:smartTagPr>
          <w:attr w:name="ref" w:val="cfr\26\1.469-5T(a)(6)"/>
        </w:smartTagPr>
        <w:r>
          <w:t>§1.469-5T(a)(6)</w:t>
        </w:r>
      </w:smartTag>
      <w:r>
        <w:t xml:space="preserve"> applies only if the activities are substantially similar. The subsequent year grouping would likely put the 5-of-10 year provision at risk for a traditional trade or business, but there is no corollary rule for </w:t>
      </w:r>
      <w:smartTag w:uri="http://www.bna.com/sgml2word/cite" w:element="cite.usc">
        <w:smartTagPr>
          <w:attr w:name="ref" w:val="USC\26\469(h)(3)"/>
        </w:smartTagPr>
        <w:r>
          <w:t>§469(h)(3)</w:t>
        </w:r>
      </w:smartTag>
      <w:r>
        <w:t xml:space="preserve">. </w:t>
      </w:r>
    </w:p>
  </w:footnote>
  <w:footnote w:id="343">
    <w:p w14:paraId="40D4DF4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02(a)-4(b)"/>
        </w:smartTagPr>
        <w:r>
          <w:t>§1.1402(a)-4(b)</w:t>
        </w:r>
      </w:smartTag>
      <w:r>
        <w:t xml:space="preserve">. </w:t>
      </w:r>
    </w:p>
  </w:footnote>
  <w:footnote w:id="344">
    <w:p w14:paraId="418675B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345">
    <w:p w14:paraId="5E5DEB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346">
    <w:p w14:paraId="541CC20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c)"/>
        </w:smartTagPr>
        <w:r>
          <w:t>§1.469-2T(c)</w:t>
        </w:r>
      </w:smartTag>
      <w:r>
        <w:t>.</w:t>
      </w:r>
    </w:p>
  </w:footnote>
  <w:footnote w:id="347">
    <w:p w14:paraId="6E4C912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d)"/>
        </w:smartTagPr>
        <w:r>
          <w:t>§1.469-2T(d)</w:t>
        </w:r>
      </w:smartTag>
      <w:r>
        <w:t>.</w:t>
      </w:r>
    </w:p>
  </w:footnote>
  <w:footnote w:id="348">
    <w:p w14:paraId="0A69AD16" w14:textId="77777777" w:rsidR="00494B49" w:rsidRDefault="00494B49">
      <w:pPr>
        <w:pStyle w:val="FootnoteText"/>
      </w:pPr>
      <w:r>
        <w:rPr>
          <w:rStyle w:val="FootnoteReference"/>
        </w:rPr>
        <w:footnoteRef/>
      </w:r>
      <w:r>
        <w:t xml:space="preserve">The regulations contemplate the use of reasonable methods in making these determinations, and the IRS will disregard unreasonable determinations. </w:t>
      </w:r>
      <w:r>
        <w:rPr>
          <w:i/>
        </w:rPr>
        <w:t>See</w:t>
      </w:r>
      <w:r>
        <w:t xml:space="preserve"> 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(Feb. 25, 1988), Part VIII.</w:t>
      </w:r>
    </w:p>
  </w:footnote>
  <w:footnote w:id="349">
    <w:p w14:paraId="1321DAB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below, for a discussion of the scope of Category II investment income (</w:t>
      </w:r>
      <w:smartTag w:uri="http://www.bna.com/sgml2word/cite" w:element="cite.usc">
        <w:smartTagPr>
          <w:attr w:name="ref" w:val="USC\26\1411(c)(1)(A)(ii)"/>
        </w:smartTagPr>
        <w:r>
          <w:t>§1411(c)(1)(A)(ii)</w:t>
        </w:r>
      </w:smartTag>
      <w:r>
        <w:t xml:space="preserve">). </w:t>
      </w:r>
    </w:p>
  </w:footnote>
  <w:footnote w:id="350">
    <w:p w14:paraId="14D08164"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351">
    <w:p w14:paraId="1E0083D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c)"/>
        </w:smartTagPr>
        <w:r>
          <w:t>§1.1411-4(c)</w:t>
        </w:r>
      </w:smartTag>
      <w:r>
        <w:t>.</w:t>
      </w:r>
    </w:p>
  </w:footnote>
  <w:footnote w:id="352">
    <w:p w14:paraId="14CD9C08" w14:textId="77777777" w:rsidR="00494B49" w:rsidRDefault="00494B49">
      <w:pPr>
        <w:pStyle w:val="FootnoteText"/>
      </w:pPr>
      <w:r>
        <w:rPr>
          <w:rStyle w:val="FootnoteReference"/>
        </w:rPr>
        <w:footnoteRef/>
      </w:r>
      <w:r>
        <w:rPr>
          <w:rStyle w:val="BCasenamefull"/>
        </w:rPr>
        <w:t>Helvering v. Clifford</w:t>
      </w:r>
      <w:r>
        <w:t xml:space="preserve">, </w:t>
      </w:r>
      <w:smartTag w:uri="http://www.bna.com/sgml2word/cite" w:element="cite.parallel">
        <w:smartTagPr>
          <w:attr w:name="ref" w:val="US\309\331"/>
        </w:smartTagPr>
        <w:r>
          <w:t>309 U.S. 331</w:t>
        </w:r>
      </w:smartTag>
      <w:r>
        <w:t xml:space="preserve">, 334 (1940); </w:t>
      </w:r>
      <w:r>
        <w:rPr>
          <w:rStyle w:val="BCasenamefull"/>
        </w:rPr>
        <w:t>Helvering v. Midland Mut. Life Ins. Co.</w:t>
      </w:r>
      <w:r>
        <w:t xml:space="preserve">, </w:t>
      </w:r>
      <w:smartTag w:uri="http://www.bna.com/sgml2word/cite" w:element="cite.parallel">
        <w:smartTagPr>
          <w:attr w:name="ref" w:val="US\300\216"/>
        </w:smartTagPr>
        <w:r>
          <w:t>300 U.S. 216</w:t>
        </w:r>
      </w:smartTag>
      <w:r>
        <w:t xml:space="preserve">, 223 (1937); </w:t>
      </w:r>
      <w:r>
        <w:rPr>
          <w:rStyle w:val="BCasenamefull"/>
        </w:rPr>
        <w:t>Douglas v. Willcuts</w:t>
      </w:r>
      <w:r>
        <w:t xml:space="preserve">, </w:t>
      </w:r>
      <w:smartTag w:uri="http://www.bna.com/sgml2word/cite" w:element="cite.parallel">
        <w:smartTagPr>
          <w:attr w:name="ref" w:val="US\296\1"/>
        </w:smartTagPr>
        <w:r>
          <w:t>296 U.S. 1</w:t>
        </w:r>
      </w:smartTag>
      <w:r>
        <w:t xml:space="preserve">, 9 (1935); </w:t>
      </w:r>
      <w:r>
        <w:rPr>
          <w:rStyle w:val="BCasenamefull"/>
        </w:rPr>
        <w:t>Irwin v. Gavit</w:t>
      </w:r>
      <w:r>
        <w:t xml:space="preserve">, </w:t>
      </w:r>
      <w:smartTag w:uri="http://www.bna.com/sgml2word/cite" w:element="cite.parallel">
        <w:smartTagPr>
          <w:attr w:name="ref" w:val="US\268\161"/>
        </w:smartTagPr>
        <w:r>
          <w:t>268 U.S. 161</w:t>
        </w:r>
      </w:smartTag>
      <w:r>
        <w:t xml:space="preserve">, 166 (1925); </w:t>
      </w:r>
      <w:r>
        <w:rPr>
          <w:rStyle w:val="BCasenamefull"/>
        </w:rPr>
        <w:t>Commissioner v. Glenshaw Glass Co.</w:t>
      </w:r>
      <w:r>
        <w:t xml:space="preserve">, </w:t>
      </w:r>
      <w:smartTag w:uri="http://www.bna.com/sgml2word/cite" w:element="cite.parallel">
        <w:smartTagPr>
          <w:attr w:name="ref" w:val="US\348\426"/>
        </w:smartTagPr>
        <w:r>
          <w:t>348 U.S. 426</w:t>
        </w:r>
      </w:smartTag>
      <w:r>
        <w:t xml:space="preserve">, 429 (1955). </w:t>
      </w:r>
    </w:p>
  </w:footnote>
  <w:footnote w:id="353">
    <w:p w14:paraId="2EE78DBD" w14:textId="77777777" w:rsidR="00494B49" w:rsidRDefault="00494B49">
      <w:pPr>
        <w:pStyle w:val="FootnoteText"/>
      </w:pPr>
      <w:r>
        <w:rPr>
          <w:rStyle w:val="FootnoteReference"/>
        </w:rPr>
        <w:footnoteRef/>
      </w:r>
      <w:r>
        <w:rPr>
          <w:rStyle w:val="BCasenamefull"/>
        </w:rPr>
        <w:t>Commissioner v. Jacobson</w:t>
      </w:r>
      <w:r>
        <w:t xml:space="preserve">, </w:t>
      </w:r>
      <w:smartTag w:uri="http://www.bna.com/sgml2word/cite" w:element="cite.parallel">
        <w:smartTagPr>
          <w:attr w:name="ref" w:val="US\336\28"/>
        </w:smartTagPr>
        <w:r>
          <w:t>336 U.S. 28</w:t>
        </w:r>
      </w:smartTag>
      <w:r>
        <w:t xml:space="preserve">, 49 (1949); </w:t>
      </w:r>
      <w:r>
        <w:rPr>
          <w:rStyle w:val="BCasenamefull"/>
        </w:rPr>
        <w:t>Helvering v. Stockholms Enskilda Bank</w:t>
      </w:r>
      <w:r>
        <w:t xml:space="preserve">, </w:t>
      </w:r>
      <w:smartTag w:uri="http://www.bna.com/sgml2word/cite" w:element="cite.parallel">
        <w:smartTagPr>
          <w:attr w:name="ref" w:val="US\293\84"/>
        </w:smartTagPr>
        <w:r>
          <w:t>293 U.S. 84</w:t>
        </w:r>
      </w:smartTag>
      <w:r>
        <w:t xml:space="preserve">, 87-91 (1934); </w:t>
      </w:r>
      <w:r>
        <w:rPr>
          <w:rStyle w:val="BCasenamefull"/>
        </w:rPr>
        <w:t>Commissioner v. Glenshaw Glass Co.</w:t>
      </w:r>
      <w:r>
        <w:t xml:space="preserve">, </w:t>
      </w:r>
      <w:smartTag w:uri="http://www.bna.com/sgml2word/cite" w:element="cite.parallel">
        <w:smartTagPr>
          <w:attr w:name="ref" w:val="US\348\426"/>
        </w:smartTagPr>
        <w:r>
          <w:t>348 U.S. 426</w:t>
        </w:r>
      </w:smartTag>
      <w:r>
        <w:t>, 429-30 (1955).</w:t>
      </w:r>
    </w:p>
  </w:footnote>
  <w:footnote w:id="354">
    <w:p w14:paraId="0435534C" w14:textId="77777777" w:rsidR="00494B49" w:rsidRDefault="00494B49">
      <w:pPr>
        <w:pStyle w:val="FootnoteText"/>
      </w:pPr>
      <w:r>
        <w:rPr>
          <w:rStyle w:val="FootnoteReference"/>
        </w:rPr>
        <w:footnoteRef/>
      </w:r>
      <w:r>
        <w:t xml:space="preserve">A trade or business is described in </w:t>
      </w:r>
      <w:smartTag w:uri="http://www.bna.com/sgml2word/cite" w:element="cite.usc">
        <w:smartTagPr>
          <w:attr w:name="ref" w:val="USC\26\1411(c)(2)"/>
        </w:smartTagPr>
        <w:r>
          <w:t>§1411(c)(2)</w:t>
        </w:r>
      </w:smartTag>
      <w:r>
        <w:t xml:space="preserve"> if it is a passive activity (within the meaning of </w:t>
      </w:r>
      <w:smartTag w:uri="http://www.bna.com/sgml2word/cite" w:element="cite.usc">
        <w:smartTagPr>
          <w:attr w:name="ref" w:val="USC\26\469"/>
        </w:smartTagPr>
        <w:r>
          <w:t>§469</w:t>
        </w:r>
      </w:smartTag>
      <w:r>
        <w:t xml:space="preserve">) with respect to the taxpayer or a trade or business of trading in financial instruments or commodities (as defined in </w:t>
      </w:r>
      <w:smartTag w:uri="http://www.bna.com/sgml2word/cite" w:element="cite.usc">
        <w:smartTagPr>
          <w:attr w:name="ref" w:val="USC\26\475(e)(2)"/>
        </w:smartTagPr>
        <w:r>
          <w:t>§475(e)(2)</w:t>
        </w:r>
      </w:smartTag>
      <w:r>
        <w:t>).</w:t>
      </w:r>
    </w:p>
  </w:footnote>
  <w:footnote w:id="355">
    <w:p w14:paraId="0CC9309A"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356">
    <w:p w14:paraId="1D5A3AF2" w14:textId="77777777" w:rsidR="00494B49" w:rsidRDefault="00494B49">
      <w:pPr>
        <w:pStyle w:val="FootnoteText"/>
      </w:pPr>
      <w:r>
        <w:rPr>
          <w:rStyle w:val="FootnoteReference"/>
        </w:rPr>
        <w:footnoteRef/>
      </w:r>
      <w:r>
        <w:t xml:space="preserve">The </w:t>
      </w:r>
      <w:smartTag w:uri="http://www.bna.com/sgml2word/cite" w:element="cite.usc">
        <w:smartTagPr>
          <w:attr w:name="ref" w:val="USC\26\469(e)"/>
        </w:smartTagPr>
        <w:r>
          <w:t>§469(e)</w:t>
        </w:r>
      </w:smartTag>
      <w:r>
        <w:t xml:space="preserve"> rules provide guidance on whether income is treated as income from a passive activity, or the rule in Reg. </w:t>
      </w:r>
      <w:smartTag w:uri="http://www.bna.com/sgml2word/cite" w:element="cite.cfr">
        <w:smartTagPr>
          <w:attr w:name="ref" w:val="cfr\26\1.469-2T(c)(3)(i)"/>
        </w:smartTagPr>
        <w:r>
          <w:t>§1.469-2T(c)(3)(i)</w:t>
        </w:r>
      </w:smartTag>
      <w:r>
        <w:t xml:space="preserve">, which addresses portfolio income. </w:t>
      </w:r>
    </w:p>
  </w:footnote>
  <w:footnote w:id="357">
    <w:p w14:paraId="299415D4" w14:textId="77777777" w:rsidR="00494B49" w:rsidRDefault="00494B49">
      <w:pPr>
        <w:pStyle w:val="FootnoteText"/>
      </w:pPr>
      <w:r>
        <w:rPr>
          <w:rStyle w:val="FootnoteReference"/>
        </w:rPr>
        <w:footnoteRef/>
      </w:r>
      <w:r>
        <w:t xml:space="preserve">If the activity is passive, Reg. </w:t>
      </w:r>
      <w:smartTag w:uri="http://www.bna.com/sgml2word/cite" w:element="cite.cfr">
        <w:smartTagPr>
          <w:attr w:name="ref" w:val="cfr\26\1.1411-10(b)(1)"/>
        </w:smartTagPr>
        <w:r>
          <w:t>§1.1411-10(b)(1)</w:t>
        </w:r>
      </w:smartTag>
      <w:r>
        <w:t xml:space="preserve"> would cause such inclusions to be captured by </w:t>
      </w:r>
      <w:smartTag w:uri="http://www.bna.com/sgml2word/cite" w:element="cite.usc">
        <w:smartTagPr>
          <w:attr w:name="ref" w:val="USC\26\1411(c)(1)(A)(ii)"/>
        </w:smartTagPr>
        <w:r>
          <w:t>§1411(c)(1)(A)(ii)</w:t>
        </w:r>
      </w:smartTag>
      <w:r>
        <w:t xml:space="preserve">. If the activity is nonpassive, Reg. </w:t>
      </w:r>
      <w:smartTag w:uri="http://www.bna.com/sgml2word/cite" w:element="cite.cfr">
        <w:smartTagPr>
          <w:attr w:name="ref" w:val="cfr\26\1.1411-10(b)(2)"/>
        </w:smartTagPr>
        <w:r>
          <w:t>§1.1411-10(b)(2)</w:t>
        </w:r>
      </w:smartTag>
      <w:r>
        <w:t xml:space="preserve"> invokes the rules in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which treat the inclusions or distributions as dividends — which, in the absence of a showing that such amounts are derived in a nonpassive trade or business, would be included in net investment income under </w:t>
      </w:r>
      <w:smartTag w:uri="http://www.bna.com/sgml2word/cite" w:element="cite.usc">
        <w:smartTagPr>
          <w:attr w:name="ref" w:val="USC\26\1411(c)(1)(A)(i)"/>
        </w:smartTagPr>
        <w:r>
          <w:t>§1411(c)(1)(A)(i)</w:t>
        </w:r>
      </w:smartTag>
      <w:r>
        <w:t xml:space="preserve">. </w:t>
      </w:r>
    </w:p>
  </w:footnote>
  <w:footnote w:id="358">
    <w:p w14:paraId="31163D88" w14:textId="77777777" w:rsidR="00494B49" w:rsidRDefault="00494B49">
      <w:pPr>
        <w:pStyle w:val="FootnoteText"/>
      </w:pPr>
      <w:r>
        <w:rPr>
          <w:rStyle w:val="FootnoteReference"/>
        </w:rPr>
        <w:footnoteRef/>
      </w:r>
      <w:r>
        <w:t xml:space="preserve">The one known exception, which may or may not actually exist in the “real world,” is the case of CFC or QEF held by a dealer in securities, and that dealer’s income is ultimately includible in the taxable income of an individual, estate, or trust. If the taxpayer is nonpassive in the dealer activity, the CFC or QEF inclusion would likely be excluded from net investment income. </w:t>
      </w:r>
    </w:p>
  </w:footnote>
  <w:footnote w:id="359">
    <w:p w14:paraId="3D436A3D"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360">
    <w:p w14:paraId="5E4F8C3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1)"/>
        </w:smartTagPr>
        <w:r>
          <w:t>§1.1411-4(d)(1)</w:t>
        </w:r>
      </w:smartTag>
      <w:r>
        <w:t xml:space="preserve">. See </w:t>
      </w:r>
      <w:smartTag w:uri="http://www.bna.com/sgml2word/cite" w:element="cite.bna.reference">
        <w:smartTagPr>
          <w:attr w:name="bna.id.ref" w:val="TM\511.III.D.4"/>
        </w:smartTagPr>
        <w:r>
          <w:t>III.D.4.</w:t>
        </w:r>
      </w:smartTag>
      <w:smartTag w:uri="http://www.bna.com/sgml2word/cite" w:element="cite.bna.reference">
        <w:smartTagPr>
          <w:attr w:name="bna.id.ref" w:val="TM\873.III.D.4"/>
        </w:smartTagPr>
        <w:r>
          <w:t>III.D.4.</w:t>
        </w:r>
      </w:smartTag>
      <w:r>
        <w:t>, below.</w:t>
      </w:r>
    </w:p>
  </w:footnote>
  <w:footnote w:id="361">
    <w:p w14:paraId="2CC2DC9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2)"/>
        </w:smartTagPr>
        <w:r>
          <w:t>§1.1411-4(d)(2)</w:t>
        </w:r>
      </w:smartTag>
      <w:r>
        <w:t>.</w:t>
      </w:r>
    </w:p>
  </w:footnote>
  <w:footnote w:id="362">
    <w:p w14:paraId="4A9579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3)(i)"/>
        </w:smartTagPr>
        <w:r>
          <w:t>§1.1411-4(d)(3)(i)</w:t>
        </w:r>
      </w:smartTag>
      <w:r>
        <w:t>.</w:t>
      </w:r>
    </w:p>
  </w:footnote>
  <w:footnote w:id="363">
    <w:p w14:paraId="6351CCA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w:t>
      </w:r>
    </w:p>
  </w:footnote>
  <w:footnote w:id="364">
    <w:p w14:paraId="5424EFD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262-1(b)(4)"/>
        </w:smartTagPr>
        <w:r>
          <w:t>§1.262-1(b)(4)</w:t>
        </w:r>
      </w:smartTag>
      <w:r>
        <w:t xml:space="preserve">. </w:t>
      </w:r>
    </w:p>
  </w:footnote>
  <w:footnote w:id="365">
    <w:p w14:paraId="28120EC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65(j)"/>
        </w:smartTagPr>
        <w:r>
          <w:t>§165(j)</w:t>
        </w:r>
      </w:smartTag>
      <w:r>
        <w:t>.</w:t>
      </w:r>
    </w:p>
  </w:footnote>
  <w:footnote w:id="366">
    <w:p w14:paraId="57CCE16C"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71"/>
        </w:smartTagPr>
        <w:r>
          <w:t>§271</w:t>
        </w:r>
      </w:smartTag>
      <w:r>
        <w:t xml:space="preserve">. </w:t>
      </w:r>
    </w:p>
  </w:footnote>
  <w:footnote w:id="367">
    <w:p w14:paraId="69F0C7DF"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91"/>
        </w:smartTagPr>
        <w:r>
          <w:t>§1091</w:t>
        </w:r>
      </w:smartTag>
      <w:r>
        <w:t xml:space="preserve">. </w:t>
      </w:r>
    </w:p>
  </w:footnote>
  <w:footnote w:id="368">
    <w:p w14:paraId="55309578"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83"/>
        </w:smartTagPr>
        <w:r>
          <w:t>§183</w:t>
        </w:r>
      </w:smartTag>
      <w:r>
        <w:t>.</w:t>
      </w:r>
    </w:p>
  </w:footnote>
  <w:footnote w:id="369">
    <w:p w14:paraId="43E3062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80B"/>
        </w:smartTagPr>
        <w:r>
          <w:t>§280B</w:t>
        </w:r>
      </w:smartTag>
      <w:r>
        <w:t>.</w:t>
      </w:r>
    </w:p>
  </w:footnote>
  <w:footnote w:id="370">
    <w:p w14:paraId="777076D6"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1"/>
        </w:smartTagPr>
        <w:r>
          <w:t>§121</w:t>
        </w:r>
      </w:smartTag>
      <w:r>
        <w:t xml:space="preserve">. </w:t>
      </w:r>
    </w:p>
  </w:footnote>
  <w:footnote w:id="371">
    <w:p w14:paraId="308BDA11"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02"/>
        </w:smartTagPr>
        <w:r>
          <w:t>§1202</w:t>
        </w:r>
      </w:smartTag>
      <w:r>
        <w:t xml:space="preserve">. </w:t>
      </w:r>
    </w:p>
  </w:footnote>
  <w:footnote w:id="372">
    <w:p w14:paraId="00398E6E"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38"/>
        </w:smartTagPr>
        <w:r>
          <w:t>§1038</w:t>
        </w:r>
      </w:smartTag>
      <w:r>
        <w:t xml:space="preserve">. </w:t>
      </w:r>
    </w:p>
  </w:footnote>
  <w:footnote w:id="373">
    <w:p w14:paraId="3B19B3AE"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2017\USC\26\1400F"/>
        </w:smartTagPr>
        <w:r>
          <w:t>former §1400F</w:t>
        </w:r>
      </w:smartTag>
      <w:r>
        <w:t>.</w:t>
      </w:r>
    </w:p>
  </w:footnote>
  <w:footnote w:id="374">
    <w:p w14:paraId="640EEA0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2017\USC\26\1400B"/>
        </w:smartTagPr>
        <w:r>
          <w:t>former §1400B</w:t>
        </w:r>
      </w:smartTag>
      <w:r>
        <w:t xml:space="preserve">. The applicability of this provision expired on December 31, 2016. </w:t>
      </w:r>
      <w:r>
        <w:rPr>
          <w:i/>
        </w:rPr>
        <w:t>See</w:t>
      </w:r>
      <w:r>
        <w:t xml:space="preserve"> </w:t>
      </w:r>
      <w:smartTag w:uri="http://www.bna.com/sgml2word/cite" w:element="cite.usc">
        <w:smartTagPr>
          <w:attr w:name="ref" w:val="2017\USC\26\1400B(e)(2)"/>
        </w:smartTagPr>
        <w:r>
          <w:t>former §1400B(e)(2)</w:t>
        </w:r>
      </w:smartTag>
      <w:r>
        <w:t xml:space="preserve">, </w:t>
      </w:r>
      <w:smartTag w:uri="http://www.bna.com/sgml2word/cite" w:element="cite.usc">
        <w:smartTagPr>
          <w:attr w:name="ref" w:val="2017\USC\26\1400B(g)(2)"/>
        </w:smartTagPr>
        <w:r>
          <w:t>former §1400B(g)(2)</w:t>
        </w:r>
      </w:smartTag>
      <w:r>
        <w:t>.</w:t>
      </w:r>
    </w:p>
  </w:footnote>
  <w:footnote w:id="375">
    <w:p w14:paraId="2B34481D" w14:textId="77777777" w:rsidR="00494B49" w:rsidRDefault="00494B49">
      <w:pPr>
        <w:pStyle w:val="FootnoteText"/>
      </w:pPr>
      <w:r>
        <w:rPr>
          <w:rStyle w:val="FootnoteReference"/>
        </w:rPr>
        <w:footnoteRef/>
      </w:r>
      <w:smartTag w:uri="http://www.bna.com/sgml2word/cite" w:element="cite.usc">
        <w:smartTagPr>
          <w:attr w:name="ref" w:val="USC\26\1223(1)"/>
        </w:smartTagPr>
        <w:r>
          <w:t>Section 1223(1)</w:t>
        </w:r>
      </w:smartTag>
      <w:r>
        <w:t xml:space="preserve"> provides that the holding period of property acquired in a </w:t>
      </w:r>
      <w:smartTag w:uri="http://www.bna.com/sgml2word/cite" w:element="cite.usc">
        <w:smartTagPr>
          <w:attr w:name="ref" w:val="USC\26\1031"/>
        </w:smartTagPr>
        <w:r>
          <w:t>§1031</w:t>
        </w:r>
      </w:smartTag>
      <w:r>
        <w:t xml:space="preserve"> exchange includes the holding period of the qualifying property transferred, provided that (i) the property transferred was either a capital asset or </w:t>
      </w:r>
      <w:smartTag w:uri="http://www.bna.com/sgml2word/cite" w:element="cite.usc">
        <w:smartTagPr>
          <w:attr w:name="ref" w:val="USC\26\1231"/>
        </w:smartTagPr>
        <w:r>
          <w:t>§1231</w:t>
        </w:r>
      </w:smartTag>
      <w:r>
        <w:t xml:space="preserve"> property; and (ii) the basis of the property acquired is determined in whole or in part by the basis of the property exchanged.</w:t>
      </w:r>
    </w:p>
  </w:footnote>
  <w:footnote w:id="376">
    <w:p w14:paraId="0FBF3DE8" w14:textId="77777777" w:rsidR="00494B49" w:rsidRDefault="00494B49">
      <w:pPr>
        <w:pStyle w:val="FootnoteText"/>
      </w:pPr>
      <w:r>
        <w:rPr>
          <w:rStyle w:val="FootnoteReference"/>
        </w:rPr>
        <w:footnoteRef/>
      </w:r>
      <w:r>
        <w:rPr>
          <w:i/>
        </w:rPr>
        <w:t xml:space="preserve">See, e.g., </w:t>
      </w:r>
      <w:smartTag w:uri="http://www.bna.com/sgml2word/cite" w:element="cite.usc">
        <w:smartTagPr>
          <w:attr w:name="ref" w:val="USC\26\1245(b)(4)"/>
        </w:smartTagPr>
        <w:r>
          <w:t>§1245(b)(4)</w:t>
        </w:r>
      </w:smartTag>
      <w:r>
        <w:t xml:space="preserve"> and Reg. </w:t>
      </w:r>
      <w:smartTag w:uri="http://www.bna.com/sgml2word/cite" w:element="cite.cfr">
        <w:smartTagPr>
          <w:attr w:name="ref" w:val="cfr\26\1.1250-3(d)(5)"/>
        </w:smartTagPr>
        <w:r>
          <w:t>§1.1250-3(d)(5)</w:t>
        </w:r>
      </w:smartTag>
      <w:r>
        <w:t xml:space="preserve">. </w:t>
      </w:r>
    </w:p>
  </w:footnote>
  <w:footnote w:id="377">
    <w:p w14:paraId="36B697B1"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567"/>
        </w:smartTagPr>
        <w:r>
          <w:t>567 T.M.</w:t>
        </w:r>
      </w:smartTag>
      <w:r>
        <w:t xml:space="preserve">, </w:t>
      </w:r>
      <w:r>
        <w:rPr>
          <w:i/>
        </w:rPr>
        <w:t xml:space="preserve">Tax-Free Exchanges Under </w:t>
      </w:r>
      <w:smartTag w:uri="http://www.bna.com/sgml2word/cite" w:element="cite.usc">
        <w:smartTagPr>
          <w:attr w:name="ref" w:val="USC\26\1031"/>
        </w:smartTagPr>
        <w:r>
          <w:rPr>
            <w:i/>
          </w:rPr>
          <w:t>Section 1031</w:t>
        </w:r>
      </w:smartTag>
      <w:r>
        <w:t xml:space="preserve">. </w:t>
      </w:r>
    </w:p>
  </w:footnote>
  <w:footnote w:id="378">
    <w:p w14:paraId="15E633C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0Z-2"/>
        </w:smartTagPr>
        <w:r>
          <w:t>§1400Z-2</w:t>
        </w:r>
      </w:smartTag>
      <w:r>
        <w:t>.</w:t>
      </w:r>
    </w:p>
  </w:footnote>
  <w:footnote w:id="379">
    <w:p w14:paraId="3B5DF26D" w14:textId="77777777" w:rsidR="00494B49" w:rsidRDefault="00494B49">
      <w:pPr>
        <w:pStyle w:val="FootnoteText"/>
      </w:pPr>
      <w:r>
        <w:rPr>
          <w:rStyle w:val="FootnoteReference"/>
        </w:rPr>
        <w:footnoteRef/>
      </w:r>
      <w:smartTag w:uri="http://www.bna.com/sgml2word/cite" w:element="cite.usc">
        <w:smartTagPr>
          <w:attr w:name="ref" w:val="USC\26\1400Z-2"/>
        </w:smartTagPr>
        <w:r>
          <w:t>§1400Z-2</w:t>
        </w:r>
      </w:smartTag>
      <w:r>
        <w:t xml:space="preserve">. See </w:t>
      </w:r>
      <w:smartTag w:uri="http://www.bna.com/sgml2word/cite" w:element="cite.bna.reference">
        <w:smartTagPr>
          <w:attr w:name="bna.id.ref" w:val="tm\598"/>
        </w:smartTagPr>
        <w:r>
          <w:t>598 T.M.</w:t>
        </w:r>
      </w:smartTag>
      <w:r>
        <w:t xml:space="preserve">, </w:t>
      </w:r>
      <w:r>
        <w:rPr>
          <w:i/>
        </w:rPr>
        <w:t>Investments in Qualified Opportunity Zones</w:t>
      </w:r>
      <w:r>
        <w:t xml:space="preserve">. </w:t>
      </w:r>
    </w:p>
  </w:footnote>
  <w:footnote w:id="380">
    <w:p w14:paraId="1E2A06D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52(b)(3)(B)"/>
        </w:smartTagPr>
        <w:r>
          <w:t>§852(b)(3)(B)</w:t>
        </w:r>
      </w:smartTag>
      <w:r>
        <w:t xml:space="preserve">. The same is also true with respect to undistributed capital gains that are deemed received by the shareholders by reason of </w:t>
      </w:r>
      <w:smartTag w:uri="http://www.bna.com/sgml2word/cite" w:element="cite.usc">
        <w:smartTagPr>
          <w:attr w:name="ref" w:val="USC\26\852(b)(3)(D)"/>
        </w:smartTagPr>
        <w:r>
          <w:t>§852(b)(3)(D)</w:t>
        </w:r>
      </w:smartTag>
      <w:r>
        <w:t>.</w:t>
      </w:r>
    </w:p>
  </w:footnote>
  <w:footnote w:id="381">
    <w:p w14:paraId="4D55CF6F" w14:textId="77777777" w:rsidR="00494B49" w:rsidRDefault="00494B49">
      <w:pPr>
        <w:pStyle w:val="FootnoteText"/>
      </w:pPr>
      <w:r>
        <w:rPr>
          <w:rStyle w:val="FootnoteReference"/>
        </w:rPr>
        <w:footnoteRef/>
      </w:r>
      <w:r>
        <w:rPr>
          <w:i/>
        </w:rPr>
        <w:t>See id.</w:t>
      </w:r>
    </w:p>
  </w:footnote>
  <w:footnote w:id="382">
    <w:p w14:paraId="7003A0E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p>
  </w:footnote>
  <w:footnote w:id="383">
    <w:p w14:paraId="5641888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
        </w:smartTagPr>
        <w:r>
          <w:t>§1.1411-4(e)(1)</w:t>
        </w:r>
      </w:smartTag>
      <w:r>
        <w:t>.</w:t>
      </w:r>
    </w:p>
  </w:footnote>
  <w:footnote w:id="384">
    <w:p w14:paraId="2B1E7FA0" w14:textId="77777777" w:rsidR="00494B49" w:rsidRDefault="00494B49">
      <w:pPr>
        <w:pStyle w:val="FootnoteText"/>
      </w:pPr>
      <w:r>
        <w:rPr>
          <w:rStyle w:val="FootnoteReference"/>
        </w:rPr>
        <w:footnoteRef/>
      </w:r>
      <w:r>
        <w:t xml:space="preserve">In general, under Chapter 1, capital losses that exceed capital gains are allowed as a deduction against ordinary income only to the extent allowed by </w:t>
      </w:r>
      <w:smartTag w:uri="http://www.bna.com/sgml2word/cite" w:element="cite.usc">
        <w:smartTagPr>
          <w:attr w:name="ref" w:val="USC\26\1211(b)"/>
        </w:smartTagPr>
        <w:r>
          <w:t>§1211(b)</w:t>
        </w:r>
      </w:smartTag>
      <w:r>
        <w:t xml:space="preserve">. In the case of capital losses in excess of the amounts allowed by </w:t>
      </w:r>
      <w:smartTag w:uri="http://www.bna.com/sgml2word/cite" w:element="cite.usc">
        <w:smartTagPr>
          <w:attr w:name="ref" w:val="USC\26\1211(b)"/>
        </w:smartTagPr>
        <w:r>
          <w:t>§1211(b)</w:t>
        </w:r>
      </w:smartTag>
      <w:r>
        <w:t xml:space="preserve">, </w:t>
      </w:r>
      <w:smartTag w:uri="http://www.bna.com/sgml2word/cite" w:element="cite.usc">
        <w:smartTagPr>
          <w:attr w:name="ref" w:val="USC\26\1212(b)(1)"/>
        </w:smartTagPr>
        <w:r>
          <w:t>§1212(b)(1)</w:t>
        </w:r>
      </w:smartTag>
      <w:r>
        <w:t xml:space="preserve"> treats these losses as incurred in the following year. Reg. </w:t>
      </w:r>
      <w:smartTag w:uri="http://www.bna.com/sgml2word/cite" w:element="cite.cfr">
        <w:smartTagPr>
          <w:attr w:name="ref" w:val="cfr\26\1.1411-4(d)"/>
        </w:smartTagPr>
        <w:r>
          <w:t>§1.1411-4(d)</w:t>
        </w:r>
      </w:smartTag>
      <w:r>
        <w:t xml:space="preserve"> adopts these principles when computing net gain under </w:t>
      </w:r>
      <w:smartTag w:uri="http://www.bna.com/sgml2word/cite" w:element="cite.usc">
        <w:smartTagPr>
          <w:attr w:name="ref" w:val="USC\26\1411(c)(1)(A)(iii)"/>
        </w:smartTagPr>
        <w:r>
          <w:t>§1411(c)(1)(A)(iii)</w:t>
        </w:r>
      </w:smartTag>
      <w:r>
        <w:t xml:space="preserve">. Therefore, capital losses incurred in a year before the effective date of </w:t>
      </w:r>
      <w:smartTag w:uri="http://www.bna.com/sgml2word/cite" w:element="cite.usc">
        <w:smartTagPr>
          <w:attr w:name="ref" w:val="USC\26\1411"/>
        </w:smartTagPr>
        <w:r>
          <w:t>§1411</w:t>
        </w:r>
      </w:smartTag>
      <w:r>
        <w:t xml:space="preserve"> may be taken into account in the computation of </w:t>
      </w:r>
      <w:smartTag w:uri="http://www.bna.com/sgml2word/cite" w:element="cite.usc">
        <w:smartTagPr>
          <w:attr w:name="ref" w:val="USC\26\1411(c)(1)(A)(iii)"/>
        </w:smartTagPr>
        <w:r>
          <w:t>§1411(c)(1)(A)(iii)</w:t>
        </w:r>
      </w:smartTag>
      <w:r>
        <w:t xml:space="preserve"> net gain by reason of the mechanics of </w:t>
      </w:r>
      <w:smartTag w:uri="http://www.bna.com/sgml2word/cite" w:element="cite.usc">
        <w:smartTagPr>
          <w:attr w:name="ref" w:val="USC\26\1212(b)(1)"/>
        </w:smartTagPr>
        <w:r>
          <w:t>§1212(b)(1)</w:t>
        </w:r>
      </w:smartTag>
      <w:r>
        <w:t>.</w:t>
      </w:r>
    </w:p>
  </w:footnote>
  <w:footnote w:id="385">
    <w:p w14:paraId="4C12F0E5"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(reference to </w:t>
      </w:r>
      <w:smartTag w:uri="http://www.bna.com/sgml2word/cite" w:element="cite.usc">
        <w:smartTagPr>
          <w:attr w:name="ref" w:val="USC\26\469(e)(1)(B)"/>
        </w:smartTagPr>
        <w:r>
          <w:t>§469(e)(1)(B)</w:t>
        </w:r>
      </w:smartTag>
      <w:r>
        <w:t xml:space="preserve">); Reg. </w:t>
      </w:r>
      <w:smartTag w:uri="http://www.bna.com/sgml2word/cite" w:element="cite.cfr">
        <w:smartTagPr>
          <w:attr w:name="ref" w:val="cfr\26\1.1411-6"/>
        </w:smartTagPr>
        <w:r>
          <w:t>§1.1411-6</w:t>
        </w:r>
      </w:smartTag>
      <w:r>
        <w:t>.</w:t>
      </w:r>
    </w:p>
  </w:footnote>
  <w:footnote w:id="386">
    <w:p w14:paraId="0DB05DE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
        </w:smartTagPr>
        <w:r>
          <w:t>§1.1411-4(d)(4)(i)(B)</w:t>
        </w:r>
      </w:smartTag>
      <w:r>
        <w:t>.</w:t>
      </w:r>
    </w:p>
  </w:footnote>
  <w:footnote w:id="387">
    <w:p w14:paraId="420E4EA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4(a)(1)"/>
        </w:smartTagPr>
        <w:r>
          <w:t>§84(a)(1)</w:t>
        </w:r>
      </w:smartTag>
      <w:r>
        <w:t>.</w:t>
      </w:r>
    </w:p>
  </w:footnote>
  <w:footnote w:id="388">
    <w:p w14:paraId="39ECA600"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301(c)(3)"/>
        </w:smartTagPr>
        <w:r>
          <w:t>§301(c)(3)</w:t>
        </w:r>
      </w:smartTag>
      <w:r>
        <w:t xml:space="preserve">. </w:t>
      </w:r>
    </w:p>
  </w:footnote>
  <w:footnote w:id="389">
    <w:p w14:paraId="46A92A76" w14:textId="77777777" w:rsidR="00494B49" w:rsidRDefault="00494B49">
      <w:pPr>
        <w:pStyle w:val="FootnoteText"/>
      </w:pPr>
      <w:r>
        <w:rPr>
          <w:rStyle w:val="FootnoteReference"/>
        </w:rPr>
        <w:footnoteRef/>
      </w:r>
      <w:r>
        <w:t xml:space="preserve">Furthermore, each shareholder may have additional gain or loss upon the deemed liquidation of the S corporation resulting from the </w:t>
      </w:r>
      <w:smartTag w:uri="http://www.bna.com/sgml2word/cite" w:element="cite.usc">
        <w:smartTagPr>
          <w:attr w:name="ref" w:val="USC\26\338(h)(10)"/>
        </w:smartTagPr>
        <w:r>
          <w:t>§338(h)(10)</w:t>
        </w:r>
      </w:smartTag>
      <w:r>
        <w:t xml:space="preserve"> election; this gain or loss will generally be taken into account under </w:t>
      </w:r>
      <w:smartTag w:uri="http://www.bna.com/sgml2word/cite" w:element="cite.usc">
        <w:smartTagPr>
          <w:attr w:name="ref" w:val="USC\26\1411(c)(1)(A)(iii)"/>
        </w:smartTagPr>
        <w:r>
          <w:t>§1411(c)(1)(A)(iii)</w:t>
        </w:r>
      </w:smartTag>
      <w:r>
        <w:t xml:space="preserve"> in determining net investment income. </w:t>
      </w:r>
    </w:p>
  </w:footnote>
  <w:footnote w:id="390">
    <w:p w14:paraId="62CED040"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731(a)"/>
        </w:smartTagPr>
        <w:r>
          <w:t>§731(a)</w:t>
        </w:r>
      </w:smartTag>
      <w:r>
        <w:t xml:space="preserve">. </w:t>
      </w:r>
    </w:p>
  </w:footnote>
  <w:footnote w:id="391">
    <w:p w14:paraId="331809D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77A(a)(1)"/>
        </w:smartTagPr>
        <w:r>
          <w:t>§877A(a)(1)</w:t>
        </w:r>
      </w:smartTag>
      <w:r>
        <w:t xml:space="preserve"> and Reg. </w:t>
      </w:r>
      <w:smartTag w:uri="http://www.bna.com/sgml2word/cite" w:element="cite.cfr">
        <w:smartTagPr>
          <w:attr w:name="ref" w:val="cfr\26\1.1411-4(d)(1)"/>
        </w:smartTagPr>
        <w:r>
          <w:t>§1.1411-4(d)(1)</w:t>
        </w:r>
      </w:smartTag>
      <w:r>
        <w:t xml:space="preserve">. Interestingly, </w:t>
      </w:r>
      <w:smartTag w:uri="http://www.bna.com/sgml2word/cite" w:element="cite.usc">
        <w:smartTagPr>
          <w:attr w:name="ref" w:val="USC\26\877A(d)(2)"/>
        </w:smartTagPr>
        <w:r>
          <w:t>§877A(d)(2)</w:t>
        </w:r>
      </w:smartTag>
      <w:r>
        <w:t xml:space="preserve"> and </w:t>
      </w:r>
      <w:smartTag w:uri="http://www.bna.com/sgml2word/cite" w:element="cite.usc">
        <w:smartTagPr>
          <w:attr w:name="ref" w:val="USC\26\877A(e)"/>
        </w:smartTagPr>
        <w:r>
          <w:t>§877A(e)</w:t>
        </w:r>
      </w:smartTag>
      <w:r>
        <w:t xml:space="preserve"> treat the deemed mark-to-market for qualified plans and other tax deferred accounts as distributions from those accounts. Therefore, interests in the accounts would not result in a “disposition” of the account for net investment income tax (NIIT) purposes. Additionally, to the extent that </w:t>
      </w:r>
      <w:smartTag w:uri="http://www.bna.com/sgml2word/cite" w:element="cite.usc">
        <w:smartTagPr>
          <w:attr w:name="ref" w:val="USC\26\877A"/>
        </w:smartTagPr>
        <w:r>
          <w:t>§877A</w:t>
        </w:r>
      </w:smartTag>
      <w:r>
        <w:t xml:space="preserve"> treats qualified plans as distributions from the accounts,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would exclude such items from net investment income. </w:t>
      </w:r>
    </w:p>
  </w:footnote>
  <w:footnote w:id="392">
    <w:p w14:paraId="3C3EF1E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001-2(a)(4)(iii)"/>
        </w:smartTagPr>
        <w:r>
          <w:t>§1.1001-2(a)(4)(iii)</w:t>
        </w:r>
      </w:smartTag>
      <w:r>
        <w:t xml:space="preserve">. </w:t>
      </w:r>
    </w:p>
  </w:footnote>
  <w:footnote w:id="393">
    <w:p w14:paraId="55D2C82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11(b)"/>
        </w:smartTagPr>
        <w:r>
          <w:t>§1011(b)</w:t>
        </w:r>
      </w:smartTag>
      <w:r>
        <w:t xml:space="preserve">. </w:t>
      </w:r>
    </w:p>
  </w:footnote>
  <w:footnote w:id="394">
    <w:p w14:paraId="1254E0C7"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35(a)"/>
        </w:smartTagPr>
        <w:r>
          <w:t>§1235(a)</w:t>
        </w:r>
      </w:smartTag>
      <w:r>
        <w:t xml:space="preserve">. In this case, the amounts received over the course of the agreement would be </w:t>
      </w:r>
      <w:smartTag w:uri="http://www.bna.com/sgml2word/cite" w:element="cite.usc">
        <w:smartTagPr>
          <w:attr w:name="ref" w:val="USC\26\1411(c)(1)(A)(iii)"/>
        </w:smartTagPr>
        <w:r>
          <w:t>§1411(c)(1)(A)(iii)</w:t>
        </w:r>
      </w:smartTag>
      <w:r>
        <w:t xml:space="preserve"> net investment income, as opposed to </w:t>
      </w:r>
      <w:smartTag w:uri="http://www.bna.com/sgml2word/cite" w:element="cite.usc">
        <w:smartTagPr>
          <w:attr w:name="ref" w:val="USC\26\1411(c)(1)(A)(i)"/>
        </w:smartTagPr>
        <w:r>
          <w:t>§1411(c)(1)(A)(i)</w:t>
        </w:r>
      </w:smartTag>
      <w:r>
        <w:t xml:space="preserve"> royalty income. </w:t>
      </w:r>
    </w:p>
  </w:footnote>
  <w:footnote w:id="395">
    <w:p w14:paraId="5D3FE1A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56(a)(1)"/>
        </w:smartTagPr>
        <w:r>
          <w:t>§1256(a)(1)</w:t>
        </w:r>
      </w:smartTag>
      <w:r>
        <w:t xml:space="preserve">. </w:t>
      </w:r>
    </w:p>
  </w:footnote>
  <w:footnote w:id="396">
    <w:p w14:paraId="76C06F59" w14:textId="77777777" w:rsidR="00494B49" w:rsidRDefault="00494B49">
      <w:pPr>
        <w:pStyle w:val="FootnoteText"/>
      </w:pPr>
      <w:r>
        <w:rPr>
          <w:rStyle w:val="FootnoteReference"/>
        </w:rPr>
        <w:footnoteRef/>
      </w:r>
      <w:r>
        <w:t xml:space="preserve">Described in </w:t>
      </w:r>
      <w:smartTag w:uri="http://www.bna.com/sgml2word/cite" w:element="cite.usc">
        <w:smartTagPr>
          <w:attr w:name="ref" w:val="USC\26\62"/>
        </w:smartTagPr>
        <w:r>
          <w:t>§62</w:t>
        </w:r>
      </w:smartTag>
      <w:r>
        <w:t>.</w:t>
      </w:r>
    </w:p>
  </w:footnote>
  <w:footnote w:id="397">
    <w:p w14:paraId="4F7CA590" w14:textId="77777777" w:rsidR="00494B49" w:rsidRDefault="00494B49">
      <w:pPr>
        <w:pStyle w:val="FootnoteText"/>
      </w:pPr>
      <w:r>
        <w:rPr>
          <w:rStyle w:val="FootnoteReference"/>
        </w:rPr>
        <w:footnoteRef/>
      </w:r>
      <w:r>
        <w:t xml:space="preserve">Primarily described in </w:t>
      </w:r>
      <w:smartTag w:uri="http://www.bna.com/sgml2word/cite" w:element="cite.usc">
        <w:smartTagPr>
          <w:attr w:name="ref" w:val="USC\26\63(d)"/>
        </w:smartTagPr>
        <w:r>
          <w:t>§63(d)</w:t>
        </w:r>
      </w:smartTag>
      <w:r>
        <w:t xml:space="preserve"> (deductions allowed by a provision in Chapter 1 that are not otherwise covered by </w:t>
      </w:r>
      <w:smartTag w:uri="http://www.bna.com/sgml2word/cite" w:element="cite.usc">
        <w:smartTagPr>
          <w:attr w:name="ref" w:val="USC\26\62"/>
        </w:smartTagPr>
        <w:r>
          <w:t>§62</w:t>
        </w:r>
      </w:smartTag>
      <w:r>
        <w:t xml:space="preserve">). </w:t>
      </w:r>
    </w:p>
  </w:footnote>
  <w:footnote w:id="398">
    <w:p w14:paraId="7BE86571" w14:textId="77777777" w:rsidR="00494B49" w:rsidRDefault="00494B49">
      <w:pPr>
        <w:pStyle w:val="FootnoteText"/>
      </w:pPr>
      <w:r>
        <w:rPr>
          <w:rStyle w:val="FootnoteReference"/>
        </w:rPr>
        <w:footnoteRef/>
      </w:r>
      <w:r>
        <w:t xml:space="preserve">One question that arose after the 2013 Final Regulations ( </w:t>
      </w:r>
      <w:smartTag w:uri="http://www.bna.com/sgml2word/cite" w:element="cite.agency.doc">
        <w:smartTagPr>
          <w:attr w:name="ref" w:val="IRS\PREAMBLE\TD9644"/>
        </w:smartTagPr>
        <w:r>
          <w:t>T.D. 9644</w:t>
        </w:r>
      </w:smartTag>
      <w:r>
        <w:t xml:space="preserve">) were released was whether the broad reference in Reg. </w:t>
      </w:r>
      <w:smartTag w:uri="http://www.bna.com/sgml2word/cite" w:element="cite.cfr">
        <w:smartTagPr>
          <w:attr w:name="ref" w:val="cfr\26\1.1411-4(f)(4)(i)"/>
        </w:smartTagPr>
        <w:r>
          <w:t>§1.1411-4(f)(4)(i)</w:t>
        </w:r>
      </w:smartTag>
      <w:r>
        <w:t xml:space="preserve"> to </w:t>
      </w:r>
      <w:smartTag w:uri="http://www.bna.com/sgml2word/cite" w:element="cite.usc">
        <w:smartTagPr>
          <w:attr w:name="ref" w:val="USC\26\165"/>
        </w:smartTagPr>
        <w:r>
          <w:t>§165</w:t>
        </w:r>
      </w:smartTag>
      <w:r>
        <w:t xml:space="preserve"> allowed the deduction of gambling losses. Although this may appear to be a reasonable reading, gambling losses lack an element of “disposition” and therefore are not deductible. Even though casualty, theft, and abandonment, or other worthlessness could be considered to lack an element of “disposition,” those items were specifically included in the calculation of net gain in Reg. </w:t>
      </w:r>
      <w:smartTag w:uri="http://www.bna.com/sgml2word/cite" w:element="cite.cfr">
        <w:smartTagPr>
          <w:attr w:name="ref" w:val="cfr\26\1.1411-4(d)(3)"/>
        </w:smartTagPr>
        <w:r>
          <w:t>§1.1411-4(d)(3)</w:t>
        </w:r>
      </w:smartTag>
      <w:r>
        <w:t xml:space="preserve">, whereas gambling losses described in </w:t>
      </w:r>
      <w:smartTag w:uri="http://www.bna.com/sgml2word/cite" w:element="cite.usc">
        <w:smartTagPr>
          <w:attr w:name="ref" w:val="USC\26\165(d)"/>
        </w:smartTagPr>
        <w:r>
          <w:t>§165(d)</w:t>
        </w:r>
      </w:smartTag>
      <w:r>
        <w:t xml:space="preserve"> were not. Further, because gambling winnings are not income described in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
        </w:smartTagPr>
        <w:r>
          <w:t>§1411(c)(1)(A)(ii)</w:t>
        </w:r>
      </w:smartTag>
      <w:r>
        <w:t xml:space="preserve">, it is difficult to imagine how a gambling loss deduction could be “properly allocable” to net investment income. </w:t>
      </w:r>
    </w:p>
  </w:footnote>
  <w:footnote w:id="399">
    <w:p w14:paraId="1D88A1FB" w14:textId="77777777" w:rsidR="00494B49" w:rsidRDefault="00494B49">
      <w:pPr>
        <w:pStyle w:val="FootnoteText"/>
      </w:pPr>
      <w:r>
        <w:rPr>
          <w:rStyle w:val="FootnoteReference"/>
        </w:rPr>
        <w:footnoteRef/>
      </w:r>
      <w:r>
        <w:t xml:space="preserve">The ordering rule is conceptually similar to </w:t>
      </w:r>
      <w:smartTag w:uri="http://www.bna.com/sgml2word/cite" w:element="cite.usc">
        <w:smartTagPr>
          <w:attr w:name="ref" w:val="USC\26\63(d)"/>
        </w:smartTagPr>
        <w:r>
          <w:t>§63(d)</w:t>
        </w:r>
      </w:smartTag>
      <w:r>
        <w:t xml:space="preserve">, which defines itemized deductions, in part, as all deductions allowed by Chapter 1 except those allowed in computing AGI and those referred to in </w:t>
      </w:r>
      <w:smartTag w:uri="http://www.bna.com/sgml2word/cite" w:element="cite.usc">
        <w:smartTagPr>
          <w:attr w:name="ref" w:val="USC\26\63(b)"/>
        </w:smartTagPr>
        <w:r>
          <w:t>§63(b)</w:t>
        </w:r>
      </w:smartTag>
      <w:r>
        <w:t xml:space="preserve">. Hence, </w:t>
      </w:r>
      <w:smartTag w:uri="http://www.bna.com/sgml2word/cite" w:element="cite.usc">
        <w:smartTagPr>
          <w:attr w:name="ref" w:val="USC\26\63(d)"/>
        </w:smartTagPr>
        <w:r>
          <w:t>§63(d)</w:t>
        </w:r>
      </w:smartTag>
      <w:r>
        <w:t xml:space="preserve"> creates an order of priority — deductions described in </w:t>
      </w:r>
      <w:smartTag w:uri="http://www.bna.com/sgml2word/cite" w:element="cite.usc">
        <w:smartTagPr>
          <w:attr w:name="ref" w:val="USC\26\62"/>
        </w:smartTagPr>
        <w:r>
          <w:t>§62</w:t>
        </w:r>
      </w:smartTag>
      <w:r>
        <w:t xml:space="preserve"> are captured first and </w:t>
      </w:r>
      <w:smartTag w:uri="http://www.bna.com/sgml2word/cite" w:element="cite.usc">
        <w:smartTagPr>
          <w:attr w:name="ref" w:val="USC\26\63(d)"/>
        </w:smartTagPr>
        <w:r>
          <w:t>§63(d)</w:t>
        </w:r>
      </w:smartTag>
      <w:r>
        <w:t xml:space="preserve"> gets the “leftovers.” </w:t>
      </w:r>
    </w:p>
  </w:footnote>
  <w:footnote w:id="400">
    <w:p w14:paraId="1DBACC7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2.</w:t>
      </w:r>
    </w:p>
  </w:footnote>
  <w:footnote w:id="401">
    <w:p w14:paraId="2242A023" w14:textId="77777777" w:rsidR="00494B49" w:rsidRDefault="00494B49">
      <w:pPr>
        <w:pStyle w:val="FootnoteText"/>
      </w:pPr>
      <w:r>
        <w:rPr>
          <w:rStyle w:val="FootnoteReference"/>
        </w:rPr>
        <w:footnoteRef/>
      </w:r>
      <w:r>
        <w:t xml:space="preserve">This applies both to </w:t>
      </w:r>
      <w:smartTag w:uri="http://www.bna.com/sgml2word/cite" w:element="cite.usc">
        <w:smartTagPr>
          <w:attr w:name="ref" w:val="USC\26\475"/>
        </w:smartTagPr>
        <w:r>
          <w:t>§475</w:t>
        </w:r>
      </w:smartTag>
      <w:r>
        <w:t xml:space="preserve"> traders with excess ordinary losses and to net </w:t>
      </w:r>
      <w:smartTag w:uri="http://www.bna.com/sgml2word/cite" w:element="cite.usc">
        <w:smartTagPr>
          <w:attr w:name="ref" w:val="USC\26\1231"/>
        </w:smartTagPr>
        <w:r>
          <w:t>§1231</w:t>
        </w:r>
      </w:smartTag>
      <w:r>
        <w:t xml:space="preserve"> losses from a passive activity that are allowed in the current year after taking into account any limitation imposed by </w:t>
      </w:r>
      <w:smartTag w:uri="http://www.bna.com/sgml2word/cite" w:element="cite.usc">
        <w:smartTagPr>
          <w:attr w:name="ref" w:val="USC\26\469"/>
        </w:smartTagPr>
        <w:r>
          <w:t>§469</w:t>
        </w:r>
      </w:smartTag>
      <w:r>
        <w:t xml:space="preserve">. </w:t>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1.</w:t>
      </w:r>
    </w:p>
  </w:footnote>
  <w:footnote w:id="402">
    <w:p w14:paraId="71062D50" w14:textId="77777777" w:rsidR="00494B49" w:rsidRDefault="00494B49">
      <w:pPr>
        <w:pStyle w:val="FootnoteText"/>
      </w:pPr>
      <w:r>
        <w:rPr>
          <w:rStyle w:val="FootnoteReference"/>
        </w:rPr>
        <w:footnoteRef/>
      </w:r>
      <w:r>
        <w:t>Note that the text of the Example in the regulations refers to “T” here and not “B,” which is in error.</w:t>
      </w:r>
    </w:p>
  </w:footnote>
  <w:footnote w:id="403">
    <w:p w14:paraId="150544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w:t>
      </w:r>
    </w:p>
  </w:footnote>
  <w:footnote w:id="404">
    <w:p w14:paraId="0627BEC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2)"/>
        </w:smartTagPr>
        <w:r>
          <w:t>§1.1411-4(d)(4)(i)(B)(2)</w:t>
        </w:r>
      </w:smartTag>
      <w:r>
        <w:t xml:space="preserve">. </w:t>
      </w:r>
    </w:p>
  </w:footnote>
  <w:footnote w:id="405">
    <w:p w14:paraId="3DCE47F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3)"/>
        </w:smartTagPr>
        <w:r>
          <w:t>§1.1411-4(d)(4)(i)(B)(3)</w:t>
        </w:r>
      </w:smartTag>
      <w:r>
        <w:t xml:space="preserve">. For example, S, an S corporation, is engaged in trade or business and A, an individual, owns stock in S. If S sells Property 1 for a gain, the determination of whether A’s share of that gain is included in </w:t>
      </w:r>
      <w:smartTag w:uri="http://www.bna.com/sgml2word/cite" w:element="cite.usc">
        <w:smartTagPr>
          <w:attr w:name="ref" w:val="USC\26\1411(c)(1)(A)(iii)"/>
        </w:smartTagPr>
        <w:r>
          <w:t>§1411(c)(1)(A)(iii)</w:t>
        </w:r>
      </w:smartTag>
      <w:r>
        <w:t xml:space="preserve"> (Category III income) depends on (1) whether S held Property 1 in its trade or business and (2) if S held Property 1 in its trade or business, whether S’s trade or business is a </w:t>
      </w:r>
      <w:smartTag w:uri="http://www.bna.com/sgml2word/cite" w:element="cite.usc">
        <w:smartTagPr>
          <w:attr w:name="ref" w:val="USC\26\1411(c)(2)"/>
        </w:smartTagPr>
        <w:r>
          <w:t>§1411(c)(2)</w:t>
        </w:r>
      </w:smartTag>
      <w:r>
        <w:t xml:space="preserve"> property, as described in Reg. </w:t>
      </w:r>
      <w:smartTag w:uri="http://www.bna.com/sgml2word/cite" w:element="cite.cfr">
        <w:smartTagPr>
          <w:attr w:name="ref" w:val="cfr\26\1.1411-5"/>
        </w:smartTagPr>
        <w:r>
          <w:t>§1.1411-5</w:t>
        </w:r>
      </w:smartTag>
      <w:r>
        <w:t xml:space="preserve">. If S held Property 1 in its trade or business and S’s trade or business is neither a passive activity with respect to A nor a trade or business of trading in financial instruments or commodities with respect to S, net gain from the disposition of Property 1 will not be subject to </w:t>
      </w:r>
      <w:smartTag w:uri="http://www.bna.com/sgml2word/cite" w:element="cite.usc">
        <w:smartTagPr>
          <w:attr w:name="ref" w:val="USC\26\1411(c)(1)(A)(iii)"/>
        </w:smartTagPr>
        <w:r>
          <w:t>§1411(c)(1)(A)(iii)</w:t>
        </w:r>
      </w:smartTag>
      <w:r>
        <w:t>.</w:t>
      </w:r>
    </w:p>
  </w:footnote>
  <w:footnote w:id="406">
    <w:p w14:paraId="2DAB6B48" w14:textId="77777777" w:rsidR="00494B49" w:rsidRDefault="00494B49">
      <w:pPr>
        <w:pStyle w:val="FootnoteText"/>
      </w:pPr>
      <w:r>
        <w:rPr>
          <w:rStyle w:val="FootnoteReference"/>
        </w:rPr>
        <w:footnoteRef/>
      </w:r>
      <w:r>
        <w:t xml:space="preserve">Reg. </w:t>
      </w:r>
      <w:smartTag w:uri="http://www.bna.com/sgml2word/cite" w:element="cite.cfr">
        <w:smartTagPr>
          <w:attr w:name="ref" w:val="cfr\26\1.453-12(d)"/>
        </w:smartTagPr>
        <w:r>
          <w:t>§1.453-12(d)</w:t>
        </w:r>
      </w:smartTag>
      <w:r>
        <w:t xml:space="preserve"> reads, in relevant part: “The installment obligation bears adequate stated interest, and the property sold is real property </w:t>
      </w:r>
      <w:r>
        <w:rPr>
          <w:i/>
        </w:rPr>
        <w:t>held in a trade or business</w:t>
      </w:r>
      <w:r>
        <w:t xml:space="preserve"> that qualifies as both </w:t>
      </w:r>
      <w:smartTag w:uri="http://www.bna.com/sgml2word/cite" w:element="cite.usc">
        <w:smartTagPr>
          <w:attr w:name="ref" w:val="USC\26\1231"/>
        </w:smartTagPr>
        <w:r>
          <w:t>section 1231</w:t>
        </w:r>
      </w:smartTag>
      <w:r>
        <w:t xml:space="preserve"> property and </w:t>
      </w:r>
      <w:smartTag w:uri="http://www.bna.com/sgml2word/cite" w:element="cite.usc">
        <w:smartTagPr>
          <w:attr w:name="ref" w:val="USC\26\1250"/>
        </w:smartTagPr>
        <w:r>
          <w:t>section 1250</w:t>
        </w:r>
      </w:smartTag>
      <w:r>
        <w:t xml:space="preserve"> property.” (Emphasis added.) </w:t>
      </w:r>
    </w:p>
  </w:footnote>
  <w:footnote w:id="407">
    <w:p w14:paraId="243F6480" w14:textId="77777777" w:rsidR="00494B49" w:rsidRDefault="00494B49">
      <w:pPr>
        <w:pStyle w:val="FootnoteText"/>
      </w:pPr>
      <w:r>
        <w:rPr>
          <w:rStyle w:val="FootnoteReference"/>
        </w:rPr>
        <w:footnoteRef/>
      </w:r>
      <w:smartTag w:uri="http://www.bna.com/sgml2word/cite" w:element="cite.usc">
        <w:smartTagPr>
          <w:attr w:name="ref" w:val="USC\26\1231(a)(3)(A)"/>
        </w:smartTagPr>
        <w:r>
          <w:t>§1231(a)(3)(A)</w:t>
        </w:r>
      </w:smartTag>
      <w:r>
        <w:t>. A “</w:t>
      </w:r>
      <w:smartTag w:uri="http://www.bna.com/sgml2word/cite" w:element="cite.usc">
        <w:smartTagPr>
          <w:attr w:name="ref" w:val="USC\26\1231"/>
        </w:smartTagPr>
        <w:r>
          <w:t>§1231</w:t>
        </w:r>
      </w:smartTag>
      <w:r>
        <w:t xml:space="preserve"> loss” is a recognized loss from any of these dispositions. </w:t>
      </w:r>
      <w:smartTag w:uri="http://www.bna.com/sgml2word/cite" w:element="cite.usc">
        <w:smartTagPr>
          <w:attr w:name="ref" w:val="USC\26\1231(a)(3)(B)"/>
        </w:smartTagPr>
        <w:r>
          <w:t>§1231(a)(3)(B)</w:t>
        </w:r>
      </w:smartTag>
      <w:r>
        <w:t>.</w:t>
      </w:r>
    </w:p>
  </w:footnote>
  <w:footnote w:id="408">
    <w:p w14:paraId="2EFF56F2" w14:textId="77777777" w:rsidR="00494B49" w:rsidRDefault="00494B49">
      <w:pPr>
        <w:pStyle w:val="FootnoteText"/>
      </w:pPr>
      <w:r>
        <w:rPr>
          <w:rStyle w:val="FootnoteReference"/>
        </w:rPr>
        <w:footnoteRef/>
      </w:r>
      <w:smartTag w:uri="http://www.bna.com/sgml2word/cite" w:element="cite.usc">
        <w:smartTagPr>
          <w:attr w:name="ref" w:val="USC\26\1231(a)(3)(A)(ii)(II)"/>
        </w:smartTagPr>
        <w:r>
          <w:t>§1231(a)(3)(A)(ii)(II)</w:t>
        </w:r>
      </w:smartTag>
      <w:r>
        <w:t>.</w:t>
      </w:r>
    </w:p>
  </w:footnote>
  <w:footnote w:id="409">
    <w:p w14:paraId="14B75097" w14:textId="77777777" w:rsidR="00494B49" w:rsidRDefault="00494B49">
      <w:pPr>
        <w:pStyle w:val="FootnoteText"/>
      </w:pPr>
      <w:r>
        <w:rPr>
          <w:rStyle w:val="FootnoteReference"/>
        </w:rPr>
        <w:footnoteRef/>
      </w:r>
      <w:r>
        <w:t xml:space="preserve">Reg. </w:t>
      </w:r>
      <w:smartTag w:uri="http://www.bna.com/sgml2word/cite" w:element="cite.cfr">
        <w:smartTagPr>
          <w:attr w:name="ref" w:val="cfr\26\1.167(a)-8(a)"/>
        </w:smartTagPr>
        <w:r>
          <w:t>§1.167(a)-8(a)</w:t>
        </w:r>
      </w:smartTag>
      <w:r>
        <w:t>. An asset may also be retired without disposition, as by placing it in a supplies or scrap account.</w:t>
      </w:r>
    </w:p>
  </w:footnote>
  <w:footnote w:id="410">
    <w:p w14:paraId="579B800E" w14:textId="77777777" w:rsidR="00494B49" w:rsidRDefault="00494B49">
      <w:pPr>
        <w:pStyle w:val="FootnoteText"/>
      </w:pPr>
      <w:r>
        <w:rPr>
          <w:rStyle w:val="FootnoteReference"/>
        </w:rPr>
        <w:footnoteRef/>
      </w:r>
      <w:r>
        <w:t xml:space="preserve">A retirement is considered normal if it is within the useful life originally estimated for depreciation, and the asset has reached a condition at which the taxpayer customarily retires similar assets from use in the taxpayer’s business. In general, a retirement is considered normal unless prompted by factors not contemplated when the asset’s original useful life was estimated and depreciation rate established. </w:t>
      </w:r>
      <w:r>
        <w:rPr>
          <w:i/>
        </w:rPr>
        <w:t>See</w:t>
      </w:r>
      <w:r>
        <w:t xml:space="preserve"> Reg. </w:t>
      </w:r>
      <w:smartTag w:uri="http://www.bna.com/sgml2word/cite" w:element="cite.cfr">
        <w:smartTagPr>
          <w:attr w:name="ref" w:val="cfr\26\1.167(a)-8(b)"/>
        </w:smartTagPr>
        <w:r>
          <w:t>§1.167(a)-8(b)</w:t>
        </w:r>
      </w:smartTag>
      <w:r>
        <w:t xml:space="preserve">. For example, in </w:t>
      </w:r>
      <w:smartTag w:uri="http://www.bna.com/sgml2word/cite" w:element="cite.agency.doc">
        <w:smartTagPr>
          <w:attr w:name="ref" w:val="IRS\FSA\200029054"/>
        </w:smartTagPr>
        <w:r>
          <w:t>FSA 200029054</w:t>
        </w:r>
      </w:smartTag>
      <w:r>
        <w:t xml:space="preserve">, the IRS Chief Counsel’s Office advised that the simple nonuse of a restaurant does not meet the requirements of abnormal retirement. However, in </w:t>
      </w:r>
      <w:r>
        <w:rPr>
          <w:rStyle w:val="BCasenamefull"/>
        </w:rPr>
        <w:t>De Cou v. Commissioner</w:t>
      </w:r>
      <w:r>
        <w:t xml:space="preserve">, </w:t>
      </w:r>
      <w:smartTag w:uri="http://www.bna.com/sgml2word/cite" w:element="cite.parallel">
        <w:smartTagPr>
          <w:attr w:name="ref" w:val="TC\103\80"/>
        </w:smartTagPr>
        <w:r>
          <w:t>103 T.C. 80</w:t>
        </w:r>
      </w:smartTag>
      <w:r>
        <w:t xml:space="preserve"> (1994), the taxpayer’s withdrawal of a building from use was an abnormal retirement when the related health permit was suspended due to the sudden discovery of extensive deterioration of the building. </w:t>
      </w:r>
    </w:p>
  </w:footnote>
  <w:footnote w:id="411">
    <w:p w14:paraId="038C72B4" w14:textId="77777777" w:rsidR="00494B49" w:rsidRDefault="00494B49">
      <w:pPr>
        <w:pStyle w:val="FootnoteText"/>
      </w:pPr>
      <w:r>
        <w:rPr>
          <w:rStyle w:val="FootnoteReference"/>
        </w:rPr>
        <w:footnoteRef/>
      </w:r>
      <w:r>
        <w:t xml:space="preserve">A retirement is considered abnormal if the asset is withdrawn at a time earlier than originally planned because, for example, the asset is damaged by casualty (e.g., fire or hurricane) or suddenly becomes useless as a result of extraordinary obsolescence. Reg. </w:t>
      </w:r>
      <w:smartTag w:uri="http://www.bna.com/sgml2word/cite" w:element="cite.cfr">
        <w:smartTagPr>
          <w:attr w:name="ref" w:val="cfr\26\1.167(a)-8(b)"/>
        </w:smartTagPr>
        <w:r>
          <w:t>§1.167(a)-8(b)</w:t>
        </w:r>
      </w:smartTag>
      <w:r>
        <w:t>.</w:t>
      </w:r>
    </w:p>
  </w:footnote>
  <w:footnote w:id="412">
    <w:p w14:paraId="3E19202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67(a)-8(a)(3)"/>
        </w:smartTagPr>
        <w:r>
          <w:t>§1.167(a)-8(a)(3)</w:t>
        </w:r>
      </w:smartTag>
      <w:r>
        <w:t>.</w:t>
      </w:r>
    </w:p>
  </w:footnote>
  <w:footnote w:id="413">
    <w:p w14:paraId="64F38448"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FSA\200141026"/>
        </w:smartTagPr>
        <w:r>
          <w:t>FSA 200141026</w:t>
        </w:r>
      </w:smartTag>
      <w:r>
        <w:t xml:space="preserve">. </w:t>
      </w:r>
    </w:p>
  </w:footnote>
  <w:footnote w:id="414">
    <w:p w14:paraId="6D26B19E" w14:textId="77777777" w:rsidR="00494B49" w:rsidRDefault="00494B49">
      <w:pPr>
        <w:pStyle w:val="FootnoteText"/>
      </w:pPr>
      <w:r>
        <w:rPr>
          <w:rStyle w:val="FootnoteReference"/>
        </w:rPr>
        <w:footnoteRef/>
      </w:r>
      <w:smartTag w:uri="http://www.bna.com/sgml2word/cite" w:element="cite.usc">
        <w:smartTagPr>
          <w:attr w:name="ref" w:val="USC\26\1221(a)(2)"/>
        </w:smartTagPr>
        <w:r>
          <w:t>§1221(a)(2)</w:t>
        </w:r>
      </w:smartTag>
      <w:r>
        <w:t>.</w:t>
      </w:r>
    </w:p>
  </w:footnote>
  <w:footnote w:id="415">
    <w:p w14:paraId="0078F715" w14:textId="77777777" w:rsidR="00494B49" w:rsidRDefault="00494B49">
      <w:pPr>
        <w:pStyle w:val="FootnoteText"/>
      </w:pPr>
      <w:r>
        <w:rPr>
          <w:rStyle w:val="FootnoteReference"/>
        </w:rPr>
        <w:footnoteRef/>
      </w:r>
      <w:r>
        <w:t xml:space="preserve">Reg. </w:t>
      </w:r>
      <w:smartTag w:uri="http://www.bna.com/sgml2word/cite" w:element="cite.cfr">
        <w:smartTagPr>
          <w:attr w:name="ref" w:val="cfr\26\1.1221-1(b)"/>
        </w:smartTagPr>
        <w:r>
          <w:t>§1.1221-1(b)</w:t>
        </w:r>
      </w:smartTag>
      <w:r>
        <w:t>.</w:t>
      </w:r>
    </w:p>
  </w:footnote>
  <w:footnote w:id="416">
    <w:p w14:paraId="3BAB9DB2" w14:textId="77777777" w:rsidR="00494B49" w:rsidRDefault="00494B49">
      <w:pPr>
        <w:pStyle w:val="FootnoteText"/>
      </w:pPr>
      <w:r>
        <w:rPr>
          <w:rStyle w:val="FootnoteReference"/>
        </w:rPr>
        <w:footnoteRef/>
      </w:r>
      <w:smartTag w:uri="http://www.bna.com/sgml2word/cite" w:element="cite.parallel">
        <w:smartTagPr>
          <w:attr w:name="ref" w:val="TC\56\388"/>
        </w:smartTagPr>
        <w:r>
          <w:t>56 T.C. 388</w:t>
        </w:r>
      </w:smartTag>
      <w:r>
        <w:t xml:space="preserve"> (1971).</w:t>
      </w:r>
    </w:p>
  </w:footnote>
  <w:footnote w:id="417">
    <w:p w14:paraId="41CD90EE" w14:textId="77777777" w:rsidR="00494B49" w:rsidRDefault="00494B49">
      <w:pPr>
        <w:pStyle w:val="FootnoteText"/>
      </w:pPr>
      <w:r>
        <w:rPr>
          <w:rStyle w:val="FootnoteReference"/>
        </w:rPr>
        <w:footnoteRef/>
      </w:r>
      <w:smartTag w:uri="http://www.bna.com/sgml2word/cite" w:element="cite.parallel">
        <w:smartTagPr>
          <w:attr w:name="ref" w:val="TC\94\455"/>
        </w:smartTagPr>
        <w:r>
          <w:t>94 T.C. 455</w:t>
        </w:r>
      </w:smartTag>
      <w:r>
        <w:t xml:space="preserve"> (1990), aff’d, </w:t>
      </w:r>
      <w:smartTag w:uri="http://www.bna.com/sgml2word/cite" w:element="cite.parallel">
        <w:smartTagPr>
          <w:attr w:name="ref" w:val="F2D\931\314"/>
        </w:smartTagPr>
        <w:r>
          <w:t>931 F.2d 314</w:t>
        </w:r>
      </w:smartTag>
      <w:r>
        <w:t xml:space="preserve"> (5th Cir. 1991).</w:t>
      </w:r>
    </w:p>
  </w:footnote>
  <w:footnote w:id="418">
    <w:p w14:paraId="063DC28C" w14:textId="77777777" w:rsidR="00494B49" w:rsidRDefault="00494B49">
      <w:pPr>
        <w:pStyle w:val="FootnoteText"/>
      </w:pPr>
      <w:r>
        <w:rPr>
          <w:rStyle w:val="FootnoteReference"/>
        </w:rPr>
        <w:footnoteRef/>
      </w:r>
      <w:smartTag w:uri="http://www.bna.com/sgml2word/cite" w:element="cite.parallel">
        <w:smartTagPr>
          <w:attr w:name="ref" w:val="TC\9\219"/>
        </w:smartTagPr>
        <w:r>
          <w:t>9 T.C. 219</w:t>
        </w:r>
      </w:smartTag>
      <w:r>
        <w:t xml:space="preserve"> (1947), acq., 1947-2 C.B. 1.</w:t>
      </w:r>
    </w:p>
  </w:footnote>
  <w:footnote w:id="419">
    <w:p w14:paraId="0A5D1E4C" w14:textId="77777777" w:rsidR="00494B49" w:rsidRDefault="00494B49">
      <w:pPr>
        <w:pStyle w:val="FootnoteText"/>
      </w:pPr>
      <w:r>
        <w:rPr>
          <w:rStyle w:val="FootnoteReference"/>
        </w:rPr>
        <w:footnoteRef/>
      </w:r>
      <w:smartTag w:uri="http://www.bna.com/sgml2word/cite" w:element="cite.parallel">
        <w:smartTagPr>
          <w:attr w:name="ref" w:val="TC\15\534"/>
        </w:smartTagPr>
        <w:r>
          <w:t>15 T.C. 534</w:t>
        </w:r>
      </w:smartTag>
      <w:r>
        <w:t xml:space="preserve"> (1950), acq., 1951-1 C.B. 1.</w:t>
      </w:r>
    </w:p>
  </w:footnote>
  <w:footnote w:id="420">
    <w:p w14:paraId="31600E3F" w14:textId="77777777" w:rsidR="00494B49" w:rsidRDefault="00494B49">
      <w:pPr>
        <w:pStyle w:val="FootnoteText"/>
      </w:pPr>
      <w:r>
        <w:rPr>
          <w:rStyle w:val="FootnoteReference"/>
        </w:rPr>
        <w:footnoteRef/>
      </w:r>
      <w:smartTag w:uri="http://www.bna.com/sgml2word/cite" w:element="cite.parallel">
        <w:smartTagPr>
          <w:attr w:name="ref" w:val="TC\9\219"/>
        </w:smartTagPr>
        <w:r>
          <w:t>9 T.C. 219</w:t>
        </w:r>
      </w:smartTag>
      <w:r>
        <w:t xml:space="preserve"> (1947), acq., 1947-2 C.B. 1.</w:t>
      </w:r>
    </w:p>
  </w:footnote>
  <w:footnote w:id="421">
    <w:p w14:paraId="4D0F490C" w14:textId="77777777" w:rsidR="00494B49" w:rsidRDefault="00494B49">
      <w:pPr>
        <w:pStyle w:val="FootnoteText"/>
      </w:pPr>
      <w:r>
        <w:rPr>
          <w:rStyle w:val="FootnoteReference"/>
        </w:rPr>
        <w:footnoteRef/>
      </w:r>
      <w:smartTag w:uri="http://www.bna.com/sgml2word/cite" w:element="cite.parallel">
        <w:smartTagPr>
          <w:attr w:name="ref" w:val="TC\8\394"/>
        </w:smartTagPr>
        <w:r>
          <w:t>8 T.C. 394</w:t>
        </w:r>
      </w:smartTag>
      <w:r>
        <w:t xml:space="preserve"> (1947), acq., 1947-1 C.B. 4.</w:t>
      </w:r>
    </w:p>
  </w:footnote>
  <w:footnote w:id="422">
    <w:p w14:paraId="5E723A1C" w14:textId="77777777" w:rsidR="00494B49" w:rsidRDefault="00494B49">
      <w:pPr>
        <w:pStyle w:val="FootnoteText"/>
      </w:pPr>
      <w:r>
        <w:rPr>
          <w:rStyle w:val="FootnoteReference"/>
        </w:rPr>
        <w:footnoteRef/>
      </w:r>
      <w:smartTag w:uri="http://www.bna.com/sgml2word/cite" w:element="cite.parallel">
        <w:smartTagPr>
          <w:attr w:name="ref" w:val="TC\20\630"/>
        </w:smartTagPr>
        <w:r>
          <w:t>20 T.C. 630</w:t>
        </w:r>
      </w:smartTag>
      <w:r>
        <w:t xml:space="preserve"> (1953), acq., 1954-1 C.B. 6.</w:t>
      </w:r>
    </w:p>
  </w:footnote>
  <w:footnote w:id="423">
    <w:p w14:paraId="5F2C1B76" w14:textId="77777777" w:rsidR="00494B49" w:rsidRDefault="00494B49">
      <w:pPr>
        <w:pStyle w:val="FootnoteText"/>
      </w:pPr>
      <w:r>
        <w:rPr>
          <w:rStyle w:val="FootnoteReference"/>
        </w:rPr>
        <w:footnoteRef/>
      </w:r>
      <w:smartTag w:uri="http://www.bna.com/sgml2word/cite" w:element="cite.usc">
        <w:smartTagPr>
          <w:attr w:name="ref" w:val="USC\26\469(e)(1)(A)(i)"/>
        </w:smartTagPr>
        <w:r>
          <w:t>Section 469(e)(1)(A)(i)</w:t>
        </w:r>
      </w:smartTag>
      <w:r>
        <w:t xml:space="preserve"> includes (I) gross income from interest, dividends, annuities, or royalties not derived in the ordinary course of a trade or business, (II) expenses (other than interest) which are clearly and directly allocable to such gross income, and (III) interest expense properly allocable to such gross income. </w:t>
      </w:r>
    </w:p>
  </w:footnote>
  <w:footnote w:id="424">
    <w:p w14:paraId="3A266F2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C)"/>
        </w:smartTagPr>
        <w:r>
          <w:t>§1.469-2T(c)(3)(i)(C)</w:t>
        </w:r>
      </w:smartTag>
      <w:r>
        <w:t xml:space="preserve">. </w:t>
      </w:r>
    </w:p>
  </w:footnote>
  <w:footnote w:id="425">
    <w:p w14:paraId="6F8343F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D)"/>
        </w:smartTagPr>
        <w:r>
          <w:t>§1.469-2T(c)(3)(i)(D)</w:t>
        </w:r>
      </w:smartTag>
      <w:r>
        <w:t>.</w:t>
      </w:r>
    </w:p>
  </w:footnote>
  <w:footnote w:id="426">
    <w:p w14:paraId="19D282C4"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4(b)(3)"/>
        </w:smartTagPr>
        <w:r>
          <w:t>§1.1411-4(b)(3)</w:t>
        </w:r>
      </w:smartTag>
      <w:r>
        <w:rPr>
          <w:i/>
        </w:rPr>
        <w:t xml:space="preserve"> Ex.</w:t>
      </w:r>
      <w:r>
        <w:t xml:space="preserve"> 4. </w:t>
      </w:r>
    </w:p>
  </w:footnote>
  <w:footnote w:id="427">
    <w:p w14:paraId="3BEF69C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 xml:space="preserve"> specifically states that net gain does not include gain or loss attributable to property (other than property from the investment of working capital (as described in Reg. </w:t>
      </w:r>
      <w:smartTag w:uri="http://www.bna.com/sgml2word/cite" w:element="cite.cfr">
        <w:smartTagPr>
          <w:attr w:name="ref" w:val="cfr\26\1.1411-6"/>
        </w:smartTagPr>
        <w:r>
          <w:t>§1.1411-6</w:t>
        </w:r>
      </w:smartTag>
      <w:r>
        <w:t xml:space="preserve">)) held in a trade or business not described in Reg. </w:t>
      </w:r>
      <w:smartTag w:uri="http://www.bna.com/sgml2word/cite" w:element="cite.cfr">
        <w:smartTagPr>
          <w:attr w:name="ref" w:val="cfr\26\1.1411-5"/>
        </w:smartTagPr>
        <w:r>
          <w:t>§1.1411-5</w:t>
        </w:r>
      </w:smartTag>
      <w:r>
        <w:t>.</w:t>
      </w:r>
    </w:p>
  </w:footnote>
  <w:footnote w:id="428">
    <w:p w14:paraId="6AB8CEB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D)"/>
        </w:smartTagPr>
        <w:r>
          <w:t>§1.469-2T(c)(3)(i)(D)</w:t>
        </w:r>
      </w:smartTag>
      <w:r>
        <w:t xml:space="preserve">. </w:t>
      </w:r>
    </w:p>
  </w:footnote>
  <w:footnote w:id="429">
    <w:p w14:paraId="4EDEB5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10)(i)"/>
        </w:smartTagPr>
        <w:r>
          <w:t>§1.469-2(f)(10)(i)</w:t>
        </w:r>
      </w:smartTag>
      <w:r>
        <w:t xml:space="preserve">. </w:t>
      </w:r>
    </w:p>
  </w:footnote>
  <w:footnote w:id="430">
    <w:p w14:paraId="50D539A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10)(ii)"/>
        </w:smartTagPr>
        <w:r>
          <w:t>§1.469-2(f)(10)(ii)</w:t>
        </w:r>
      </w:smartTag>
      <w:r>
        <w:t>.</w:t>
      </w:r>
    </w:p>
  </w:footnote>
  <w:footnote w:id="431">
    <w:p w14:paraId="1F1255ED" w14:textId="77777777" w:rsidR="00494B49" w:rsidRDefault="00494B49">
      <w:pPr>
        <w:pStyle w:val="FootnoteText"/>
      </w:pPr>
      <w:r>
        <w:rPr>
          <w:rStyle w:val="FootnoteReference"/>
        </w:rPr>
        <w:footnoteRef/>
      </w:r>
      <w:r>
        <w:t>For purposes of this rule, property is substantially appreciated if its fair market value is more than 120% of its adjusted basis.</w:t>
      </w:r>
    </w:p>
  </w:footnote>
  <w:footnote w:id="432">
    <w:p w14:paraId="1D7721CB"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b)(2)(ii)"/>
        </w:smartTagPr>
        <w:r>
          <w:t>§1.1411-5(b)(2)(ii)</w:t>
        </w:r>
      </w:smartTag>
      <w:r>
        <w:t xml:space="preserve">. </w:t>
      </w:r>
    </w:p>
  </w:footnote>
  <w:footnote w:id="433">
    <w:p w14:paraId="7E58212A" w14:textId="77777777" w:rsidR="00494B49" w:rsidRDefault="00494B49">
      <w:pPr>
        <w:pStyle w:val="FootnoteText"/>
      </w:pPr>
      <w:r>
        <w:rPr>
          <w:rStyle w:val="FootnoteReference"/>
        </w:rPr>
        <w:footnoteRef/>
      </w:r>
      <w:r>
        <w:t>As a practical matter, the provision “stock in trade or property held primarily for sale to customers in the ordinary course of a trade or business” is meant to cover inventory, the sale of which is rarely thought of in the context of gains and losses from the sale of property and is associated more with generic business operations.</w:t>
      </w:r>
    </w:p>
  </w:footnote>
  <w:footnote w:id="434">
    <w:p w14:paraId="15FD3FD9"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1402(i)(2)(A)"/>
        </w:smartTagPr>
        <w:r>
          <w:t>§1402(i)(2)(A)</w:t>
        </w:r>
      </w:smartTag>
      <w:r>
        <w:t>. The term “options dealer” means any person registered with an appropriate national securities exchange as a market maker or specialist in listed options.</w:t>
      </w:r>
    </w:p>
  </w:footnote>
  <w:footnote w:id="435">
    <w:p w14:paraId="2F87176A"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1402(i)(2)(B)"/>
        </w:smartTagPr>
        <w:r>
          <w:t>§1402(i)(2)(B)</w:t>
        </w:r>
      </w:smartTag>
      <w:r>
        <w:t xml:space="preserve">. The term “commodities dealer” means a person who is actively engaged in trading </w:t>
      </w:r>
      <w:smartTag w:uri="http://www.bna.com/sgml2word/cite" w:element="cite.usc">
        <w:smartTagPr>
          <w:attr w:name="ref" w:val="USC\26\1256"/>
        </w:smartTagPr>
        <w:r>
          <w:t>§1256</w:t>
        </w:r>
      </w:smartTag>
      <w:r>
        <w:t xml:space="preserve"> contracts and is registered with a domestic board of trade which is designated as a contract market by the Commodities Futures Trading Commission.</w:t>
      </w:r>
    </w:p>
  </w:footnote>
  <w:footnote w:id="436">
    <w:p w14:paraId="6C99FE18" w14:textId="77777777" w:rsidR="00494B49" w:rsidRDefault="00494B49">
      <w:pPr>
        <w:pStyle w:val="FootnoteText"/>
      </w:pPr>
      <w:r>
        <w:rPr>
          <w:rStyle w:val="FootnoteReference"/>
        </w:rPr>
        <w:footnoteRef/>
      </w:r>
      <w:r>
        <w:t xml:space="preserve">Recall that determining whether trading in financial instruments or commodities rises to the level of a </w:t>
      </w:r>
      <w:smartTag w:uri="http://www.bna.com/sgml2word/cite" w:element="cite.usc">
        <w:smartTagPr>
          <w:attr w:name="ref" w:val="USC\26\162"/>
        </w:smartTagPr>
        <w:r>
          <w:t>§162</w:t>
        </w:r>
      </w:smartTag>
      <w:r>
        <w:t xml:space="preserve"> trade or business is a question of fact.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In general,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 In contrast, a trader seeks profit from short-term market swings and receives income principally from selling on an exchange rather than from dividends, interest, or long-term appreciation. </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A person will be a trader, and therefore engaged in a </w:t>
      </w:r>
      <w:smartTag w:uri="http://www.bna.com/sgml2word/cite" w:element="cite.usc">
        <w:smartTagPr>
          <w:attr w:name="ref" w:val="USC\26\162"/>
        </w:smartTagPr>
        <w:r>
          <w:t>§162</w:t>
        </w:r>
      </w:smartTag>
      <w:r>
        <w:t xml:space="preserve"> trade or business, if his or her trading is frequent and substantial, which has been rephrased as “frequent, regular, and continuous.” </w:t>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unpub. op., </w:t>
      </w:r>
      <w:smartTag w:uri="http://www.bna.com/sgml2word/cite" w:element="cite.parallel">
        <w:smartTagPr>
          <w:attr w:name="ref" w:val="F3D\164\629"/>
        </w:smartTagPr>
        <w:r>
          <w:t>164 F.3d 629</w:t>
        </w:r>
      </w:smartTag>
      <w:r>
        <w:t xml:space="preserve"> (9th Cir. 1998). </w:t>
      </w:r>
    </w:p>
  </w:footnote>
  <w:footnote w:id="437">
    <w:p w14:paraId="6AB5CE96"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a)"/>
        </w:smartTagPr>
        <w:r>
          <w:t>§1.1402(a)-5(a)</w:t>
        </w:r>
      </w:smartTag>
      <w:r>
        <w:t>.</w:t>
      </w:r>
    </w:p>
  </w:footnote>
  <w:footnote w:id="438">
    <w:p w14:paraId="5BC331AC"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439">
    <w:p w14:paraId="6A5583E0" w14:textId="77777777" w:rsidR="00494B49" w:rsidRDefault="00494B49">
      <w:pPr>
        <w:pStyle w:val="FootnoteText"/>
      </w:pPr>
      <w:r>
        <w:rPr>
          <w:rStyle w:val="FootnoteReference"/>
        </w:rPr>
        <w:footnoteRef/>
      </w:r>
      <w:smartTag w:uri="http://www.bna.com/sgml2word/cite" w:element="cite.usc">
        <w:smartTagPr>
          <w:attr w:name="ref" w:val="USC\26\1402(a)(13)"/>
        </w:smartTagPr>
        <w:r>
          <w:t>§1402(a)(13)</w:t>
        </w:r>
      </w:smartTag>
      <w:r>
        <w:t xml:space="preserve">. </w:t>
      </w:r>
    </w:p>
  </w:footnote>
  <w:footnote w:id="440">
    <w:p w14:paraId="6DB113E5"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4(d)(4)(iii)(B)"/>
        </w:smartTagPr>
        <w:r>
          <w:t>§1.1411-4(d)(4)(iii)(B)</w:t>
        </w:r>
      </w:smartTag>
      <w:r>
        <w:t>.</w:t>
      </w:r>
    </w:p>
  </w:footnote>
  <w:footnote w:id="441">
    <w:p w14:paraId="3D552B22" w14:textId="77777777" w:rsidR="00494B49" w:rsidRDefault="00494B49">
      <w:pPr>
        <w:pStyle w:val="FootnoteText"/>
      </w:pPr>
      <w:r>
        <w:rPr>
          <w:rStyle w:val="FootnoteReference"/>
        </w:rPr>
        <w:footnoteRef/>
      </w:r>
      <w:r>
        <w:t xml:space="preserve">In fact, the design of the worksheet in the </w:t>
      </w:r>
      <w:hyperlink r:id="rId2" w:history="1">
        <w:r>
          <w:rPr>
            <w:rStyle w:val="Hyperlink"/>
          </w:rPr>
          <w:t>Instructions for Form 8960</w:t>
        </w:r>
      </w:hyperlink>
      <w:r>
        <w:t xml:space="preserve"> that accompanies Line 5(a)–(d) was tailored to the specific purpose of leading software developers through the rule. Although, as discussed below, the rule applies only to the second year of net investment income tax and thereafter, it was released as part of the 2013 instructions to give software developers a head start on the programming. </w:t>
      </w:r>
    </w:p>
  </w:footnote>
  <w:footnote w:id="442">
    <w:p w14:paraId="07648368" w14:textId="77777777" w:rsidR="00494B49" w:rsidRDefault="00494B49">
      <w:pPr>
        <w:pStyle w:val="FootnoteText"/>
      </w:pPr>
      <w:r>
        <w:rPr>
          <w:rStyle w:val="FootnoteReference"/>
        </w:rPr>
        <w:footnoteRef/>
      </w:r>
      <w:r>
        <w:t xml:space="preserve">With the exception of the certain “structural” difficulties resulting from </w:t>
      </w:r>
      <w:smartTag w:uri="http://www.bna.com/sgml2word/cite" w:element="cite.usc">
        <w:smartTagPr>
          <w:attr w:name="ref" w:val="USC\26\1411"/>
        </w:smartTagPr>
        <w:r>
          <w:t>§1411</w:t>
        </w:r>
      </w:smartTag>
      <w:r>
        <w:t xml:space="preserve"> being located outside of Chapter 1 of the Code (e.g., the need for Reg. </w:t>
      </w:r>
      <w:smartTag w:uri="http://www.bna.com/sgml2word/cite" w:element="cite.cfr">
        <w:smartTagPr>
          <w:attr w:name="ref" w:val="cfr\26\1.1411-10"/>
        </w:smartTagPr>
        <w:r>
          <w:t>§1.1411-10</w:t>
        </w:r>
      </w:smartTag>
      <w:r>
        <w:t xml:space="preserve">), the NIIT system has managed to avoid a full recomputation of income that is commonly required with the AMT. </w:t>
      </w:r>
    </w:p>
  </w:footnote>
  <w:footnote w:id="443">
    <w:p w14:paraId="3611EE45" w14:textId="77777777" w:rsidR="00494B49" w:rsidRDefault="00494B49">
      <w:pPr>
        <w:pStyle w:val="FootnoteText"/>
      </w:pPr>
      <w:r>
        <w:rPr>
          <w:rStyle w:val="FootnoteReference"/>
        </w:rPr>
        <w:footnoteRef/>
      </w:r>
      <w:r>
        <w:t xml:space="preserve">This is conceptually similar to the investment interest carryforward and charitable contribution carryforwards when a taxpayer uses the standard deduction in lieu of itemized deductions. As an example, the fact that the taxpayer does not itemize deductions in a carryover year, does not mean that the amount of investment interest expense carryforward into the year escapes reduction by the year’s </w:t>
      </w:r>
      <w:smartTag w:uri="http://www.bna.com/sgml2word/cite" w:element="cite.usc">
        <w:smartTagPr>
          <w:attr w:name="ref" w:val="USC\26\163(d)"/>
        </w:smartTagPr>
        <w:r>
          <w:t>§163(d)</w:t>
        </w:r>
      </w:smartTag>
      <w:r>
        <w:t xml:space="preserve"> net investment income. </w:t>
      </w:r>
    </w:p>
  </w:footnote>
  <w:footnote w:id="444">
    <w:p w14:paraId="68EE9D76" w14:textId="77777777" w:rsidR="00494B49" w:rsidRDefault="00494B49">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w:t>
      </w:r>
    </w:p>
  </w:footnote>
  <w:footnote w:id="445">
    <w:p w14:paraId="251BB440"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(“this section includes all other gross income (within the meaning of </w:t>
      </w:r>
      <w:smartTag w:uri="http://www.bna.com/sgml2word/cite" w:element="cite.usc">
        <w:smartTagPr>
          <w:attr w:name="ref" w:val="USC\26\61"/>
        </w:smartTagPr>
        <w:r>
          <w:t>section 61</w:t>
        </w:r>
      </w:smartTag>
      <w:r>
        <w:t xml:space="preserve">) that is not gross income described in [Reg. </w:t>
      </w:r>
      <w:smartTag w:uri="http://www.bna.com/sgml2word/cite" w:element="cite.cfr">
        <w:smartTagPr>
          <w:attr w:name="ref" w:val="cfr\26\1.1411-4(a)(1)(i)"/>
        </w:smartTagPr>
        <w:r>
          <w:t>§1.1411-4(a)(1)(i)</w:t>
        </w:r>
      </w:smartTag>
      <w:r>
        <w:t xml:space="preserve">] or net gain described [Reg. </w:t>
      </w:r>
      <w:smartTag w:uri="http://www.bna.com/sgml2word/cite" w:element="cite.cfr">
        <w:smartTagPr>
          <w:attr w:name="ref" w:val="cfr\26\1.1411-4(a)(1)(iii)"/>
        </w:smartTagPr>
        <w:r>
          <w:t>§1.1411-4(a)(1)(iii)</w:t>
        </w:r>
      </w:smartTag>
      <w:r>
        <w:t>.]”).</w:t>
      </w:r>
    </w:p>
  </w:footnote>
  <w:footnote w:id="446">
    <w:p w14:paraId="32DEC2C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a)(1)(iii)"/>
        </w:smartTagPr>
        <w:r>
          <w:t>§1.1411-4(a)(1)(iii)</w:t>
        </w:r>
      </w:smartTag>
      <w:r>
        <w:t>.</w:t>
      </w:r>
    </w:p>
  </w:footnote>
  <w:footnote w:id="447">
    <w:p w14:paraId="26E44496" w14:textId="77777777" w:rsidR="00494B49" w:rsidRDefault="00494B49">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 xml:space="preserve">. Reg. </w:t>
      </w:r>
      <w:smartTag w:uri="http://www.bna.com/sgml2word/cite" w:element="cite.cfr">
        <w:smartTagPr>
          <w:attr w:name="ref" w:val="cfr\26\1.1411-4(a)(1)(ii)"/>
        </w:smartTagPr>
        <w:r>
          <w:t>§1.1411-4(a)(1)(ii)</w:t>
        </w:r>
      </w:smartTag>
      <w:r>
        <w:t>.</w:t>
      </w:r>
    </w:p>
  </w:footnote>
  <w:footnote w:id="448">
    <w:p w14:paraId="1E27E99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49">
    <w:p w14:paraId="7C39EB9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0">
    <w:p w14:paraId="550F417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1">
    <w:p w14:paraId="454E5A3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
        </w:smartTagPr>
        <w:r>
          <w:t>§1.1411-4(g)(12)(ii)</w:t>
        </w:r>
      </w:smartTag>
      <w:r>
        <w:t xml:space="preserve">, </w:t>
      </w:r>
      <w:smartTag w:uri="http://www.bna.com/sgml2word/cite" w:element="cite.agency.doc">
        <w:smartTagPr>
          <w:attr w:name="ref" w:val="irs\nprm\REG-130843-13"/>
        </w:smartTagPr>
        <w:r>
          <w:t>REG-130843-13</w:t>
        </w:r>
      </w:smartTag>
      <w:r>
        <w:t xml:space="preserve"> (Dec. 2, 2013).</w:t>
      </w:r>
    </w:p>
  </w:footnote>
  <w:footnote w:id="452">
    <w:p w14:paraId="69E741AC"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7704"/>
        </w:smartTagPr>
        <w:r>
          <w:t>§7704</w:t>
        </w:r>
      </w:smartTag>
      <w:r>
        <w:t xml:space="preserve">. For a detailed discussion of qualifying income for PTPs, see </w:t>
      </w:r>
      <w:smartTag w:uri="http://www.bna.com/sgml2word/cite" w:element="cite.bna.reference">
        <w:smartTagPr>
          <w:attr w:name="bna.id.ref" w:val="TM\723"/>
        </w:smartTagPr>
        <w:r>
          <w:t>723 T.M.</w:t>
        </w:r>
      </w:smartTag>
      <w:r>
        <w:t xml:space="preserve">, </w:t>
      </w:r>
      <w:r>
        <w:rPr>
          <w:i/>
        </w:rPr>
        <w:t>Publicly Traded Partnerships</w:t>
      </w:r>
      <w:r>
        <w:t>.</w:t>
      </w:r>
    </w:p>
  </w:footnote>
  <w:footnote w:id="453">
    <w:p w14:paraId="67CF59F2" w14:textId="77777777" w:rsidR="00494B49" w:rsidRDefault="00494B49">
      <w:pPr>
        <w:pStyle w:val="FootnoteText"/>
      </w:pPr>
      <w:r>
        <w:rPr>
          <w:rStyle w:val="FootnoteReference"/>
        </w:rPr>
        <w:footnoteRef/>
      </w:r>
      <w:r>
        <w:t xml:space="preserve">Reg. </w:t>
      </w:r>
      <w:smartTag w:uri="http://www.bna.com/sgml2word/cite" w:element="cite.cfr">
        <w:smartTagPr>
          <w:attr w:name="ref" w:val="cfr\26\1.7704-3(a)(1)"/>
        </w:smartTagPr>
        <w:r>
          <w:t>§1.7704-3(a)(1)</w:t>
        </w:r>
      </w:smartTag>
      <w:r>
        <w:t xml:space="preserve"> provides, in relevant part, that “qualifying income includes capital gain from the sale of stock, income from holding annuities, income from notional principal contracts, and other substantially similar income from ordinary and routine investments to the extent determined by the Commissioner. Income from a notional principal contract is included in qualifying income only if the property, income, or cash flow that measures the amounts to which the partnership is entitled under the contract would give rise to qualifying income if held or received directly by the partnership.”</w:t>
      </w:r>
    </w:p>
  </w:footnote>
  <w:footnote w:id="454">
    <w:p w14:paraId="18BA796D" w14:textId="77777777" w:rsidR="00494B49" w:rsidRDefault="00494B49">
      <w:pPr>
        <w:pStyle w:val="FootnoteText"/>
      </w:pPr>
      <w:r>
        <w:rPr>
          <w:rStyle w:val="FootnoteReference"/>
        </w:rPr>
        <w:footnoteRef/>
      </w:r>
      <w:r>
        <w:t xml:space="preserve">For a detailed discussion of REMICS, see </w:t>
      </w:r>
      <w:smartTag w:uri="http://www.bna.com/sgml2word/cite" w:element="cite.bna.reference">
        <w:smartTagPr>
          <w:attr w:name="bna.id.ref" w:val="TM\741"/>
        </w:smartTagPr>
        <w:r>
          <w:t>741</w:t>
        </w:r>
      </w:smartTag>
      <w:r>
        <w:t xml:space="preserve"> T.M., </w:t>
      </w:r>
      <w:r>
        <w:rPr>
          <w:i/>
        </w:rPr>
        <w:t>REMICs, Mortgage REITs, Mortgage Trusts and Other Real Estate Mortgage Securitization Vehicles</w:t>
      </w:r>
      <w:r>
        <w:t xml:space="preserve">. However, pursuant to </w:t>
      </w:r>
      <w:smartTag w:uri="http://www.bna.com/sgml2word/cite" w:element="cite.usc">
        <w:smartTagPr>
          <w:attr w:name="ref" w:val="USC\26\860A(a)"/>
        </w:smartTagPr>
        <w:r>
          <w:t>§860A(a)</w:t>
        </w:r>
      </w:smartTag>
      <w:r>
        <w:t xml:space="preserve">, REMICs are not subject to </w:t>
      </w:r>
      <w:smartTag w:uri="http://www.bna.com/sgml2word/cite" w:element="cite.usc">
        <w:smartTagPr>
          <w:attr w:name="ref" w:val="USC\26\1411"/>
        </w:smartTagPr>
        <w:r>
          <w:t>§1411</w:t>
        </w:r>
      </w:smartTag>
      <w:r>
        <w:t xml:space="preserve">. </w:t>
      </w:r>
    </w:p>
  </w:footnote>
  <w:footnote w:id="455">
    <w:p w14:paraId="44D0FC46" w14:textId="77777777" w:rsidR="00494B49" w:rsidRDefault="00494B49">
      <w:pPr>
        <w:pStyle w:val="FootnoteText"/>
      </w:pPr>
      <w:r>
        <w:rPr>
          <w:rStyle w:val="FootnoteReference"/>
        </w:rPr>
        <w:footnoteRef/>
      </w:r>
      <w:r>
        <w:t xml:space="preserve">A REMIC’s income or loss cannot be within the scope of </w:t>
      </w:r>
      <w:smartTag w:uri="http://www.bna.com/sgml2word/cite" w:element="cite.usc">
        <w:smartTagPr>
          <w:attr w:name="ref" w:val="USC\26\1411(c)(1)(A)(ii)"/>
        </w:smartTagPr>
        <w:r>
          <w:t>§1411(c)(1)(A)(ii)</w:t>
        </w:r>
      </w:smartTag>
      <w:r>
        <w:t xml:space="preserve"> because Reg. </w:t>
      </w:r>
      <w:smartTag w:uri="http://www.bna.com/sgml2word/cite" w:element="cite.cfr">
        <w:smartTagPr>
          <w:attr w:name="ref" w:val="cfr\26\1.860C-2(b)(4)"/>
        </w:smartTagPr>
        <w:r>
          <w:t>§1.860C-2(b)(4)</w:t>
        </w:r>
      </w:smartTag>
      <w:r>
        <w:t xml:space="preserve"> specifically states that a REMIC is not in a trade or business.</w:t>
      </w:r>
    </w:p>
  </w:footnote>
  <w:footnote w:id="456">
    <w:p w14:paraId="206AF3AE" w14:textId="77777777" w:rsidR="00494B49" w:rsidRDefault="00494B49">
      <w:pPr>
        <w:pStyle w:val="FootnoteText"/>
      </w:pPr>
      <w:r>
        <w:rPr>
          <w:rStyle w:val="FootnoteReference"/>
        </w:rPr>
        <w:footnoteRef/>
      </w:r>
      <w:smartTag w:uri="http://www.bna.com/sgml2word/cite" w:element="cite.usc">
        <w:smartTagPr>
          <w:attr w:name="ref" w:val="USC\26\860C(d)"/>
        </w:smartTagPr>
        <w:r>
          <w:t>Section 860C(d)</w:t>
        </w:r>
      </w:smartTag>
      <w:r>
        <w:t xml:space="preserve"> and Reg. </w:t>
      </w:r>
      <w:smartTag w:uri="http://www.bna.com/sgml2word/cite" w:element="cite.cfr">
        <w:smartTagPr>
          <w:attr w:name="ref" w:val="cfr\26\1.860C-2(b)"/>
        </w:smartTagPr>
        <w:r>
          <w:t>§1.860C-2(b)</w:t>
        </w:r>
      </w:smartTag>
      <w:r>
        <w:t xml:space="preserve"> appear to allow all the deductions that are allowed in calculating net investment income under </w:t>
      </w:r>
      <w:smartTag w:uri="http://www.bna.com/sgml2word/cite" w:element="cite.usc">
        <w:smartTagPr>
          <w:attr w:name="ref" w:val="USC\26\1411(c)(1)(B)"/>
        </w:smartTagPr>
        <w:r>
          <w:t>§1411(c)(1)(B)</w:t>
        </w:r>
      </w:smartTag>
      <w:r>
        <w:t xml:space="preserve"> in Reg. </w:t>
      </w:r>
      <w:smartTag w:uri="http://www.bna.com/sgml2word/cite" w:element="cite.cfr">
        <w:smartTagPr>
          <w:attr w:name="ref" w:val="cfr\26\1.1411-4(f)"/>
        </w:smartTagPr>
        <w:r>
          <w:t>§1.1411-4(f)</w:t>
        </w:r>
      </w:smartTag>
      <w:r>
        <w:t xml:space="preserve"> and </w:t>
      </w:r>
      <w:smartTag w:uri="http://www.bna.com/sgml2word/cite" w:element="cite.cfr">
        <w:smartTagPr>
          <w:attr w:name="ref" w:val="cfr\26\1.1411-4(g)"/>
        </w:smartTagPr>
        <w:r>
          <w:t>§1.1411-4(g)</w:t>
        </w:r>
      </w:smartTag>
      <w:r>
        <w:t xml:space="preserve">. </w:t>
      </w:r>
    </w:p>
  </w:footnote>
  <w:footnote w:id="457">
    <w:p w14:paraId="4213236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A)"/>
        </w:smartTagPr>
        <w:r>
          <w:t>§1.469-2T(c)(3)(i)(A)</w:t>
        </w:r>
      </w:smartTag>
      <w:r>
        <w:t xml:space="preserve"> does not, however, differentiate between a regular interest and residual interest. </w:t>
      </w:r>
    </w:p>
  </w:footnote>
  <w:footnote w:id="458">
    <w:p w14:paraId="7342851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3)"/>
        </w:smartTagPr>
        <w:r>
          <w:t>§1.1411-4(g)(13)</w:t>
        </w:r>
      </w:smartTag>
      <w:r>
        <w:t xml:space="preserve">. </w:t>
      </w:r>
    </w:p>
  </w:footnote>
  <w:footnote w:id="459">
    <w:p w14:paraId="59F9305A" w14:textId="77777777" w:rsidR="00494B49" w:rsidRDefault="00494B49">
      <w:pPr>
        <w:pStyle w:val="FootnoteText"/>
      </w:pPr>
      <w:r>
        <w:rPr>
          <w:rStyle w:val="FootnoteReference"/>
        </w:rPr>
        <w:footnoteRef/>
      </w:r>
      <w:r>
        <w:t>Preamble, 2013 Proposed Regulations (</w:t>
      </w:r>
      <w:smartTag w:uri="http://www.bna.com/sgml2word/cite" w:element="cite.agency.doc">
        <w:smartTagPr>
          <w:attr w:name="ref" w:val="irs\nprm\REG-130843-13"/>
        </w:smartTagPr>
        <w:r>
          <w:t>REG-130843-13</w:t>
        </w:r>
      </w:smartTag>
      <w:r>
        <w:t xml:space="preserve">), Part 5. </w:t>
      </w:r>
    </w:p>
  </w:footnote>
  <w:footnote w:id="460">
    <w:p w14:paraId="47C0DAEA" w14:textId="77777777" w:rsidR="00494B49" w:rsidRDefault="00494B49">
      <w:pPr>
        <w:pStyle w:val="FootnoteText"/>
      </w:pPr>
      <w:r>
        <w:rPr>
          <w:rStyle w:val="FootnoteReference"/>
        </w:rPr>
        <w:footnoteRef/>
      </w:r>
      <w:smartTag w:uri="http://www.bna.com/sgml2word/cite" w:element="cite.usc">
        <w:smartTagPr>
          <w:attr w:name="ref" w:val="USC\26\860B(a)"/>
        </w:smartTagPr>
        <w:r>
          <w:t>§860B(a)</w:t>
        </w:r>
      </w:smartTag>
      <w:r>
        <w:t xml:space="preserve">; Reg. </w:t>
      </w:r>
      <w:smartTag w:uri="http://www.bna.com/sgml2word/cite" w:element="cite.cfr">
        <w:smartTagPr>
          <w:attr w:name="ref" w:val="cfr\26\1.860G-1(b)(6)"/>
        </w:smartTagPr>
        <w:r>
          <w:t>§1.860G-1(b)(6)</w:t>
        </w:r>
      </w:smartTag>
      <w:r>
        <w:t xml:space="preserve">. </w:t>
      </w:r>
    </w:p>
  </w:footnote>
  <w:footnote w:id="461">
    <w:p w14:paraId="4C9B2444" w14:textId="77777777" w:rsidR="00494B49" w:rsidRDefault="00494B49">
      <w:pPr>
        <w:pStyle w:val="FootnoteText"/>
      </w:pPr>
      <w:r>
        <w:rPr>
          <w:rStyle w:val="FootnoteReference"/>
        </w:rPr>
        <w:footnoteRef/>
      </w:r>
      <w:r>
        <w:t xml:space="preserve">The definition of “gross income from interest” in Reg. </w:t>
      </w:r>
      <w:smartTag w:uri="http://www.bna.com/sgml2word/cite" w:element="cite.cfr">
        <w:smartTagPr>
          <w:attr w:name="ref" w:val="cfr\26\1.1411-1(d)(6)"/>
        </w:smartTagPr>
        <w:r>
          <w:t>§1.1411-1(d)(6)</w:t>
        </w:r>
      </w:smartTag>
      <w:r>
        <w:t xml:space="preserve"> covers regular interests in REMICs by reason of its classification under </w:t>
      </w:r>
      <w:smartTag w:uri="http://www.bna.com/sgml2word/cite" w:element="cite.usc">
        <w:smartTagPr>
          <w:attr w:name="ref" w:val="USC\26\860B(a)"/>
        </w:smartTagPr>
        <w:r>
          <w:t>§860B(a)</w:t>
        </w:r>
      </w:smartTag>
      <w:r>
        <w:t xml:space="preserve"> and Reg. </w:t>
      </w:r>
      <w:smartTag w:uri="http://www.bna.com/sgml2word/cite" w:element="cite.cfr">
        <w:smartTagPr>
          <w:attr w:name="ref" w:val="cfr\26\1.860G-1(b)(6)"/>
        </w:smartTagPr>
        <w:r>
          <w:t>§1.860G-1(b)(6)</w:t>
        </w:r>
      </w:smartTag>
      <w:r>
        <w:t xml:space="preserve"> as a debt instrument (which produces interest income).</w:t>
      </w:r>
    </w:p>
  </w:footnote>
  <w:footnote w:id="462">
    <w:p w14:paraId="76CB15B3" w14:textId="77777777" w:rsidR="00494B49" w:rsidRDefault="00494B49">
      <w:pPr>
        <w:pStyle w:val="FootnoteText"/>
      </w:pPr>
      <w:r>
        <w:rPr>
          <w:rStyle w:val="FootnoteReference"/>
        </w:rPr>
        <w:footnoteRef/>
      </w:r>
      <w:r>
        <w:t xml:space="preserve">The 1984 preamble to the final regulations explained the reason for the replacement of the broad look-through rule originally proposed in 1980 with the limited UBIT rule: In response to comments that </w:t>
      </w:r>
      <w:smartTag w:uri="http://www.bna.com/sgml2word/cite" w:element="cite.usc">
        <w:smartTagPr>
          <w:attr w:name="ref" w:val="USC\26\584"/>
        </w:smartTagPr>
        <w:r>
          <w:t>§584</w:t>
        </w:r>
      </w:smartTag>
      <w:r>
        <w:t xml:space="preserve"> does not specifically provide for the flow-through of all items from a common trust fund, [Reg.] </w:t>
      </w:r>
      <w:smartTag w:uri="http://www.bna.com/sgml2word/cite" w:element="cite.cfr">
        <w:smartTagPr>
          <w:attr w:name="ref" w:val="cfr\26\1.584-2(c)(3)"/>
        </w:smartTagPr>
        <w:r>
          <w:t>§1.584-2(c)(3)</w:t>
        </w:r>
      </w:smartTag>
      <w:r>
        <w:t xml:space="preserve"> has been modified. The modified regulation provides that any amount of income or loss of the common trust fund that is included in the computation of a participant’s taxable income is to be treated as income or loss from an unrelated trade or business to the extent that such amount would have been income or loss from an unrelated trade or business if the participant had made directly the investment in the common trust fund. Thus, any amounts of income or loss to be included in a participant’s computation of taxable income will be computed as specifically provided in </w:t>
      </w:r>
      <w:smartTag w:uri="http://www.bna.com/sgml2word/cite" w:element="cite.usc">
        <w:smartTagPr>
          <w:attr w:name="ref" w:val="USC\26\584"/>
        </w:smartTagPr>
        <w:r>
          <w:t>§584</w:t>
        </w:r>
      </w:smartTag>
      <w:r>
        <w:t xml:space="preserve">, while the treatment in the hands of the participant as income or loss from an unrelated trade or business of amounts so computed will be determined as if the participant had made directly the investments of the common trust fund. </w:t>
      </w:r>
      <w:smartTag w:uri="http://www.bna.com/sgml2word/cite" w:element="cite.agency.doc">
        <w:smartTagPr>
          <w:attr w:name="ref" w:val="IRS\PREAMBLE\TD7935"/>
        </w:smartTagPr>
        <w:r>
          <w:t>T.D. 7935</w:t>
        </w:r>
      </w:smartTag>
      <w:r>
        <w:t xml:space="preserve">. Before the current rule in Reg. </w:t>
      </w:r>
      <w:smartTag w:uri="http://www.bna.com/sgml2word/cite" w:element="cite.cfr">
        <w:smartTagPr>
          <w:attr w:name="ref" w:val="cfr\26\1.584-2(c)(3)"/>
        </w:smartTagPr>
        <w:r>
          <w:t>§1.584-2(c)(3)</w:t>
        </w:r>
      </w:smartTag>
      <w:r>
        <w:t xml:space="preserve"> was promulgated, the proposed regulations issued in 1980 provided a much more expansive rule. The preamble to the 1980 proposed regulation did not provide any explanation for the need for this provision. The original rule provided as follows: For purposes of determining the character in the hands of a participant of any item of income or deduction, each participant is treated as if it made directly the investment by the common trust fund from which the item was derived.</w:t>
      </w:r>
      <w:smartTag w:uri="http://www.bna.com/sgml2word/cite" w:element="cite.fr">
        <w:smartTagPr>
          <w:attr w:name="ref" w:val="FR\45\62848"/>
        </w:smartTagPr>
        <w:r>
          <w:t>45 Fed. Reg. 62,848</w:t>
        </w:r>
      </w:smartTag>
      <w:r>
        <w:t xml:space="preserve"> (Sept. 22, 1980).</w:t>
      </w:r>
    </w:p>
  </w:footnote>
  <w:footnote w:id="463">
    <w:p w14:paraId="680C5B6D" w14:textId="77777777" w:rsidR="00494B49" w:rsidRDefault="00494B49">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Because </w:t>
      </w:r>
      <w:smartTag w:uri="http://www.bna.com/sgml2word/cite" w:element="cite.usc">
        <w:smartTagPr>
          <w:attr w:name="ref" w:val="USC\26\162(a)"/>
        </w:smartTagPr>
        <w:r>
          <w:t>§162(a)</w:t>
        </w:r>
      </w:smartTag>
      <w:r>
        <w:t xml:space="preserve"> applies only to ordinary and necessary expenses paid or incurred in a “trade or business,” there appears to be no statutory basis for deducting guaranteed payments for the use of investment (as distinguished from trade or business) capital under </w:t>
      </w:r>
      <w:smartTag w:uri="http://www.bna.com/sgml2word/cite" w:element="cite.usc">
        <w:smartTagPr>
          <w:attr w:name="ref" w:val="USC\26\212"/>
        </w:smartTagPr>
        <w:r>
          <w:t>§212</w:t>
        </w:r>
      </w:smartTag>
      <w:r>
        <w:t xml:space="preserve">. Note that in tax years 2018 through 2025, expenses are not deductible for regular income tax purposes by reason of </w:t>
      </w:r>
      <w:smartTag w:uri="http://www.bna.com/sgml2word/cite" w:element="cite.usc">
        <w:smartTagPr>
          <w:attr w:name="ref" w:val="USC\26\67(g)"/>
        </w:smartTagPr>
        <w:r>
          <w:t>§67(g)</w:t>
        </w:r>
      </w:smartTag>
      <w:r>
        <w:t xml:space="preserve"> and therefore cannot be deductible for net investment income tax (NIIT) purposes because they cease being “deductions allowed by this subtitle” under </w:t>
      </w:r>
      <w:smartTag w:uri="http://www.bna.com/sgml2word/cite" w:element="cite.usc">
        <w:smartTagPr>
          <w:attr w:name="ref" w:val="USC\26\1411(c)(1)(B)"/>
        </w:smartTagPr>
        <w:r>
          <w:t>§1411(c)(1)(B)</w:t>
        </w:r>
      </w:smartTag>
      <w:r>
        <w:t xml:space="preserve">. </w:t>
      </w:r>
      <w:r>
        <w:rPr>
          <w:i/>
        </w:rPr>
        <w:t>See</w:t>
      </w:r>
      <w:r>
        <w:t xml:space="preserve"> </w:t>
      </w:r>
      <w:smartTag w:uri="http://www.bna.com/sgml2word/cite" w:element="cite.usc">
        <w:smartTagPr>
          <w:attr w:name="ref" w:val="USC\26\67(g)"/>
        </w:smartTagPr>
        <w:r>
          <w:t>§67(g)</w:t>
        </w:r>
      </w:smartTag>
      <w:r>
        <w:t xml:space="preserve"> (disallowing miscellaneous itemized deductions in tax years 2018 through 2025).</w:t>
      </w:r>
    </w:p>
  </w:footnote>
  <w:footnote w:id="464">
    <w:p w14:paraId="3D1C57EA" w14:textId="77777777" w:rsidR="00494B49" w:rsidRDefault="00494B49">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The </w:t>
      </w:r>
      <w:smartTag w:uri="http://www.bna.com/sgml2word/cite" w:element="cite.usc">
        <w:smartTagPr>
          <w:attr w:name="ref" w:val="USC\26\707"/>
        </w:smartTagPr>
        <w:r>
          <w:t>§707</w:t>
        </w:r>
      </w:smartTag>
      <w:r>
        <w:t xml:space="preserve"> regulations were promulgated in 1960 and were revised in 1983 to conform to changes made by the Tax Reform Act of 1976. T.D. </w:t>
      </w:r>
      <w:smartTag w:uri="http://www.bna.com/sgml2word/cite" w:element="cite.agency.doc">
        <w:smartTagPr>
          <w:attr w:name="ref" w:val="IRS\PREAMBLE\TD6500"/>
        </w:smartTagPr>
        <w:r>
          <w:t>6500</w:t>
        </w:r>
      </w:smartTag>
      <w:r>
        <w:t xml:space="preserve"> (Nov. 26, 1960), as amended by T.D. </w:t>
      </w:r>
      <w:smartTag w:uri="http://www.bna.com/sgml2word/cite" w:element="cite.agency.doc">
        <w:smartTagPr>
          <w:attr w:name="ref" w:val="IRS\PREAMBLE\TD7891"/>
        </w:smartTagPr>
        <w:r>
          <w:t>7891</w:t>
        </w:r>
      </w:smartTag>
      <w:r>
        <w:t xml:space="preserve"> (May 4, 1983). Also, Reg. </w:t>
      </w:r>
      <w:smartTag w:uri="http://www.bna.com/sgml2word/cite" w:element="cite.cfr">
        <w:smartTagPr>
          <w:attr w:name="ref" w:val="cfr\26\1.263A-9(c)(2)(iii)"/>
        </w:smartTagPr>
        <w:r>
          <w:t>§1.263A-9(c)(2)(iii)</w:t>
        </w:r>
      </w:smartTag>
      <w:r>
        <w:t xml:space="preserve"> provides that guaranteed payments for the use of capital are treated as interest for purposes of the uniform capitalization rules of </w:t>
      </w:r>
      <w:smartTag w:uri="http://www.bna.com/sgml2word/cite" w:element="cite.usc">
        <w:smartTagPr>
          <w:attr w:name="ref" w:val="USC\26\263A(f)"/>
        </w:smartTagPr>
        <w:r>
          <w:t>§263A(f)</w:t>
        </w:r>
      </w:smartTag>
      <w:r>
        <w:t>.</w:t>
      </w:r>
    </w:p>
  </w:footnote>
  <w:footnote w:id="465">
    <w:p w14:paraId="03657464" w14:textId="77777777" w:rsidR="00494B49" w:rsidRDefault="00494B49">
      <w:pPr>
        <w:pStyle w:val="FootnoteText"/>
      </w:pPr>
      <w:r>
        <w:rPr>
          <w:rStyle w:val="FootnoteReference"/>
        </w:rPr>
        <w:footnoteRef/>
      </w:r>
      <w:smartTag w:uri="http://www.bna.com/sgml2word/cite" w:element="cite.agency.doc">
        <w:smartTagPr>
          <w:attr w:name="ref" w:val="IRS\GCM\38133"/>
        </w:smartTagPr>
        <w:r>
          <w:t>GCM 38133</w:t>
        </w:r>
      </w:smartTag>
      <w:r>
        <w:t xml:space="preserve"> (Oct. 10, 1979), </w:t>
      </w:r>
      <w:smartTag w:uri="http://www.bna.com/sgml2word/cite" w:element="cite.agency.doc">
        <w:smartTagPr>
          <w:attr w:name="ref" w:val="IRS\GCM\36702"/>
        </w:smartTagPr>
        <w:r>
          <w:t>GCM 36702</w:t>
        </w:r>
      </w:smartTag>
      <w:r>
        <w:t xml:space="preserve"> (Apr. 12, 1976). </w:t>
      </w:r>
    </w:p>
  </w:footnote>
  <w:footnote w:id="466">
    <w:p w14:paraId="662EE5A3" w14:textId="77777777" w:rsidR="00494B49" w:rsidRDefault="00494B49">
      <w:pPr>
        <w:pStyle w:val="FootnoteText"/>
      </w:pPr>
      <w:r>
        <w:rPr>
          <w:rStyle w:val="FootnoteReference"/>
        </w:rPr>
        <w:footnoteRef/>
      </w:r>
      <w:r>
        <w:t xml:space="preserve">For a detailed discussion of the passive loss treatment of guaranteed payments, see </w:t>
      </w:r>
      <w:smartTag w:uri="http://www.bna.com/sgml2word/cite" w:element="cite.bna.reference">
        <w:smartTagPr>
          <w:attr w:name="bna.id.ref" w:val="TM\549"/>
        </w:smartTagPr>
        <w:r>
          <w:t>549</w:t>
        </w:r>
      </w:smartTag>
      <w:r>
        <w:t xml:space="preserve"> T.M., </w:t>
      </w:r>
      <w:r>
        <w:rPr>
          <w:i/>
        </w:rPr>
        <w:t>Passive Loss Rules.</w:t>
      </w:r>
    </w:p>
  </w:footnote>
  <w:footnote w:id="467">
    <w:p w14:paraId="302C78BB" w14:textId="77777777" w:rsidR="00494B49" w:rsidRDefault="00494B49">
      <w:pPr>
        <w:pStyle w:val="FootnoteText"/>
      </w:pPr>
      <w:r>
        <w:rPr>
          <w:rStyle w:val="FootnoteReference"/>
        </w:rPr>
        <w:footnoteRef/>
      </w:r>
      <w:r>
        <w:t xml:space="preserve">If it is classified as “interest” then it is treated as portfolio income under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§1.469-2T(c)(3)(i)</w:t>
        </w:r>
      </w:smartTag>
      <w:r>
        <w:t xml:space="preserve">, and also under Reg. </w:t>
      </w:r>
      <w:smartTag w:uri="http://www.bna.com/sgml2word/cite" w:element="cite.cfr">
        <w:smartTagPr>
          <w:attr w:name="ref" w:val="cfr\26\1.469-7"/>
        </w:smartTagPr>
        <w:r>
          <w:t>§1.469-7</w:t>
        </w:r>
      </w:smartTag>
      <w:r>
        <w:t xml:space="preserve">. </w:t>
      </w:r>
    </w:p>
  </w:footnote>
  <w:footnote w:id="468">
    <w:p w14:paraId="35206198" w14:textId="77777777" w:rsidR="00494B49" w:rsidRDefault="00494B49">
      <w:pPr>
        <w:pStyle w:val="FootnoteText"/>
      </w:pPr>
      <w:r>
        <w:rPr>
          <w:rStyle w:val="FootnoteReference"/>
        </w:rPr>
        <w:footnoteRef/>
      </w:r>
      <w:r>
        <w:t xml:space="preserve">This treatment is consistent with existing guidance under </w:t>
      </w:r>
      <w:smartTag w:uri="http://www.bna.com/sgml2word/cite" w:element="cite.usc">
        <w:smartTagPr>
          <w:attr w:name="ref" w:val="USC\26\707(c)"/>
        </w:smartTagPr>
        <w:r>
          <w:t>§707(c)</w:t>
        </w:r>
      </w:smartTag>
      <w:r>
        <w:t xml:space="preserve"> and other sections of the Code in which guaranteed payments for the use of capital are treated as interest. </w:t>
      </w:r>
      <w:r>
        <w:rPr>
          <w:i/>
        </w:rPr>
        <w:t>See, e.g.</w:t>
      </w:r>
      <w:r>
        <w:t xml:space="preserve">, Reg. </w:t>
      </w:r>
      <w:smartTag w:uri="http://www.bna.com/sgml2word/cite" w:element="cite.cfr">
        <w:smartTagPr>
          <w:attr w:name="ref" w:val="cfr\26\1.263A-9(c)(2)(iii)"/>
        </w:smartTagPr>
        <w:r>
          <w:t>§1.263A-9(c)(2)(iii)</w:t>
        </w:r>
      </w:smartTag>
      <w:r>
        <w:t xml:space="preserve"> and </w:t>
      </w:r>
      <w:smartTag w:uri="http://www.bna.com/sgml2word/cite" w:element="cite.cfr">
        <w:smartTagPr>
          <w:attr w:name="ref" w:val="cfr\26\1.469-2(e)(2)(ii)"/>
        </w:smartTagPr>
        <w:r>
          <w:t>§1.469-2(e)(2)(ii)</w:t>
        </w:r>
      </w:smartTag>
      <w:r>
        <w:t>.</w:t>
      </w:r>
    </w:p>
  </w:footnote>
  <w:footnote w:id="469">
    <w:p w14:paraId="364CDEE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w:t>
      </w:r>
    </w:p>
  </w:footnote>
  <w:footnote w:id="470">
    <w:p w14:paraId="3E0F55B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471">
    <w:p w14:paraId="6D578672"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4(g)(11)"/>
        </w:smartTagPr>
        <w:r>
          <w:t>§1.1411-4(g)(11)</w:t>
        </w:r>
      </w:smartTag>
      <w:r>
        <w:t>.</w:t>
      </w:r>
    </w:p>
  </w:footnote>
  <w:footnote w:id="472">
    <w:p w14:paraId="51CDBC1F" w14:textId="77777777" w:rsidR="00494B49" w:rsidRDefault="00494B49">
      <w:pPr>
        <w:pStyle w:val="FootnoteText"/>
      </w:pPr>
      <w:r>
        <w:rPr>
          <w:rStyle w:val="FootnoteReference"/>
        </w:rPr>
        <w:footnoteRef/>
      </w:r>
      <w:r>
        <w:t xml:space="preserve">Reg. </w:t>
      </w:r>
      <w:smartTag w:uri="http://www.bna.com/sgml2word/cite" w:element="cite.cfr">
        <w:smartTagPr>
          <w:attr w:name="ref" w:val="cfr\26\1.736-1(a)(1)(ii)"/>
        </w:smartTagPr>
        <w:r>
          <w:t>§1.736-1(a)(1)(ii)</w:t>
        </w:r>
      </w:smartTag>
      <w:r>
        <w:t xml:space="preserve"> provides that a partner is treated as a retired partner only when he ceases to be a partner under local law. </w:t>
      </w:r>
    </w:p>
  </w:footnote>
  <w:footnote w:id="473">
    <w:p w14:paraId="5CB6E314" w14:textId="77777777" w:rsidR="00494B49" w:rsidRDefault="00494B49">
      <w:pPr>
        <w:pStyle w:val="FootnoteText"/>
      </w:pPr>
      <w:r>
        <w:rPr>
          <w:rStyle w:val="FootnoteReference"/>
        </w:rPr>
        <w:footnoteRef/>
      </w:r>
      <w:r>
        <w:t xml:space="preserve">As a note of caution, the regulations under </w:t>
      </w:r>
      <w:smartTag w:uri="http://www.bna.com/sgml2word/cite" w:element="cite.usc">
        <w:smartTagPr>
          <w:attr w:name="ref" w:val="USC\26\736"/>
        </w:smartTagPr>
        <w:r>
          <w:t>§736</w:t>
        </w:r>
      </w:smartTag>
      <w:r>
        <w:t xml:space="preserve"> may not square neatly with the current </w:t>
      </w:r>
      <w:smartTag w:uri="http://www.bna.com/sgml2word/cite" w:element="cite.usc">
        <w:smartTagPr>
          <w:attr w:name="ref" w:val="USC\26\736"/>
        </w:smartTagPr>
        <w:r>
          <w:t>§736</w:t>
        </w:r>
      </w:smartTag>
      <w:r>
        <w:t xml:space="preserve"> statute because they have not been updated since </w:t>
      </w:r>
      <w:smartTag w:uri="http://www.bna.com/sgml2word/cite" w:element="cite.usc">
        <w:smartTagPr>
          <w:attr w:name="ref" w:val="USC\26\736"/>
        </w:smartTagPr>
        <w:r>
          <w:t>§736</w:t>
        </w:r>
      </w:smartTag>
      <w:r>
        <w:t xml:space="preserve"> was amended in 1993 to add </w:t>
      </w:r>
      <w:smartTag w:uri="http://www.bna.com/sgml2word/cite" w:element="cite.usc">
        <w:smartTagPr>
          <w:attr w:name="ref" w:val="USC\26\736(b)(3)"/>
        </w:smartTagPr>
        <w:r>
          <w:t>§736(b)(3)</w:t>
        </w:r>
      </w:smartTag>
      <w:r>
        <w:t xml:space="preserve">. </w:t>
      </w:r>
      <w:smartTag w:uri="http://www.bna.com/sgml2word/cite" w:element="cite.pl">
        <w:smartTagPr>
          <w:attr w:name="ref" w:val="PL\103-66"/>
        </w:smartTagPr>
        <w:r>
          <w:t>Pub. L. No. 103-66</w:t>
        </w:r>
      </w:smartTag>
      <w:r>
        <w:t xml:space="preserve">, Title XIII, </w:t>
      </w:r>
      <w:smartTag w:uri="http://www.bna.com/sgml2word/cite" w:element="cite.usc">
        <w:smartTagPr>
          <w:attr w:name="ref" w:val="USC\26\13262(a)"/>
        </w:smartTagPr>
        <w:r>
          <w:t>§13262(a)</w:t>
        </w:r>
      </w:smartTag>
      <w:r>
        <w:t xml:space="preserve">, (b)(2)(B), </w:t>
      </w:r>
      <w:smartTag w:uri="http://www.bna.com/sgml2word/cite" w:element="cite.pl">
        <w:smartTagPr>
          <w:attr w:name="ref" w:val="STAT\107\541"/>
        </w:smartTagPr>
        <w:r>
          <w:t>107 Stat. 541</w:t>
        </w:r>
      </w:smartTag>
      <w:r>
        <w:t xml:space="preserve"> (Aug. 10, 1993). </w:t>
      </w:r>
    </w:p>
  </w:footnote>
  <w:footnote w:id="474">
    <w:p w14:paraId="6F324CBB" w14:textId="77777777" w:rsidR="00494B49" w:rsidRDefault="00494B49">
      <w:pPr>
        <w:pStyle w:val="FootnoteText"/>
      </w:pPr>
      <w:r>
        <w:rPr>
          <w:rStyle w:val="FootnoteReference"/>
        </w:rPr>
        <w:footnoteRef/>
      </w:r>
      <w:r>
        <w:t xml:space="preserve">Reg. </w:t>
      </w:r>
      <w:smartTag w:uri="http://www.bna.com/sgml2word/cite" w:element="cite.cfr">
        <w:smartTagPr>
          <w:attr w:name="ref" w:val="cfr\26\1.736-1(b)(1)"/>
        </w:smartTagPr>
        <w:r>
          <w:t>§1.736-1(b)(1)</w:t>
        </w:r>
      </w:smartTag>
      <w:r>
        <w:t>.</w:t>
      </w:r>
    </w:p>
  </w:footnote>
  <w:footnote w:id="475">
    <w:p w14:paraId="77B6934C" w14:textId="77777777" w:rsidR="00494B49" w:rsidRDefault="00494B49">
      <w:pPr>
        <w:pStyle w:val="FootnoteText"/>
      </w:pPr>
      <w:r>
        <w:rPr>
          <w:rStyle w:val="FootnoteReference"/>
        </w:rPr>
        <w:footnoteRef/>
      </w:r>
      <w:r>
        <w:t xml:space="preserve">Although the Reg. </w:t>
      </w:r>
      <w:smartTag w:uri="http://www.bna.com/sgml2word/cite" w:element="cite.cfr">
        <w:smartTagPr>
          <w:attr w:name="ref" w:val="cfr\26\1.736-1(b)(6)"/>
        </w:smartTagPr>
        <w:r>
          <w:t>§1.736-1(b)(6)</w:t>
        </w:r>
      </w:smartTag>
      <w:r>
        <w:t xml:space="preserve"> election provides the partner with a result </w:t>
      </w:r>
      <w:r>
        <w:rPr>
          <w:i/>
        </w:rPr>
        <w:t>similar</w:t>
      </w:r>
      <w:r>
        <w:t xml:space="preserve"> to a </w:t>
      </w:r>
      <w:smartTag w:uri="http://www.bna.com/sgml2word/cite" w:element="cite.usc">
        <w:smartTagPr>
          <w:attr w:name="ref" w:val="USC\26\453"/>
        </w:smartTagPr>
        <w:r>
          <w:t>§453</w:t>
        </w:r>
      </w:smartTag>
      <w:r>
        <w:t xml:space="preserve"> installment sale, the election does not convert the transaction into an installment sale (e.g., the imputed interest rules of </w:t>
      </w:r>
      <w:smartTag w:uri="http://www.bna.com/sgml2word/cite" w:element="cite.usc">
        <w:smartTagPr>
          <w:attr w:name="ref" w:val="USC\26\453"/>
        </w:smartTagPr>
        <w:r>
          <w:t>§453</w:t>
        </w:r>
      </w:smartTag>
      <w:r>
        <w:t xml:space="preserve"> do not apply, etc.). </w:t>
      </w:r>
    </w:p>
  </w:footnote>
  <w:footnote w:id="476">
    <w:p w14:paraId="323DC412" w14:textId="77777777" w:rsidR="00494B49" w:rsidRDefault="00494B49">
      <w:pPr>
        <w:pStyle w:val="FootnoteText"/>
      </w:pPr>
      <w:r>
        <w:rPr>
          <w:rStyle w:val="FootnoteReference"/>
        </w:rPr>
        <w:footnoteRef/>
      </w:r>
      <w:r>
        <w:t xml:space="preserve">These increases and decreases in partner basis should generally offset each other. </w:t>
      </w:r>
    </w:p>
  </w:footnote>
  <w:footnote w:id="477">
    <w:p w14:paraId="0697AAF4" w14:textId="77777777" w:rsidR="00494B49" w:rsidRDefault="00494B49">
      <w:pPr>
        <w:pStyle w:val="FootnoteText"/>
      </w:pPr>
      <w:r>
        <w:rPr>
          <w:rStyle w:val="FootnoteReference"/>
        </w:rPr>
        <w:footnoteRef/>
      </w:r>
      <w:r>
        <w:t xml:space="preserve">More precisely, </w:t>
      </w:r>
      <w:smartTag w:uri="http://www.bna.com/sgml2word/cite" w:element="cite.usc">
        <w:smartTagPr>
          <w:attr w:name="ref" w:val="USC\26\736(b)(3)"/>
        </w:smartTagPr>
        <w:r>
          <w:t>§736(b)(3)</w:t>
        </w:r>
      </w:smartTag>
      <w:r>
        <w:t xml:space="preserve"> applies to partnerships in which (A) capital is not a material income-producing factor for the partnership, and (B) the retiring or deceased partner was a general partner in the partnership. </w:t>
      </w:r>
    </w:p>
  </w:footnote>
  <w:footnote w:id="478">
    <w:p w14:paraId="0385FFE7" w14:textId="77777777" w:rsidR="00494B49" w:rsidRDefault="00494B49">
      <w:pPr>
        <w:pStyle w:val="FootnoteText"/>
      </w:pPr>
      <w:r>
        <w:rPr>
          <w:rStyle w:val="FootnoteReference"/>
        </w:rPr>
        <w:footnoteRef/>
      </w:r>
      <w:r>
        <w:t xml:space="preserve">The payments for (1)–(3) above are likely to be considered </w:t>
      </w:r>
      <w:smartTag w:uri="http://www.bna.com/sgml2word/cite" w:element="cite.usc">
        <w:smartTagPr>
          <w:attr w:name="ref" w:val="USC\26\736(a)(2)"/>
        </w:smartTagPr>
        <w:r>
          <w:t>§736(a)(2)</w:t>
        </w:r>
      </w:smartTag>
      <w:r>
        <w:t xml:space="preserve"> guaranteed payments because the amounts are paid to a partner based on the fair market value of the property, and not “with regard to the income of the partnership” within the meaning of </w:t>
      </w:r>
      <w:smartTag w:uri="http://www.bna.com/sgml2word/cite" w:element="cite.usc">
        <w:smartTagPr>
          <w:attr w:name="ref" w:val="USC\26\736(a)(1)"/>
        </w:smartTagPr>
        <w:r>
          <w:t>§736(a)(1)</w:t>
        </w:r>
      </w:smartTag>
      <w:r>
        <w:t xml:space="preserve">. If a payment is specifically designated in the agreement, the specific designation would likely control whether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governs the payment. </w:t>
      </w:r>
    </w:p>
  </w:footnote>
  <w:footnote w:id="479">
    <w:p w14:paraId="46B6E94E" w14:textId="77777777" w:rsidR="00494B49" w:rsidRDefault="00494B49">
      <w:pPr>
        <w:pStyle w:val="FootnoteText"/>
      </w:pPr>
      <w:r>
        <w:rPr>
          <w:rStyle w:val="FootnoteReference"/>
        </w:rPr>
        <w:footnoteRef/>
      </w:r>
      <w:smartTag w:uri="http://www.bna.com/sgml2word/cite" w:element="cite.usc">
        <w:smartTagPr>
          <w:attr w:name="ref" w:val="USC\26\736(b)(3)"/>
        </w:smartTagPr>
        <w:r>
          <w:t>Section 736(b)(3)</w:t>
        </w:r>
      </w:smartTag>
      <w:r>
        <w:t xml:space="preserve"> would not apply to partner payments in nonservice partnerships, or limited partners in service partnerships. </w:t>
      </w:r>
    </w:p>
  </w:footnote>
  <w:footnote w:id="480">
    <w:p w14:paraId="72212B80"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751(c)"/>
        </w:smartTagPr>
        <w:r>
          <w:t>§751(c)</w:t>
        </w:r>
      </w:smartTag>
      <w:r>
        <w:t>.</w:t>
      </w:r>
    </w:p>
  </w:footnote>
  <w:footnote w:id="481">
    <w:p w14:paraId="7D8EC95A" w14:textId="77777777" w:rsidR="00494B49" w:rsidRDefault="00494B49">
      <w:pPr>
        <w:pStyle w:val="FootnoteText"/>
      </w:pPr>
      <w:r>
        <w:rPr>
          <w:rStyle w:val="FootnoteReference"/>
        </w:rPr>
        <w:footnoteRef/>
      </w:r>
      <w:r>
        <w:t xml:space="preserve">For this purpose, Reg. </w:t>
      </w:r>
      <w:smartTag w:uri="http://www.bna.com/sgml2word/cite" w:element="cite.cfr">
        <w:smartTagPr>
          <w:attr w:name="ref" w:val="cfr\26\1.469-2(e)(2)(iii)(B)(2)"/>
        </w:smartTagPr>
        <w:r>
          <w:t>§1.469-2(e)(2)(iii)(B)(2)</w:t>
        </w:r>
      </w:smartTag>
      <w:r>
        <w:t xml:space="preserve"> provides that the portion (if any) of a payment under </w:t>
      </w:r>
      <w:smartTag w:uri="http://www.bna.com/sgml2word/cite" w:element="cite.usc">
        <w:smartTagPr>
          <w:attr w:name="ref" w:val="USC\26\736(a)"/>
        </w:smartTagPr>
        <w:r>
          <w:t>§736(a)</w:t>
        </w:r>
      </w:smartTag>
      <w:r>
        <w:t xml:space="preserve"> that is allocable to unrealized receivables and goodwill of a partnership is determined in accordance with the principles employed under Reg. </w:t>
      </w:r>
      <w:smartTag w:uri="http://www.bna.com/sgml2word/cite" w:element="cite.cfr">
        <w:smartTagPr>
          <w:attr w:name="ref" w:val="cfr\26\1.736-1(b)"/>
        </w:smartTagPr>
        <w:r>
          <w:t>§1.736-1(b)</w:t>
        </w:r>
      </w:smartTag>
      <w:r>
        <w:t xml:space="preserve"> for determining the portion of a payment made under </w:t>
      </w:r>
      <w:smartTag w:uri="http://www.bna.com/sgml2word/cite" w:element="cite.usc">
        <w:smartTagPr>
          <w:attr w:name="ref" w:val="USC\26\736"/>
        </w:smartTagPr>
        <w:r>
          <w:t>§736</w:t>
        </w:r>
      </w:smartTag>
      <w:r>
        <w:t xml:space="preserve"> that is treated as a distribution under </w:t>
      </w:r>
      <w:smartTag w:uri="http://www.bna.com/sgml2word/cite" w:element="cite.usc">
        <w:smartTagPr>
          <w:attr w:name="ref" w:val="USC\26\736(b)"/>
        </w:smartTagPr>
        <w:r>
          <w:t>§736(b)</w:t>
        </w:r>
      </w:smartTag>
      <w:r>
        <w:t>.</w:t>
      </w:r>
    </w:p>
  </w:footnote>
  <w:footnote w:id="482">
    <w:p w14:paraId="69CF8BA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
        </w:smartTagPr>
        <w:r>
          <w:t>§1.1411-4(g)(11)(i)</w:t>
        </w:r>
      </w:smartTag>
      <w:r>
        <w:t>.</w:t>
      </w:r>
    </w:p>
  </w:footnote>
  <w:footnote w:id="483">
    <w:p w14:paraId="5A2CD57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
        </w:smartTagPr>
        <w:r>
          <w:t>§1.1411-4(g)(11)(i)</w:t>
        </w:r>
      </w:smartTag>
      <w:r>
        <w:t>.</w:t>
      </w:r>
    </w:p>
  </w:footnote>
  <w:footnote w:id="484">
    <w:p w14:paraId="0506FE1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w:t>
      </w:r>
    </w:p>
  </w:footnote>
  <w:footnote w:id="485">
    <w:p w14:paraId="784F995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86">
    <w:p w14:paraId="20BA93A5"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The 2013 Proposed Regulations adopt, for NIIT purposes, the passive loss treatment of </w:t>
      </w:r>
      <w:smartTag w:uri="http://www.bna.com/sgml2word/cite" w:element="cite.usc">
        <w:smartTagPr>
          <w:attr w:name="ref" w:val="USC\26\736(b)"/>
        </w:smartTagPr>
        <w:r>
          <w:t>§736(b)</w:t>
        </w:r>
      </w:smartTag>
      <w:r>
        <w:t xml:space="preserve"> payments paid over multiple years as set forth in Reg. </w:t>
      </w:r>
      <w:smartTag w:uri="http://www.bna.com/sgml2word/cite" w:element="cite.cfr">
        <w:smartTagPr>
          <w:attr w:name="ref" w:val="cfr\26\1.469-2(e)(2)(iii)(A)"/>
        </w:smartTagPr>
        <w:r>
          <w:t>§1.469-2(e)(2)(iii)(A)</w:t>
        </w:r>
      </w:smartTag>
      <w:r>
        <w:t xml:space="preserve">. </w:t>
      </w:r>
    </w:p>
  </w:footnote>
  <w:footnote w:id="487">
    <w:p w14:paraId="30BEF04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
        </w:smartTagPr>
        <w:r>
          <w:t>§1.1411-4(g)(11)(ii)</w:t>
        </w:r>
      </w:smartTag>
      <w:r>
        <w:t>–</w:t>
      </w:r>
      <w:smartTag w:uri="http://www.bna.com/sgml2word/cite" w:element="cite.cfr">
        <w:smartTagPr>
          <w:attr w:name="ref" w:val="prule\cfr\26\1.1411-4(g)(11)(iii)"/>
        </w:smartTagPr>
        <w:r>
          <w:t>§1.1411-4(g)(11)(iii)</w:t>
        </w:r>
      </w:smartTag>
      <w:r>
        <w:t>.</w:t>
      </w:r>
    </w:p>
  </w:footnote>
  <w:footnote w:id="488">
    <w:p w14:paraId="28152E6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A)"/>
        </w:smartTagPr>
        <w:r>
          <w:t>§1.1411-4(g)(11)(ii)(A)</w:t>
        </w:r>
      </w:smartTag>
      <w:r>
        <w:t>.</w:t>
      </w:r>
    </w:p>
  </w:footnote>
  <w:footnote w:id="489">
    <w:p w14:paraId="4FA33336"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B)"/>
        </w:smartTagPr>
        <w:r>
          <w:t>§1.1411-4(g)(11)(ii)(B)</w:t>
        </w:r>
      </w:smartTag>
      <w:r>
        <w:t>.</w:t>
      </w:r>
    </w:p>
  </w:footnote>
  <w:footnote w:id="490">
    <w:p w14:paraId="42F0851F" w14:textId="77777777" w:rsidR="00494B49" w:rsidRDefault="00494B49">
      <w:pPr>
        <w:pStyle w:val="FootnoteText"/>
      </w:pPr>
      <w:r>
        <w:rPr>
          <w:rStyle w:val="FootnoteReference"/>
        </w:rPr>
        <w:footnoteRef/>
      </w:r>
      <w:r>
        <w:t xml:space="preserve">The “amount attributable to unrealized receivables and goodwill” is calculated in Reg. </w:t>
      </w:r>
      <w:smartTag w:uri="http://www.bna.com/sgml2word/cite" w:element="cite.cfr">
        <w:smartTagPr>
          <w:attr w:name="ref" w:val="cfr\26\1.469-2(e)(2)(iii)(B)"/>
        </w:smartTagPr>
        <w:r>
          <w:t>§1.469-2(e)(2)(iii)(B)</w:t>
        </w:r>
      </w:smartTag>
      <w:r>
        <w:t>.</w:t>
      </w:r>
    </w:p>
  </w:footnote>
  <w:footnote w:id="491">
    <w:p w14:paraId="202FBC5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i)(A)"/>
        </w:smartTagPr>
        <w:r>
          <w:t>§1.1411-4(g)(11)(iii)(A)</w:t>
        </w:r>
      </w:smartTag>
      <w:r>
        <w:t>.</w:t>
      </w:r>
    </w:p>
  </w:footnote>
  <w:footnote w:id="492">
    <w:p w14:paraId="6258694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93">
    <w:p w14:paraId="74CAF026"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i)(B)"/>
        </w:smartTagPr>
        <w:r>
          <w:t>§1.1411-4(g)(11)(iii)(B)</w:t>
        </w:r>
      </w:smartTag>
      <w:r>
        <w:t>.</w:t>
      </w:r>
    </w:p>
  </w:footnote>
  <w:footnote w:id="494">
    <w:p w14:paraId="286BE6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
        </w:smartTagPr>
        <w:r>
          <w:t>§1.1411-1(d)(4)(i)</w:t>
        </w:r>
      </w:smartTag>
      <w:r>
        <w:t xml:space="preserve">. </w:t>
      </w:r>
    </w:p>
  </w:footnote>
  <w:footnote w:id="495">
    <w:p w14:paraId="4E79908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
        </w:smartTagPr>
        <w:r>
          <w:t>§1.1411-1(d)(4)(ii)</w:t>
        </w:r>
      </w:smartTag>
      <w:r>
        <w:t>.</w:t>
      </w:r>
    </w:p>
  </w:footnote>
  <w:footnote w:id="496">
    <w:p w14:paraId="28A9B5C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497">
    <w:p w14:paraId="11AF5203" w14:textId="77777777" w:rsidR="00494B49" w:rsidRDefault="00494B49">
      <w:pPr>
        <w:pStyle w:val="FootnoteText"/>
      </w:pPr>
      <w:r>
        <w:rPr>
          <w:rStyle w:val="FootnoteReference"/>
        </w:rPr>
        <w:footnoteRef/>
      </w:r>
      <w:r>
        <w:t xml:space="preserve">Regardless of whether the interest on state and local bonds is from private activity bonds, and thus included in the calculation of alternative minimum taxable income (within the meaning of </w:t>
      </w:r>
      <w:smartTag w:uri="http://www.bna.com/sgml2word/cite" w:element="cite.usc">
        <w:smartTagPr>
          <w:attr w:name="ref" w:val="USC\26\55(b)"/>
        </w:smartTagPr>
        <w:r>
          <w:t>§55(b)</w:t>
        </w:r>
      </w:smartTag>
      <w:r>
        <w:t xml:space="preserve"> and </w:t>
      </w:r>
      <w:smartTag w:uri="http://www.bna.com/sgml2word/cite" w:element="cite.usc">
        <w:smartTagPr>
          <w:attr w:name="ref" w:val="USC\26\57(a)(5)"/>
        </w:smartTagPr>
        <w:r>
          <w:t>§57(a)(5)</w:t>
        </w:r>
      </w:smartTag>
      <w:r>
        <w:t xml:space="preserve">), the income is not included in gross income. Therefore, tax-exempt interest on private activity bonds is excluded from net investment income. </w:t>
      </w:r>
    </w:p>
  </w:footnote>
  <w:footnote w:id="498">
    <w:p w14:paraId="0DE9F1D8" w14:textId="77777777" w:rsidR="00494B49" w:rsidRDefault="00494B49">
      <w:pPr>
        <w:pStyle w:val="FootnoteText"/>
      </w:pPr>
      <w:r>
        <w:rPr>
          <w:rStyle w:val="FootnoteReference"/>
        </w:rPr>
        <w:footnoteRef/>
      </w:r>
      <w:r>
        <w:t xml:space="preserve">For an example of the application of the </w:t>
      </w:r>
      <w:smartTag w:uri="http://www.bna.com/sgml2word/cite" w:element="cite.usc">
        <w:smartTagPr>
          <w:attr w:name="ref" w:val="USC\26\121"/>
        </w:smartTagPr>
        <w:r>
          <w:t>§121</w:t>
        </w:r>
      </w:smartTag>
      <w:r>
        <w:t xml:space="preserve"> exclusion, see Reg. </w:t>
      </w:r>
      <w:smartTag w:uri="http://www.bna.com/sgml2word/cite" w:element="cite.cfr">
        <w:smartTagPr>
          <w:attr w:name="ref" w:val="cfr\26\1.1411-4(d)(3)(ii)"/>
        </w:smartTagPr>
        <w:r>
          <w:t>§1.1411-4(d)(3)(ii)</w:t>
        </w:r>
      </w:smartTag>
      <w:r>
        <w:t xml:space="preserve"> </w:t>
      </w:r>
      <w:r>
        <w:rPr>
          <w:i/>
        </w:rPr>
        <w:t>Ex.</w:t>
      </w:r>
      <w:r>
        <w:t xml:space="preserve"> 3.</w:t>
      </w:r>
    </w:p>
  </w:footnote>
  <w:footnote w:id="499">
    <w:p w14:paraId="62EF9A26" w14:textId="77777777" w:rsidR="00494B49" w:rsidRDefault="00494B49">
      <w:pPr>
        <w:pStyle w:val="FootnoteText"/>
      </w:pPr>
      <w:r>
        <w:rPr>
          <w:rStyle w:val="FootnoteReference"/>
        </w:rPr>
        <w:footnoteRef/>
      </w:r>
      <w:r>
        <w:t xml:space="preserve">Interest on life insurance proceeds that are not covered by </w:t>
      </w:r>
      <w:smartTag w:uri="http://www.bna.com/sgml2word/cite" w:element="cite.usc">
        <w:smartTagPr>
          <w:attr w:name="ref" w:val="USC\26\101"/>
        </w:smartTagPr>
        <w:r>
          <w:t>§101</w:t>
        </w:r>
      </w:smartTag>
      <w:r>
        <w:t xml:space="preserve"> would still be taxable as interest income for regular income tax purposes as well as includible in net investment income under </w:t>
      </w:r>
      <w:smartTag w:uri="http://www.bna.com/sgml2word/cite" w:element="cite.usc">
        <w:smartTagPr>
          <w:attr w:name="ref" w:val="USC\26\1411(c)(1)(A)(i)"/>
        </w:smartTagPr>
        <w:r>
          <w:t>§1411(c)(1)(A)(i)</w:t>
        </w:r>
      </w:smartTag>
      <w:r>
        <w:t xml:space="preserve">. </w:t>
      </w:r>
      <w:r>
        <w:rPr>
          <w:i/>
        </w:rPr>
        <w:t>See</w:t>
      </w:r>
      <w:r>
        <w:t xml:space="preserve"> </w:t>
      </w:r>
      <w:smartTag w:uri="http://www.bna.com/sgml2word/cite" w:element="cite.usc">
        <w:smartTagPr>
          <w:attr w:name="ref" w:val="USC\26\101(c)"/>
        </w:smartTagPr>
        <w:r>
          <w:t>§101(c)</w:t>
        </w:r>
      </w:smartTag>
      <w:r>
        <w:t xml:space="preserve">. A thornier issue is the treatment of taxable life insurance proceeds (as a result of the transfer for value rules in </w:t>
      </w:r>
      <w:smartTag w:uri="http://www.bna.com/sgml2word/cite" w:element="cite.usc">
        <w:smartTagPr>
          <w:attr w:name="ref" w:val="USC\26\101(a)(2)"/>
        </w:smartTagPr>
        <w:r>
          <w:t>§101(a)(2)</w:t>
        </w:r>
      </w:smartTag>
      <w:r>
        <w:t xml:space="preserve">). In this instance, the income may be net investment income </w:t>
      </w:r>
      <w:smartTag w:uri="http://www.bna.com/sgml2word/cite" w:element="cite.usc">
        <w:smartTagPr>
          <w:attr w:name="ref" w:val="USC\26\1411(c)(1)(A)(ii)"/>
        </w:smartTagPr>
        <w:r>
          <w:t>§1411(c)(1)(A)(ii)</w:t>
        </w:r>
      </w:smartTag>
      <w:r>
        <w:t xml:space="preserve"> if the income is associated with a trade or business (i.e., a viatical settlement company) that is a passive activity of the taxpayer. Alternatively, the taxable life insurance proceeds may constitute gain from the disposition of property under </w:t>
      </w:r>
      <w:smartTag w:uri="http://www.bna.com/sgml2word/cite" w:element="cite.usc">
        <w:smartTagPr>
          <w:attr w:name="ref" w:val="USC\26\1411(c)(1)(A)(iii)"/>
        </w:smartTagPr>
        <w:r>
          <w:t>§1411(c)(1)(A)(iii)</w:t>
        </w:r>
      </w:smartTag>
      <w:r>
        <w:t xml:space="preserve">. </w:t>
      </w:r>
    </w:p>
  </w:footnote>
  <w:footnote w:id="500">
    <w:p w14:paraId="1CF983DD" w14:textId="77777777" w:rsidR="00494B49" w:rsidRDefault="00494B49">
      <w:pPr>
        <w:pStyle w:val="FootnoteText"/>
      </w:pPr>
      <w:r>
        <w:rPr>
          <w:rStyle w:val="FootnoteReference"/>
        </w:rPr>
        <w:footnoteRef/>
      </w:r>
      <w:r>
        <w:t xml:space="preserve">Note, however, that any income exclusion under </w:t>
      </w:r>
      <w:smartTag w:uri="http://www.bna.com/sgml2word/cite" w:element="cite.usc">
        <w:smartTagPr>
          <w:attr w:name="ref" w:val="USC\26\108"/>
        </w:smartTagPr>
        <w:r>
          <w:t>§108</w:t>
        </w:r>
      </w:smartTag>
      <w:r>
        <w:t xml:space="preserve"> that results in a tax attribute reduction also has the same effect on the calculation of net investment income as it does on taxable income in a subsequent year. </w:t>
      </w:r>
    </w:p>
  </w:footnote>
  <w:footnote w:id="501">
    <w:p w14:paraId="2B4489E1" w14:textId="77777777" w:rsidR="00494B49" w:rsidRDefault="00494B49">
      <w:pPr>
        <w:pStyle w:val="FootnoteText"/>
      </w:pPr>
      <w:r>
        <w:rPr>
          <w:rStyle w:val="FootnoteReference"/>
        </w:rPr>
        <w:footnoteRef/>
      </w:r>
      <w:smartTag w:uri="http://www.bna.com/sgml2word/cite" w:element="cite.usc">
        <w:smartTagPr>
          <w:attr w:name="ref" w:val="USC\26\135(a)"/>
        </w:smartTagPr>
        <w:r>
          <w:t>§135(a)</w:t>
        </w:r>
      </w:smartTag>
      <w:r>
        <w:t>.</w:t>
      </w:r>
    </w:p>
  </w:footnote>
  <w:footnote w:id="502">
    <w:p w14:paraId="7F6A5959" w14:textId="77777777" w:rsidR="00494B49" w:rsidRDefault="00494B49">
      <w:pPr>
        <w:pStyle w:val="FootnoteText"/>
      </w:pPr>
      <w:r>
        <w:rPr>
          <w:rStyle w:val="FootnoteReference"/>
        </w:rPr>
        <w:footnoteRef/>
      </w:r>
      <w:r>
        <w:rPr>
          <w:i/>
        </w:rPr>
        <w:t>See</w:t>
      </w:r>
      <w:r>
        <w:t xml:space="preserve"> </w:t>
      </w:r>
      <w:r>
        <w:rPr>
          <w:rStyle w:val="BCasenamefull"/>
        </w:rPr>
        <w:t>Deason v. Commissioner</w:t>
      </w:r>
      <w:r>
        <w:t xml:space="preserve">, </w:t>
      </w:r>
      <w:smartTag w:uri="http://www.bna.com/sgml2word/cite" w:element="cite.parallel">
        <w:smartTagPr>
          <w:attr w:name="ref" w:val="F2D\590\1377"/>
        </w:smartTagPr>
        <w:r>
          <w:t>590 F.2d 1377</w:t>
        </w:r>
      </w:smartTag>
      <w:r>
        <w:t xml:space="preserve"> (5th Cir. 1979); </w:t>
      </w:r>
      <w:r>
        <w:rPr>
          <w:rStyle w:val="BCasenamefull"/>
        </w:rPr>
        <w:t>Nathel v. Commissioner</w:t>
      </w:r>
      <w:r>
        <w:t xml:space="preserve">, </w:t>
      </w:r>
      <w:smartTag w:uri="http://www.bna.com/sgml2word/cite" w:element="cite.parallel">
        <w:smartTagPr>
          <w:attr w:name="ref" w:val="TC\131\262"/>
        </w:smartTagPr>
        <w:r>
          <w:t>131 T.C. 262</w:t>
        </w:r>
      </w:smartTag>
      <w:r>
        <w:t xml:space="preserve"> (2008), aff’d, </w:t>
      </w:r>
      <w:smartTag w:uri="http://www.bna.com/sgml2word/cite" w:element="cite.parallel">
        <w:smartTagPr>
          <w:attr w:name="ref" w:val="F3D\615\83"/>
        </w:smartTagPr>
        <w:r>
          <w:t>615 F.3d 83</w:t>
        </w:r>
      </w:smartTag>
      <w:r>
        <w:t xml:space="preserve"> (2d Cir. 2010), cert. denied, </w:t>
      </w:r>
      <w:smartTag w:uri="http://www.bna.com/sgml2word/cite" w:element="cite.parallel">
        <w:smartTagPr>
          <w:attr w:name="ref" w:val="SCT\131\2151"/>
        </w:smartTagPr>
        <w:r>
          <w:t>131 S. Ct. 2151</w:t>
        </w:r>
      </w:smartTag>
      <w:r>
        <w:t xml:space="preserve"> (2011).</w:t>
      </w:r>
    </w:p>
  </w:footnote>
  <w:footnote w:id="503">
    <w:p w14:paraId="2DF298A7" w14:textId="77777777" w:rsidR="00494B49" w:rsidRDefault="00494B49">
      <w:pPr>
        <w:pStyle w:val="FootnoteText"/>
      </w:pPr>
      <w:r>
        <w:rPr>
          <w:rStyle w:val="FootnoteReference"/>
        </w:rPr>
        <w:footnoteRef/>
      </w:r>
      <w:r>
        <w:t xml:space="preserve">For example, one exception is income from certain CFCs and PFICs associated with </w:t>
      </w:r>
      <w:smartTag w:uri="http://www.bna.com/sgml2word/cite" w:element="cite.usc">
        <w:smartTagPr>
          <w:attr w:name="ref" w:val="USC\26\1291"/>
        </w:smartTagPr>
        <w:r>
          <w:t>§1291</w:t>
        </w:r>
      </w:smartTag>
      <w:r>
        <w:t xml:space="preserve"> Funds, as discussed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xml:space="preserve">, below. Another exception is for amounts of recovered deductions that were excluded from gross income by reason of the tax benefit rule under </w:t>
      </w:r>
      <w:smartTag w:uri="http://www.bna.com/sgml2word/cite" w:element="cite.usc">
        <w:smartTagPr>
          <w:attr w:name="ref" w:val="USC\26\111"/>
        </w:smartTagPr>
        <w:r>
          <w:t>§111</w:t>
        </w:r>
      </w:smartTag>
      <w:r>
        <w:t xml:space="preserve"> (see Reg. </w:t>
      </w:r>
      <w:smartTag w:uri="http://www.bna.com/sgml2word/cite" w:element="cite.cfr">
        <w:smartTagPr>
          <w:attr w:name="ref" w:val="cfr\26\1.1411-4(g)(2)"/>
        </w:smartTagPr>
        <w:r>
          <w:t>§1.1411-4(g)(2)</w:t>
        </w:r>
      </w:smartTag>
      <w:r>
        <w:t xml:space="preserve"> and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Finally, another exception is the disallowance of certain capital loss carryforwards under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xml:space="preserve">, above). </w:t>
      </w:r>
    </w:p>
  </w:footnote>
  <w:footnote w:id="504">
    <w:p w14:paraId="4ED7191B" w14:textId="77777777" w:rsidR="00494B49" w:rsidRDefault="00494B49">
      <w:pPr>
        <w:pStyle w:val="FootnoteText"/>
      </w:pPr>
      <w:r>
        <w:rPr>
          <w:rStyle w:val="FootnoteReference"/>
        </w:rPr>
        <w:footnoteRef/>
      </w:r>
      <w:smartTag w:uri="http://www.bna.com/sgml2word/cite" w:element="cite.usc">
        <w:smartTagPr>
          <w:attr w:name="ref" w:val="USC\26\529(c)(1)"/>
        </w:smartTagPr>
        <w:r>
          <w:t>§529(c)(1)</w:t>
        </w:r>
      </w:smartTag>
      <w:r>
        <w:t xml:space="preserve">. Even taxable distributions from </w:t>
      </w:r>
      <w:smartTag w:uri="http://www.bna.com/sgml2word/cite" w:element="cite.usc">
        <w:smartTagPr>
          <w:attr w:name="ref" w:val="USC\26\529"/>
        </w:smartTagPr>
        <w:r>
          <w:t>§529</w:t>
        </w:r>
      </w:smartTag>
      <w:r>
        <w:t xml:space="preserv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5">
    <w:p w14:paraId="2CEB03DE" w14:textId="77777777" w:rsidR="00494B49" w:rsidRDefault="00494B49">
      <w:pPr>
        <w:pStyle w:val="FootnoteText"/>
      </w:pPr>
      <w:r>
        <w:rPr>
          <w:rStyle w:val="FootnoteReference"/>
        </w:rPr>
        <w:footnoteRef/>
      </w:r>
      <w:smartTag w:uri="http://www.bna.com/sgml2word/cite" w:element="cite.usc">
        <w:smartTagPr>
          <w:attr w:name="ref" w:val="USC\26\530(d)(2)(A)"/>
        </w:smartTagPr>
        <w:r>
          <w:t>§530(d)(2)(A)</w:t>
        </w:r>
      </w:smartTag>
      <w:r>
        <w:t xml:space="preserve">. Similar to </w:t>
      </w:r>
      <w:smartTag w:uri="http://www.bna.com/sgml2word/cite" w:element="cite.usc">
        <w:smartTagPr>
          <w:attr w:name="ref" w:val="USC\26\529"/>
        </w:smartTagPr>
        <w:r>
          <w:t>§529</w:t>
        </w:r>
      </w:smartTag>
      <w:r>
        <w:t xml:space="preserve"> plans, even taxable distributions from these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6">
    <w:p w14:paraId="4F001412" w14:textId="77777777" w:rsidR="00494B49" w:rsidRDefault="00494B49">
      <w:pPr>
        <w:pStyle w:val="FootnoteText"/>
      </w:pPr>
      <w:r>
        <w:rPr>
          <w:rStyle w:val="FootnoteReference"/>
        </w:rPr>
        <w:footnoteRef/>
      </w:r>
      <w:smartTag w:uri="http://www.bna.com/sgml2word/cite" w:element="cite.usc">
        <w:smartTagPr>
          <w:attr w:name="ref" w:val="USC\26\220(f)(1)"/>
        </w:smartTagPr>
        <w:r>
          <w:t>§220(f)(1)</w:t>
        </w:r>
      </w:smartTag>
      <w:r>
        <w:t xml:space="preserve">. </w:t>
      </w:r>
    </w:p>
  </w:footnote>
  <w:footnote w:id="507">
    <w:p w14:paraId="510EC7C3" w14:textId="77777777" w:rsidR="00494B49" w:rsidRDefault="00494B49">
      <w:pPr>
        <w:pStyle w:val="FootnoteText"/>
      </w:pPr>
      <w:r>
        <w:rPr>
          <w:rStyle w:val="FootnoteReference"/>
        </w:rPr>
        <w:footnoteRef/>
      </w:r>
      <w:smartTag w:uri="http://www.bna.com/sgml2word/cite" w:element="cite.usc">
        <w:smartTagPr>
          <w:attr w:name="ref" w:val="USC\26\223(f)(1)"/>
        </w:smartTagPr>
        <w:r>
          <w:t>§223(f)(1)</w:t>
        </w:r>
      </w:smartTag>
      <w:r>
        <w:t xml:space="preserve">. </w:t>
      </w:r>
    </w:p>
  </w:footnote>
  <w:footnote w:id="508">
    <w:p w14:paraId="3F1259C8" w14:textId="77777777" w:rsidR="00494B49" w:rsidRDefault="00494B49">
      <w:pPr>
        <w:pStyle w:val="FootnoteText"/>
      </w:pPr>
      <w:r>
        <w:rPr>
          <w:rStyle w:val="FootnoteReference"/>
        </w:rPr>
        <w:footnoteRef/>
      </w:r>
      <w:smartTag w:uri="http://www.bna.com/sgml2word/cite" w:element="cite.usc">
        <w:smartTagPr>
          <w:attr w:name="ref" w:val="USC\26\280A(g)(2)"/>
        </w:smartTagPr>
        <w:r>
          <w:t>Section 280A(g)(2)</w:t>
        </w:r>
      </w:smartTag>
      <w:r>
        <w:t xml:space="preserve"> provides that if a dwelling unit is used during the tax year by the taxpayer as a residence and such dwelling unit is actually rented for less than 15 days during the tax year, then the income derived from such use for the tax year is not included in the taxpayer’s gross income under </w:t>
      </w:r>
      <w:smartTag w:uri="http://www.bna.com/sgml2word/cite" w:element="cite.usc">
        <w:smartTagPr>
          <w:attr w:name="ref" w:val="USC\26\61"/>
        </w:smartTagPr>
        <w:r>
          <w:t>§61</w:t>
        </w:r>
      </w:smartTag>
      <w:r>
        <w:t>.</w:t>
      </w:r>
    </w:p>
  </w:footnote>
  <w:footnote w:id="509">
    <w:p w14:paraId="3E0B349C" w14:textId="77777777" w:rsidR="00494B49" w:rsidRDefault="00494B49">
      <w:pPr>
        <w:pStyle w:val="FootnoteText"/>
      </w:pPr>
      <w:r>
        <w:rPr>
          <w:rStyle w:val="FootnoteReference"/>
        </w:rPr>
        <w:footnoteRef/>
      </w:r>
      <w:smartTag w:uri="http://www.bna.com/sgml2word/cite" w:element="cite.usc">
        <w:smartTagPr>
          <w:attr w:name="ref" w:val="USC\26\3121(v)(2)"/>
        </w:smartTagPr>
        <w:r>
          <w:t>Section 3121(v)(2)</w:t>
        </w:r>
      </w:smartTag>
      <w:r>
        <w:t xml:space="preserve"> generally provides that FICA tax is applied to wages payable as deferred compensation at the time the right to the deferred compensation vests. Under the regulations, FICA tax must be applied at this time if the amount of the deferred compensation is reasonably ascertainable. In such a case, the post-vesting earnings on the deferred compensation are not subject to FICA tax. If the amount of the deferred compensation is not reasonably ascertainable at vesting, then the amount deferred is not subject to FICA tax until it becomes reasonably ascertainable. However, FICA tax may be applied at an earlier date, in which case a true-up based upon the present value of the amount previously taken into account must occur at the time the deferred amount becomes reasonably ascertainable. In such a case, because it is the present value of the amount previously taken into account (and not the nominal amount) that is treated as having been subject to FICA tax, post-vesting earnings may also not be subject to FICA tax.</w:t>
      </w:r>
    </w:p>
  </w:footnote>
  <w:footnote w:id="510">
    <w:p w14:paraId="4EEE0E2D" w14:textId="77777777" w:rsidR="00494B49" w:rsidRDefault="00494B49">
      <w:pPr>
        <w:pStyle w:val="FootnoteText"/>
      </w:pPr>
      <w:r>
        <w:rPr>
          <w:rStyle w:val="FootnoteReference"/>
        </w:rPr>
        <w:footnoteRef/>
      </w:r>
      <w:r>
        <w:t xml:space="preserve">For example, an arrangement that is subject to </w:t>
      </w:r>
      <w:smartTag w:uri="http://www.bna.com/sgml2word/cite" w:element="cite.usc">
        <w:smartTagPr>
          <w:attr w:name="ref" w:val="USC\26\457(f)"/>
        </w:smartTagPr>
        <w:r>
          <w:t>§457(f)</w:t>
        </w:r>
      </w:smartTag>
      <w:r>
        <w:t xml:space="preserve"> or </w:t>
      </w:r>
      <w:smartTag w:uri="http://www.bna.com/sgml2word/cite" w:element="cite.usc">
        <w:smartTagPr>
          <w:attr w:name="ref" w:val="USC\26\457A"/>
        </w:smartTagPr>
        <w:r>
          <w:t>§457A</w:t>
        </w:r>
      </w:smartTag>
      <w:r>
        <w:t xml:space="preserve">, or that fails to comply with </w:t>
      </w:r>
      <w:smartTag w:uri="http://www.bna.com/sgml2word/cite" w:element="cite.usc">
        <w:smartTagPr>
          <w:attr w:name="ref" w:val="USC\26\409A"/>
        </w:smartTagPr>
        <w:r>
          <w:t>§409A</w:t>
        </w:r>
      </w:smartTag>
      <w:r>
        <w:t>.</w:t>
      </w:r>
    </w:p>
  </w:footnote>
  <w:footnote w:id="511">
    <w:p w14:paraId="1DA2B575" w14:textId="77777777" w:rsidR="00494B49" w:rsidRDefault="00494B49">
      <w:pPr>
        <w:pStyle w:val="FootnoteText"/>
      </w:pPr>
      <w:r>
        <w:rPr>
          <w:rStyle w:val="FootnoteReference"/>
        </w:rPr>
        <w:footnoteRef/>
      </w:r>
      <w:r>
        <w:t xml:space="preserve">Note that the exclusion of distributions from foreign pension plans that include investment income that was earned by the retirement plan from the definition of “gross income from annuities” under Reg. </w:t>
      </w:r>
      <w:smartTag w:uri="http://www.bna.com/sgml2word/cite" w:element="cite.cfr">
        <w:smartTagPr>
          <w:attr w:name="ref" w:val="cfr\26\1.1411-1(d)(1)"/>
        </w:smartTagPr>
        <w:r>
          <w:t>§1.1411-1(d)(1)</w:t>
        </w:r>
      </w:smartTag>
      <w:r>
        <w:t xml:space="preserve"> also lends support to this conclusion.</w:t>
      </w:r>
    </w:p>
  </w:footnote>
  <w:footnote w:id="512">
    <w:p w14:paraId="06180C92" w14:textId="77777777" w:rsidR="00494B49" w:rsidRDefault="00494B49">
      <w:pPr>
        <w:pStyle w:val="FootnoteText"/>
      </w:pPr>
      <w:r>
        <w:rPr>
          <w:rStyle w:val="FootnoteReference"/>
        </w:rPr>
        <w:footnoteRef/>
      </w:r>
      <w:r>
        <w:t>However, to the extent that a portion of a legal settlement for lost wages is categorized as interest on foregone wages, such interest income would likely be considered net investment income.</w:t>
      </w:r>
    </w:p>
  </w:footnote>
  <w:footnote w:id="513">
    <w:p w14:paraId="63A6DFF4" w14:textId="77777777" w:rsidR="00494B49" w:rsidRDefault="00494B49">
      <w:pPr>
        <w:pStyle w:val="FootnoteText"/>
      </w:pPr>
      <w:r>
        <w:rPr>
          <w:rStyle w:val="FootnoteReference"/>
        </w:rPr>
        <w:footnoteRef/>
      </w:r>
      <w:smartTag w:uri="http://www.bna.com/sgml2word/cite" w:element="cite.usc">
        <w:smartTagPr>
          <w:attr w:name="ref" w:val="USC\26\316(a)"/>
        </w:smartTagPr>
        <w:r>
          <w:t>Section 316(a)</w:t>
        </w:r>
      </w:smartTag>
      <w:r>
        <w:t xml:space="preserve"> defines “dividend” as any distribution of property made by a corporation to its shareholders out of earnings and profits. Fund distributions that the State of Alaska pays to its residents are not dividends as so defined. Thus, the State’s payments are not “dividends” for purposes of </w:t>
      </w:r>
      <w:smartTag w:uri="http://www.bna.com/sgml2word/cite" w:element="cite.usc">
        <w:smartTagPr>
          <w:attr w:name="ref" w:val="USC\26\163(d)"/>
        </w:smartTagPr>
        <w:r>
          <w:t>§163(d)</w:t>
        </w:r>
      </w:smartTag>
      <w:r>
        <w:t>.</w:t>
      </w:r>
    </w:p>
  </w:footnote>
  <w:footnote w:id="514">
    <w:p w14:paraId="13EA863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515">
    <w:p w14:paraId="272B6EAE" w14:textId="77777777" w:rsidR="00494B49" w:rsidRDefault="00494B49">
      <w:pPr>
        <w:pStyle w:val="FootnoteText"/>
      </w:pPr>
      <w:r>
        <w:rPr>
          <w:rStyle w:val="FootnoteReference"/>
        </w:rPr>
        <w:footnoteRef/>
      </w:r>
      <w:smartTag w:uri="http://www.bna.com/sgml2word/cite" w:element="cite.usc">
        <w:smartTagPr>
          <w:attr w:name="ref" w:val="USC\26\1411(c)(5)"/>
        </w:smartTagPr>
        <w:r>
          <w:t>§1411(c)(5)</w:t>
        </w:r>
      </w:smartTag>
      <w:r>
        <w:t xml:space="preserve">. </w:t>
      </w:r>
    </w:p>
  </w:footnote>
  <w:footnote w:id="516">
    <w:p w14:paraId="4841D15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7">
    <w:p w14:paraId="2009D9EB" w14:textId="77777777" w:rsidR="00494B49" w:rsidRDefault="00494B49">
      <w:pPr>
        <w:pStyle w:val="FootnoteText"/>
      </w:pPr>
      <w:r>
        <w:rPr>
          <w:rStyle w:val="FootnoteReference"/>
        </w:rPr>
        <w:footnoteRef/>
      </w:r>
      <w:r>
        <w:t xml:space="preserve">For this purpose, the regulations provide that the term “corrective distribution” includes any of the following distributions: (1) a distribution of excess deferrals as described in Reg. </w:t>
      </w:r>
      <w:smartTag w:uri="http://www.bna.com/sgml2word/cite" w:element="cite.cfr">
        <w:smartTagPr>
          <w:attr w:name="ref" w:val="cfr\26\1.402(g)-1(e)(3)"/>
        </w:smartTagPr>
        <w:r>
          <w:t>§1.402(g)-1(e)(3)</w:t>
        </w:r>
      </w:smartTag>
      <w:r>
        <w:t xml:space="preserve">;(2) for purposes of IRAs, a distribution of excess contributions as described in Reg. </w:t>
      </w:r>
      <w:smartTag w:uri="http://www.bna.com/sgml2word/cite" w:element="cite.cfr">
        <w:smartTagPr>
          <w:attr w:name="ref" w:val="cfr\26\1.408-4(c)"/>
        </w:smartTagPr>
        <w:r>
          <w:t>§1.408-4(c)</w:t>
        </w:r>
      </w:smartTag>
      <w:r>
        <w:t xml:space="preserve">;(3) for purposes of Roth IRAs, a distribution of excess contributions as described in Reg. </w:t>
      </w:r>
      <w:smartTag w:uri="http://www.bna.com/sgml2word/cite" w:element="cite.cfr">
        <w:smartTagPr>
          <w:attr w:name="ref" w:val="cfr\26\1.408A-6"/>
        </w:smartTagPr>
        <w:r>
          <w:t>§1.408A-6</w:t>
        </w:r>
      </w:smartTag>
      <w:r>
        <w:t xml:space="preserve">, Q&amp;A-1(d); and(4) for purposes of eligible </w:t>
      </w:r>
      <w:smartTag w:uri="http://www.bna.com/sgml2word/cite" w:element="cite.usc">
        <w:smartTagPr>
          <w:attr w:name="ref" w:val="USC\26\457(b)"/>
        </w:smartTagPr>
        <w:r>
          <w:t>§457(b)</w:t>
        </w:r>
      </w:smartTag>
      <w:r>
        <w:t xml:space="preserve"> plans, a distribution of excess deferrals as described in Reg. </w:t>
      </w:r>
      <w:smartTag w:uri="http://www.bna.com/sgml2word/cite" w:element="cite.cfr">
        <w:smartTagPr>
          <w:attr w:name="ref" w:val="cfr\26\1.457-4(e)(2)"/>
        </w:smartTagPr>
        <w:r>
          <w:t>§1.457-4(e)(2)</w:t>
        </w:r>
      </w:smartTag>
      <w:r>
        <w:t xml:space="preserve"> through </w:t>
      </w:r>
      <w:smartTag w:uri="http://www.bna.com/sgml2word/cite" w:element="cite.cfr">
        <w:smartTagPr>
          <w:attr w:name="ref" w:val="cfr\26\1.457-4(e)(4)"/>
        </w:smartTagPr>
        <w:r>
          <w:t>§1.457-4(e)(4)</w:t>
        </w:r>
      </w:smartTag>
      <w:r>
        <w:t xml:space="preserve">. For a detailed discussion of corrective distributions from qualified plans,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18">
    <w:p w14:paraId="34F9CC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9">
    <w:p w14:paraId="6E35E30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2)"/>
        </w:smartTagPr>
        <w:r>
          <w:t>§1.1411-8(b)(2)</w:t>
        </w:r>
      </w:smartTag>
      <w:r>
        <w:t xml:space="preserve">. The regulations provide examples of deemed distributions that include conversions to a Roth IRA (described in </w:t>
      </w:r>
      <w:smartTag w:uri="http://www.bna.com/sgml2word/cite" w:element="cite.usc">
        <w:smartTagPr>
          <w:attr w:name="ref" w:val="USC\26\408A"/>
        </w:smartTagPr>
        <w:r>
          <w:t>§408A</w:t>
        </w:r>
      </w:smartTag>
      <w:r>
        <w:t xml:space="preserve">) and deemed distributions under </w:t>
      </w:r>
      <w:smartTag w:uri="http://www.bna.com/sgml2word/cite" w:element="cite.usc">
        <w:smartTagPr>
          <w:attr w:name="ref" w:val="USC\26\72(p)"/>
        </w:smartTagPr>
        <w:r>
          <w:t>§72(p)</w:t>
        </w:r>
      </w:smartTag>
      <w:r>
        <w:t>.</w:t>
      </w:r>
    </w:p>
  </w:footnote>
  <w:footnote w:id="520">
    <w:p w14:paraId="24525C3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3)"/>
        </w:smartTagPr>
        <w:r>
          <w:t>§1.1411-8(b)(3)</w:t>
        </w:r>
      </w:smartTag>
      <w:r>
        <w:t xml:space="preserve">. The regulations provide an example of income of the trust of a qualified plan or arrangement that is applied to purchase a participant’s life insurance coverage (the P.S. 58 costs), which is a distribution within the meaning of </w:t>
      </w:r>
      <w:smartTag w:uri="http://www.bna.com/sgml2word/cite" w:element="cite.usc">
        <w:smartTagPr>
          <w:attr w:name="ref" w:val="USC\26\1411(c)(5)"/>
        </w:smartTagPr>
        <w:r>
          <w:t>§1411(c)(5)</w:t>
        </w:r>
      </w:smartTag>
      <w:r>
        <w:t>, and thus is not included in net investment income.</w:t>
      </w:r>
    </w:p>
  </w:footnote>
  <w:footnote w:id="521">
    <w:p w14:paraId="06A90633" w14:textId="77777777" w:rsidR="00494B49" w:rsidRDefault="00494B49">
      <w:pPr>
        <w:pStyle w:val="FootnoteText"/>
      </w:pPr>
      <w:r>
        <w:rPr>
          <w:rStyle w:val="FootnoteReference"/>
        </w:rPr>
        <w:footnoteRef/>
      </w:r>
      <w:smartTag w:uri="http://www.bna.com/sgml2word/cite" w:element="cite.usc">
        <w:smartTagPr>
          <w:attr w:name="ref" w:val="USC\26\404(k)"/>
        </w:smartTagPr>
        <w:r>
          <w:t>Section 404(k)</w:t>
        </w:r>
      </w:smartTag>
      <w:r>
        <w:t xml:space="preserve"> dividends are dividends paid on employer securities held by an employee stock ownership plan (as defined in </w:t>
      </w:r>
      <w:smartTag w:uri="http://www.bna.com/sgml2word/cite" w:element="cite.usc">
        <w:smartTagPr>
          <w:attr w:name="ref" w:val="USC\26\4975(e)(7)"/>
        </w:smartTagPr>
        <w:r>
          <w:t>§4975(e)(7)</w:t>
        </w:r>
      </w:smartTag>
      <w:r>
        <w:t xml:space="preserve">) that are paid directly to plan participants. For a detailed discussion of </w:t>
      </w:r>
      <w:smartTag w:uri="http://www.bna.com/sgml2word/cite" w:element="cite.usc">
        <w:smartTagPr>
          <w:attr w:name="ref" w:val="USC\26\404(k)"/>
        </w:smartTagPr>
        <w:r>
          <w:t>§404(k)</w:t>
        </w:r>
      </w:smartTag>
      <w:r>
        <w:t xml:space="preserve"> dividends,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22">
    <w:p w14:paraId="1D5F7FF0" w14:textId="77777777" w:rsidR="00494B49" w:rsidRDefault="00494B49">
      <w:pPr>
        <w:pStyle w:val="FootnoteText"/>
      </w:pPr>
      <w:r>
        <w:rPr>
          <w:rStyle w:val="FootnoteReference"/>
        </w:rPr>
        <w:footnoteRef/>
      </w:r>
      <w:r>
        <w:t xml:space="preserve">Reg. </w:t>
      </w:r>
      <w:smartTag w:uri="http://www.bna.com/sgml2word/cite" w:element="cite.cfr">
        <w:smartTagPr>
          <w:attr w:name="ref" w:val="cfr\26\1.404(k)-1T"/>
        </w:smartTagPr>
        <w:r>
          <w:t>§1.404(k)-1T</w:t>
        </w:r>
      </w:smartTag>
      <w:r>
        <w:t xml:space="preserve"> (Q&amp;A-3) provides that a deductible dividend under </w:t>
      </w:r>
      <w:smartTag w:uri="http://www.bna.com/sgml2word/cite" w:element="cite.usc">
        <w:smartTagPr>
          <w:attr w:name="ref" w:val="USC\26\404(k)"/>
        </w:smartTagPr>
        <w:r>
          <w:t>§404(k)</w:t>
        </w:r>
      </w:smartTag>
      <w:r>
        <w:t xml:space="preserve"> that is paid directly to a plan participant or beneficiary is treated as a distribution under the plan for purposes of </w:t>
      </w:r>
      <w:smartTag w:uri="http://www.bna.com/sgml2word/cite" w:element="cite.usc">
        <w:smartTagPr>
          <w:attr w:name="ref" w:val="USC\26\72"/>
        </w:smartTagPr>
        <w:r>
          <w:t>§72</w:t>
        </w:r>
      </w:smartTag>
      <w:r>
        <w:t xml:space="preserve">, </w:t>
      </w:r>
      <w:smartTag w:uri="http://www.bna.com/sgml2word/cite" w:element="cite.usc">
        <w:smartTagPr>
          <w:attr w:name="ref" w:val="USC\26\401"/>
        </w:smartTagPr>
        <w:r>
          <w:t>§401</w:t>
        </w:r>
      </w:smartTag>
      <w:r>
        <w:t xml:space="preserve">, and </w:t>
      </w:r>
      <w:smartTag w:uri="http://www.bna.com/sgml2word/cite" w:element="cite.usc">
        <w:smartTagPr>
          <w:attr w:name="ref" w:val="USC\26\402"/>
        </w:smartTagPr>
        <w:r>
          <w:t>§402</w:t>
        </w:r>
      </w:smartTag>
      <w:r>
        <w:t xml:space="preserve">. </w:t>
      </w:r>
    </w:p>
  </w:footnote>
  <w:footnote w:id="523">
    <w:p w14:paraId="73BBD082" w14:textId="77777777" w:rsidR="00494B49" w:rsidRDefault="00494B49">
      <w:pPr>
        <w:pStyle w:val="FootnoteText"/>
      </w:pPr>
      <w:r>
        <w:rPr>
          <w:rStyle w:val="FootnoteReference"/>
        </w:rPr>
        <w:footnoteRef/>
      </w:r>
      <w:r>
        <w:t xml:space="preserve">Amounts paid as dividends are included in net investment income as a dividend within the meaning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1(d)(3)"/>
        </w:smartTagPr>
        <w:r>
          <w:t>§1.1411-1(d)(3)</w:t>
        </w:r>
      </w:smartTag>
      <w:r>
        <w:t xml:space="preserve">. </w:t>
      </w:r>
    </w:p>
  </w:footnote>
  <w:footnote w:id="524">
    <w:p w14:paraId="073AFF85" w14:textId="77777777" w:rsidR="00494B49" w:rsidRDefault="00494B49">
      <w:pPr>
        <w:pStyle w:val="FootnoteText"/>
      </w:pPr>
      <w:r>
        <w:rPr>
          <w:rStyle w:val="FootnoteReference"/>
        </w:rPr>
        <w:footnoteRef/>
      </w:r>
      <w:smartTag w:uri="http://www.bna.com/sgml2word/cite" w:element="cite.usc">
        <w:smartTagPr>
          <w:attr w:name="ref" w:val="USC\26\402(e)(4)"/>
        </w:smartTagPr>
        <w:r>
          <w:t>Section 402(e)(4)</w:t>
        </w:r>
      </w:smartTag>
      <w:r>
        <w:t xml:space="preserve"> provides that the net unrealized appreciation in employer securities that are distributed from a qualified plan is excluded from gross income in the year of the distribution in certain circumstances. In the case of a lump-sum distribution (within the meaning of </w:t>
      </w:r>
      <w:smartTag w:uri="http://www.bna.com/sgml2word/cite" w:element="cite.usc">
        <w:smartTagPr>
          <w:attr w:name="ref" w:val="USC\26\402(e)(4)(D)"/>
        </w:smartTagPr>
        <w:r>
          <w:t>§402(e)(4)(D)</w:t>
        </w:r>
      </w:smartTag>
      <w:r>
        <w:t xml:space="preserve">), the net unrealized appreciation in the employer securities distributed is excluded from gross income. In the case of any other distribution (other than a distribution that is not currently taxable under the rollover rules), the net unrealized appreciation in the employer securities distributed is generally excluded from gross income only to the extent that it is attributable to after-tax employee contributions. Net unrealized appreciation is defined in Reg. </w:t>
      </w:r>
      <w:smartTag w:uri="http://www.bna.com/sgml2word/cite" w:element="cite.cfr">
        <w:smartTagPr>
          <w:attr w:name="ref" w:val="cfr\26\1.402(a)-1(b)(2)(i)"/>
        </w:smartTagPr>
        <w:r>
          <w:t>§1.402(a)-1(b)(2)(i)</w:t>
        </w:r>
      </w:smartTag>
      <w:r>
        <w:t xml:space="preserve"> as the excess of the market value of employer securities at the time of distribution over the cost or other basis of such securities to the trust. For a detailed discussion of net unrealized appreciation in employer securities distributed from a qualified plan, see </w:t>
      </w:r>
      <w:smartTag w:uri="http://www.bna.com/sgml2word/cite" w:element="cite.bna.reference">
        <w:smartTagPr>
          <w:attr w:name="bna.id.ref" w:val="TM\370"/>
        </w:smartTagPr>
        <w:r>
          <w:t>370</w:t>
        </w:r>
      </w:smartTag>
      <w:r>
        <w:t xml:space="preserve"> T.M., </w:t>
      </w:r>
      <w:r>
        <w:rPr>
          <w:i/>
        </w:rPr>
        <w:t>Distributions from Qualified Plans — Taxation and Qualification</w:t>
      </w:r>
      <w:r>
        <w:t>.</w:t>
      </w:r>
    </w:p>
  </w:footnote>
  <w:footnote w:id="525">
    <w:p w14:paraId="7D694131" w14:textId="77777777" w:rsidR="00494B49" w:rsidRDefault="00494B49">
      <w:pPr>
        <w:pStyle w:val="FootnoteText"/>
      </w:pPr>
      <w:r>
        <w:rPr>
          <w:rStyle w:val="FootnoteReference"/>
        </w:rPr>
        <w:footnoteRef/>
      </w:r>
      <w:r>
        <w:t xml:space="preserve">Therefore, the subsequent appreciation would constitute net investment income as net gain within the meaning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w:t>
      </w:r>
    </w:p>
  </w:footnote>
  <w:footnote w:id="526">
    <w:p w14:paraId="49F6F7A0" w14:textId="77777777" w:rsidR="00494B49" w:rsidRDefault="00494B49">
      <w:pPr>
        <w:pStyle w:val="FootnoteText"/>
      </w:pPr>
      <w:r>
        <w:rPr>
          <w:rStyle w:val="FootnoteReference"/>
        </w:rPr>
        <w:footnoteRef/>
      </w:r>
      <w:r>
        <w:t>However, if the sale of the capital asset was an asset used in a non-</w:t>
      </w:r>
      <w:smartTag w:uri="http://www.bna.com/sgml2word/cite" w:element="cite.usc">
        <w:smartTagPr>
          <w:attr w:name="ref" w:val="USC\26\1411"/>
        </w:smartTagPr>
        <w:r>
          <w:t>§1411</w:t>
        </w:r>
      </w:smartTag>
      <w:r>
        <w:t xml:space="preserve"> trade or business (that is, one that is not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a)"/>
        </w:smartTagPr>
        <w:r>
          <w:t>§1.1411-5(a)</w:t>
        </w:r>
      </w:smartTag>
      <w:r>
        <w:t xml:space="preserve">), then the capital gain would also be excluded from net investment income, but due to the exception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4)(i)"/>
        </w:smartTagPr>
        <w:r>
          <w:t>§1.1411-4(d)(4)(i)</w:t>
        </w:r>
      </w:smartTag>
      <w:r>
        <w:t xml:space="preserve"> and not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t>
      </w:r>
    </w:p>
  </w:footnote>
  <w:footnote w:id="527">
    <w:p w14:paraId="228694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8">
    <w:p w14:paraId="2001E193"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9">
    <w:p w14:paraId="03379780" w14:textId="77777777" w:rsidR="00494B49" w:rsidRDefault="00494B49">
      <w:pPr>
        <w:pStyle w:val="FootnoteText"/>
      </w:pPr>
      <w:r>
        <w:rPr>
          <w:rStyle w:val="FootnoteReference"/>
        </w:rPr>
        <w:footnoteRef/>
      </w:r>
      <w:r>
        <w:t xml:space="preserve">This provision is not expressly stated in Reg. </w:t>
      </w:r>
      <w:smartTag w:uri="http://www.bna.com/sgml2word/cite" w:element="cite.cfr">
        <w:smartTagPr>
          <w:attr w:name="ref" w:val="cfr\26\1.1411-9"/>
        </w:smartTagPr>
        <w:r>
          <w:t>§1.1411-9</w:t>
        </w:r>
      </w:smartTag>
      <w:r>
        <w:t xml:space="preserve"> because it is not needed. The classification of net investment income is made at the trust level and that classification continues in the hands of the beneficiary through application of Reg. </w:t>
      </w:r>
      <w:smartTag w:uri="http://www.bna.com/sgml2word/cite" w:element="cite.cfr">
        <w:smartTagPr>
          <w:attr w:name="ref" w:val="cfr\26\1.1411-3(e)(3)"/>
        </w:smartTagPr>
        <w:r>
          <w:t>§1.1411-3(e)(3)</w:t>
        </w:r>
      </w:smartTag>
      <w:r>
        <w:t>.</w:t>
      </w:r>
    </w:p>
  </w:footnote>
  <w:footnote w:id="530">
    <w:p w14:paraId="06BBCDD7"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725"/>
        </w:smartTagPr>
        <w:r>
          <w:t>725 T.M.</w:t>
        </w:r>
      </w:smartTag>
      <w:r>
        <w:t xml:space="preserve">, </w:t>
      </w:r>
      <w:r>
        <w:rPr>
          <w:i/>
        </w:rPr>
        <w:t>Limited Liability Companies</w:t>
      </w:r>
      <w:r>
        <w:t>.</w:t>
      </w:r>
    </w:p>
  </w:footnote>
  <w:footnote w:id="531">
    <w:p w14:paraId="6DD45765" w14:textId="77777777" w:rsidR="00494B49" w:rsidRDefault="00494B49">
      <w:pPr>
        <w:pStyle w:val="FootnoteText"/>
      </w:pPr>
      <w:r>
        <w:rPr>
          <w:rStyle w:val="FootnoteReference"/>
        </w:rPr>
        <w:footnoteRef/>
      </w:r>
      <w:r>
        <w:t xml:space="preserve">For example, these deductions are limited by </w:t>
      </w:r>
      <w:smartTag w:uri="http://www.bna.com/sgml2word/cite" w:element="cite.usc">
        <w:smartTagPr>
          <w:attr w:name="ref" w:val="USC\26\67"/>
        </w:smartTagPr>
        <w:r>
          <w:t>§67</w:t>
        </w:r>
      </w:smartTag>
      <w:r>
        <w:t xml:space="preserve"> (2% of AGI threshold for deducting miscellaneous itemized deductions) and </w:t>
      </w:r>
      <w:smartTag w:uri="http://www.bna.com/sgml2word/cite" w:element="cite.usc">
        <w:smartTagPr>
          <w:attr w:name="ref" w:val="USC\26\68"/>
        </w:smartTagPr>
        <w:r>
          <w:t>§68</w:t>
        </w:r>
      </w:smartTag>
      <w:r>
        <w:t xml:space="preserve"> (3% overall limitation on itemized deductions).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532">
    <w:p w14:paraId="0629A78F" w14:textId="77777777" w:rsidR="00494B49" w:rsidRDefault="00494B49">
      <w:pPr>
        <w:pStyle w:val="FootnoteText"/>
      </w:pPr>
      <w:r>
        <w:rPr>
          <w:rStyle w:val="FootnoteReference"/>
        </w:rPr>
        <w:footnoteRef/>
      </w:r>
      <w:r>
        <w:t xml:space="preserve">For example, Reg. </w:t>
      </w:r>
      <w:smartTag w:uri="http://www.bna.com/sgml2word/cite" w:element="cite.cfr">
        <w:smartTagPr>
          <w:attr w:name="ref" w:val="cfr\26\1.1411-4(f)(7)"/>
        </w:smartTagPr>
        <w:r>
          <w:t>§1.1411-4(f)(7)</w:t>
        </w:r>
      </w:smartTag>
      <w:r>
        <w:t xml:space="preserve"> limits net investment income allowable deductions by the limitations imposed by </w:t>
      </w:r>
      <w:smartTag w:uri="http://www.bna.com/sgml2word/cite" w:element="cite.usc">
        <w:smartTagPr>
          <w:attr w:name="ref" w:val="USC\26\67"/>
        </w:smartTagPr>
        <w:r>
          <w:t>§67</w:t>
        </w:r>
      </w:smartTag>
      <w:r>
        <w:t xml:space="preserve"> or </w:t>
      </w:r>
      <w:smartTag w:uri="http://www.bna.com/sgml2word/cite" w:element="cite.usc">
        <w:smartTagPr>
          <w:attr w:name="ref" w:val="USC\26\68"/>
        </w:smartTagPr>
        <w:r>
          <w:t>§68</w:t>
        </w:r>
      </w:smartTag>
      <w:r>
        <w:t xml:space="preserve">.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3">
    <w:p w14:paraId="070DD678" w14:textId="77777777" w:rsidR="00494B49" w:rsidRDefault="00494B49">
      <w:pPr>
        <w:pStyle w:val="FootnoteText"/>
      </w:pPr>
      <w:r>
        <w:rPr>
          <w:rStyle w:val="FootnoteReference"/>
        </w:rPr>
        <w:footnoteRef/>
      </w:r>
      <w:r>
        <w:t xml:space="preserve">See </w:t>
      </w:r>
      <w:smartTag w:uri="http://www.bna.com/sgml2word/cite" w:element="cite.usc">
        <w:smartTagPr>
          <w:attr w:name="ref" w:val="USC\26\475(f)(1)(D)"/>
        </w:smartTagPr>
        <w:r>
          <w:t>§475(f)(1)(D)</w:t>
        </w:r>
      </w:smartTag>
      <w:r>
        <w:t xml:space="preserve">, which provides, generally, that making a </w:t>
      </w:r>
      <w:smartTag w:uri="http://www.bna.com/sgml2word/cite" w:element="cite.usc">
        <w:smartTagPr>
          <w:attr w:name="ref" w:val="USC\26\475(f)"/>
        </w:smartTagPr>
        <w:r>
          <w:t>§475(f)</w:t>
        </w:r>
      </w:smartTag>
      <w:r>
        <w:t xml:space="preserve"> election will not cause the trader fund to be considered a dealer in securities (such that the exclusion of gains from NESE in </w:t>
      </w:r>
      <w:smartTag w:uri="http://www.bna.com/sgml2word/cite" w:element="cite.usc">
        <w:smartTagPr>
          <w:attr w:name="ref" w:val="USC\26\1402(a)(3)"/>
        </w:smartTagPr>
        <w:r>
          <w:t>§1402(a)(3)</w:t>
        </w:r>
      </w:smartTag>
      <w:r>
        <w:t xml:space="preserve"> will cease to apply). </w:t>
      </w:r>
    </w:p>
  </w:footnote>
  <w:footnote w:id="534">
    <w:p w14:paraId="38E971F1" w14:textId="77777777" w:rsidR="00494B49" w:rsidRDefault="00494B49">
      <w:pPr>
        <w:pStyle w:val="FootnoteText"/>
      </w:pPr>
      <w:r>
        <w:rPr>
          <w:rStyle w:val="FootnoteReference"/>
        </w:rPr>
        <w:footnoteRef/>
      </w:r>
      <w:r>
        <w:t xml:space="preserve">Note, however, that as part of its efforts to increase compliance with the self-employment tax by partnerships, LLCs, LLPs, and others, the IRS has increasingly litigated its position that limited partners who are "limited" in name only do not qualify for the §1402(a)(13) exception. </w:t>
      </w:r>
      <w:r>
        <w:rPr>
          <w:i/>
        </w:rPr>
        <w:t>See, e.g.,</w:t>
      </w:r>
      <w:r>
        <w:t xml:space="preserve"> </w:t>
      </w:r>
      <w:hyperlink r:id="rId3" w:history="1">
        <w:r>
          <w:rPr>
            <w:rStyle w:val="Hyperlink"/>
          </w:rPr>
          <w:t>IR-2024-09</w:t>
        </w:r>
      </w:hyperlink>
      <w:r>
        <w:t xml:space="preserve"> (Jan. 12, 2024) and </w:t>
      </w:r>
      <w:r>
        <w:rPr>
          <w:rStyle w:val="BCasenamefull"/>
        </w:rPr>
        <w:t>Soroban Capital Partners LP v. Commissioner</w:t>
      </w:r>
      <w:r>
        <w:t xml:space="preserve">, </w:t>
      </w:r>
      <w:smartTag w:uri="http://www.bna.com/sgml2word/cite" w:element="cite.parallel">
        <w:smartTagPr>
          <w:attr w:name="ref" w:val="TC\161\NO12"/>
        </w:smartTagPr>
        <w:r>
          <w:t>161 T.C. No. 12</w:t>
        </w:r>
      </w:smartTag>
      <w:r>
        <w:t xml:space="preserve"> (Nov. 28, 2023) (the limited partner exception in </w:t>
      </w:r>
      <w:smartTag w:uri="http://www.bna.com/sgml2word/cite" w:element="cite.usc">
        <w:smartTagPr>
          <w:attr w:name="ref" w:val="USC\26\1402(a)(13)"/>
        </w:smartTagPr>
        <w:r>
          <w:t>§1402(a)(13)</w:t>
        </w:r>
      </w:smartTag>
      <w:r>
        <w:t xml:space="preserve"> does not apply to a partner who is limited in name only; determining whether the exception applies requires analyzing the limited partner's functions and roles in the partnership). The </w:t>
      </w:r>
      <w:smartTag w:uri="http://www.bna.com/sgml2word/cite" w:element="cite.usc">
        <w:r>
          <w:t>§1402(a)(13)</w:t>
        </w:r>
      </w:smartTag>
      <w:r>
        <w:t xml:space="preserve"> exception as it may apply to partners and limited partners in private equity funds and hedge funds, and other court cases, is discussed further in </w:t>
      </w:r>
      <w:smartTag w:uri="http://www.bna.com/sgml2word/cite" w:element="cite.bna.reference">
        <w:smartTagPr>
          <w:attr w:name="bna.id.ref" w:val="TM\735"/>
        </w:smartTagPr>
        <w:r>
          <w:t>392 T.M.</w:t>
        </w:r>
      </w:smartTag>
      <w:r>
        <w:t xml:space="preserve">, </w:t>
      </w:r>
      <w:r>
        <w:rPr>
          <w:i/>
        </w:rPr>
        <w:t>Withholding, Social Security, and Unemployment Taxes on Compensation</w:t>
      </w:r>
      <w:r>
        <w:t xml:space="preserve">, </w:t>
      </w:r>
      <w:smartTag w:uri="http://www.bna.com/sgml2word/cite" w:element="cite.bna.reference">
        <w:smartTagPr>
          <w:attr w:name="bna.id.ref" w:val="TM\735"/>
        </w:smartTagPr>
        <w:r>
          <w:t>735 T.M.</w:t>
        </w:r>
      </w:smartTag>
      <w:r>
        <w:t xml:space="preserve">, </w:t>
      </w:r>
      <w:r>
        <w:rPr>
          <w:i/>
        </w:rPr>
        <w:t>Private Equity Funds</w:t>
      </w:r>
      <w:r>
        <w:t xml:space="preserve"> and </w:t>
      </w:r>
      <w:smartTag w:uri="http://www.bna.com/sgml2word/cite" w:element="cite.bna.reference">
        <w:smartTagPr>
          <w:attr w:name="bna.id.ref" w:val="TM\736"/>
        </w:smartTagPr>
        <w:r>
          <w:t>736 T.M.</w:t>
        </w:r>
      </w:smartTag>
      <w:r>
        <w:t xml:space="preserve">, </w:t>
      </w:r>
      <w:r>
        <w:rPr>
          <w:i/>
        </w:rPr>
        <w:t>Hedge Funds</w:t>
      </w:r>
      <w:r>
        <w:t>.</w:t>
      </w:r>
    </w:p>
  </w:footnote>
  <w:footnote w:id="535">
    <w:p w14:paraId="6EC4F4CD" w14:textId="77777777" w:rsidR="00494B49" w:rsidRDefault="00494B49">
      <w:pPr>
        <w:pStyle w:val="FootnoteText"/>
      </w:pPr>
      <w:r>
        <w:rPr>
          <w:rStyle w:val="FootnoteReference"/>
        </w:rPr>
        <w:footnoteRef/>
      </w:r>
      <w:r>
        <w:t xml:space="preserve">Note that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6">
    <w:p w14:paraId="14F05CE7" w14:textId="77777777" w:rsidR="00494B49" w:rsidRDefault="00494B49">
      <w:pPr>
        <w:pStyle w:val="FootnoteText"/>
      </w:pPr>
      <w:r>
        <w:rPr>
          <w:rStyle w:val="FootnoteReference"/>
        </w:rPr>
        <w:footnoteRef/>
      </w:r>
      <w:smartTag w:uri="http://www.bna.com/sgml2word/cite" w:element="cite.usc">
        <w:smartTagPr>
          <w:attr w:name="ref" w:val="USC\26\1411(c)(1)(B)"/>
        </w:smartTagPr>
        <w:r>
          <w:t>§1411(c)(1)(B)</w:t>
        </w:r>
      </w:smartTag>
      <w:r>
        <w:t>.</w:t>
      </w:r>
    </w:p>
  </w:footnote>
  <w:footnote w:id="537">
    <w:p w14:paraId="6428CA48" w14:textId="77777777" w:rsidR="00494B49" w:rsidRDefault="00494B49">
      <w:pPr>
        <w:pStyle w:val="FootnoteText"/>
      </w:pPr>
      <w:r>
        <w:rPr>
          <w:rStyle w:val="FootnoteReference"/>
        </w:rPr>
        <w:footnoteRef/>
      </w:r>
      <w:smartTag w:uri="http://www.bna.com/sgml2word/cite" w:element="cite.cfr">
        <w:smartTagPr>
          <w:attr w:name="ref" w:val="cfr\26\1.1411-4(f)(2)"/>
        </w:smartTagPr>
        <w:r>
          <w:t>Reg. §1.1411-4(f)(2)</w:t>
        </w:r>
      </w:smartTag>
      <w:r>
        <w:t>.</w:t>
      </w:r>
    </w:p>
  </w:footnote>
  <w:footnote w:id="538">
    <w:p w14:paraId="0BE5071F" w14:textId="77777777" w:rsidR="00494B49" w:rsidRDefault="00494B49">
      <w:pPr>
        <w:pStyle w:val="FootnoteText"/>
      </w:pPr>
      <w:r>
        <w:rPr>
          <w:rStyle w:val="FootnoteReference"/>
        </w:rPr>
        <w:footnoteRef/>
      </w:r>
      <w:smartTag w:uri="http://www.bna.com/sgml2word/cite" w:element="cite.cfr">
        <w:smartTagPr>
          <w:attr w:name="ref" w:val="cfr\26\1.1411-4(f)(3)"/>
        </w:smartTagPr>
        <w:r>
          <w:t>Reg. §1.1411-4(f)(3)</w:t>
        </w:r>
      </w:smartTag>
      <w:r>
        <w:t>.</w:t>
      </w:r>
    </w:p>
  </w:footnote>
  <w:footnote w:id="539">
    <w:p w14:paraId="6C4EF75E" w14:textId="77777777" w:rsidR="00494B49" w:rsidRDefault="00494B49">
      <w:pPr>
        <w:pStyle w:val="FootnoteText"/>
      </w:pPr>
      <w:r>
        <w:rPr>
          <w:rStyle w:val="FootnoteReference"/>
        </w:rPr>
        <w:footnoteRef/>
      </w:r>
      <w:r>
        <w:t xml:space="preserve">For example, </w:t>
      </w:r>
      <w:smartTag w:uri="http://www.bna.com/sgml2word/cite" w:element="cite.cfr">
        <w:smartTagPr>
          <w:attr w:name="ref" w:val="cfr\26\1.1411-4(f)(4)"/>
        </w:smartTagPr>
        <w:r>
          <w:t>Reg. §1.1411-4(f)(4)</w:t>
        </w:r>
      </w:smartTag>
      <w:r>
        <w:t xml:space="preserve"> allows losses in excess of gains. Because a loss could be an above-the-line loss (such as the annual allowance of $3,000 of capital losses) or a below-the-line loss (such as casualty or theft losses allowed by reason of </w:t>
      </w:r>
      <w:smartTag w:uri="http://www.bna.com/sgml2word/cite" w:element="cite.usc">
        <w:smartTagPr>
          <w:attr w:name="ref" w:val="USC\26\165"/>
        </w:smartTagPr>
        <w:r>
          <w:t>§165</w:t>
        </w:r>
      </w:smartTag>
      <w:r>
        <w:t xml:space="preserve">), the provision was included outside of the </w:t>
      </w:r>
      <w:smartTag w:uri="http://www.bna.com/sgml2word/cite" w:element="cite.usc">
        <w:smartTagPr>
          <w:attr w:name="ref" w:val="USC\26\62"/>
        </w:smartTagPr>
        <w:r>
          <w:t>§62</w:t>
        </w:r>
      </w:smartTag>
      <w:r>
        <w:t xml:space="preserve"> and </w:t>
      </w:r>
      <w:smartTag w:uri="http://www.bna.com/sgml2word/cite" w:element="cite.usc">
        <w:smartTagPr>
          <w:attr w:name="ref" w:val="USC\26\63"/>
        </w:smartTagPr>
        <w:r>
          <w:t>§63</w:t>
        </w:r>
      </w:smartTag>
      <w:r>
        <w:t xml:space="preserve">-referenced framework in </w:t>
      </w:r>
      <w:smartTag w:uri="http://www.bna.com/sgml2word/cite" w:element="cite.cfr">
        <w:smartTagPr>
          <w:attr w:name="ref" w:val="cfr\26\1.1411-4(f)(2)"/>
        </w:smartTagPr>
        <w:r>
          <w:t>Reg. §1.1411-4(f)(2)</w:t>
        </w:r>
      </w:smartTag>
      <w:r>
        <w:t xml:space="preserve"> and </w:t>
      </w:r>
      <w:smartTag w:uri="http://www.bna.com/sgml2word/cite" w:element="cite.cfr">
        <w:smartTagPr>
          <w:attr w:name="ref" w:val="cfr\26\1.1411-4(f)(3)"/>
        </w:smartTagPr>
        <w:r>
          <w:t>§1.1411-4(f)(3)</w:t>
        </w:r>
      </w:smartTag>
      <w:r>
        <w:t xml:space="preserve"> in order to avoid having to provide specific deduction language for each variant. The same is also true, for example, in </w:t>
      </w:r>
      <w:smartTag w:uri="http://www.bna.com/sgml2word/cite" w:element="cite.cfr">
        <w:smartTagPr>
          <w:attr w:name="ref" w:val="cfr\26\1.1411-4(f)(5)"/>
        </w:smartTagPr>
        <w:r>
          <w:t>Reg. §1.1411-4(f)(5)</w:t>
        </w:r>
      </w:smartTag>
      <w:r>
        <w:t xml:space="preserve"> (which would depend on the treatment of the item under </w:t>
      </w:r>
      <w:smartTag w:uri="http://www.bna.com/sgml2word/cite" w:element="cite.usc">
        <w:smartTagPr>
          <w:attr w:name="ref" w:val="USC\26\67(e)"/>
        </w:smartTagPr>
        <w:r>
          <w:t>§67(e)</w:t>
        </w:r>
      </w:smartTag>
      <w:r>
        <w:t>).</w:t>
      </w:r>
    </w:p>
  </w:footnote>
  <w:footnote w:id="540">
    <w:p w14:paraId="2C74B973" w14:textId="77777777" w:rsidR="00494B49" w:rsidRDefault="00494B49">
      <w:pPr>
        <w:pStyle w:val="FootnoteText"/>
      </w:pPr>
      <w:r>
        <w:rPr>
          <w:rStyle w:val="FootnoteReference"/>
        </w:rPr>
        <w:footnoteRef/>
      </w:r>
      <w:r>
        <w:rPr>
          <w:i/>
        </w:rPr>
        <w:t xml:space="preserve">Note: </w:t>
      </w:r>
      <w:r>
        <w:t xml:space="preserve">Miscellaneous itemized deductions—including most deductions under </w:t>
      </w:r>
      <w:smartTag w:uri="http://www.bna.com/sgml2word/cite" w:element="cite.usc">
        <w:smartTagPr>
          <w:attr w:name="ref" w:val="USC\26\212"/>
        </w:smartTagPr>
        <w:r>
          <w:t>§212</w:t>
        </w:r>
      </w:smartTag>
      <w:r>
        <w:t xml:space="preserve">—are disallowed for tax years beginning in 2018 through 2025. </w:t>
      </w:r>
      <w:smartTag w:uri="http://www.bna.com/sgml2word/cite" w:element="cite.usc">
        <w:smartTagPr>
          <w:attr w:name="ref" w:val="USC\26\67(g)"/>
        </w:smartTagPr>
        <w:r>
          <w:t>§67(g)</w:t>
        </w:r>
      </w:smartTag>
      <w:r>
        <w:t>.</w:t>
      </w:r>
    </w:p>
  </w:footnote>
  <w:footnote w:id="541">
    <w:p w14:paraId="14FB44A0" w14:textId="77777777" w:rsidR="00494B49" w:rsidRDefault="00494B49">
      <w:pPr>
        <w:pStyle w:val="FootnoteText"/>
      </w:pPr>
      <w:r>
        <w:rPr>
          <w:rStyle w:val="FootnoteReference"/>
        </w:rPr>
        <w:footnoteRef/>
      </w:r>
      <w:r>
        <w:rPr>
          <w:i/>
        </w:rPr>
        <w:t>See</w:t>
      </w:r>
      <w:r>
        <w:t xml:space="preserve"> </w:t>
      </w:r>
      <w:smartTag w:uri="http://www.bna.com/sgml2word/cite" w:element="cite.cfr">
        <w:smartTagPr>
          <w:attr w:name="ref" w:val="cfr\26\1.1411-4(f)"/>
        </w:smartTagPr>
        <w:r>
          <w:t>Reg. §1.1411-4(f)</w:t>
        </w:r>
      </w:smartTag>
      <w:r>
        <w:t xml:space="preserve">. </w:t>
      </w:r>
      <w:smartTag w:uri="http://www.bna.com/sgml2word/cite" w:element="cite.cfr">
        <w:smartTagPr>
          <w:attr w:name="ref" w:val="cfr\26\1.1411-4(f)(2)(v)"/>
        </w:smartTagPr>
        <w:r>
          <w:t>Reg. §1.1411-4(f)(2)(v)</w:t>
        </w:r>
      </w:smartTag>
      <w:r>
        <w:t xml:space="preserve"> contains two examples of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Any other loss deferral regime, such as </w:t>
      </w:r>
      <w:smartTag w:uri="http://www.bna.com/sgml2word/cite" w:element="cite.usc">
        <w:smartTagPr>
          <w:attr w:name="ref" w:val="USC\26\267"/>
        </w:smartTagPr>
        <w:r>
          <w:t>§267</w:t>
        </w:r>
      </w:smartTag>
      <w:r>
        <w:t>, would operate in a similar fashion without the need for NIIT-specific rules.</w:t>
      </w:r>
    </w:p>
  </w:footnote>
  <w:footnote w:id="542">
    <w:p w14:paraId="06846B6C" w14:textId="77777777" w:rsidR="00494B49" w:rsidRDefault="00494B49">
      <w:pPr>
        <w:pStyle w:val="FootnoteText"/>
      </w:pPr>
      <w:r>
        <w:rPr>
          <w:rStyle w:val="FootnoteReference"/>
        </w:rPr>
        <w:footnoteRef/>
      </w:r>
      <w:smartTag w:uri="http://www.bna.com/sgml2word/cite" w:element="cite.usc">
        <w:smartTagPr>
          <w:attr w:name="ref" w:val="USC\26\7518(c)(1)(A)"/>
        </w:smartTagPr>
        <w:r>
          <w:t>Section 7518(c)(1)(A)</w:t>
        </w:r>
      </w:smartTag>
      <w:r>
        <w:t xml:space="preserve">, contained within Chapter 77 of Subtitle F of the Code, provides that taxable income is reduced by certain amounts described in </w:t>
      </w:r>
      <w:smartTag w:uri="http://www.bna.com/sgml2word/cite" w:element="cite.usc">
        <w:smartTagPr>
          <w:attr w:name="ref" w:val="USC\26\7518(a)(1)(A)"/>
        </w:smartTagPr>
        <w:r>
          <w:t>§7518(a)(1)(A)</w:t>
        </w:r>
      </w:smartTag>
      <w:r>
        <w:t xml:space="preserve"> that a taxpayer deposits into the fund.</w:t>
      </w:r>
    </w:p>
  </w:footnote>
  <w:footnote w:id="543">
    <w:p w14:paraId="2119B1AD" w14:textId="77777777" w:rsidR="00494B49" w:rsidRDefault="00494B49">
      <w:pPr>
        <w:pStyle w:val="FootnoteText"/>
      </w:pPr>
      <w:r>
        <w:rPr>
          <w:rStyle w:val="FootnoteReference"/>
        </w:rPr>
        <w:footnoteRef/>
      </w:r>
      <w:smartTag w:uri="http://www.bna.com/sgml2word/cite" w:element="cite.cfr">
        <w:smartTagPr>
          <w:attr w:name="ref" w:val="cfr\26\1.1411-4(f)(1)(i)"/>
        </w:smartTagPr>
        <w:r>
          <w:t>Reg. §1.1411-4(f)(1)(i)</w:t>
        </w:r>
      </w:smartTag>
      <w:r>
        <w:t>.</w:t>
      </w:r>
    </w:p>
  </w:footnote>
  <w:footnote w:id="544">
    <w:p w14:paraId="71C21076" w14:textId="77777777" w:rsidR="00494B49" w:rsidRDefault="00494B49">
      <w:pPr>
        <w:pStyle w:val="FootnoteText"/>
      </w:pPr>
      <w:r>
        <w:rPr>
          <w:rStyle w:val="FootnoteReference"/>
        </w:rPr>
        <w:footnoteRef/>
      </w:r>
      <w:r>
        <w:t xml:space="preserve">The American Bar Association's comment letter to the 2012 Proposed Regulations requested that </w:t>
      </w:r>
      <w:smartTag w:uri="http://www.bna.com/sgml2word/cite" w:element="cite.cfr">
        <w:smartTagPr>
          <w:attr w:name="ref" w:val="cfr\26\1.1411-4(f)"/>
        </w:smartTagPr>
        <w:r>
          <w:t>Reg. §1.1411-4(f)</w:t>
        </w:r>
      </w:smartTag>
      <w:r>
        <w:t xml:space="preserve"> be expanded to include any deduction allowable by Subtitle A in lieu of the exclusive list. In rejecting this approach for the 2013 Final Regulations, the preamble stated, in relevant part, that “[t]he Treasury Department and the IRS believe the recommended language would permit taxpayers to argue that they can take deductions that have no direct relation to net investment income, and it would lead to uncertainty and to disputes between taxpayers and the IRS over what constitutes properly allocable deductions.”</w:t>
      </w:r>
    </w:p>
  </w:footnote>
  <w:footnote w:id="545">
    <w:p w14:paraId="3CFE7E2C" w14:textId="77777777" w:rsidR="00494B49" w:rsidRDefault="00494B49">
      <w:pPr>
        <w:pStyle w:val="FootnoteText"/>
      </w:pPr>
      <w:r>
        <w:rPr>
          <w:rStyle w:val="FootnoteReference"/>
        </w:rPr>
        <w:footnoteRef/>
      </w:r>
      <w:hyperlink r:id="rId4" w:history="1">
        <w:r>
          <w:rPr>
            <w:rStyle w:val="Hyperlink"/>
          </w:rPr>
          <w:t>Instructions for Form 8960</w:t>
        </w:r>
      </w:hyperlink>
      <w:r>
        <w:t>, Part II.[Footnotes 545–556 are reserved.]</w:t>
      </w:r>
    </w:p>
  </w:footnote>
  <w:footnote w:id="546">
    <w:p w14:paraId="0A3B28D7" w14:textId="77777777" w:rsidR="00494B49" w:rsidRDefault="00494B49">
      <w:pPr>
        <w:pStyle w:val="FootnoteText"/>
      </w:pPr>
      <w:r>
        <w:rPr>
          <w:rStyle w:val="FootnoteReference"/>
        </w:rPr>
        <w:footnoteRef/>
      </w:r>
      <w:r>
        <w:t xml:space="preserve">The 2012 Proposed Regulations specifically provided that properly allocable deductions allowed under </w:t>
      </w:r>
      <w:smartTag w:uri="http://www.bna.com/sgml2word/cite" w:element="cite.usc">
        <w:smartTagPr>
          <w:attr w:name="ref" w:val="USC\26\1411(c)(1)(B)"/>
        </w:smartTagPr>
        <w:r>
          <w:t>§1411(c)(1)(B)</w:t>
        </w:r>
      </w:smartTag>
      <w:r>
        <w:t xml:space="preserve"> could not exceed gross investment income included in </w:t>
      </w:r>
      <w:smartTag w:uri="http://www.bna.com/sgml2word/cite" w:element="cite.usc">
        <w:smartTagPr>
          <w:attr w:name="ref" w:val="USC\26\1411(c)(1)(A)"/>
        </w:smartTagPr>
        <w:r>
          <w:t>§1411(c)(1)(A)</w:t>
        </w:r>
      </w:smartTag>
      <w:r>
        <w:t xml:space="preserve">. Prop. Reg. </w:t>
      </w:r>
      <w:smartTag w:uri="http://www.bna.com/sgml2word/cite" w:element="cite.cfr">
        <w:smartTagPr>
          <w:attr w:name="ref" w:val="prule\cfr\26\1.1411-4(f)(1)(ii)"/>
        </w:smartTagPr>
        <w:r>
          <w:t>§1.1411-4(f)(1)(ii) (2012)</w:t>
        </w:r>
      </w:smartTag>
      <w:r>
        <w:t>. The 2013 Final Regulations (</w:t>
      </w:r>
      <w:smartTag w:uri="http://www.bna.com/sgml2word/cite" w:element="cite.agency.doc">
        <w:smartTagPr>
          <w:attr w:name="ref" w:val="IRS\PREAMBLE\TD9644"/>
        </w:smartTagPr>
        <w:r>
          <w:t>T.D. 9644</w:t>
        </w:r>
      </w:smartTag>
      <w:r>
        <w:t>) eliminated this limitation.</w:t>
      </w:r>
    </w:p>
  </w:footnote>
  <w:footnote w:id="547">
    <w:p w14:paraId="1A9A8531" w14:textId="77777777" w:rsidR="00494B49" w:rsidRDefault="00494B49">
      <w:pPr>
        <w:pStyle w:val="FootnoteText"/>
      </w:pPr>
      <w:r>
        <w:rPr>
          <w:rStyle w:val="FootnoteReference"/>
        </w:rPr>
        <w:footnoteRef/>
      </w:r>
      <w:r>
        <w:t xml:space="preserve">Fundamentally, this is the same result as for regular income tax. If a taxpayer’s deductions exceed income, the taxpayer may have negative taxable income (within the meaning of </w:t>
      </w:r>
      <w:smartTag w:uri="http://www.bna.com/sgml2word/cite" w:element="cite.usc">
        <w:smartTagPr>
          <w:attr w:name="ref" w:val="USC\26\63"/>
        </w:smartTagPr>
        <w:r>
          <w:t>§63</w:t>
        </w:r>
      </w:smartTag>
      <w:r>
        <w:t xml:space="preserve">), but there is no mechanism for that taxpayer to use those excess deductions in a future year other than through the creation of a net operating loss. The deductions in excess of gross income are permanently lost. Even in the case in which a net operating loss is created, the character of the underlying deductions that went into the calculation are replaced with a deduction allowed by </w:t>
      </w:r>
      <w:smartTag w:uri="http://www.bna.com/sgml2word/cite" w:element="cite.usc">
        <w:smartTagPr>
          <w:attr w:name="ref" w:val="USC\26\172"/>
        </w:smartTagPr>
        <w:r>
          <w:t>§172</w:t>
        </w:r>
      </w:smartTag>
      <w:r>
        <w:t xml:space="preserve">. </w:t>
      </w:r>
    </w:p>
  </w:footnote>
  <w:footnote w:id="548">
    <w:p w14:paraId="34F46E6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below.</w:t>
      </w:r>
    </w:p>
  </w:footnote>
  <w:footnote w:id="549">
    <w:p w14:paraId="203C822C"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b"/>
        </w:smartTagPr>
        <w:r>
          <w:t>V.B.1.b.</w:t>
        </w:r>
      </w:smartTag>
      <w:smartTag w:uri="http://www.bna.com/sgml2word/cite" w:element="cite.bna.reference">
        <w:smartTagPr>
          <w:attr w:name="bna.id.ref" w:val="TM\873.V.B.1.b"/>
        </w:smartTagPr>
        <w:r>
          <w:t>V.B.1.b.</w:t>
        </w:r>
      </w:smartTag>
      <w:r>
        <w:t>, below.</w:t>
      </w:r>
    </w:p>
  </w:footnote>
  <w:footnote w:id="550">
    <w:p w14:paraId="4C5A852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c"/>
        </w:smartTagPr>
        <w:r>
          <w:t>V.B.1.c.</w:t>
        </w:r>
      </w:smartTag>
      <w:smartTag w:uri="http://www.bna.com/sgml2word/cite" w:element="cite.bna.reference">
        <w:smartTagPr>
          <w:attr w:name="bna.id.ref" w:val="TM\873.V.B.1.c"/>
        </w:smartTagPr>
        <w:r>
          <w:t>V.B.1.c.</w:t>
        </w:r>
      </w:smartTag>
      <w:r>
        <w:t>, below.</w:t>
      </w:r>
    </w:p>
  </w:footnote>
  <w:footnote w:id="551">
    <w:p w14:paraId="47B3520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d"/>
        </w:smartTagPr>
        <w:r>
          <w:t>V.B.1.d.</w:t>
        </w:r>
      </w:smartTag>
      <w:smartTag w:uri="http://www.bna.com/sgml2word/cite" w:element="cite.bna.reference">
        <w:smartTagPr>
          <w:attr w:name="bna.id.ref" w:val="TM\873.V.B.1.d"/>
        </w:smartTagPr>
        <w:r>
          <w:t>V.B.1.d.</w:t>
        </w:r>
      </w:smartTag>
      <w:r>
        <w:t>, below.</w:t>
      </w:r>
    </w:p>
  </w:footnote>
  <w:footnote w:id="552">
    <w:p w14:paraId="455FCCF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
        </w:smartTagPr>
        <w:r>
          <w:t>§1.1411-4(f)(2)(i)</w:t>
        </w:r>
      </w:smartTag>
      <w:r>
        <w:t>.</w:t>
      </w:r>
    </w:p>
  </w:footnote>
  <w:footnote w:id="553">
    <w:p w14:paraId="0746C619" w14:textId="77777777" w:rsidR="00494B49" w:rsidRDefault="00494B49">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holds that, to the extent that the taxpayer reports one or more trades or businesses directly (or through one of more disregarded entities) on </w:t>
      </w:r>
      <w:smartTag w:uri="http://www.bna.com/sgml2word/cite" w:element="cite.fed.form">
        <w:smartTagPr>
          <w:attr w:name="ref" w:val="irs\form1040"/>
        </w:smartTagPr>
        <w:r>
          <w:t>Form 1040</w:t>
        </w:r>
      </w:smartTag>
      <w:r>
        <w:t xml:space="preserve">, Schedule C, Schedule E, or Schedule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deductible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§1411(c)(1)(A)(i)</w:t>
        </w:r>
      </w:smartTag>
      <w:r>
        <w:t>.</w:t>
      </w:r>
    </w:p>
  </w:footnote>
  <w:footnote w:id="554">
    <w:p w14:paraId="412A608F" w14:textId="77777777" w:rsidR="00494B49" w:rsidRDefault="00494B49">
      <w:pPr>
        <w:pStyle w:val="FootnoteText"/>
      </w:pPr>
      <w:r>
        <w:rPr>
          <w:rStyle w:val="FootnoteReference"/>
        </w:rPr>
        <w:footnoteRef/>
      </w:r>
      <w:r>
        <w:t xml:space="preserve">However, if Congress were to enact a new deduction and insert a new subsection within </w:t>
      </w:r>
      <w:smartTag w:uri="http://www.bna.com/sgml2word/cite" w:element="cite.usc">
        <w:smartTagPr>
          <w:attr w:name="ref" w:val="USC\26\62(a)"/>
        </w:smartTagPr>
        <w:r>
          <w:t>§62(a)</w:t>
        </w:r>
      </w:smartTag>
      <w:r>
        <w:t xml:space="preserve"> to ensure it is an above-the-line deduction, the new deduction would not be deductible against net investment income under Reg. </w:t>
      </w:r>
      <w:smartTag w:uri="http://www.bna.com/sgml2word/cite" w:element="cite.cfr">
        <w:smartTagPr>
          <w:attr w:name="ref" w:val="cfr\26\1.1411-4(f)(2)"/>
        </w:smartTagPr>
        <w:r>
          <w:t>§1.1411-4(f)(2)</w:t>
        </w:r>
      </w:smartTag>
      <w:r>
        <w:t xml:space="preserve">. If the Treasury Department and the IRS were to determine that new deduction should be deductible in computing net investment income, they would have to either amend Reg. </w:t>
      </w:r>
      <w:smartTag w:uri="http://www.bna.com/sgml2word/cite" w:element="cite.cfr">
        <w:smartTagPr>
          <w:attr w:name="ref" w:val="cfr\26\1.1411-4(f)(2)"/>
        </w:smartTagPr>
        <w:r>
          <w:t>§1.1411-4(f)(2)</w:t>
        </w:r>
      </w:smartTag>
      <w:r>
        <w:t xml:space="preserve"> or use the authority given in Reg. </w:t>
      </w:r>
      <w:smartTag w:uri="http://www.bna.com/sgml2word/cite" w:element="cite.cfr">
        <w:smartTagPr>
          <w:attr w:name="ref" w:val="cfr\26\1.1411-4(f)(6)"/>
        </w:smartTagPr>
        <w:r>
          <w:t>§1.1411-4(f)(6)</w:t>
        </w:r>
      </w:smartTag>
      <w:r>
        <w:t xml:space="preserve"> to make the new deduction deductible by issuing a revenue ruling to that effect.</w:t>
      </w:r>
    </w:p>
  </w:footnote>
  <w:footnote w:id="555">
    <w:p w14:paraId="11C71FA0" w14:textId="77777777" w:rsidR="00494B49" w:rsidRDefault="00494B49">
      <w:pPr>
        <w:pStyle w:val="FootnoteText"/>
      </w:pPr>
      <w:r>
        <w:rPr>
          <w:rStyle w:val="FootnoteReference"/>
        </w:rPr>
        <w:footnoteRef/>
      </w:r>
      <w:smartTag w:uri="http://www.bna.com/sgml2word/cite" w:element="cite.usc">
        <w:smartTagPr>
          <w:attr w:name="ref" w:val="USC\26\703"/>
        </w:smartTagPr>
        <w:r>
          <w:t>Section 703</w:t>
        </w:r>
      </w:smartTag>
      <w:r>
        <w:t xml:space="preserve"> provides that “taxable income of a partnership shall be computed in the same manner as in the case of an individual” (which, in general, would require the partnership to compute net rental/royalty income or trade or business income using the same deductions aggregated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w:t>
      </w:r>
    </w:p>
  </w:footnote>
  <w:footnote w:id="556">
    <w:p w14:paraId="1F14F027" w14:textId="77777777" w:rsidR="00494B49" w:rsidRDefault="00494B49">
      <w:pPr>
        <w:pStyle w:val="FootnoteText"/>
      </w:pPr>
      <w:r>
        <w:rPr>
          <w:rStyle w:val="FootnoteReference"/>
        </w:rPr>
        <w:footnoteRef/>
      </w:r>
      <w:r>
        <w:t xml:space="preserve">Examples 1 and 2 in Reg. </w:t>
      </w:r>
      <w:smartTag w:uri="http://www.bna.com/sgml2word/cite" w:element="cite.cfr">
        <w:smartTagPr>
          <w:attr w:name="ref" w:val="cfr\26\1.1411-4(f)(2)(v)"/>
        </w:smartTagPr>
        <w:r>
          <w:t>§1.1411-4(f)(2)(v)</w:t>
        </w:r>
      </w:smartTag>
      <w:r>
        <w:t xml:space="preserve"> illustrate this result.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more discussion of the application of various loss limitation regimes within the NIIT context. For tax years beginning after December 31, 2017, the cross-reference to </w:t>
      </w:r>
      <w:smartTag w:uri="http://www.bna.com/sgml2word/cite" w:element="cite.usc">
        <w:smartTagPr>
          <w:attr w:name="ref" w:val="USC\26\62(a)(4)"/>
        </w:smartTagPr>
        <w:r>
          <w:t>§62(a)(4)</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 NIIT deduction when that amount is ultimately allowed as a deduction in arriving at taxable income in a later year (assuming that it is allowed after taking into account other limitations such as those under </w:t>
      </w:r>
      <w:smartTag w:uri="http://www.bna.com/sgml2word/cite" w:element="cite.usc">
        <w:smartTagPr>
          <w:attr w:name="ref" w:val="USC\26\465"/>
        </w:smartTagPr>
        <w:r>
          <w:t>§465</w:t>
        </w:r>
      </w:smartTag>
      <w:r>
        <w:t xml:space="preserve"> (amounts at risk), </w:t>
      </w:r>
      <w:smartTag w:uri="http://www.bna.com/sgml2word/cite" w:element="cite.usc">
        <w:smartTagPr>
          <w:attr w:name="ref" w:val="USC\26\469"/>
        </w:smartTagPr>
        <w:r>
          <w:t>§469</w:t>
        </w:r>
      </w:smartTag>
      <w:r>
        <w:t xml:space="preserve"> (passive activity losses and credits), and </w:t>
      </w:r>
      <w:smartTag w:uri="http://www.bna.com/sgml2word/cite" w:element="cite.usc">
        <w:smartTagPr>
          <w:attr w:name="ref" w:val="USC\26\461(l)"/>
        </w:smartTagPr>
        <w:r>
          <w:t>§461(l)</w:t>
        </w:r>
      </w:smartTag>
      <w:r>
        <w:t xml:space="preserve"> (excess business losses of noncorporate taxpayers)). To the extent that a taxpayer makes a real property business election under </w:t>
      </w:r>
      <w:smartTag w:uri="http://www.bna.com/sgml2word/cite" w:element="cite.usc">
        <w:smartTagPr>
          <w:attr w:name="ref" w:val="USC\26\163(j)"/>
        </w:smartTagPr>
        <w:r>
          <w:t>§163(j)</w:t>
        </w:r>
      </w:smartTag>
      <w:r>
        <w:t xml:space="preserve">, the interest will not be limited under </w:t>
      </w:r>
      <w:smartTag w:uri="http://www.bna.com/sgml2word/cite" w:element="cite.usc">
        <w:smartTagPr>
          <w:attr w:name="ref" w:val="USC\26\163(j)"/>
        </w:smartTagPr>
        <w:r>
          <w:t>§163(j)</w:t>
        </w:r>
      </w:smartTag>
      <w:r>
        <w:t xml:space="preserve"> and, therefore, also not limited for the net investment income (NII) calculation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57">
    <w:p w14:paraId="014DD666" w14:textId="77777777" w:rsidR="00494B49" w:rsidRDefault="00494B49">
      <w:pPr>
        <w:pStyle w:val="FootnoteText"/>
      </w:pPr>
      <w:r>
        <w:rPr>
          <w:rStyle w:val="FootnoteReference"/>
        </w:rPr>
        <w:footnoteRef/>
      </w:r>
      <w:r>
        <w:t xml:space="preserve">If a partner reported business income from Schedule K-1 on Form </w:t>
      </w:r>
      <w:smartTag w:uri="http://www.bna.com/sgml2word/cite" w:element="cite.fed.form">
        <w:smartTagPr>
          <w:attr w:name="ref" w:val="irs\form1040"/>
        </w:smartTagPr>
        <w:r>
          <w:t>1040</w:t>
        </w:r>
      </w:smartTag>
      <w:r>
        <w:t xml:space="preserve">, Schedule E, Page 2 net of any expenses. In addition, the partner may also have </w:t>
      </w:r>
      <w:smartTag w:uri="http://www.bna.com/sgml2word/cite" w:element="cite.usc">
        <w:smartTagPr>
          <w:attr w:name="ref" w:val="USC\26\62(a)(1)"/>
        </w:smartTagPr>
        <w:r>
          <w:t>§62(a)(1)</w:t>
        </w:r>
      </w:smartTag>
      <w:r>
        <w:t xml:space="preserve"> expenses allocable to the trade or business conducted by the S corporation or partnership. For example, interest expense incurred by the partners associated with the acquisition of the partnership interest (either by purchase or capital contribution) may be a </w:t>
      </w:r>
      <w:smartTag w:uri="http://www.bna.com/sgml2word/cite" w:element="cite.usc">
        <w:smartTagPr>
          <w:attr w:name="ref" w:val="USC\26\62(a)(1)"/>
        </w:smartTagPr>
        <w:r>
          <w:t>§62(a)(1)</w:t>
        </w:r>
      </w:smartTag>
      <w:r>
        <w:t xml:space="preserve"> expense reported on Schedule E by reason of Reg. </w:t>
      </w:r>
      <w:smartTag w:uri="http://www.bna.com/sgml2word/cite" w:element="cite.cfr">
        <w:smartTagPr>
          <w:attr w:name="ref" w:val="cfr\26\1.163-8T"/>
        </w:smartTagPr>
        <w:r>
          <w:t>§1.163-8T</w:t>
        </w:r>
      </w:smartTag>
      <w:r>
        <w:t xml:space="preserve"> and IRS </w:t>
      </w:r>
      <w:smartTag w:uri="http://www.bna.com/sgml2word/cite" w:element="cite.agency.doc">
        <w:smartTagPr>
          <w:attr w:name="ref" w:val="IRS\Notice\89-35"/>
        </w:smartTagPr>
        <w:r>
          <w:t>Notice 89-35</w:t>
        </w:r>
      </w:smartTag>
      <w:r>
        <w:t xml:space="preserve">. For a discussion of interest tracing, see </w:t>
      </w:r>
      <w:smartTag w:uri="http://www.bna.com/sgml2word/cite" w:element="cite.bna.reference">
        <w:smartTagPr>
          <w:attr w:name="bna.id.ref" w:val="TM\536"/>
        </w:smartTagPr>
        <w:r>
          <w:t>536 T.M.</w:t>
        </w:r>
      </w:smartTag>
      <w:r>
        <w:t xml:space="preserve">, </w:t>
      </w:r>
      <w:r>
        <w:rPr>
          <w:i/>
        </w:rPr>
        <w:t>Interest Expense Deductions.</w:t>
      </w:r>
      <w:r>
        <w:t xml:space="preserve"> Additionally, expenses that are incurred by a partner or shareholder that are not reimbursable by the business may be reported as </w:t>
      </w:r>
      <w:smartTag w:uri="http://www.bna.com/sgml2word/cite" w:element="cite.usc">
        <w:smartTagPr>
          <w:attr w:name="ref" w:val="USC\26\62(a)(1)"/>
        </w:smartTagPr>
        <w:r>
          <w:t>§62(a)(1)</w:t>
        </w:r>
      </w:smartTag>
      <w:r>
        <w:t xml:space="preserve"> expenses on Schedule E. </w:t>
      </w:r>
      <w:r>
        <w:rPr>
          <w:i/>
        </w:rPr>
        <w:t>See</w:t>
      </w:r>
      <w:r>
        <w:t xml:space="preserve"> </w:t>
      </w:r>
      <w:smartTag w:uri="http://www.bna.com/sgml2word/cite" w:element="cite.agency.doc">
        <w:smartTagPr>
          <w:attr w:name="ref" w:val="IRS\TAM\9316003"/>
        </w:smartTagPr>
        <w:r>
          <w:t>TAM 9316003</w:t>
        </w:r>
      </w:smartTag>
      <w:r>
        <w:t xml:space="preserve">; </w:t>
      </w:r>
      <w:smartTag w:uri="http://www.bna.com/sgml2word/cite" w:element="cite.bna.reference">
        <w:smartTagPr>
          <w:attr w:name="bna.id.ref" w:val="TM\711"/>
        </w:smartTagPr>
        <w:r>
          <w:t>711 T.M.</w:t>
        </w:r>
      </w:smartTag>
      <w:r>
        <w:t xml:space="preserve">, </w:t>
      </w:r>
      <w:r>
        <w:rPr>
          <w:i/>
        </w:rPr>
        <w:t>Partnerships — Formation and Contributions of Property or Services</w:t>
      </w:r>
      <w:r>
        <w:t>.</w:t>
      </w:r>
    </w:p>
  </w:footnote>
  <w:footnote w:id="558">
    <w:p w14:paraId="2226AC7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above, for a discussion of rents and royalties included and excluded from net investment income.</w:t>
      </w:r>
    </w:p>
  </w:footnote>
  <w:footnote w:id="559">
    <w:p w14:paraId="40B25D65"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above, for a discussion of what constitutes a trade or business described in Reg. </w:t>
      </w:r>
      <w:smartTag w:uri="http://www.bna.com/sgml2word/cite" w:element="cite.cfr">
        <w:smartTagPr>
          <w:attr w:name="ref" w:val="cfr\26\1.1411-5"/>
        </w:smartTagPr>
        <w:r>
          <w:t>§1.1411-5</w:t>
        </w:r>
      </w:smartTag>
      <w:r>
        <w:t>.</w:t>
      </w:r>
    </w:p>
  </w:footnote>
  <w:footnote w:id="560">
    <w:p w14:paraId="15B5B1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
        </w:smartTagPr>
        <w:r>
          <w:t>§1.1411-4(f)(2)(ii)</w:t>
        </w:r>
      </w:smartTag>
      <w:r>
        <w:t>.</w:t>
      </w:r>
    </w:p>
  </w:footnote>
  <w:footnote w:id="561">
    <w:p w14:paraId="766F7652" w14:textId="77777777" w:rsidR="00494B49" w:rsidRDefault="00494B49">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provides that, to the extent that the taxpayer reports one or more trades or businesses directly (or through one of more disregarded entities) on Form </w:t>
      </w:r>
      <w:smartTag w:uri="http://www.bna.com/sgml2word/cite" w:element="cite.fed.form">
        <w:smartTagPr>
          <w:attr w:name="ref" w:val="irs\form1040"/>
        </w:smartTagPr>
        <w:r>
          <w:t>1040</w:t>
        </w:r>
      </w:smartTag>
      <w:r>
        <w:t xml:space="preserve">, Schedule C, E, or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§1411(c)(1)(A)(i)</w:t>
        </w:r>
      </w:smartTag>
      <w:r>
        <w:t>.</w:t>
      </w:r>
    </w:p>
  </w:footnote>
  <w:footnote w:id="562">
    <w:p w14:paraId="2D1B1483" w14:textId="77777777" w:rsidR="00494B49" w:rsidRDefault="00494B49">
      <w:pPr>
        <w:pStyle w:val="FootnoteText"/>
      </w:pPr>
      <w:r>
        <w:rPr>
          <w:rStyle w:val="FootnoteReference"/>
        </w:rPr>
        <w:footnoteRef/>
      </w:r>
      <w:r>
        <w:t xml:space="preserve">Similar to the situation discussed in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xml:space="preserve">, above, involving deductions attributable to rents and royalties, for tax years beginning after December 31, 2017, the cross reference to </w:t>
      </w:r>
      <w:smartTag w:uri="http://www.bna.com/sgml2word/cite" w:element="cite.usc">
        <w:smartTagPr>
          <w:attr w:name="ref" w:val="USC\26\62(a)(1)"/>
        </w:smartTagPr>
        <w:r>
          <w:t>§62(a)(1)</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an NII deduction when that amount is ultimately allowed as a deduction in arriving at taxable income in a later year (assuming that it is allowed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63">
    <w:p w14:paraId="02EEAEA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xml:space="preserve">, above, for a discussion of </w:t>
      </w:r>
      <w:smartTag w:uri="http://www.bna.com/sgml2word/cite" w:element="cite.usc">
        <w:smartTagPr>
          <w:attr w:name="ref" w:val="USC\26\1411(c)(1)(A)(ii)"/>
        </w:smartTagPr>
        <w:r>
          <w:t>§1411(c)(1)(A)(ii)</w:t>
        </w:r>
      </w:smartTag>
      <w:r>
        <w:t xml:space="preserve"> investment income.</w:t>
      </w:r>
    </w:p>
  </w:footnote>
  <w:footnote w:id="564">
    <w:p w14:paraId="19AECD9B" w14:textId="77777777" w:rsidR="00494B49" w:rsidRDefault="00494B49">
      <w:pPr>
        <w:pStyle w:val="FootnoteText"/>
      </w:pPr>
      <w:r>
        <w:rPr>
          <w:rStyle w:val="FootnoteReference"/>
        </w:rPr>
        <w:footnoteRef/>
      </w:r>
      <w:r>
        <w:rPr>
          <w:i/>
        </w:rPr>
        <w:t>See also</w:t>
      </w:r>
      <w:r>
        <w:t xml:space="preserve"> Reg. </w:t>
      </w:r>
      <w:smartTag w:uri="http://www.bna.com/sgml2word/cite" w:element="cite.cfr">
        <w:smartTagPr>
          <w:attr w:name="ref" w:val="cfr\26\1.1411-9(a)"/>
        </w:smartTagPr>
        <w:r>
          <w:t>§1.1411-9(a)</w:t>
        </w:r>
      </w:smartTag>
      <w:r>
        <w:t xml:space="preserve">. </w:t>
      </w:r>
    </w:p>
  </w:footnote>
  <w:footnote w:id="565">
    <w:p w14:paraId="621268BC" w14:textId="77777777" w:rsidR="00494B49" w:rsidRDefault="00494B49">
      <w:pPr>
        <w:pStyle w:val="FootnoteText"/>
      </w:pPr>
      <w:r>
        <w:rPr>
          <w:rStyle w:val="FootnoteReference"/>
        </w:rPr>
        <w:footnoteRef/>
      </w:r>
      <w:r>
        <w:t xml:space="preserve">When an election under </w:t>
      </w:r>
      <w:smartTag w:uri="http://www.bna.com/sgml2word/cite" w:element="cite.usc">
        <w:smartTagPr>
          <w:attr w:name="ref" w:val="USC\26\475(f)"/>
        </w:smartTagPr>
        <w:r>
          <w:t>§475(f)</w:t>
        </w:r>
      </w:smartTag>
      <w:r>
        <w:t xml:space="preserve"> is in effect, gains and losses of the trader are treated as ordinary gains and losses, rather than capital gains and losses.</w:t>
      </w:r>
    </w:p>
  </w:footnote>
  <w:footnote w:id="566">
    <w:p w14:paraId="7748D254" w14:textId="77777777" w:rsidR="00494B49" w:rsidRDefault="00494B49">
      <w:pPr>
        <w:pStyle w:val="FootnoteText"/>
      </w:pPr>
      <w:r>
        <w:rPr>
          <w:rStyle w:val="FootnoteReference"/>
        </w:rPr>
        <w:footnoteRef/>
      </w:r>
      <w:smartTag w:uri="http://www.bna.com/sgml2word/cite" w:element="cite.usc">
        <w:smartTagPr>
          <w:attr w:name="ref" w:val="USC\26\1402(a)(3)(A)"/>
        </w:smartTagPr>
        <w:r>
          <w:t>§1402(a)(3)(A)</w:t>
        </w:r>
      </w:smartTag>
      <w:r>
        <w:t>.</w:t>
      </w:r>
    </w:p>
  </w:footnote>
  <w:footnote w:id="567">
    <w:p w14:paraId="3FB9DF25" w14:textId="77777777" w:rsidR="00494B49" w:rsidRDefault="00494B49">
      <w:pPr>
        <w:pStyle w:val="FootnoteText"/>
      </w:pPr>
      <w:r>
        <w:rPr>
          <w:rStyle w:val="FootnoteReference"/>
        </w:rPr>
        <w:footnoteRef/>
      </w:r>
      <w:smartTag w:uri="http://www.bna.com/sgml2word/cite" w:element="cite.usc">
        <w:smartTagPr>
          <w:attr w:name="ref" w:val="USC\26\1402(a)(3)(C)(i)"/>
        </w:smartTagPr>
        <w:r>
          <w:t>§1402(a)(3)(C)(i)</w:t>
        </w:r>
      </w:smartTag>
      <w:r>
        <w:t>.</w:t>
      </w:r>
    </w:p>
  </w:footnote>
  <w:footnote w:id="568">
    <w:p w14:paraId="58B26761" w14:textId="77777777" w:rsidR="00494B49" w:rsidRDefault="00494B49">
      <w:pPr>
        <w:pStyle w:val="FootnoteText"/>
      </w:pPr>
      <w:r>
        <w:rPr>
          <w:rStyle w:val="FootnoteReference"/>
        </w:rPr>
        <w:footnoteRef/>
      </w:r>
      <w:smartTag w:uri="http://www.bna.com/sgml2word/cite" w:element="cite.usc">
        <w:smartTagPr>
          <w:attr w:name="ref" w:val="USC\26\1402(a)(3)(C)(ii)"/>
        </w:smartTagPr>
        <w:r>
          <w:t>§1402(a)(3)(C)(ii)</w:t>
        </w:r>
      </w:smartTag>
      <w:r>
        <w:t>.</w:t>
      </w:r>
    </w:p>
  </w:footnote>
  <w:footnote w:id="569">
    <w:p w14:paraId="4F34E561"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c)"/>
        </w:smartTagPr>
        <w:r>
          <w:t>§1.1402(a)-2(c)</w:t>
        </w:r>
      </w:smartTag>
      <w:r>
        <w:t xml:space="preserve"> does not differentiate between businesses. Therefore, there is no reason that the Reg. </w:t>
      </w:r>
      <w:smartTag w:uri="http://www.bna.com/sgml2word/cite" w:element="cite.cfr">
        <w:smartTagPr>
          <w:attr w:name="ref" w:val="cfr\26\1.1411-9(b)"/>
        </w:smartTagPr>
        <w:r>
          <w:t>§1.1411-9(b)</w:t>
        </w:r>
      </w:smartTag>
      <w:r>
        <w:t xml:space="preserve"> rule should be different in the NIIT context. </w:t>
      </w:r>
    </w:p>
  </w:footnote>
  <w:footnote w:id="570">
    <w:p w14:paraId="3B509EB8" w14:textId="77777777" w:rsidR="00494B49" w:rsidRDefault="00494B49">
      <w:pPr>
        <w:pStyle w:val="FootnoteText"/>
      </w:pPr>
      <w:r>
        <w:rPr>
          <w:rStyle w:val="FootnoteReference"/>
        </w:rPr>
        <w:footnoteRef/>
      </w:r>
      <w:r>
        <w:t xml:space="preserve">Intuitively, for expenses to be barred from the calculation of net earnings from self-employment, there would have to be a regulation that would invoke something conceptually similar to </w:t>
      </w:r>
      <w:smartTag w:uri="http://www.bna.com/sgml2word/cite" w:element="cite.usc">
        <w:smartTagPr>
          <w:attr w:name="ref" w:val="USC\26\265"/>
        </w:smartTagPr>
        <w:r>
          <w:t>§265</w:t>
        </w:r>
      </w:smartTag>
      <w:r>
        <w:t xml:space="preserve"> (barring deductions associated with the production of tax-exempt income). But such a rule does not exist. </w:t>
      </w:r>
    </w:p>
  </w:footnote>
  <w:footnote w:id="571">
    <w:p w14:paraId="1EE5C293" w14:textId="77777777" w:rsidR="00494B49" w:rsidRDefault="00494B49">
      <w:pPr>
        <w:pStyle w:val="FootnoteText"/>
      </w:pPr>
      <w:r>
        <w:rPr>
          <w:rStyle w:val="FootnoteReference"/>
        </w:rPr>
        <w:footnoteRef/>
      </w:r>
      <w:smartTag w:uri="http://www.bna.com/sgml2word/cite" w:element="cite.usc">
        <w:smartTagPr>
          <w:attr w:name="ref" w:val="USC\26\1402(a)(1)"/>
        </w:smartTagPr>
        <w:r>
          <w:t>Section 1402(a)(1)</w:t>
        </w:r>
      </w:smartTag>
      <w:r>
        <w:t xml:space="preserve"> provides, in relevant part, that “there shall be excluded rentals from real estate and from personal property leased with the real estate . . . </w:t>
      </w:r>
      <w:r>
        <w:rPr>
          <w:i/>
        </w:rPr>
        <w:t>together with the deductions attributable thereto</w:t>
      </w:r>
      <w:r>
        <w:t>, [emphasis added] unless . . ..”</w:t>
      </w:r>
    </w:p>
  </w:footnote>
  <w:footnote w:id="572">
    <w:p w14:paraId="6F66510C" w14:textId="77777777" w:rsidR="00494B49" w:rsidRDefault="00494B49">
      <w:pPr>
        <w:pStyle w:val="FootnoteText"/>
      </w:pPr>
      <w:r>
        <w:rPr>
          <w:rStyle w:val="FootnoteReference"/>
        </w:rPr>
        <w:footnoteRef/>
      </w:r>
      <w:r>
        <w:t>For this to occur, the individual must have net passive income from other sources.</w:t>
      </w:r>
    </w:p>
  </w:footnote>
  <w:footnote w:id="573">
    <w:p w14:paraId="43403CC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i)"/>
        </w:smartTagPr>
        <w:r>
          <w:t>§1.1411-4(f)(2)(iii)</w:t>
        </w:r>
      </w:smartTag>
      <w:r>
        <w:t xml:space="preserve">. See </w:t>
      </w:r>
      <w:smartTag w:uri="http://www.bna.com/sgml2word/cite" w:element="cite.bna.reference">
        <w:smartTagPr>
          <w:attr w:name="bna.id.ref" w:val="TM\503"/>
        </w:smartTagPr>
        <w:r>
          <w:t>503 T.M.</w:t>
        </w:r>
      </w:smartTag>
      <w:r>
        <w:t xml:space="preserve">, </w:t>
      </w:r>
      <w:r>
        <w:rPr>
          <w:i/>
        </w:rPr>
        <w:t>Principles of Income Tax Deductions</w:t>
      </w:r>
      <w:r>
        <w:t xml:space="preserve">. </w:t>
      </w:r>
    </w:p>
  </w:footnote>
  <w:footnote w:id="574">
    <w:p w14:paraId="1268B5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v)"/>
        </w:smartTagPr>
        <w:r>
          <w:t>§1.1411-4(f)(2)(iv)</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Computations.</w:t>
      </w:r>
    </w:p>
  </w:footnote>
  <w:footnote w:id="575">
    <w:p w14:paraId="560A97FA" w14:textId="77777777" w:rsidR="00494B49" w:rsidRDefault="00494B49">
      <w:pPr>
        <w:pStyle w:val="FootnoteText"/>
      </w:pPr>
      <w:r>
        <w:rPr>
          <w:rStyle w:val="FootnoteReference"/>
        </w:rPr>
        <w:footnoteRef/>
      </w:r>
      <w:r>
        <w:t xml:space="preserve">Under </w:t>
      </w:r>
      <w:smartTag w:uri="http://www.bna.com/sgml2word/cite" w:element="cite.usc">
        <w:smartTagPr>
          <w:attr w:name="ref" w:val="USC\26\63(d)"/>
        </w:smartTagPr>
        <w:r>
          <w:t>§63(d)</w:t>
        </w:r>
      </w:smartTag>
      <w:r>
        <w:t xml:space="preserve">, the term “itemized deductions” means the deductions allowable under Chapter 1 other than (1) the deductions allowable in arriving at adjusted gross income, (2) the standard deduction, (3) the deduction for personal exemptions provided by </w:t>
      </w:r>
      <w:smartTag w:uri="http://www.bna.com/sgml2word/cite" w:element="cite.usc">
        <w:smartTagPr>
          <w:attr w:name="ref" w:val="USC\26\151"/>
        </w:smartTagPr>
        <w:r>
          <w:t>§151</w:t>
        </w:r>
      </w:smartTag>
      <w:r>
        <w:t xml:space="preserve"> (which is $0 for tax years beginning in 2018 through 2025), (4) the qualified business income deduction provided in </w:t>
      </w:r>
      <w:smartTag w:uri="http://www.bna.com/sgml2word/cite" w:element="cite.usc">
        <w:smartTagPr>
          <w:attr w:name="ref" w:val="USC\26\199A"/>
        </w:smartTagPr>
        <w:r>
          <w:t>§199A</w:t>
        </w:r>
      </w:smartTag>
      <w:r>
        <w:t xml:space="preserve">, and (5) the deduction provided in </w:t>
      </w:r>
      <w:smartTag w:uri="http://www.bna.com/sgml2word/cite" w:element="cite.usc">
        <w:smartTagPr>
          <w:attr w:name="ref" w:val="usc\26\170(p)"/>
        </w:smartTagPr>
        <w:r>
          <w:t>§170(p)</w:t>
        </w:r>
      </w:smartTag>
      <w:r>
        <w:t xml:space="preserve"> (charitable contributions deduction for tax year beginning in 2021 for taxpayers who do not itemize deductions). </w:t>
      </w:r>
      <w:r>
        <w:rPr>
          <w:i/>
        </w:rPr>
        <w:t>See</w:t>
      </w:r>
      <w:r>
        <w:t xml:space="preserve"> </w:t>
      </w:r>
      <w:smartTag w:uri="http://www.bna.com/sgml2word/cite" w:element="cite.usc">
        <w:smartTagPr>
          <w:attr w:name="ref" w:val="USC\26\63(d)(1)"/>
        </w:smartTagPr>
        <w:r>
          <w:t>§63(d)(1)</w:t>
        </w:r>
      </w:smartTag>
      <w:r>
        <w:t xml:space="preserve">, </w:t>
      </w:r>
      <w:smartTag w:uri="http://www.bna.com/sgml2word/cite" w:element="cite.usc">
        <w:smartTagPr>
          <w:attr w:name="ref" w:val="USC\26\63(d)(2)"/>
        </w:smartTagPr>
        <w:r>
          <w:t>§63(d)(2)</w:t>
        </w:r>
      </w:smartTag>
      <w:r>
        <w:t xml:space="preserve"> (reference to </w:t>
      </w:r>
      <w:smartTag w:uri="http://www.bna.com/sgml2word/cite" w:element="cite.usc">
        <w:smartTagPr>
          <w:attr w:name="ref" w:val="USC\26\63(d)(1)"/>
        </w:smartTagPr>
        <w:r>
          <w:t>§63(b)</w:t>
        </w:r>
      </w:smartTag>
      <w:r>
        <w:t>).</w:t>
      </w:r>
    </w:p>
  </w:footnote>
  <w:footnote w:id="576">
    <w:p w14:paraId="6F7527E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a"/>
        </w:smartTagPr>
        <w:r>
          <w:t>V.B.2.a.</w:t>
        </w:r>
      </w:smartTag>
      <w:smartTag w:uri="http://www.bna.com/sgml2word/cite" w:element="cite.bna.reference">
        <w:smartTagPr>
          <w:attr w:name="bna.id.ref" w:val="TM\873.V.B.2.a"/>
        </w:smartTagPr>
        <w:r>
          <w:t>V.B.2.a.</w:t>
        </w:r>
      </w:smartTag>
      <w:r>
        <w:t>, below.</w:t>
      </w:r>
    </w:p>
  </w:footnote>
  <w:footnote w:id="577">
    <w:p w14:paraId="7C890A8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below.</w:t>
      </w:r>
    </w:p>
  </w:footnote>
  <w:footnote w:id="578">
    <w:p w14:paraId="3065EB0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below.</w:t>
      </w:r>
    </w:p>
  </w:footnote>
  <w:footnote w:id="579">
    <w:p w14:paraId="50F673D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d"/>
        </w:smartTagPr>
        <w:r>
          <w:t>V.B.2.d.</w:t>
        </w:r>
      </w:smartTag>
      <w:smartTag w:uri="http://www.bna.com/sgml2word/cite" w:element="cite.bna.reference">
        <w:smartTagPr>
          <w:attr w:name="bna.id.ref" w:val="TM\873.V.B.2.d"/>
        </w:smartTagPr>
        <w:r>
          <w:t>V.B.2.d.</w:t>
        </w:r>
      </w:smartTag>
      <w:r>
        <w:t>, below.</w:t>
      </w:r>
    </w:p>
  </w:footnote>
  <w:footnote w:id="580">
    <w:p w14:paraId="19C6C21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e"/>
        </w:smartTagPr>
        <w:r>
          <w:t>V.B.2.e.</w:t>
        </w:r>
      </w:smartTag>
      <w:smartTag w:uri="http://www.bna.com/sgml2word/cite" w:element="cite.bna.reference">
        <w:smartTagPr>
          <w:attr w:name="bna.id.ref" w:val="TM\873.V.B.2.e"/>
        </w:smartTagPr>
        <w:r>
          <w:t>V.B.2.e.</w:t>
        </w:r>
      </w:smartTag>
      <w:r>
        <w:t>, below.</w:t>
      </w:r>
    </w:p>
  </w:footnote>
  <w:footnote w:id="581">
    <w:p w14:paraId="7910D50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f"/>
        </w:smartTagPr>
        <w:r>
          <w:t>V.B.2.f.</w:t>
        </w:r>
      </w:smartTag>
      <w:smartTag w:uri="http://www.bna.com/sgml2word/cite" w:element="cite.bna.reference">
        <w:smartTagPr>
          <w:attr w:name="bna.id.ref" w:val="TM\873.V.B.2.f"/>
        </w:smartTagPr>
        <w:r>
          <w:t>V.B.2.f.</w:t>
        </w:r>
      </w:smartTag>
      <w:r>
        <w:t>, below.</w:t>
      </w:r>
    </w:p>
  </w:footnote>
  <w:footnote w:id="582">
    <w:p w14:paraId="15C9643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g"/>
        </w:smartTagPr>
        <w:r>
          <w:t>V.B.2.g.</w:t>
        </w:r>
      </w:smartTag>
      <w:smartTag w:uri="http://www.bna.com/sgml2word/cite" w:element="cite.bna.reference">
        <w:smartTagPr>
          <w:attr w:name="bna.id.ref" w:val="TM\873.V.B.2.g"/>
        </w:smartTagPr>
        <w:r>
          <w:t>V.B.2.g.</w:t>
        </w:r>
      </w:smartTag>
      <w:r>
        <w:t>, below.</w:t>
      </w:r>
    </w:p>
  </w:footnote>
  <w:footnote w:id="583">
    <w:p w14:paraId="6A16FA7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h"/>
        </w:smartTagPr>
        <w:r>
          <w:t>V.B.2.h.</w:t>
        </w:r>
      </w:smartTag>
      <w:smartTag w:uri="http://www.bna.com/sgml2word/cite" w:element="cite.bna.reference">
        <w:smartTagPr>
          <w:attr w:name="bna.id.ref" w:val="TM\873.V.B.2.h"/>
        </w:smartTagPr>
        <w:r>
          <w:t>V.B.2.h.</w:t>
        </w:r>
      </w:smartTag>
      <w:r>
        <w:t>, below.</w:t>
      </w:r>
    </w:p>
  </w:footnote>
  <w:footnote w:id="584">
    <w:p w14:paraId="0E9432BA" w14:textId="77777777" w:rsidR="00494B49" w:rsidRDefault="00494B49">
      <w:pPr>
        <w:pStyle w:val="FootnoteText"/>
      </w:pPr>
      <w:r>
        <w:rPr>
          <w:rStyle w:val="FootnoteReference"/>
        </w:rPr>
        <w:footnoteRef/>
      </w:r>
      <w:smartTag w:uri="http://www.bna.com/sgml2word/cite" w:element="cite.usc">
        <w:smartTagPr>
          <w:attr w:name="ref" w:val="USC\26\63(b)"/>
        </w:smartTagPr>
        <w:r>
          <w:t>§63(b)</w:t>
        </w:r>
      </w:smartTag>
      <w:r>
        <w:t>.</w:t>
      </w:r>
    </w:p>
  </w:footnote>
  <w:footnote w:id="585">
    <w:p w14:paraId="666ACE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6">
    <w:p w14:paraId="2A83E8C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7">
    <w:p w14:paraId="2185A1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8">
    <w:p w14:paraId="1E999C4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
        </w:smartTagPr>
        <w:r>
          <w:t>§1.1411-10(c)(5)(i)</w:t>
        </w:r>
      </w:smartTag>
      <w:r>
        <w:t>.</w:t>
      </w:r>
    </w:p>
  </w:footnote>
  <w:footnote w:id="589">
    <w:p w14:paraId="060D55D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B)"/>
        </w:smartTagPr>
        <w:r>
          <w:t>§1.1411-10(c)(5)(ii)(B)</w:t>
        </w:r>
      </w:smartTag>
      <w:r>
        <w:t>.</w:t>
      </w:r>
    </w:p>
  </w:footnote>
  <w:footnote w:id="590">
    <w:p w14:paraId="48A2F13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C)"/>
        </w:smartTagPr>
        <w:r>
          <w:t>§1.1411-10(c)(5)(ii)(C)</w:t>
        </w:r>
      </w:smartTag>
      <w:r>
        <w:t>.</w:t>
      </w:r>
    </w:p>
  </w:footnote>
  <w:footnote w:id="591">
    <w:p w14:paraId="2E0CE29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w:t>
      </w:r>
    </w:p>
  </w:footnote>
  <w:footnote w:id="592">
    <w:p w14:paraId="3F5C736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 xml:space="preserve">. IRS consent is required in accordance with Reg. </w:t>
      </w:r>
      <w:smartTag w:uri="http://www.bna.com/sgml2word/cite" w:element="cite.cfr">
        <w:smartTagPr>
          <w:attr w:name="ref" w:val="cfr\26\1.446-1(e)"/>
        </w:smartTagPr>
        <w:r>
          <w:t>§1.446-1(e)</w:t>
        </w:r>
      </w:smartTag>
      <w:r>
        <w:t xml:space="preserve">, following the administrative procedures issued under Reg. </w:t>
      </w:r>
      <w:smartTag w:uri="http://www.bna.com/sgml2word/cite" w:element="cite.cfr">
        <w:smartTagPr>
          <w:attr w:name="ref" w:val="cfr\26\1.446-1(e)(3)(ii)"/>
        </w:smartTagPr>
        <w:r>
          <w:t>§1.446-1(e)(3)(ii)</w:t>
        </w:r>
      </w:smartTag>
      <w:r>
        <w:t xml:space="preserve">. For a detailed discussion on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 xml:space="preserve">. </w:t>
      </w:r>
    </w:p>
  </w:footnote>
  <w:footnote w:id="593">
    <w:p w14:paraId="58C3D5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594">
    <w:p w14:paraId="6BE8AAC7" w14:textId="77777777" w:rsidR="00494B49" w:rsidRDefault="00494B49">
      <w:pPr>
        <w:pStyle w:val="FootnoteText"/>
      </w:pPr>
      <w:r>
        <w:rPr>
          <w:rStyle w:val="FootnoteReference"/>
        </w:rPr>
        <w:footnoteRef/>
      </w:r>
      <w:r>
        <w:t xml:space="preserve">For a detailed discussion on investment expenses taken into account in computing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footnote>
  <w:footnote w:id="595">
    <w:p w14:paraId="57EC9432" w14:textId="77777777" w:rsidR="00494B49" w:rsidRDefault="00494B49">
      <w:pPr>
        <w:pStyle w:val="FootnoteText"/>
      </w:pPr>
      <w:r>
        <w:rPr>
          <w:rStyle w:val="FootnoteReference"/>
        </w:rPr>
        <w:footnoteRef/>
      </w:r>
      <w:r>
        <w:t>Instructions for Line 5 of Form 4952 provide “Investment expenses are your allowed deductions, other than interest expense, directly connected with the production of investment income. For example, depreciation or depletion allowed on assets that produce investment income is an investment expense. Include investment expenses reported to you on Schedule K-1 from a partnership or an S corporation. Investment expenses do not include any deductions used in determining your income or loss from a passive activity.”</w:t>
      </w:r>
    </w:p>
  </w:footnote>
  <w:footnote w:id="596">
    <w:p w14:paraId="29FE1E67" w14:textId="77777777" w:rsidR="00494B49" w:rsidRDefault="00494B49">
      <w:pPr>
        <w:pStyle w:val="FootnoteText"/>
      </w:pPr>
      <w:r>
        <w:rPr>
          <w:rStyle w:val="FootnoteReference"/>
        </w:rPr>
        <w:footnoteRef/>
      </w:r>
      <w:smartTag w:uri="http://www.bna.com/sgml2word/cite" w:element="cite.agency.doc">
        <w:smartTagPr>
          <w:attr w:name="ref" w:val="IRS\PUBLICATION\550"/>
        </w:smartTagPr>
        <w:r>
          <w:t>IRS Pub. 550</w:t>
        </w:r>
      </w:smartTag>
      <w:r>
        <w:t xml:space="preserve">, Chapter 3, </w:t>
      </w:r>
      <w:r>
        <w:rPr>
          <w:i/>
        </w:rPr>
        <w:t>Investment Expenses</w:t>
      </w:r>
      <w:r>
        <w:t xml:space="preserve"> provides that “Investment expenses are your allowed deductions (other than interest expense) directly connected with the production of investment income."[Footnote 608 reserved.]</w:t>
      </w:r>
    </w:p>
  </w:footnote>
  <w:footnote w:id="597">
    <w:p w14:paraId="14E11FE6" w14:textId="77777777" w:rsidR="00494B49" w:rsidRDefault="00494B49">
      <w:pPr>
        <w:pStyle w:val="FootnoteText"/>
      </w:pPr>
      <w:r>
        <w:rPr>
          <w:rStyle w:val="FootnoteReference"/>
        </w:rPr>
        <w:footnoteRef/>
      </w:r>
      <w:r>
        <w:t xml:space="preserve">Real estate taxes as investment expenses are specifically noted in the </w:t>
      </w:r>
      <w:hyperlink r:id="rId5" w:history="1">
        <w:r>
          <w:rPr>
            <w:rStyle w:val="Hyperlink"/>
          </w:rPr>
          <w:t>Instructions for Form 8960</w:t>
        </w:r>
      </w:hyperlink>
      <w:r>
        <w:t xml:space="preserve">. However, only real estate tax imposed on property held for investment is deductible. Real estate taxes on a taxpayer’s principal residence are not deductible. </w:t>
      </w:r>
    </w:p>
  </w:footnote>
  <w:footnote w:id="598">
    <w:p w14:paraId="1B91832A" w14:textId="77777777" w:rsidR="00494B49" w:rsidRDefault="00494B49">
      <w:pPr>
        <w:pStyle w:val="FootnoteText"/>
      </w:pPr>
      <w:r>
        <w:rPr>
          <w:rStyle w:val="FootnoteReference"/>
        </w:rPr>
        <w:footnoteRef/>
      </w:r>
      <w:r>
        <w:t xml:space="preserve">Depletion and depreciation are specifically identified as </w:t>
      </w:r>
      <w:smartTag w:uri="http://www.bna.com/sgml2word/cite" w:element="cite.usc">
        <w:smartTagPr>
          <w:attr w:name="ref" w:val="USC\26\163(d)(4)(C)"/>
        </w:smartTagPr>
        <w:r>
          <w:t>§163(d)(4)(C)</w:t>
        </w:r>
      </w:smartTag>
      <w:r>
        <w:t xml:space="preserve"> deductions in the Instructions for </w:t>
      </w:r>
      <w:smartTag w:uri="http://www.bna.com/sgml2word/cite" w:element="cite.fed.form">
        <w:smartTagPr>
          <w:attr w:name="ref" w:val="irs\form4952"/>
        </w:smartTagPr>
        <w:r>
          <w:t>Form 4952</w:t>
        </w:r>
      </w:smartTag>
      <w:r>
        <w:t xml:space="preserve"> Line 5.</w:t>
      </w:r>
    </w:p>
  </w:footnote>
  <w:footnote w:id="599">
    <w:p w14:paraId="3861961C"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652(b)-3(b)"/>
        </w:smartTagPr>
        <w:r>
          <w:t>§1.652(b)-3(b)</w:t>
        </w:r>
      </w:smartTag>
      <w:r>
        <w:t xml:space="preserve"> and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for a discussion of an estate’s or trust’s allocation of indirect expenses between income of differing character. Additionally, see Reg. </w:t>
      </w:r>
      <w:smartTag w:uri="http://www.bna.com/sgml2word/cite" w:element="cite.cfr">
        <w:smartTagPr>
          <w:attr w:name="ref" w:val="cfr\26\1.664-1(d)(2)"/>
        </w:smartTagPr>
        <w:r>
          <w:t>§1.664-1(d)(2)</w:t>
        </w:r>
      </w:smartTag>
      <w:r>
        <w:t xml:space="preserve"> and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 for a similar rule for allocation of indirect expenses for charitable remainder trusts. </w:t>
      </w:r>
    </w:p>
  </w:footnote>
  <w:footnote w:id="600">
    <w:p w14:paraId="12C87E53"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01">
    <w:p w14:paraId="30A2FAF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For a detailed discussion of </w:t>
      </w:r>
      <w:smartTag w:uri="http://www.bna.com/sgml2word/cite" w:element="cite.usc">
        <w:smartTagPr>
          <w:attr w:name="ref" w:val="USC\26\164(a)(3)"/>
        </w:smartTagPr>
        <w:r>
          <w:t>§164(a)(3)</w:t>
        </w:r>
      </w:smartTag>
      <w:r>
        <w:t xml:space="preserve">, see </w:t>
      </w:r>
      <w:smartTag w:uri="http://www.bna.com/sgml2word/cite" w:element="cite.bna.reference">
        <w:smartTagPr>
          <w:attr w:name="bna.id.ref" w:val="TM\525"/>
        </w:smartTagPr>
        <w:r>
          <w:t>525 T.M.</w:t>
        </w:r>
      </w:smartTag>
      <w:r>
        <w:t xml:space="preserve">, </w:t>
      </w:r>
      <w:r>
        <w:rPr>
          <w:i/>
        </w:rPr>
        <w:t>State, Local, and Federal Taxes.</w:t>
      </w:r>
    </w:p>
  </w:footnote>
  <w:footnote w:id="602">
    <w:p w14:paraId="7781994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03">
    <w:p w14:paraId="41E26607" w14:textId="77777777" w:rsidR="00494B49" w:rsidRDefault="00494B49">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w:t>
      </w:r>
    </w:p>
  </w:footnote>
  <w:footnote w:id="604">
    <w:p w14:paraId="2570F296" w14:textId="77777777" w:rsidR="00494B49" w:rsidRDefault="00494B49">
      <w:pPr>
        <w:pStyle w:val="FootnoteText"/>
      </w:pPr>
      <w:r>
        <w:rPr>
          <w:rStyle w:val="FootnoteReference"/>
        </w:rPr>
        <w:footnoteRef/>
      </w:r>
      <w:r>
        <w:t>For example, any state income tax paid with the 2015 state return is deductible by the taxpayer on the 2016 federal income tax return (assuming the taxpayer uses the cash-basis method of accounting).</w:t>
      </w:r>
    </w:p>
  </w:footnote>
  <w:footnote w:id="605">
    <w:p w14:paraId="7917286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provides that, except as otherwise provided, all Code provisions that apply for Chapter 1 purposes in determining taxable income (as defined in </w:t>
      </w:r>
      <w:smartTag w:uri="http://www.bna.com/sgml2word/cite" w:element="cite.usc">
        <w:smartTagPr>
          <w:attr w:name="ref" w:val="USC\26\63(a)"/>
        </w:smartTagPr>
        <w:r>
          <w:t>§63(a)</w:t>
        </w:r>
      </w:smartTag>
      <w:r>
        <w:t xml:space="preserve">) of a taxpayer also apply in determining NIIT. </w:t>
      </w:r>
    </w:p>
  </w:footnote>
  <w:footnote w:id="606">
    <w:p w14:paraId="0874DA7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xml:space="preserve">, below, for a discussion for reasonable allocation methods. </w:t>
      </w:r>
    </w:p>
  </w:footnote>
  <w:footnote w:id="607">
    <w:p w14:paraId="05ED0CBA" w14:textId="77777777" w:rsidR="00494B49" w:rsidRDefault="00494B49">
      <w:pPr>
        <w:pStyle w:val="FootnoteText"/>
      </w:pPr>
      <w:r>
        <w:rPr>
          <w:rStyle w:val="FootnoteReference"/>
        </w:rPr>
        <w:footnoteRef/>
      </w:r>
      <w:r>
        <w:t xml:space="preserve">For a detailed discussion of the deduction for state sales taxes in lieu of state income taxes, see </w:t>
      </w:r>
      <w:smartTag w:uri="http://www.bna.com/sgml2word/cite" w:element="cite.bna.reference">
        <w:smartTagPr>
          <w:attr w:name="bna.id.ref" w:val="TM\525"/>
        </w:smartTagPr>
        <w:r>
          <w:t>525 T.M.</w:t>
        </w:r>
      </w:smartTag>
      <w:r>
        <w:t xml:space="preserve">, </w:t>
      </w:r>
      <w:r>
        <w:rPr>
          <w:i/>
        </w:rPr>
        <w:t>State, Local, and Federal Taxes.</w:t>
      </w:r>
    </w:p>
  </w:footnote>
  <w:footnote w:id="608">
    <w:p w14:paraId="720DEFB8" w14:textId="77777777" w:rsidR="00494B49" w:rsidRDefault="00494B49">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 expressly providing that “all Internal Revenue Code (Code) provisions that apply for chapter 1 purposes in determining taxable income (as defined in </w:t>
      </w:r>
      <w:smartTag w:uri="http://www.bna.com/sgml2word/cite" w:element="cite.usc">
        <w:smartTagPr>
          <w:attr w:name="ref" w:val="USC\26\63(a)"/>
        </w:smartTagPr>
        <w:r>
          <w:t>section 63(a)</w:t>
        </w:r>
      </w:smartTag>
      <w:r>
        <w:t xml:space="preserve">) of a taxpayer also apply in determining the tax imposed by </w:t>
      </w:r>
      <w:smartTag w:uri="http://www.bna.com/sgml2word/cite" w:element="cite.usc">
        <w:smartTagPr>
          <w:attr w:name="ref" w:val="USC\26\1411"/>
        </w:smartTagPr>
        <w:r>
          <w:t>Section 1411</w:t>
        </w:r>
      </w:smartTag>
      <w:r>
        <w:t>.”</w:t>
      </w:r>
    </w:p>
  </w:footnote>
  <w:footnote w:id="609">
    <w:p w14:paraId="1BB24FDF" w14:textId="77777777" w:rsidR="00494B49" w:rsidRDefault="00494B49">
      <w:pPr>
        <w:pStyle w:val="FootnoteText"/>
      </w:pPr>
      <w:r>
        <w:rPr>
          <w:rStyle w:val="FootnoteReference"/>
        </w:rPr>
        <w:footnoteRef/>
      </w:r>
      <w:r>
        <w:t>$1,000,000 / $1,500,000 × $10,000 = $6,667.</w:t>
      </w:r>
    </w:p>
  </w:footnote>
  <w:footnote w:id="610">
    <w:p w14:paraId="22AED264" w14:textId="77777777" w:rsidR="00494B49" w:rsidRDefault="00494B49">
      <w:pPr>
        <w:pStyle w:val="FootnoteText"/>
      </w:pPr>
      <w:r>
        <w:rPr>
          <w:rStyle w:val="FootnoteReference"/>
        </w:rPr>
        <w:footnoteRef/>
      </w:r>
      <w:r>
        <w:t>($1,000,000 / $1,500,000) × ($80,000 / $100,000) × $10,000 = $5,333.</w:t>
      </w:r>
    </w:p>
  </w:footnote>
  <w:footnote w:id="611">
    <w:p w14:paraId="27C9F88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5"/>
        </w:smartTagPr>
        <w:r>
          <w:t>V.B.5.</w:t>
        </w:r>
      </w:smartTag>
      <w:smartTag w:uri="http://www.bna.com/sgml2word/cite" w:element="cite.bna.reference">
        <w:smartTagPr>
          <w:attr w:name="bna.id.ref" w:val="tm\873.V.B.5"/>
        </w:smartTagPr>
        <w:r>
          <w:t>V.B.5.</w:t>
        </w:r>
      </w:smartTag>
      <w:r>
        <w:t xml:space="preserve">, below, for a discussion of the mechanics of Reg. </w:t>
      </w:r>
      <w:smartTag w:uri="http://www.bna.com/sgml2word/cite" w:element="cite.cfr">
        <w:smartTagPr>
          <w:attr w:name="ref" w:val="cfr\26\1.1411-4(f)(7)"/>
        </w:smartTagPr>
        <w:r>
          <w:t>§1.1411-4(f)(7)</w:t>
        </w:r>
      </w:smartTag>
      <w:r>
        <w:t>.</w:t>
      </w:r>
    </w:p>
  </w:footnote>
  <w:footnote w:id="612">
    <w:p w14:paraId="0A5047B6" w14:textId="77777777" w:rsidR="00494B49" w:rsidRDefault="00494B49">
      <w:pPr>
        <w:pStyle w:val="FootnoteText"/>
      </w:pPr>
      <w:r>
        <w:rPr>
          <w:rStyle w:val="FootnoteReference"/>
        </w:rPr>
        <w:footnoteRef/>
      </w:r>
      <w:r>
        <w:t>$20,000 of real estate taxes and $80,000 of state income taxes are limited to $10,000 in total.</w:t>
      </w:r>
    </w:p>
  </w:footnote>
  <w:footnote w:id="613">
    <w:p w14:paraId="44DBBD7A" w14:textId="77777777" w:rsidR="00494B49" w:rsidRDefault="00494B49">
      <w:pPr>
        <w:pStyle w:val="FootnoteText"/>
      </w:pPr>
      <w:r>
        <w:rPr>
          <w:rStyle w:val="FootnoteReference"/>
        </w:rPr>
        <w:footnoteRef/>
      </w:r>
      <w:r>
        <w:t>$500,000 / $1,500,000 × $80,000 = $26,667.</w:t>
      </w:r>
    </w:p>
  </w:footnote>
  <w:footnote w:id="614">
    <w:p w14:paraId="3D00B92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75(a)(4)"/>
        </w:smartTagPr>
        <w:r>
          <w:t>§275(a)(4)</w:t>
        </w:r>
      </w:smartTag>
      <w:r>
        <w:t xml:space="preserve"> and Reg. </w:t>
      </w:r>
      <w:smartTag w:uri="http://www.bna.com/sgml2word/cite" w:element="cite.cfr">
        <w:smartTagPr>
          <w:attr w:name="ref" w:val="cfr\26\1.164-2(d)"/>
        </w:smartTagPr>
        <w:r>
          <w:t>§1.164-2(d)</w:t>
        </w:r>
      </w:smartTag>
      <w:r>
        <w:t xml:space="preserve">. See </w:t>
      </w:r>
      <w:smartTag w:uri="http://www.bna.com/sgml2word/cite" w:element="cite.bna.reference">
        <w:smartTagPr>
          <w:attr w:name="bna.id.ref" w:val="TM\525"/>
        </w:smartTagPr>
        <w:r>
          <w:t>525 T.M.</w:t>
        </w:r>
      </w:smartTag>
      <w:r>
        <w:t xml:space="preserve">, </w:t>
      </w:r>
      <w:r>
        <w:rPr>
          <w:i/>
        </w:rPr>
        <w:t>State, Local, and Federal Taxes</w:t>
      </w:r>
      <w:r>
        <w:t>.</w:t>
      </w:r>
    </w:p>
  </w:footnote>
  <w:footnote w:id="615">
    <w:p w14:paraId="5FCCD49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v)"/>
        </w:smartTagPr>
        <w:r>
          <w:t>§1.1411-4(f)(3)(iv)</w:t>
        </w:r>
      </w:smartTag>
      <w:r>
        <w:t xml:space="preserve">. </w:t>
      </w:r>
    </w:p>
  </w:footnote>
  <w:footnote w:id="616">
    <w:p w14:paraId="50050F4E" w14:textId="77777777" w:rsidR="00494B49" w:rsidRDefault="00494B49">
      <w:pPr>
        <w:pStyle w:val="FootnoteText"/>
      </w:pPr>
      <w:r>
        <w:rPr>
          <w:rStyle w:val="FootnoteReference"/>
        </w:rPr>
        <w:footnoteRef/>
      </w:r>
      <w:r>
        <w:t xml:space="preserve">For a detailed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617">
    <w:p w14:paraId="6D290ABC"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 T.M.</w:t>
        </w:r>
      </w:smartTag>
      <w:r>
        <w:t xml:space="preserve">, </w:t>
      </w:r>
      <w:r>
        <w:rPr>
          <w:i/>
        </w:rPr>
        <w:t>Income in Respect of a Decedent</w:t>
      </w:r>
      <w:r>
        <w:t>(Estates, Gifts, and Trusts Series).</w:t>
      </w:r>
    </w:p>
  </w:footnote>
  <w:footnote w:id="618">
    <w:p w14:paraId="5A8DC19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19">
    <w:p w14:paraId="0B496C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i)"/>
        </w:smartTagPr>
        <w:r>
          <w:t>§1.1411-4(f)(3)(vi)</w:t>
        </w:r>
      </w:smartTag>
      <w:r>
        <w:t xml:space="preserve">. </w:t>
      </w:r>
    </w:p>
  </w:footnote>
  <w:footnote w:id="620">
    <w:p w14:paraId="1AD3EA0E"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212-1(l)"/>
        </w:smartTagPr>
        <w:r>
          <w:t>§1.212-1(l)</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1">
    <w:p w14:paraId="4EC6CB1D"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22">
    <w:p w14:paraId="3B6B01EF" w14:textId="77777777" w:rsidR="00494B49" w:rsidRDefault="00494B49">
      <w:pPr>
        <w:pStyle w:val="FootnoteText"/>
      </w:pPr>
      <w:r>
        <w:rPr>
          <w:rStyle w:val="FootnoteReference"/>
        </w:rPr>
        <w:footnoteRef/>
      </w:r>
      <w:r>
        <w:t xml:space="preserve">Reg. </w:t>
      </w:r>
      <w:smartTag w:uri="http://www.bna.com/sgml2word/cite" w:element="cite.cfr">
        <w:smartTagPr>
          <w:attr w:name="ref" w:val="cfr\26\1.212-1(l)"/>
        </w:smartTagPr>
        <w:r>
          <w:t>§1.212-1(l)</w:t>
        </w:r>
      </w:smartTag>
      <w:r>
        <w:t xml:space="preserve">. </w:t>
      </w:r>
    </w:p>
  </w:footnote>
  <w:footnote w:id="623">
    <w:p w14:paraId="133604F8" w14:textId="77777777" w:rsidR="00494B49" w:rsidRDefault="00494B49">
      <w:pPr>
        <w:pStyle w:val="FootnoteText"/>
      </w:pPr>
      <w:r>
        <w:rPr>
          <w:rStyle w:val="FootnoteReference"/>
        </w:rPr>
        <w:footnoteRef/>
      </w:r>
      <w:r>
        <w:t>For example, amounts deductible for tax-related issues associated with estate planning or divorce may not be properly allocable to net investment income.</w:t>
      </w:r>
    </w:p>
  </w:footnote>
  <w:footnote w:id="624">
    <w:p w14:paraId="1A695B1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6)"/>
        </w:smartTagPr>
        <w:r>
          <w:t>§1.1411-4(f)(6)</w:t>
        </w:r>
      </w:smartTag>
      <w:r>
        <w:t>.</w:t>
      </w:r>
    </w:p>
  </w:footnote>
  <w:footnote w:id="625">
    <w:p w14:paraId="56D82F49"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171"/>
        </w:smartTagPr>
        <w:r>
          <w:t>§171</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26">
    <w:p w14:paraId="3E9AEA9F"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71-2(a)(4)(i)(C)"/>
        </w:smartTagPr>
        <w:r>
          <w:t>§1.171-2(a)(4)(i)(C)</w:t>
        </w:r>
      </w:smartTag>
      <w:r>
        <w:t xml:space="preserve">. </w:t>
      </w:r>
    </w:p>
  </w:footnote>
  <w:footnote w:id="627">
    <w:p w14:paraId="5827AD34"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212-1(i)"/>
        </w:smartTagPr>
        <w:r>
          <w:t>§1.212-1(i)</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8">
    <w:p w14:paraId="052C7CC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5)"/>
        </w:smartTagPr>
        <w:r>
          <w:t>§1.1411-4(f)(5)</w:t>
        </w:r>
      </w:smartTag>
      <w:r>
        <w:t>.</w:t>
      </w:r>
    </w:p>
  </w:footnote>
  <w:footnote w:id="629">
    <w:p w14:paraId="16BAE24A"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1275-4(b)"/>
        </w:smartTagPr>
        <w:r>
          <w:t>§1.1275-4(b)</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0">
    <w:p w14:paraId="1A87F31F"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1275-7"/>
        </w:smartTagPr>
        <w:r>
          <w:t>§1.1275-7</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1">
    <w:p w14:paraId="6C86B59D" w14:textId="77777777" w:rsidR="00494B49" w:rsidRDefault="00494B49">
      <w:pPr>
        <w:pStyle w:val="FootnoteText"/>
      </w:pPr>
      <w:r>
        <w:rPr>
          <w:rStyle w:val="FootnoteReference"/>
        </w:rPr>
        <w:footnoteRef/>
      </w:r>
      <w:r>
        <w:t xml:space="preserve">Although not expressly stated in the regulations, the mechanical examples in Reg. </w:t>
      </w:r>
      <w:smartTag w:uri="http://www.bna.com/sgml2word/cite" w:element="cite.cfr">
        <w:smartTagPr>
          <w:attr w:name="ref" w:val="cfr\26\1.1411-4(f)(7)"/>
        </w:smartTagPr>
        <w:r>
          <w:t>§1.1411-4(f)(7)</w:t>
        </w:r>
      </w:smartTag>
      <w:r>
        <w:t xml:space="preserve"> pertaining to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along with the associated worksheets within the Form </w:t>
      </w:r>
      <w:smartTag w:uri="http://www.bna.com/sgml2word/cite" w:element="cite.fed.form">
        <w:smartTagPr>
          <w:attr w:name="ref" w:val="irs\form8960"/>
        </w:smartTagPr>
        <w:r>
          <w:t>8960</w:t>
        </w:r>
      </w:smartTag>
      <w:r>
        <w:t xml:space="preserve"> </w:t>
      </w:r>
      <w:hyperlink r:id="rId6" w:history="1">
        <w:r>
          <w:rPr>
            <w:rStyle w:val="Hyperlink"/>
          </w:rPr>
          <w:t>Instructions for Form 8960</w:t>
        </w:r>
      </w:hyperlink>
      <w:r>
        <w:t xml:space="preserve"> Lines 9 and 10 confirm this conclusion. </w:t>
      </w:r>
      <w:r>
        <w:rPr>
          <w:i/>
        </w:rPr>
        <w:t>Note:</w:t>
      </w:r>
      <w:r>
        <w:t xml:space="preserve"> Miscellaneous itemized deductions are not deductible for tax years beginning in 2018 through 2025. </w:t>
      </w:r>
      <w:smartTag w:uri="http://www.bna.com/sgml2word/cite" w:element="cite.usc">
        <w:smartTagPr>
          <w:attr w:name="ref" w:val="USC\26\67(g)"/>
        </w:smartTagPr>
        <w:r>
          <w:t>§67(g)</w:t>
        </w:r>
      </w:smartTag>
      <w:r>
        <w:t xml:space="preserve">. The </w:t>
      </w:r>
      <w:smartTag w:uri="http://www.bna.com/sgml2word/cite" w:element="cite.usc">
        <w:smartTagPr>
          <w:attr w:name="ref" w:val="USC\26\68"/>
        </w:smartTagPr>
        <w:r>
          <w:t>§68</w:t>
        </w:r>
      </w:smartTag>
      <w:r>
        <w:t xml:space="preserve"> overall limitation on itemized deduction does not apply to tax years beginning in 2018 through 2025. </w:t>
      </w:r>
      <w:smartTag w:uri="http://www.bna.com/sgml2word/cite" w:element="cite.usc">
        <w:smartTagPr>
          <w:attr w:name="ref" w:val="USC\26\68(f)"/>
        </w:smartTagPr>
        <w:r>
          <w:t>§68(f)</w:t>
        </w:r>
      </w:smartTag>
      <w:r>
        <w:t>.</w:t>
      </w:r>
    </w:p>
  </w:footnote>
  <w:footnote w:id="632">
    <w:p w14:paraId="06F24193"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5.D.ii. The 2013 Final Regulations did not provide other examples of generally applicable reasonable allocation methods because the Treasury Department and the IRS believed that providing multiple examples of reasonable methods may lead taxpayers to incorrectly conclude that the methods listed are the only acceptable methods.</w:t>
      </w:r>
    </w:p>
  </w:footnote>
  <w:footnote w:id="633">
    <w:p w14:paraId="16CA49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
        </w:smartTagPr>
        <w:r>
          <w:t>§1.1411-4(g)(2)(ii)</w:t>
        </w:r>
      </w:smartTag>
      <w:r>
        <w:t xml:space="preserve">. Technically, it is a reduction of properly allocable deductions in the recovery year (limited to total </w:t>
      </w:r>
      <w:smartTag w:uri="http://www.bna.com/sgml2word/cite" w:element="cite.usc">
        <w:smartTagPr>
          <w:attr w:name="ref" w:val="USC\26\1411(c)(1)(B)"/>
        </w:smartTagPr>
        <w:r>
          <w:t>§1411(c)(1)(B)</w:t>
        </w:r>
      </w:smartTag>
      <w:r>
        <w:t xml:space="preserve"> deductions), but it’s computationally the same as increasing net investment income by the recovered amount.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for a discussion of recoveries. </w:t>
      </w:r>
    </w:p>
  </w:footnote>
  <w:footnote w:id="634">
    <w:p w14:paraId="69723D3D" w14:textId="77777777" w:rsidR="00494B49" w:rsidRDefault="00494B49">
      <w:pPr>
        <w:pStyle w:val="FootnoteText"/>
      </w:pPr>
      <w:r>
        <w:rPr>
          <w:rStyle w:val="FootnoteReference"/>
        </w:rPr>
        <w:footnoteRef/>
      </w:r>
      <w:r>
        <w:t xml:space="preserve">Even this example of an allocation method depicts a crude method of allocation because a taxpayer’s AGI includes </w:t>
      </w:r>
      <w:smartTag w:uri="http://www.bna.com/sgml2word/cite" w:element="cite.usc">
        <w:smartTagPr>
          <w:attr w:name="ref" w:val="USC\26\1411(c)(1)(B)"/>
        </w:smartTagPr>
        <w:r>
          <w:t>§1411(c)(1)(B)</w:t>
        </w:r>
      </w:smartTag>
      <w:r>
        <w:t xml:space="preserve"> properly allocable deductions described in Reg. </w:t>
      </w:r>
      <w:smartTag w:uri="http://www.bna.com/sgml2word/cite" w:element="cite.cfr">
        <w:smartTagPr>
          <w:attr w:name="ref" w:val="cfr\26\1.1411-4(f)(2)"/>
        </w:smartTagPr>
        <w:r>
          <w:t>§1.1411-4(f)(2)</w:t>
        </w:r>
      </w:smartTag>
      <w:r>
        <w:t xml:space="preserve"> (rental and royalty deductions, trade or business deductions, net operating losses, and early withdrawal penalty), but the reference to Reg. </w:t>
      </w:r>
      <w:smartTag w:uri="http://www.bna.com/sgml2word/cite" w:element="cite.cfr">
        <w:smartTagPr>
          <w:attr w:name="ref" w:val="cfr\26\1.1411-4(a)(1)"/>
        </w:smartTagPr>
        <w:r>
          <w:t>§1.1411-4(a)(1)</w:t>
        </w:r>
      </w:smartTag>
      <w:r>
        <w:t xml:space="preserve"> captures gross income before reduction for those enumerated deductions. </w:t>
      </w:r>
    </w:p>
  </w:footnote>
  <w:footnote w:id="635">
    <w:p w14:paraId="5EA43E8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
        </w:smartTagPr>
        <w:r>
          <w:t>§1.1411-4(g)(1)</w:t>
        </w:r>
      </w:smartTag>
      <w:r>
        <w:t xml:space="preserve">. For a detailed discussion of Reg. </w:t>
      </w:r>
      <w:smartTag w:uri="http://www.bna.com/sgml2word/cite" w:element="cite.cfr">
        <w:smartTagPr>
          <w:attr w:name="ref" w:val="cfr\26\1.652(b)-3(b)"/>
        </w:smartTagPr>
        <w:r>
          <w:t>§1.652(b)-3(b)</w:t>
        </w:r>
      </w:smartTag>
      <w:r>
        <w:t xml:space="preserve"> and </w:t>
      </w:r>
      <w:smartTag w:uri="http://www.bna.com/sgml2word/cite" w:element="cite.cfr">
        <w:smartTagPr>
          <w:attr w:name="ref" w:val="cfr\26\1.641(c)-1(h)"/>
        </w:smartTagPr>
        <w:r>
          <w:t>§1.641(c)-1(h)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However, in the case of estates and trusts, 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for a discussion of unreasonable methods. </w:t>
      </w:r>
    </w:p>
  </w:footnote>
  <w:footnote w:id="636">
    <w:p w14:paraId="5DFF9410" w14:textId="77777777" w:rsidR="00494B49" w:rsidRDefault="00494B49">
      <w:pPr>
        <w:pStyle w:val="FootnoteText"/>
      </w:pPr>
      <w:r>
        <w:rPr>
          <w:rStyle w:val="FootnoteReference"/>
        </w:rPr>
        <w:footnoteRef/>
      </w:r>
      <w:r>
        <w:t xml:space="preserve">Reg. </w:t>
      </w:r>
      <w:smartTag w:uri="http://www.bna.com/sgml2word/cite" w:element="cite.cfr">
        <w:smartTagPr>
          <w:attr w:name="ref" w:val="cfr\26\1.664-1(d)(2)"/>
        </w:smartTagPr>
        <w:r>
          <w:t>§1.664-1(d)(2)</w:t>
        </w:r>
      </w:smartTag>
      <w:r>
        <w:t xml:space="preserve"> provides, in relevant part, that:Items of deduction of the trust for a tax year of the trust which are deductible in determining taxable income (other than the deductions permitted by </w:t>
      </w:r>
      <w:smartTag w:uri="http://www.bna.com/sgml2word/cite" w:element="cite.usc">
        <w:smartTagPr>
          <w:attr w:name="ref" w:val="usc\26\642(b)"/>
        </w:smartTagPr>
        <w:r>
          <w:t>sections 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xml:space="preserve">) which are directly attributable to one or more classes of items within a category of income (determined under [Reg. </w:t>
      </w:r>
      <w:smartTag w:uri="http://www.bna.com/sgml2word/cite" w:element="cite.cfr">
        <w:smartTagPr>
          <w:attr w:name="ref" w:val="cfr\26\1.664-1(d)(1)(i)(a)"/>
        </w:smartTagPr>
        <w:r>
          <w:t>§1.664-1(d)(1)(i)(a)</w:t>
        </w:r>
      </w:smartTag>
      <w:r>
        <w:t>]) or to corpus shall be allocated to such classes of items or to corpus. All other allowable deductions for such tax year which are not directly attributable to one or more classes of items within a category of income or to corpus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shall be allocated among the classes of items within the category (excluding classes of items with net losses) on the basis of the gross income of such classes for such tax year reduced by the deductions allocated thereto under the first sentence of this subparagraph, but in no event shall the amount of expenses allocated to any class of items exceed such income of such class for the tax year. Items of deduction which are not allocable under the above two sentences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may be allocated in any manner.</w:t>
      </w:r>
    </w:p>
  </w:footnote>
  <w:footnote w:id="637">
    <w:p w14:paraId="30E00D8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(income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w:t>
      </w:r>
    </w:p>
  </w:footnote>
  <w:footnote w:id="638">
    <w:p w14:paraId="1E745E45" w14:textId="77777777" w:rsidR="00494B49" w:rsidRDefault="00494B49">
      <w:pPr>
        <w:pStyle w:val="FootnoteText"/>
      </w:pPr>
      <w:r>
        <w:rPr>
          <w:rStyle w:val="FootnoteReference"/>
        </w:rPr>
        <w:footnoteRef/>
      </w:r>
      <w:r>
        <w:rPr>
          <w:i/>
        </w:rPr>
        <w:t>See</w:t>
      </w:r>
      <w:r>
        <w:t xml:space="preserve"> </w:t>
      </w:r>
      <w:hyperlink r:id="rId7" w:history="1">
        <w:r>
          <w:rPr>
            <w:rStyle w:val="Hyperlink"/>
          </w:rPr>
          <w:t>Instructions for Form 8960</w:t>
        </w:r>
      </w:hyperlink>
      <w:r>
        <w:t>, Part II (reasonable method allocations).</w:t>
      </w:r>
    </w:p>
  </w:footnote>
  <w:footnote w:id="639">
    <w:p w14:paraId="71514F8F" w14:textId="77777777" w:rsidR="00494B49" w:rsidRDefault="00494B49">
      <w:pPr>
        <w:pStyle w:val="FootnoteText"/>
      </w:pPr>
      <w:r>
        <w:rPr>
          <w:rStyle w:val="FootnoteReference"/>
        </w:rPr>
        <w:footnoteRef/>
      </w:r>
      <w:r>
        <w:rPr>
          <w:i/>
        </w:rPr>
        <w:t>See</w:t>
      </w:r>
      <w:r>
        <w:t xml:space="preserve"> </w:t>
      </w:r>
      <w:hyperlink r:id="rId8" w:history="1">
        <w:r>
          <w:rPr>
            <w:rStyle w:val="Hyperlink"/>
          </w:rPr>
          <w:t>Instructions for Form 8960</w:t>
        </w:r>
      </w:hyperlink>
      <w:r>
        <w:t>, Part II (reasonable method allocations).</w:t>
      </w:r>
    </w:p>
  </w:footnote>
  <w:footnote w:id="640">
    <w:p w14:paraId="576620A0" w14:textId="77777777" w:rsidR="00494B49" w:rsidRDefault="00494B49">
      <w:pPr>
        <w:pStyle w:val="FootnoteText"/>
      </w:pPr>
      <w:r>
        <w:rPr>
          <w:rStyle w:val="FootnoteReference"/>
        </w:rPr>
        <w:footnoteRef/>
      </w:r>
      <w:r>
        <w:rPr>
          <w:i/>
        </w:rPr>
        <w:t>Compare</w:t>
      </w:r>
      <w:r>
        <w:t xml:space="preserve"> Reg. </w:t>
      </w:r>
      <w:smartTag w:uri="http://www.bna.com/sgml2word/cite" w:element="cite.cfr">
        <w:smartTagPr>
          <w:attr w:name="ref" w:val="cfr\26\1.1411-4(g)(1)"/>
        </w:smartTagPr>
        <w:r>
          <w:t>§1.1411-4(g)(1)</w:t>
        </w:r>
      </w:smartTag>
      <w:r>
        <w:t xml:space="preserve"> </w:t>
      </w:r>
      <w:r>
        <w:rPr>
          <w:i/>
        </w:rPr>
        <w:t>with</w:t>
      </w:r>
      <w:r>
        <w:t xml:space="preserve"> Reg. </w:t>
      </w:r>
      <w:smartTag w:uri="http://www.bna.com/sgml2word/cite" w:element="cite.cfr">
        <w:smartTagPr>
          <w:attr w:name="ref" w:val="cfr\26\1.1411-10(c)(5)(ii)(D)"/>
        </w:smartTagPr>
        <w:r>
          <w:t>§1.1411-10(c)(5)(ii)(D)</w:t>
        </w:r>
      </w:smartTag>
      <w:r>
        <w:t xml:space="preserve"> (“may only be changed by the taxpayer by securing the consent of the Commissioner in accordance with Reg. </w:t>
      </w:r>
      <w:smartTag w:uri="http://www.bna.com/sgml2word/cite" w:element="cite.cfr">
        <w:smartTagPr>
          <w:attr w:name="ref" w:val="cfr\26\1.446-1(e)"/>
        </w:smartTagPr>
        <w:r>
          <w:t>§1.446-1(e)</w:t>
        </w:r>
      </w:smartTag>
      <w:r>
        <w:t xml:space="preserve"> and following the administrative procedures issued under Reg. </w:t>
      </w:r>
      <w:smartTag w:uri="http://www.bna.com/sgml2word/cite" w:element="cite.cfr">
        <w:smartTagPr>
          <w:attr w:name="ref" w:val="cfr\26\1.446-1(e)(3)(ii)"/>
        </w:smartTagPr>
        <w:r>
          <w:t>§1.446-1(e)(3)(ii)</w:t>
        </w:r>
      </w:smartTag>
      <w:r>
        <w:t>”).</w:t>
      </w:r>
    </w:p>
  </w:footnote>
  <w:footnote w:id="641">
    <w:p w14:paraId="03FE87C0"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642">
    <w:p w14:paraId="56AA7A42" w14:textId="77777777" w:rsidR="00494B49" w:rsidRDefault="00494B49">
      <w:pPr>
        <w:pStyle w:val="FootnoteText"/>
      </w:pPr>
      <w:r>
        <w:rPr>
          <w:rStyle w:val="FootnoteReference"/>
        </w:rPr>
        <w:footnoteRef/>
      </w:r>
      <w:r>
        <w:t xml:space="preserve">Gross investment income is the sum of items contained in </w:t>
      </w:r>
      <w:smartTag w:uri="http://www.bna.com/sgml2word/cite" w:element="cite.usc">
        <w:smartTagPr>
          <w:attr w:name="ref" w:val="USC\26\1411(c)(1)(A)"/>
        </w:smartTagPr>
        <w:r>
          <w:t>§1411(c)(1)(A)</w:t>
        </w:r>
      </w:smartTag>
      <w:r>
        <w:t xml:space="preserve"> before any deductions allowed by </w:t>
      </w:r>
      <w:smartTag w:uri="http://www.bna.com/sgml2word/cite" w:element="cite.usc">
        <w:smartTagPr>
          <w:attr w:name="ref" w:val="USC\26\1411(c)(1)(B)"/>
        </w:smartTagPr>
        <w:r>
          <w:t>§1411(c)(1)(B)</w:t>
        </w:r>
      </w:smartTag>
      <w:r>
        <w:t xml:space="preserve">. </w:t>
      </w:r>
    </w:p>
  </w:footnote>
  <w:footnote w:id="643">
    <w:p w14:paraId="652127F1"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2(a)"/>
        </w:smartTagPr>
        <w:r>
          <w:t>§62(a)</w:t>
        </w:r>
      </w:smartTag>
      <w:r>
        <w:t xml:space="preserve">. </w:t>
      </w:r>
    </w:p>
  </w:footnote>
  <w:footnote w:id="644">
    <w:p w14:paraId="44062CF4"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regarding unreasonable allocation methods for estates and trusts. </w:t>
      </w:r>
    </w:p>
  </w:footnote>
  <w:footnote w:id="645">
    <w:p w14:paraId="3BF775C4"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5.D.ii (“One commentator recommended that the 2013 Final Regulations provide that state income tax reported on the state income tax return, rather than the actual state income tax payments made during the year, should be used in calculating a trust or estate’s deduction under proposed Reg. </w:t>
      </w:r>
      <w:smartTag w:uri="http://www.bna.com/sgml2word/cite" w:element="cite.cfr">
        <w:smartTagPr>
          <w:attr w:name="ref" w:val="prule\cfr\26\1.1411-4"/>
        </w:smartTagPr>
        <w:r>
          <w:t>§1.1411-4(f)(3)(i)(C)</w:t>
        </w:r>
      </w:smartTag>
      <w:r>
        <w:t xml:space="preserve"> for taxes under </w:t>
      </w:r>
      <w:smartTag w:uri="http://www.bna.com/sgml2word/cite" w:element="cite.usc">
        <w:smartTagPr>
          <w:attr w:name="ref" w:val="USC\26\164(a)(3)"/>
        </w:smartTagPr>
        <w:r>
          <w:t>§164(a)(3)</w:t>
        </w:r>
      </w:smartTag>
      <w:r>
        <w:t xml:space="preserve">.”). </w:t>
      </w:r>
    </w:p>
  </w:footnote>
  <w:footnote w:id="646">
    <w:p w14:paraId="1F6DB3FA" w14:textId="77777777" w:rsidR="00494B49" w:rsidRDefault="00494B49">
      <w:pPr>
        <w:pStyle w:val="FootnoteText"/>
      </w:pPr>
      <w:r>
        <w:rPr>
          <w:rStyle w:val="FootnoteReference"/>
        </w:rPr>
        <w:footnoteRef/>
      </w:r>
      <w:r>
        <w:t xml:space="preserve">For a detailed discussion of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w:t>
      </w:r>
    </w:p>
  </w:footnote>
  <w:footnote w:id="647">
    <w:p w14:paraId="4E9E3425" w14:textId="77777777" w:rsidR="00494B49" w:rsidRDefault="00494B49">
      <w:pPr>
        <w:pStyle w:val="FootnoteText"/>
      </w:pPr>
      <w:r>
        <w:rPr>
          <w:rStyle w:val="FootnoteReference"/>
        </w:rPr>
        <w:footnoteRef/>
      </w:r>
      <w:r>
        <w:t xml:space="preserve">To the extent that any expenses are reportable on Schedule A as miscellaneous itemized deductions, they are not deductible for tax years beginning in 2018 through 2025. </w:t>
      </w:r>
      <w:smartTag w:uri="http://www.bna.com/sgml2word/cite" w:element="cite.usc">
        <w:smartTagPr>
          <w:attr w:name="ref" w:val="USC\26\67(g)"/>
        </w:smartTagPr>
        <w:r>
          <w:t>§67(g)</w:t>
        </w:r>
      </w:smartTag>
      <w:r>
        <w:t>.</w:t>
      </w:r>
    </w:p>
  </w:footnote>
  <w:footnote w:id="648">
    <w:p w14:paraId="26433D5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C.4"/>
        </w:smartTagPr>
        <w:r>
          <w:t>I.C.4.</w:t>
        </w:r>
      </w:smartTag>
      <w:smartTag w:uri="http://www.bna.com/sgml2word/cite" w:element="cite.bna.reference">
        <w:smartTagPr>
          <w:attr w:name="bna.id.ref" w:val="TM\873.I.C.4"/>
        </w:smartTagPr>
        <w:r>
          <w:t>I.C.4.</w:t>
        </w:r>
      </w:smartTag>
      <w:r>
        <w:t>, above.</w:t>
      </w:r>
    </w:p>
  </w:footnote>
  <w:footnote w:id="649">
    <w:p w14:paraId="7C961563" w14:textId="77777777" w:rsidR="00494B49" w:rsidRDefault="00494B49">
      <w:pPr>
        <w:pStyle w:val="FootnoteText"/>
      </w:pPr>
      <w:r>
        <w:rPr>
          <w:rStyle w:val="FootnoteReference"/>
        </w:rPr>
        <w:footnoteRef/>
      </w:r>
      <w:r>
        <w:t>See Preamble, 2012 Proposed Regulations (</w:t>
      </w:r>
      <w:smartTag w:uri="http://www.bna.com/sgml2word/cite" w:element="cite.agency.doc">
        <w:smartTagPr>
          <w:attr w:name="ref" w:val="irs\nprm\REG-130507-11"/>
        </w:smartTagPr>
        <w:r>
          <w:t>REG-130507-11</w:t>
        </w:r>
      </w:smartTag>
      <w:r>
        <w:t>), Preamble, 2013 Final Regulations (</w:t>
      </w:r>
      <w:smartTag w:uri="http://www.bna.com/sgml2word/cite" w:element="cite.agency.doc">
        <w:smartTagPr>
          <w:attr w:name="ref" w:val="IRS\PREAMBLE\TD9644"/>
        </w:smartTagPr>
        <w:r>
          <w:t>T.D. 9644</w:t>
        </w:r>
      </w:smartTag>
      <w:r>
        <w:t xml:space="preserve">), and </w:t>
      </w:r>
      <w:hyperlink r:id="rId9" w:history="1">
        <w:r>
          <w:rPr>
            <w:rStyle w:val="Hyperlink"/>
            <w:i/>
          </w:rPr>
          <w:t>Instructions for Form 8960, Net Investment Income Tax Individuals, Estates, and Trusts</w:t>
        </w:r>
        <w:r>
          <w:rPr>
            <w:rStyle w:val="Hyperlink"/>
          </w:rPr>
          <w:t xml:space="preserve"> (2013)</w:t>
        </w:r>
      </w:hyperlink>
    </w:p>
  </w:footnote>
  <w:footnote w:id="650">
    <w:p w14:paraId="24BF79CB" w14:textId="77777777" w:rsidR="00494B49" w:rsidRDefault="00494B49">
      <w:pPr>
        <w:pStyle w:val="FootnoteText"/>
      </w:pPr>
      <w:r>
        <w:rPr>
          <w:rStyle w:val="FootnoteReference"/>
        </w:rPr>
        <w:footnoteRef/>
      </w:r>
      <w:r>
        <w:t>Pennsylvania excludes IRAs and Pensions from individual income tax. Tennessee excludes earned income from the individual income tax.</w:t>
      </w:r>
    </w:p>
  </w:footnote>
  <w:footnote w:id="651">
    <w:p w14:paraId="60B019E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31\3124(a)"/>
        </w:smartTagPr>
        <w:r>
          <w:t>31 U.S.C. §3124(a)</w:t>
        </w:r>
      </w:smartTag>
      <w:r>
        <w:t xml:space="preserve">. </w:t>
      </w:r>
    </w:p>
  </w:footnote>
  <w:footnote w:id="652">
    <w:p w14:paraId="5EDF168C" w14:textId="77777777" w:rsidR="00494B49" w:rsidRDefault="00494B49">
      <w:pPr>
        <w:pStyle w:val="FootnoteText"/>
      </w:pPr>
      <w:r>
        <w:rPr>
          <w:rStyle w:val="FootnoteReference"/>
        </w:rPr>
        <w:footnoteRef/>
      </w:r>
      <w:r>
        <w:t xml:space="preserve">Aristotle. </w:t>
      </w:r>
    </w:p>
  </w:footnote>
  <w:footnote w:id="653">
    <w:p w14:paraId="2F70F252" w14:textId="77777777" w:rsidR="00494B49" w:rsidRDefault="00494B49">
      <w:pPr>
        <w:pStyle w:val="FootnoteText"/>
      </w:pPr>
      <w:r>
        <w:rPr>
          <w:rStyle w:val="FootnoteReference"/>
        </w:rPr>
        <w:footnoteRef/>
      </w:r>
      <w:r>
        <w:rPr>
          <w:i/>
        </w:rPr>
        <w:t xml:space="preserve">See, e.g., </w:t>
      </w:r>
      <w:smartTag w:uri="http://www.bna.com/sgml2word/cite" w:element="cite.agency.doc">
        <w:smartTagPr>
          <w:attr w:name="ref" w:val="IRS\Notice\2007-73"/>
        </w:smartTagPr>
        <w:r>
          <w:t>Notice 2007-73</w:t>
        </w:r>
      </w:smartTag>
      <w:r>
        <w:t>.</w:t>
      </w:r>
    </w:p>
  </w:footnote>
  <w:footnote w:id="654">
    <w:p w14:paraId="1B0CF82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
        </w:smartTagPr>
        <w:r>
          <w:t>§1.1411-4(g)(1)</w:t>
        </w:r>
      </w:smartTag>
      <w:r>
        <w:t>.</w:t>
      </w:r>
    </w:p>
  </w:footnote>
  <w:footnote w:id="655">
    <w:p w14:paraId="5B97B046" w14:textId="77777777" w:rsidR="00494B49" w:rsidRDefault="00494B49">
      <w:pPr>
        <w:pStyle w:val="FootnoteText"/>
      </w:pPr>
      <w:r>
        <w:rPr>
          <w:rStyle w:val="FootnoteReference"/>
        </w:rPr>
        <w:footnoteRef/>
      </w:r>
      <w:r>
        <w:t xml:space="preserve">Additionally, Reg. </w:t>
      </w:r>
      <w:smartTag w:uri="http://www.bna.com/sgml2word/cite" w:element="cite.cfr">
        <w:smartTagPr>
          <w:attr w:name="ref" w:val="cfr\26\1.652(b)-3(b)"/>
        </w:smartTagPr>
        <w:r>
          <w:t>§1.652(b)-3(b)</w:t>
        </w:r>
      </w:smartTag>
      <w:r>
        <w:t xml:space="preserve"> provides that the fact that the governing instrument or applicable local law treats certain items of deduction as attributable to corpus or to income not included in distributable net income does not affect allocation. </w:t>
      </w:r>
    </w:p>
  </w:footnote>
  <w:footnote w:id="656">
    <w:p w14:paraId="655266A9" w14:textId="77777777" w:rsidR="00494B49" w:rsidRDefault="00494B49">
      <w:pPr>
        <w:pStyle w:val="FootnoteText"/>
      </w:pPr>
      <w:r>
        <w:rPr>
          <w:rStyle w:val="FootnoteReference"/>
        </w:rPr>
        <w:footnoteRef/>
      </w:r>
      <w:r>
        <w:rPr>
          <w:i/>
        </w:rPr>
        <w:t>See</w:t>
      </w:r>
      <w:r>
        <w:t xml:space="preserve"> </w:t>
      </w:r>
      <w:hyperlink r:id="rId10" w:history="1">
        <w:r>
          <w:rPr>
            <w:rStyle w:val="Hyperlink"/>
          </w:rPr>
          <w:t>Instructions for Form 8960</w:t>
        </w:r>
      </w:hyperlink>
      <w:r>
        <w:t xml:space="preserve">, </w:t>
      </w:r>
      <w:r>
        <w:rPr>
          <w:i/>
        </w:rPr>
        <w:t>Net Investment Income Tax—Individuals, Estates, and Trusts</w:t>
      </w:r>
      <w:r>
        <w:t>, Part II (under subheading “Reasonable method allocations”).</w:t>
      </w:r>
    </w:p>
  </w:footnote>
  <w:footnote w:id="657">
    <w:p w14:paraId="25395D8D" w14:textId="77777777" w:rsidR="00494B49" w:rsidRDefault="00494B49">
      <w:pPr>
        <w:pStyle w:val="FootnoteText"/>
      </w:pPr>
      <w:r>
        <w:rPr>
          <w:rStyle w:val="FootnoteReference"/>
        </w:rPr>
        <w:footnoteRef/>
      </w:r>
      <w:r>
        <w:t xml:space="preserve">Itemized deductions subject to the 2% AGI floor are disallowed in tax years beginning in 2018 through 2025. </w:t>
      </w:r>
      <w:smartTag w:uri="http://www.bna.com/sgml2word/cite" w:element="cite.usc">
        <w:smartTagPr>
          <w:attr w:name="ref" w:val="USC\26\67(g)"/>
        </w:smartTagPr>
        <w:r>
          <w:t>§67(g)</w:t>
        </w:r>
      </w:smartTag>
      <w:r>
        <w:t xml:space="preserve">. For a detailed discussion of </w:t>
      </w:r>
      <w:smartTag w:uri="http://www.bna.com/sgml2word/cite" w:element="cite.usc">
        <w:smartTagPr>
          <w:attr w:name="ref" w:val="USC\26\67"/>
        </w:smartTagPr>
        <w:r>
          <w:t>§67</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8">
    <w:p w14:paraId="24C6C33D" w14:textId="77777777" w:rsidR="00494B49" w:rsidRDefault="00494B49">
      <w:pPr>
        <w:pStyle w:val="FootnoteText"/>
      </w:pPr>
      <w:r>
        <w:rPr>
          <w:rStyle w:val="FootnoteReference"/>
        </w:rPr>
        <w:footnoteRef/>
      </w:r>
      <w:r>
        <w:t xml:space="preserve">For tax years beginning in 2018 through 2025, the overall limitation on itemized deductions does not apply. </w:t>
      </w:r>
      <w:smartTag w:uri="http://www.bna.com/sgml2word/cite" w:element="cite.usc">
        <w:smartTagPr>
          <w:attr w:name="ref" w:val="USC\26\68(f)"/>
        </w:smartTagPr>
        <w:r>
          <w:t>§68(f)</w:t>
        </w:r>
      </w:smartTag>
      <w:r>
        <w:t xml:space="preserve">. For a detailed discussion of </w:t>
      </w:r>
      <w:smartTag w:uri="http://www.bna.com/sgml2word/cite" w:element="cite.usc">
        <w:smartTagPr>
          <w:attr w:name="ref" w:val="USC\26\68"/>
        </w:smartTagPr>
        <w:r>
          <w:t>§68</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9">
    <w:p w14:paraId="783CCCE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
        </w:smartTagPr>
        <w:r>
          <w:t>§1.1411-4(f)(7)</w:t>
        </w:r>
      </w:smartTag>
      <w:r>
        <w:t xml:space="preserve">. </w:t>
      </w:r>
    </w:p>
  </w:footnote>
  <w:footnote w:id="660">
    <w:p w14:paraId="4F8DC0A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661">
    <w:p w14:paraId="0C241DD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i)"/>
        </w:smartTagPr>
        <w:r>
          <w:t>§1.1411-4(f)(3)(vi)</w:t>
        </w:r>
      </w:smartTag>
      <w:r>
        <w:t>.</w:t>
      </w:r>
    </w:p>
  </w:footnote>
  <w:footnote w:id="662">
    <w:p w14:paraId="60994E7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63">
    <w:p w14:paraId="74632BA0"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64">
    <w:p w14:paraId="1B8D8C84" w14:textId="77777777" w:rsidR="00494B49" w:rsidRDefault="00494B49">
      <w:pPr>
        <w:pStyle w:val="FootnoteText"/>
      </w:pPr>
      <w:r>
        <w:rPr>
          <w:rStyle w:val="FootnoteReference"/>
        </w:rPr>
        <w:footnoteRef/>
      </w:r>
      <w:smartTag w:uri="http://www.bna.com/sgml2word/cite" w:element="cite.usc">
        <w:smartTagPr>
          <w:attr w:name="ref" w:val="USC\26\68(f)"/>
        </w:smartTagPr>
        <w:r>
          <w:t>§68(f)</w:t>
        </w:r>
      </w:smartTag>
      <w:r>
        <w:t>.</w:t>
      </w:r>
    </w:p>
  </w:footnote>
  <w:footnote w:id="665">
    <w:p w14:paraId="2054734E" w14:textId="77777777" w:rsidR="00494B49" w:rsidRDefault="00494B49">
      <w:pPr>
        <w:pStyle w:val="FootnoteText"/>
      </w:pPr>
      <w:r>
        <w:rPr>
          <w:rStyle w:val="FootnoteReference"/>
        </w:rPr>
        <w:footnoteRef/>
      </w:r>
      <w:smartTag w:uri="http://www.bna.com/sgml2word/cite" w:element="cite.usc">
        <w:smartTagPr>
          <w:attr w:name="ref" w:val="USC\26\67(a)"/>
        </w:smartTagPr>
        <w:r>
          <w:t>§67(a)</w:t>
        </w:r>
      </w:smartTag>
      <w:r>
        <w:t xml:space="preserve">. However, for tax years beginning in 2018 through 2025, miscellaneous itemized deductions subject to the 2% AGI floor are disallowed. </w:t>
      </w:r>
      <w:smartTag w:uri="http://www.bna.com/sgml2word/cite" w:element="cite.usc">
        <w:smartTagPr>
          <w:attr w:name="ref" w:val="USC\26\67(g)"/>
        </w:smartTagPr>
        <w:r>
          <w:t>§67(g)</w:t>
        </w:r>
      </w:smartTag>
      <w:r>
        <w:t>.</w:t>
      </w:r>
    </w:p>
  </w:footnote>
  <w:footnote w:id="666">
    <w:p w14:paraId="62D8388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i)"/>
        </w:smartTagPr>
        <w:r>
          <w:t>§1.1411-4(f)(7)(i)</w:t>
        </w:r>
      </w:smartTag>
      <w:r>
        <w:t>.</w:t>
      </w:r>
    </w:p>
  </w:footnote>
  <w:footnote w:id="667">
    <w:p w14:paraId="1BFD4792"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68">
    <w:p w14:paraId="5EAF6C2D" w14:textId="77777777" w:rsidR="00494B49" w:rsidRDefault="00494B49">
      <w:pPr>
        <w:pStyle w:val="FootnoteText"/>
      </w:pPr>
      <w:r>
        <w:rPr>
          <w:rStyle w:val="FootnoteReference"/>
        </w:rPr>
        <w:footnoteRef/>
      </w:r>
      <w:r>
        <w:t>The applicable amount is adjusted for inflation.</w:t>
      </w:r>
    </w:p>
  </w:footnote>
  <w:footnote w:id="669">
    <w:p w14:paraId="0AD5E6C6" w14:textId="77777777" w:rsidR="00494B49" w:rsidRDefault="00494B49">
      <w:pPr>
        <w:pStyle w:val="FootnoteText"/>
      </w:pPr>
      <w:r>
        <w:rPr>
          <w:rStyle w:val="FootnoteReference"/>
        </w:rPr>
        <w:footnoteRef/>
      </w:r>
      <w:smartTag w:uri="http://www.bna.com/sgml2word/cite" w:element="cite.usc">
        <w:smartTagPr>
          <w:attr w:name="ref" w:val="USC\26\68(a)"/>
        </w:smartTagPr>
        <w:r>
          <w:t>§68(a)</w:t>
        </w:r>
      </w:smartTag>
      <w:r>
        <w:t xml:space="preserve">. </w:t>
      </w:r>
      <w:smartTag w:uri="http://www.bna.com/sgml2word/cite" w:element="cite.usc">
        <w:smartTagPr>
          <w:attr w:name="ref" w:val="USC\26\68"/>
        </w:smartTagPr>
        <w:r>
          <w:t>Section 68</w:t>
        </w:r>
      </w:smartTag>
      <w:r>
        <w:t xml:space="preserve"> does not apply to tax years beginning in 2018 through 2025. </w:t>
      </w:r>
      <w:smartTag w:uri="http://www.bna.com/sgml2word/cite" w:element="cite.usc">
        <w:smartTagPr>
          <w:attr w:name="ref" w:val="USC\26\68(f)"/>
        </w:smartTagPr>
        <w:r>
          <w:t>§68(f)</w:t>
        </w:r>
      </w:smartTag>
      <w:r>
        <w:t>.</w:t>
      </w:r>
    </w:p>
  </w:footnote>
  <w:footnote w:id="670">
    <w:p w14:paraId="4B02E70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ii)"/>
        </w:smartTagPr>
        <w:r>
          <w:t>§1.1411-4(f)(7)(ii)</w:t>
        </w:r>
      </w:smartTag>
      <w:r>
        <w:t>.</w:t>
      </w:r>
    </w:p>
  </w:footnote>
  <w:footnote w:id="671">
    <w:p w14:paraId="49662B72"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2">
    <w:p w14:paraId="6F9D92D2" w14:textId="77777777" w:rsidR="00494B49" w:rsidRDefault="00494B49">
      <w:pPr>
        <w:pStyle w:val="FootnoteText"/>
      </w:pPr>
      <w:r>
        <w:rPr>
          <w:rStyle w:val="FootnoteReference"/>
        </w:rPr>
        <w:footnoteRef/>
      </w:r>
      <w:r>
        <w:t>The instructions apportion the amount lost to the 2% or 3% limitation on a pro-rata basis.</w:t>
      </w:r>
    </w:p>
  </w:footnote>
  <w:footnote w:id="673">
    <w:p w14:paraId="0B167D66" w14:textId="77777777" w:rsidR="00494B49" w:rsidRDefault="00494B49">
      <w:pPr>
        <w:pStyle w:val="FootnoteText"/>
      </w:pPr>
      <w:r>
        <w:rPr>
          <w:rStyle w:val="FootnoteReference"/>
        </w:rPr>
        <w:footnoteRef/>
      </w:r>
      <w:r>
        <w:t xml:space="preserve">For more on the recovery rules in Reg. </w:t>
      </w:r>
      <w:smartTag w:uri="http://www.bna.com/sgml2word/cite" w:element="cite.cfr">
        <w:smartTagPr>
          <w:attr w:name="ref" w:val="cfr\26\1.1411-4(g)(2)"/>
        </w:smartTagPr>
        <w:r>
          <w:t>§1.1411-4(g)(2)</w:t>
        </w:r>
      </w:smartTag>
      <w:r>
        <w:t xml:space="preserve">,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below.</w:t>
      </w:r>
    </w:p>
  </w:footnote>
  <w:footnote w:id="674">
    <w:p w14:paraId="78D57650" w14:textId="77777777" w:rsidR="00494B49" w:rsidRDefault="00494B49">
      <w:pPr>
        <w:pStyle w:val="FootnoteText"/>
      </w:pPr>
      <w:r>
        <w:rPr>
          <w:rStyle w:val="FootnoteReference"/>
        </w:rPr>
        <w:footnoteRef/>
      </w:r>
      <w:r>
        <w:t xml:space="preserve">The pro-rata appointment in the instructions prevents taxpayers from apportioning the entire amount lost to the 2% or 3% limitation to amounts that are recovered (or expected to be recovered) in subsequent years in order to avoid or substantially handicap the Reg. </w:t>
      </w:r>
      <w:smartTag w:uri="http://www.bna.com/sgml2word/cite" w:element="cite.cfr">
        <w:smartTagPr>
          <w:attr w:name="ref" w:val="cfr\26\1.1411-4(g)(2)"/>
        </w:smartTagPr>
        <w:r>
          <w:t>§1.1411-4(g)(2)</w:t>
        </w:r>
      </w:smartTag>
      <w:r>
        <w:t xml:space="preserve"> recovery rule. For example, if given the opportunity, a taxpayer would apportion any deduction lost due to the application of the </w:t>
      </w:r>
      <w:smartTag w:uri="http://www.bna.com/sgml2word/cite" w:element="cite.usc">
        <w:smartTagPr>
          <w:attr w:name="ref" w:val="USC\26\68"/>
        </w:smartTagPr>
        <w:r>
          <w:t>§68</w:t>
        </w:r>
      </w:smartTag>
      <w:r>
        <w:t xml:space="preserve"> limitation to </w:t>
      </w:r>
      <w:smartTag w:uri="http://www.bna.com/sgml2word/cite" w:element="cite.usc">
        <w:smartTagPr>
          <w:attr w:name="ref" w:val="USC\26\164(a)(3)"/>
        </w:smartTagPr>
        <w:r>
          <w:t>§164(a)(3)</w:t>
        </w:r>
      </w:smartTag>
      <w:r>
        <w:t xml:space="preserve"> taxes if the taxpayer is expecting a refund because it would cap the amount of the refund included in net investment income. </w:t>
      </w:r>
    </w:p>
  </w:footnote>
  <w:footnote w:id="675">
    <w:p w14:paraId="3028C71C"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6">
    <w:p w14:paraId="276B545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7)(iv)"/>
        </w:smartTagPr>
        <w:r>
          <w:t>§1.1411-4(f)(7)(iv)</w:t>
        </w:r>
      </w:smartTag>
      <w:r>
        <w:t xml:space="preserve"> </w:t>
      </w:r>
      <w:r>
        <w:rPr>
          <w:i/>
        </w:rPr>
        <w:t>Ex.</w:t>
      </w:r>
      <w:r>
        <w:t xml:space="preserve"> A’s total miscellaneous itemized deductions (before the application of </w:t>
      </w:r>
      <w:smartTag w:uri="http://www.bna.com/sgml2word/cite" w:element="cite.usc">
        <w:smartTagPr>
          <w:attr w:name="ref" w:val="USC\26\67"/>
        </w:smartTagPr>
        <w:r>
          <w:t>§67</w:t>
        </w:r>
      </w:smartTag>
      <w:r>
        <w:t xml:space="preserve">) is $100,000 ($70,000 in investment expenses plus $30,000 in job-related expenses). The total miscellaneous deductions allowed after the application of the </w:t>
      </w:r>
      <w:smartTag w:uri="http://www.bna.com/sgml2word/cite" w:element="cite.usc">
        <w:smartTagPr>
          <w:attr w:name="ref" w:val="USC\26\67"/>
        </w:smartTagPr>
        <w:r>
          <w:t>§67</w:t>
        </w:r>
      </w:smartTag>
      <w:r>
        <w:t xml:space="preserve"> 2% floor is $60,000 ($100,000 minus $40,000 ($2,000,000 × 2%)).</w:t>
      </w:r>
    </w:p>
  </w:footnote>
  <w:footnote w:id="677">
    <w:p w14:paraId="5B8E646B" w14:textId="77777777" w:rsidR="00494B49" w:rsidRDefault="00494B49">
      <w:pPr>
        <w:pStyle w:val="FootnoteText"/>
      </w:pPr>
      <w:r>
        <w:rPr>
          <w:rStyle w:val="FootnoteReference"/>
        </w:rPr>
        <w:footnoteRef/>
      </w:r>
      <w:r>
        <w:t xml:space="preserve">The $20,000 was assumed to be allocable to net investment income for purposes of the example. </w:t>
      </w:r>
    </w:p>
  </w:footnote>
  <w:footnote w:id="678">
    <w:p w14:paraId="00AF312B" w14:textId="77777777" w:rsidR="00494B49" w:rsidRDefault="00494B49">
      <w:pPr>
        <w:pStyle w:val="FootnoteText"/>
      </w:pPr>
      <w:r>
        <w:rPr>
          <w:rStyle w:val="FootnoteReference"/>
        </w:rPr>
        <w:footnoteRef/>
      </w:r>
      <w:r>
        <w:t xml:space="preserve">The example in the regulations assumes a $200,000 </w:t>
      </w:r>
      <w:smartTag w:uri="http://www.bna.com/sgml2word/cite" w:element="cite.usc">
        <w:smartTagPr>
          <w:attr w:name="ref" w:val="USC\26\68"/>
        </w:smartTagPr>
        <w:r>
          <w:t>§68</w:t>
        </w:r>
      </w:smartTag>
      <w:r>
        <w:t xml:space="preserve"> limitation threshold (“applicable amount”). Under this assumption, the $201,000 figure is computed as follows:$180,000 ($60,000 miscellaneous itemized deductions ($70,000 investment expenses plus $30,000 job-related expenses minus $40,000 (deduction limitation under </w:t>
      </w:r>
      <w:smartTag w:uri="http://www.bna.com/sgml2word/cite" w:element="cite.usc">
        <w:smartTagPr>
          <w:attr w:name="ref" w:val="USC\26\67"/>
        </w:smartTagPr>
        <w:r>
          <w:t>§67</w:t>
        </w:r>
      </w:smartTag>
      <w:r>
        <w:t>) plus $120,000 state income taxes)– $54,000 (3% of $1,800,000 (the excess of $2,000,000 over $200,000))= $126,000+ $75,000 investment interest expense= $201,000</w:t>
      </w:r>
    </w:p>
  </w:footnote>
  <w:footnote w:id="679">
    <w:p w14:paraId="5BFDFF5C" w14:textId="77777777" w:rsidR="00494B49" w:rsidRDefault="00494B49">
      <w:pPr>
        <w:pStyle w:val="FootnoteText"/>
      </w:pPr>
      <w:r>
        <w:rPr>
          <w:rStyle w:val="FootnoteReference"/>
        </w:rPr>
        <w:footnoteRef/>
      </w:r>
      <w:r>
        <w:t xml:space="preserve">The overall computation of the 2% limitation and the amount of deductions lost is the same as in Reg. </w:t>
      </w:r>
      <w:smartTag w:uri="http://www.bna.com/sgml2word/cite" w:element="cite.cfr">
        <w:smartTagPr>
          <w:attr w:name="ref" w:val="cfr\26\1.1411-4(f)(7)(iv)"/>
        </w:smartTagPr>
        <w:r>
          <w:t>§1.1411-4(f)(7)(iv)</w:t>
        </w:r>
      </w:smartTag>
      <w:r>
        <w:t xml:space="preserve"> </w:t>
      </w:r>
      <w:r>
        <w:rPr>
          <w:i/>
        </w:rPr>
        <w:t>Ex.</w:t>
      </w:r>
      <w:r>
        <w:t xml:space="preserve">, at (C)(1). A’s total miscellaneous itemized deductions (before the application of </w:t>
      </w:r>
      <w:smartTag w:uri="http://www.bna.com/sgml2word/cite" w:element="cite.usc">
        <w:smartTagPr>
          <w:attr w:name="ref" w:val="USC\26\67"/>
        </w:smartTagPr>
        <w:r>
          <w:t>§67</w:t>
        </w:r>
      </w:smartTag>
      <w:r>
        <w:t xml:space="preserve">) is $100,000 ($65,000 in investment expenses plus $20,000 in job-related expenses plus $15,000 in tax prep fees). The total miscellaneous deductions allowed after the application of the </w:t>
      </w:r>
      <w:smartTag w:uri="http://www.bna.com/sgml2word/cite" w:element="cite.usc">
        <w:smartTagPr>
          <w:attr w:name="ref" w:val="USC\26\67"/>
        </w:smartTagPr>
        <w:r>
          <w:t>§67</w:t>
        </w:r>
      </w:smartTag>
      <w:r>
        <w:t xml:space="preserve"> 2% floor is $60,000 ($100,000 – $40,000 ($2,000,000 × 2%)). </w:t>
      </w:r>
    </w:p>
  </w:footnote>
  <w:footnote w:id="680">
    <w:p w14:paraId="3A3A43DD" w14:textId="77777777" w:rsidR="00494B49" w:rsidRDefault="00494B49">
      <w:pPr>
        <w:pStyle w:val="FootnoteText"/>
      </w:pPr>
      <w:r>
        <w:rPr>
          <w:rStyle w:val="FootnoteReference"/>
        </w:rPr>
        <w:footnoteRef/>
      </w:r>
      <w:r>
        <w:t xml:space="preserve">The entire charitable contribution is deductible in the current year because the 3% limitation of $54,000 has already been applied to the taxpayer’s itemized deductions. </w:t>
      </w:r>
    </w:p>
  </w:footnote>
  <w:footnote w:id="681">
    <w:p w14:paraId="684A599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3)"/>
        </w:smartTagPr>
        <w:r>
          <w:t>§1.1411-4(g)(3)</w:t>
        </w:r>
      </w:smartTag>
      <w:r>
        <w:t xml:space="preserve">. </w:t>
      </w:r>
    </w:p>
  </w:footnote>
  <w:footnote w:id="682">
    <w:p w14:paraId="075CBE3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3)"/>
        </w:smartTagPr>
        <w:r>
          <w:t>§1.1411-4(g)(3)</w:t>
        </w:r>
      </w:smartTag>
      <w:r>
        <w:t>.</w:t>
      </w:r>
    </w:p>
  </w:footnote>
  <w:footnote w:id="683">
    <w:p w14:paraId="0BF935B2"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b)"/>
        </w:smartTagPr>
        <w:r>
          <w:t>§691(b)</w:t>
        </w:r>
      </w:smartTag>
      <w:r>
        <w:t xml:space="preserve">,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4">
    <w:p w14:paraId="728DA39C"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w:t>
        </w:r>
      </w:smartTag>
      <w:r>
        <w:t xml:space="preserve"> T.M.,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5">
    <w:p w14:paraId="3ECA8F7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86">
    <w:p w14:paraId="7BEF4C9A" w14:textId="77777777" w:rsidR="00494B49" w:rsidRDefault="00494B49">
      <w:pPr>
        <w:pStyle w:val="FootnoteText"/>
      </w:pPr>
      <w:r>
        <w:rPr>
          <w:rStyle w:val="FootnoteReference"/>
        </w:rPr>
        <w:footnoteRef/>
      </w:r>
      <w:smartTag w:uri="http://www.bna.com/sgml2word/cite" w:element="cite.usc">
        <w:smartTagPr>
          <w:attr w:name="ref" w:val="USC\26\67(b)(7)"/>
        </w:smartTagPr>
        <w:r>
          <w:t>§67(b)(7)</w:t>
        </w:r>
      </w:smartTag>
      <w:r>
        <w:t>.</w:t>
      </w:r>
    </w:p>
  </w:footnote>
  <w:footnote w:id="687">
    <w:p w14:paraId="265AB7DE" w14:textId="77777777" w:rsidR="00494B49" w:rsidRDefault="00494B49">
      <w:pPr>
        <w:pStyle w:val="FootnoteText"/>
      </w:pPr>
      <w:r>
        <w:rPr>
          <w:rStyle w:val="FootnoteReference"/>
        </w:rPr>
        <w:footnoteRef/>
      </w:r>
      <w:r>
        <w:t xml:space="preserve">The deduction allowed by </w:t>
      </w:r>
      <w:smartTag w:uri="http://www.bna.com/sgml2word/cite" w:element="cite.usc">
        <w:smartTagPr>
          <w:attr w:name="ref" w:val="USC\26\691(c)"/>
        </w:smartTagPr>
        <w:r>
          <w:t>§691(c)</w:t>
        </w:r>
      </w:smartTag>
      <w:r>
        <w:t xml:space="preserve"> is not listed in </w:t>
      </w:r>
      <w:smartTag w:uri="http://www.bna.com/sgml2word/cite" w:element="cite.usc">
        <w:smartTagPr>
          <w:attr w:name="ref" w:val="USC\26\68(c)"/>
        </w:smartTagPr>
        <w:r>
          <w:t>§68(c)</w:t>
        </w:r>
      </w:smartTag>
      <w:r>
        <w:t xml:space="preserve">. The overall limit on itemized deductions does not apply to tax years beginning in 2018 through 2025. See </w:t>
      </w:r>
      <w:smartTag w:uri="http://www.bna.com/sgml2word/cite" w:element="cite.usc">
        <w:smartTagPr>
          <w:attr w:name="ref" w:val="USC\26\68(f)"/>
        </w:smartTagPr>
        <w:r>
          <w:t>§68(f)</w:t>
        </w:r>
      </w:smartTag>
      <w:r>
        <w:t>.</w:t>
      </w:r>
    </w:p>
  </w:footnote>
  <w:footnote w:id="688">
    <w:p w14:paraId="014C864F" w14:textId="77777777" w:rsidR="00494B49" w:rsidRDefault="00494B49">
      <w:pPr>
        <w:pStyle w:val="FootnoteText"/>
      </w:pPr>
      <w:r>
        <w:rPr>
          <w:rStyle w:val="FootnoteReference"/>
        </w:rPr>
        <w:footnoteRef/>
      </w:r>
      <w:r>
        <w:t xml:space="preserve">For tax years beginning before 2018, for purposes of </w:t>
      </w:r>
      <w:smartTag w:uri="http://www.bna.com/sgml2word/cite" w:element="cite.usc">
        <w:smartTagPr>
          <w:attr w:name="ref" w:val="2017\USC\26\1201"/>
        </w:smartTagPr>
        <w:r>
          <w:t>former §1201</w:t>
        </w:r>
      </w:smartTag>
      <w:r>
        <w:t xml:space="preserve">, the amount taken into account with respect to </w:t>
      </w:r>
      <w:smartTag w:uri="http://www.bna.com/sgml2word/cite" w:element="cite.usc">
        <w:smartTagPr>
          <w:attr w:name="ref" w:val="USC\26\691(a)(1)"/>
        </w:smartTagPr>
        <w:r>
          <w:t>§691(a)(1)</w:t>
        </w:r>
      </w:smartTag>
      <w:r>
        <w:t xml:space="preserve"> was reduced (but not below zero) by the amount of the deduction allowable under </w:t>
      </w:r>
      <w:smartTag w:uri="http://www.bna.com/sgml2word/cite" w:element="cite.usc">
        <w:smartTagPr>
          <w:attr w:name="ref" w:val="USC\26\691(c)(1)"/>
        </w:smartTagPr>
        <w:r>
          <w:t>§691(c)(1)</w:t>
        </w:r>
      </w:smartTag>
      <w:r>
        <w:t xml:space="preserve"> with respect to such item. See </w:t>
      </w:r>
      <w:smartTag w:uri="http://www.bna.com/sgml2word/cite" w:element="cite.usc">
        <w:smartTagPr>
          <w:attr w:name="ref" w:val="2016\USC\26\691(c)(4)"/>
        </w:smartTagPr>
        <w:r>
          <w:t>pre-2018 §691(c)(4)</w:t>
        </w:r>
      </w:smartTag>
      <w:r>
        <w:t>.</w:t>
      </w:r>
    </w:p>
  </w:footnote>
  <w:footnote w:id="689">
    <w:p w14:paraId="6FC94330" w14:textId="77777777" w:rsidR="00494B49" w:rsidRDefault="00494B49">
      <w:pPr>
        <w:pStyle w:val="FootnoteText"/>
      </w:pPr>
      <w:r>
        <w:rPr>
          <w:rStyle w:val="FootnoteReference"/>
        </w:rPr>
        <w:footnoteRef/>
      </w:r>
      <w:r>
        <w:t xml:space="preserve">This amount is, therefore, in </w:t>
      </w:r>
      <w:smartTag w:uri="http://www.bna.com/sgml2word/cite" w:element="cite.usc">
        <w:smartTagPr>
          <w:attr w:name="ref" w:val="USC\26\1411(c)(1)(A)(iii)"/>
        </w:smartTagPr>
        <w:r>
          <w:t>§1411(c)(1)(A)(iii)</w:t>
        </w:r>
      </w:smartTag>
      <w:r>
        <w:t xml:space="preserve"> pursuant to calculations described in Reg. </w:t>
      </w:r>
      <w:smartTag w:uri="http://www.bna.com/sgml2word/cite" w:element="cite.cfr">
        <w:smartTagPr>
          <w:attr w:name="ref" w:val="cfr\26\1.1411-4(d)"/>
        </w:smartTagPr>
        <w:r>
          <w:t>§1.1411-4(d)</w:t>
        </w:r>
      </w:smartTag>
      <w:r>
        <w:t xml:space="preserve">. </w:t>
      </w:r>
    </w:p>
  </w:footnote>
  <w:footnote w:id="690">
    <w:p w14:paraId="1723750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of the 2013 Final Regulations provides that the deduction described in </w:t>
      </w:r>
      <w:smartTag w:uri="http://www.bna.com/sgml2word/cite" w:element="cite.usc">
        <w:smartTagPr>
          <w:attr w:name="ref" w:val="USC\26\691(c)"/>
        </w:smartTagPr>
        <w:r>
          <w:t>§691(c)</w:t>
        </w:r>
      </w:smartTag>
      <w:r>
        <w:t xml:space="preserve"> is a properly allocable deduction, except to the extent that the </w:t>
      </w:r>
      <w:smartTag w:uri="http://www.bna.com/sgml2word/cite" w:element="cite.usc">
        <w:smartTagPr>
          <w:attr w:name="ref" w:val="USC\26\691(c)"/>
        </w:smartTagPr>
        <w:r>
          <w:t>§691(c)</w:t>
        </w:r>
      </w:smartTag>
      <w:r>
        <w:t xml:space="preserve"> deduction is taken into account in determining net gain (within the meaning of Reg. </w:t>
      </w:r>
      <w:smartTag w:uri="http://www.bna.com/sgml2word/cite" w:element="cite.cfr">
        <w:smartTagPr>
          <w:attr w:name="ref" w:val="cfr\26\1.1411-4(d)"/>
        </w:smartTagPr>
        <w:r>
          <w:t>§1.1411-4(d)</w:t>
        </w:r>
      </w:smartTag>
      <w:r>
        <w:t xml:space="preserve">) by reason of </w:t>
      </w:r>
      <w:smartTag w:uri="http://www.bna.com/sgml2word/cite" w:element="cite.usc">
        <w:smartTagPr>
          <w:attr w:name="ref" w:val="USC\26\691(c)(4)"/>
        </w:smartTagPr>
        <w:r>
          <w:t>§691(c)(4)</w:t>
        </w:r>
      </w:smartTag>
      <w:r>
        <w:t>.</w:t>
      </w:r>
    </w:p>
  </w:footnote>
  <w:footnote w:id="691">
    <w:p w14:paraId="464CBABF"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42(h)"/>
        </w:smartTagPr>
        <w:r>
          <w:t>§642(h)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w:t>
      </w:r>
    </w:p>
  </w:footnote>
  <w:footnote w:id="692">
    <w:p w14:paraId="08A5163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4)(i)"/>
        </w:smartTagPr>
        <w:r>
          <w:t>§1.1411-4(g)(4)(i)</w:t>
        </w:r>
      </w:smartTag>
      <w:r>
        <w:t>–</w:t>
      </w:r>
      <w:smartTag w:uri="http://www.bna.com/sgml2word/cite" w:element="cite.cfr">
        <w:smartTagPr>
          <w:attr w:name="ref" w:val="cfr\26\1.1411-4(g)(4)(iii)"/>
        </w:smartTagPr>
        <w:r>
          <w:t>§1.1411-4(g)(4)(iii)</w:t>
        </w:r>
      </w:smartTag>
      <w:r>
        <w:t>.</w:t>
      </w:r>
    </w:p>
  </w:footnote>
  <w:footnote w:id="693">
    <w:p w14:paraId="40530EB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
        </w:smartTagPr>
        <w:r>
          <w:t>§1.1411-4(g)(4)(i)</w:t>
        </w:r>
      </w:smartTag>
      <w:r>
        <w:t xml:space="preserve">. </w:t>
      </w:r>
    </w:p>
  </w:footnote>
  <w:footnote w:id="694">
    <w:p w14:paraId="4D68FD57" w14:textId="77777777" w:rsidR="00494B49" w:rsidRDefault="00494B49">
      <w:pPr>
        <w:pStyle w:val="FootnoteText"/>
      </w:pPr>
      <w:r>
        <w:rPr>
          <w:rStyle w:val="FootnoteReference"/>
        </w:rPr>
        <w:footnoteRef/>
      </w:r>
      <w:r>
        <w:t xml:space="preserve">If a beneficiary does not take the capital loss adjustment into account, the treatment would not be “in a manner consistent with </w:t>
      </w:r>
      <w:smartTag w:uri="http://www.bna.com/sgml2word/cite" w:element="cite.usc">
        <w:smartTagPr>
          <w:attr w:name="ref" w:val="USC\26\642(h)(1)"/>
        </w:smartTagPr>
        <w:r>
          <w:t>§642(h)(1)</w:t>
        </w:r>
      </w:smartTag>
      <w:r>
        <w:t xml:space="preserve">” as required by Reg. </w:t>
      </w:r>
      <w:smartTag w:uri="http://www.bna.com/sgml2word/cite" w:element="cite.cfr">
        <w:smartTagPr>
          <w:attr w:name="ref" w:val="cfr\26\1.1411-4(g)(4)(i)"/>
        </w:smartTagPr>
        <w:r>
          <w:t>§1.1411-4(g)(4)(i)</w:t>
        </w:r>
      </w:smartTag>
      <w:r>
        <w:t xml:space="preserve"> because the beneficiary would be able to take a capital loss into account in computing its net investment income when the terminating estate or trust would not be permitted to do so. </w:t>
      </w:r>
    </w:p>
  </w:footnote>
  <w:footnote w:id="695">
    <w:p w14:paraId="4FCBD18A" w14:textId="77777777" w:rsidR="00494B49" w:rsidRDefault="00494B49">
      <w:pPr>
        <w:pStyle w:val="FootnoteText"/>
      </w:pPr>
      <w:r>
        <w:rPr>
          <w:rStyle w:val="FootnoteReference"/>
        </w:rPr>
        <w:footnoteRef/>
      </w:r>
      <w:r>
        <w:t xml:space="preserve">For a more detailed discussion of the adjustment for capital loss carryforwards, see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above.</w:t>
      </w:r>
    </w:p>
  </w:footnote>
  <w:footnote w:id="696">
    <w:p w14:paraId="59327A4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i)"/>
        </w:smartTagPr>
        <w:r>
          <w:t>§1.1411-4(g)(4)(ii)</w:t>
        </w:r>
      </w:smartTag>
      <w:r>
        <w:t>.</w:t>
      </w:r>
    </w:p>
  </w:footnote>
  <w:footnote w:id="697">
    <w:p w14:paraId="008A5CF3" w14:textId="77777777" w:rsidR="00494B49" w:rsidRDefault="00494B49">
      <w:pPr>
        <w:pStyle w:val="FootnoteText"/>
      </w:pPr>
      <w:r>
        <w:rPr>
          <w:rStyle w:val="FootnoteReference"/>
        </w:rPr>
        <w:footnoteRef/>
      </w:r>
      <w:r>
        <w:t xml:space="preserve">Although not expressly stated in Reg. </w:t>
      </w:r>
      <w:smartTag w:uri="http://www.bna.com/sgml2word/cite" w:element="cite.cfr">
        <w:smartTagPr>
          <w:attr w:name="ref" w:val="cfr\26\1.1411-4(g)(4)(ii)"/>
        </w:smartTagPr>
        <w:r>
          <w:t>§1.1411-4(g)(4)(ii)</w:t>
        </w:r>
      </w:smartTag>
      <w:r>
        <w:t xml:space="preserve">, ensuring that the beneficiary succeeds to all characteristics of the NOL, including the </w:t>
      </w:r>
      <w:smartTag w:uri="http://www.bna.com/sgml2word/cite" w:element="cite.usc">
        <w:smartTagPr>
          <w:attr w:name="ref" w:val="USC\26\1411"/>
        </w:smartTagPr>
        <w:r>
          <w:t>§1411</w:t>
        </w:r>
      </w:smartTag>
      <w:r>
        <w:t xml:space="preserve"> NOL amount contained within, is treatment in a manner consistent with </w:t>
      </w:r>
      <w:smartTag w:uri="http://www.bna.com/sgml2word/cite" w:element="cite.usc">
        <w:smartTagPr>
          <w:attr w:name="ref" w:val="USC\26\642(h)(1)"/>
        </w:smartTagPr>
        <w:r>
          <w:t>§642(h)(1)</w:t>
        </w:r>
      </w:smartTag>
      <w:r>
        <w:t xml:space="preserve"> by reason of Reg. </w:t>
      </w:r>
      <w:smartTag w:uri="http://www.bna.com/sgml2word/cite" w:element="cite.cfr">
        <w:smartTagPr>
          <w:attr w:name="ref" w:val="cfr\26\1.642(h)-1(b)"/>
        </w:smartTagPr>
        <w:r>
          <w:t>§1.642(h)-1(b)</w:t>
        </w:r>
      </w:smartTag>
      <w:r>
        <w:t xml:space="preserve"> (“the net operating loss carryover is the same in the hands of a beneficiary as in the estate or trust”).</w:t>
      </w:r>
    </w:p>
  </w:footnote>
  <w:footnote w:id="698">
    <w:p w14:paraId="571C979D" w14:textId="77777777" w:rsidR="00494B49" w:rsidRDefault="00494B49">
      <w:pPr>
        <w:pStyle w:val="FootnoteText"/>
      </w:pPr>
      <w:r>
        <w:rPr>
          <w:rStyle w:val="FootnoteReference"/>
        </w:rPr>
        <w:footnoteRef/>
      </w:r>
      <w:r>
        <w:t xml:space="preserve">The term gross investment income means the amounts described 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4(a)"/>
        </w:smartTagPr>
        <w:r>
          <w:t>§1.1411-4(a)</w:t>
        </w:r>
      </w:smartTag>
      <w:r>
        <w:t xml:space="preserve">. </w:t>
      </w:r>
    </w:p>
  </w:footnote>
  <w:footnote w:id="699">
    <w:p w14:paraId="7EF14AD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ii)"/>
        </w:smartTagPr>
        <w:r>
          <w:t>§1.1411-4(g)(4)(iii)</w:t>
        </w:r>
      </w:smartTag>
      <w:r>
        <w:t>.</w:t>
      </w:r>
    </w:p>
  </w:footnote>
  <w:footnote w:id="700">
    <w:p w14:paraId="09D1C3A6" w14:textId="77777777" w:rsidR="00494B49" w:rsidRDefault="00494B49">
      <w:pPr>
        <w:pStyle w:val="FootnoteText"/>
      </w:pPr>
      <w:r>
        <w:rPr>
          <w:rStyle w:val="FootnoteReference"/>
        </w:rPr>
        <w:footnoteRef/>
      </w:r>
      <w:r>
        <w:t xml:space="preserve">This may be an instance in which the taxpayers may have to adopt a principles-based approach when applying Reg. </w:t>
      </w:r>
      <w:smartTag w:uri="http://www.bna.com/sgml2word/cite" w:element="cite.cfr">
        <w:smartTagPr>
          <w:attr w:name="ref" w:val="cfr\26\1.642(h)-2"/>
        </w:smartTagPr>
        <w:r>
          <w:t>§1.642(h)-2</w:t>
        </w:r>
      </w:smartTag>
      <w:r>
        <w:t xml:space="preserve">, </w:t>
      </w:r>
      <w:smartTag w:uri="http://www.bna.com/sgml2word/cite" w:element="cite.cfr">
        <w:smartTagPr>
          <w:attr w:name="ref" w:val="cfr\26\1.642(h)-3"/>
        </w:smartTagPr>
        <w:r>
          <w:t>§1.642(h)-3</w:t>
        </w:r>
      </w:smartTag>
      <w:r>
        <w:t xml:space="preserve">, </w:t>
      </w:r>
      <w:smartTag w:uri="http://www.bna.com/sgml2word/cite" w:element="cite.cfr">
        <w:smartTagPr>
          <w:attr w:name="ref" w:val="cfr\26\1.642(h)-4"/>
        </w:smartTagPr>
        <w:r>
          <w:t>§1.642(h)-4</w:t>
        </w:r>
      </w:smartTag>
      <w:r>
        <w:t xml:space="preserve">, and </w:t>
      </w:r>
      <w:smartTag w:uri="http://www.bna.com/sgml2word/cite" w:element="cite.cfr">
        <w:smartTagPr>
          <w:attr w:name="ref" w:val="cfr\26\1.642(h)-5"/>
        </w:smartTagPr>
        <w:r>
          <w:t>§1.642(h)-5</w:t>
        </w:r>
      </w:smartTag>
      <w:r>
        <w:t xml:space="preserve"> to allocating the excess deductions because no </w:t>
      </w:r>
      <w:smartTag w:uri="http://www.bna.com/sgml2word/cite" w:element="cite.usc">
        <w:smartTagPr>
          <w:attr w:name="ref" w:val="USC\26\642(h)(2)"/>
        </w:smartTagPr>
        <w:r>
          <w:t>§642(h)(2)</w:t>
        </w:r>
      </w:smartTag>
      <w:r>
        <w:t xml:space="preserve"> loss exists for regular income tax purposes.</w:t>
      </w:r>
    </w:p>
  </w:footnote>
  <w:footnote w:id="701">
    <w:p w14:paraId="4F4B762B" w14:textId="77777777" w:rsidR="00494B49" w:rsidRDefault="00494B49">
      <w:pPr>
        <w:pStyle w:val="FootnoteText"/>
      </w:pPr>
      <w:r>
        <w:rPr>
          <w:rStyle w:val="FootnoteReference"/>
        </w:rPr>
        <w:footnoteRef/>
      </w:r>
      <w:smartTag w:uri="http://www.bna.com/sgml2word/cite" w:element="cite.agency.doc">
        <w:smartTagPr>
          <w:attr w:name="ref" w:val="irs\preamble\td9918"/>
        </w:smartTagPr>
        <w:r>
          <w:t>T.D. 9918</w:t>
        </w:r>
      </w:smartTag>
      <w:r>
        <w:t xml:space="preserve">, 85 Fed. Reg. 66,219 (Oct. 19, 2020). The 2020 regulations under </w:t>
      </w:r>
      <w:smartTag w:uri="http://www.bna.com/sgml2word/cite" w:element="cite.usc">
        <w:smartTagPr>
          <w:attr w:name="ref" w:val="USC\26\642(h)"/>
        </w:smartTagPr>
        <w:r>
          <w:t>§642(h)</w:t>
        </w:r>
      </w:smartTag>
      <w:r>
        <w:t xml:space="preserve"> apply to tax years beginning after October 19, 2020. Taxpayers may choose to apply the amendments to Reg. </w:t>
      </w:r>
      <w:smartTag w:uri="http://www.bna.com/sgml2word/cite" w:element="cite.cfr">
        <w:smartTagPr>
          <w:attr w:name="ref" w:val="cfr\26\1.67-4"/>
        </w:smartTagPr>
        <w:r>
          <w:t>§1.67-4</w:t>
        </w:r>
      </w:smartTag>
      <w:r>
        <w:t xml:space="preserve"> and </w:t>
      </w:r>
      <w:smartTag w:uri="http://www.bna.com/sgml2word/cite" w:element="cite.cfr">
        <w:smartTagPr>
          <w:attr w:name="ref" w:val="cfr\26\1.642(h)-2"/>
        </w:smartTagPr>
        <w:r>
          <w:t>§1.642(h)-2</w:t>
        </w:r>
      </w:smartTag>
      <w:r>
        <w:t xml:space="preserve"> and </w:t>
      </w:r>
      <w:smartTag w:uri="http://www.bna.com/sgml2word/cite" w:element="cite.cfr">
        <w:smartTagPr>
          <w:attr w:name="ref" w:val="cfr\26\1.642(h)-5"/>
        </w:smartTagPr>
        <w:r>
          <w:t>§1.642(h)-5</w:t>
        </w:r>
      </w:smartTag>
      <w:r>
        <w:t xml:space="preserve"> set forth in </w:t>
      </w:r>
      <w:smartTag w:uri="http://www.bna.com/sgml2word/cite" w:element="cite.agency.doc">
        <w:smartTagPr>
          <w:attr w:name="ref" w:val="irs\preamble\td9918"/>
        </w:smartTagPr>
        <w:r>
          <w:t>T.D. 9918</w:t>
        </w:r>
      </w:smartTag>
      <w:r>
        <w:t xml:space="preserve"> to tax years beginning after December 31, 2017, and on or before October 19, 2020. The preamble states that taxpayers may rely on these regulations as of the effective date of </w:t>
      </w:r>
      <w:smartTag w:uri="http://www.bna.com/sgml2word/cite" w:element="cite.usc">
        <w:smartTagPr>
          <w:attr w:name="ref" w:val="USC\26\67(g)"/>
        </w:smartTagPr>
        <w:r>
          <w:t>§67(g)</w:t>
        </w:r>
      </w:smartTag>
      <w:r>
        <w:t>, but not for earlier periods.</w:t>
      </w:r>
    </w:p>
  </w:footnote>
  <w:footnote w:id="702">
    <w:p w14:paraId="1D0138A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d)(6)"/>
        </w:smartTagPr>
        <w:r>
          <w:t>§1.469-2T(d)(6)</w:t>
        </w:r>
      </w:smartTag>
      <w:r>
        <w:t xml:space="preserve"> provides that the loss limitations are specifically applied in that order. </w:t>
      </w:r>
    </w:p>
  </w:footnote>
  <w:footnote w:id="703">
    <w:p w14:paraId="52E7EB49" w14:textId="77777777" w:rsidR="00494B49" w:rsidRDefault="00494B49">
      <w:pPr>
        <w:pStyle w:val="FootnoteText"/>
      </w:pPr>
      <w:r>
        <w:rPr>
          <w:rStyle w:val="FootnoteReference"/>
        </w:rPr>
        <w:footnoteRef/>
      </w:r>
      <w:r>
        <w:t xml:space="preserve">For a detailed discussion of the </w:t>
      </w:r>
      <w:smartTag w:uri="http://www.bna.com/sgml2word/cite" w:element="cite.usc">
        <w:smartTagPr>
          <w:attr w:name="ref" w:val="USC\26\704(d)"/>
        </w:smartTagPr>
        <w:r>
          <w:t>§704(d)</w:t>
        </w:r>
      </w:smartTag>
      <w:r>
        <w:t xml:space="preserve"> limitation,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footnote>
  <w:footnote w:id="704">
    <w:p w14:paraId="263A3054"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704-1(d)"/>
        </w:smartTagPr>
        <w:r>
          <w:t>§1.704-1(d)</w:t>
        </w:r>
      </w:smartTag>
      <w:r>
        <w:rPr>
          <w:i/>
        </w:rPr>
        <w:t xml:space="preserve"> Ex.</w:t>
      </w:r>
      <w:r>
        <w:t xml:space="preserve"> 3. </w:t>
      </w:r>
    </w:p>
  </w:footnote>
  <w:footnote w:id="705">
    <w:p w14:paraId="215CD41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366-2(a)(1)"/>
        </w:smartTagPr>
        <w:r>
          <w:t>§1.1366-2(a)(1)</w:t>
        </w:r>
      </w:smartTag>
      <w:r>
        <w:t xml:space="preserve">. For a detailed discussion of the </w:t>
      </w:r>
      <w:smartTag w:uri="http://www.bna.com/sgml2word/cite" w:element="cite.usc">
        <w:smartTagPr>
          <w:attr w:name="ref" w:val="USC\26\1366(d)"/>
        </w:smartTagPr>
        <w:r>
          <w:t>§1366(d)</w:t>
        </w:r>
      </w:smartTag>
      <w:r>
        <w:t xml:space="preserve"> limitation, see </w:t>
      </w:r>
      <w:smartTag w:uri="http://www.bna.com/sgml2word/cite" w:element="cite.bna.reference">
        <w:smartTagPr>
          <w:attr w:name="bna.id.ref" w:val="TM\732"/>
        </w:smartTagPr>
        <w:r>
          <w:t>732</w:t>
        </w:r>
      </w:smartTag>
      <w:r>
        <w:t xml:space="preserve"> T.M., </w:t>
      </w:r>
      <w:r>
        <w:rPr>
          <w:i/>
        </w:rPr>
        <w:t>S Corporations: Shareholder Tax Issues</w:t>
      </w:r>
      <w:r>
        <w:t>.</w:t>
      </w:r>
    </w:p>
  </w:footnote>
  <w:footnote w:id="706">
    <w:p w14:paraId="014069F2" w14:textId="77777777" w:rsidR="00494B49" w:rsidRDefault="00494B49">
      <w:pPr>
        <w:pStyle w:val="FootnoteText"/>
      </w:pPr>
      <w:r>
        <w:rPr>
          <w:rStyle w:val="FootnoteReference"/>
        </w:rPr>
        <w:footnoteRef/>
      </w:r>
      <w:smartTag w:uri="http://www.bna.com/sgml2word/cite" w:element="cite.usc">
        <w:smartTagPr>
          <w:attr w:name="ref" w:val="USC\26\465(a)(1)"/>
        </w:smartTagPr>
        <w:r>
          <w:t>§465(a)(1)</w:t>
        </w:r>
      </w:smartTag>
      <w:r>
        <w:t>.</w:t>
      </w:r>
    </w:p>
  </w:footnote>
  <w:footnote w:id="707">
    <w:p w14:paraId="1F2D0D42" w14:textId="77777777" w:rsidR="00494B49" w:rsidRDefault="00494B49">
      <w:pPr>
        <w:pStyle w:val="FootnoteText"/>
      </w:pPr>
      <w:r>
        <w:rPr>
          <w:rStyle w:val="FootnoteReference"/>
        </w:rPr>
        <w:footnoteRef/>
      </w:r>
      <w:smartTag w:uri="http://www.bna.com/sgml2word/cite" w:element="cite.usc">
        <w:smartTagPr>
          <w:attr w:name="ref" w:val="USC\26\465(d)"/>
        </w:smartTagPr>
        <w:r>
          <w:t>§465(d)</w:t>
        </w:r>
      </w:smartTag>
      <w:r>
        <w:t>.</w:t>
      </w:r>
    </w:p>
  </w:footnote>
  <w:footnote w:id="708">
    <w:p w14:paraId="1E62542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465-2(a)"/>
        </w:smartTagPr>
        <w:r>
          <w:t>§1.465-2(a)</w:t>
        </w:r>
      </w:smartTag>
      <w:r>
        <w:t xml:space="preserve"> and </w:t>
      </w:r>
      <w:smartTag w:uri="http://www.bna.com/sgml2word/cite" w:element="cite.cfr">
        <w:smartTagPr>
          <w:attr w:name="ref" w:val="cfr\26\1.469-11(c)"/>
        </w:smartTagPr>
        <w:r>
          <w:t>§1.469-11(c)</w:t>
        </w:r>
      </w:smartTag>
      <w:r>
        <w:t>.</w:t>
      </w:r>
    </w:p>
  </w:footnote>
  <w:footnote w:id="709">
    <w:p w14:paraId="3D4228FA" w14:textId="77777777" w:rsidR="00494B49" w:rsidRDefault="00494B49">
      <w:pPr>
        <w:pStyle w:val="FootnoteText"/>
      </w:pPr>
      <w:r>
        <w:rPr>
          <w:rStyle w:val="FootnoteReference"/>
        </w:rPr>
        <w:footnoteRef/>
      </w:r>
      <w:smartTag w:uri="http://www.bna.com/sgml2word/cite" w:element="cite.usc">
        <w:smartTagPr>
          <w:attr w:name="ref" w:val="USC\26\465(a)(2)"/>
        </w:smartTagPr>
        <w:r>
          <w:t>§465(a)(2)</w:t>
        </w:r>
      </w:smartTag>
      <w:r>
        <w:t xml:space="preserve">. Additionally, disallowed at-risk losses may also be deducted in a succeeding tax year up to the amount of gain recognized upon disposition of the activity. </w:t>
      </w:r>
      <w:r>
        <w:rPr>
          <w:rStyle w:val="BCasenamefull"/>
        </w:rPr>
        <w:t>See Allen v. Commissioner</w:t>
      </w:r>
      <w:r>
        <w:t xml:space="preserve">, </w:t>
      </w:r>
      <w:smartTag w:uri="http://www.bna.com/sgml2word/cite" w:element="cite.parallel">
        <w:smartTagPr>
          <w:attr w:name="ref" w:val="TCMEMO\\1988-166"/>
        </w:smartTagPr>
        <w:r>
          <w:t>T.C. Memo 1988-166</w:t>
        </w:r>
      </w:smartTag>
      <w:r>
        <w:t xml:space="preserve">; Prop. Reg. </w:t>
      </w:r>
      <w:smartTag w:uri="http://www.bna.com/sgml2word/cite" w:element="cite.cfr">
        <w:smartTagPr>
          <w:attr w:name="ref" w:val="prule\cfr\26\1.465-12(a)"/>
        </w:smartTagPr>
        <w:r>
          <w:t>§1.465-12(a)</w:t>
        </w:r>
      </w:smartTag>
      <w:r>
        <w:t>.</w:t>
      </w:r>
    </w:p>
  </w:footnote>
  <w:footnote w:id="710">
    <w:p w14:paraId="2E2ADCB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465-2(b)"/>
        </w:smartTagPr>
        <w:r>
          <w:t>§1.465-2(b)</w:t>
        </w:r>
      </w:smartTag>
      <w:r>
        <w:t xml:space="preserve">. As a result of the annual “republication” of the loss, followed by suspension, the losses are functionally carried forward indefinitely. </w:t>
      </w:r>
    </w:p>
  </w:footnote>
  <w:footnote w:id="711">
    <w:p w14:paraId="3D6345FB" w14:textId="77777777" w:rsidR="00494B49" w:rsidRDefault="00494B49">
      <w:pPr>
        <w:pStyle w:val="FootnoteText"/>
      </w:pPr>
      <w:r>
        <w:rPr>
          <w:rStyle w:val="FootnoteReference"/>
        </w:rPr>
        <w:footnoteRef/>
      </w:r>
      <w:r>
        <w:t xml:space="preserve">Although this may be counter-intuitive, the rule in Prop. Reg. </w:t>
      </w:r>
      <w:smartTag w:uri="http://www.bna.com/sgml2word/cite" w:element="cite.cfr">
        <w:smartTagPr>
          <w:attr w:name="ref" w:val="prule\cfr\26\1.465-38(a)"/>
        </w:smartTagPr>
        <w:r>
          <w:t>§1.465-38(a)</w:t>
        </w:r>
      </w:smartTag>
      <w:r>
        <w:t xml:space="preserve"> sets out the order in which losses get through the </w:t>
      </w:r>
      <w:smartTag w:uri="http://www.bna.com/sgml2word/cite" w:element="cite.usc">
        <w:smartTagPr>
          <w:attr w:name="ref" w:val="USC\26\465"/>
        </w:smartTagPr>
        <w:r>
          <w:t>§465</w:t>
        </w:r>
      </w:smartTag>
      <w:r>
        <w:t xml:space="preserve"> gauntlet, leaving later ones more likely to be suspended. Thus, if the entire amount at risk is absorbed by capital losses under Prop. Reg. </w:t>
      </w:r>
      <w:smartTag w:uri="http://www.bna.com/sgml2word/cite" w:element="cite.cfr">
        <w:smartTagPr>
          <w:attr w:name="ref" w:val="prule\cfr\26\1.465-38(a)(1)"/>
        </w:smartTagPr>
        <w:r>
          <w:t>§1.465-38(a)(1)</w:t>
        </w:r>
      </w:smartTag>
      <w:r>
        <w:t xml:space="preserve">, no </w:t>
      </w:r>
      <w:smartTag w:uri="http://www.bna.com/sgml2word/cite" w:element="cite.usc">
        <w:smartTagPr>
          <w:attr w:name="ref" w:val="USC\26\1231"/>
        </w:smartTagPr>
        <w:r>
          <w:t>§1231</w:t>
        </w:r>
      </w:smartTag>
      <w:r>
        <w:t xml:space="preserve"> losses would be allowed and all would be suspended. </w:t>
      </w:r>
    </w:p>
  </w:footnote>
  <w:footnote w:id="712">
    <w:p w14:paraId="248089AC"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550"/>
        </w:smartTagPr>
        <w:r>
          <w:t>550 T.M.</w:t>
        </w:r>
      </w:smartTag>
      <w:r>
        <w:t xml:space="preserve">, </w:t>
      </w:r>
      <w:r>
        <w:rPr>
          <w:i/>
        </w:rPr>
        <w:t>At-Risk Rules</w:t>
      </w:r>
      <w:r>
        <w:t xml:space="preserve"> (“Even if the proposed regulations became final, the particular ordering rule they adopt has no obvious statutory source. Given the absence of any statutory guidance, the best theoretical answer might be to treat the carryover loss as composed on a pro rata basis of all of the deductions that gave rise to it.”).</w:t>
      </w:r>
    </w:p>
  </w:footnote>
  <w:footnote w:id="713">
    <w:p w14:paraId="722E5D01" w14:textId="77777777" w:rsidR="00494B49" w:rsidRDefault="00494B49">
      <w:pPr>
        <w:pStyle w:val="FootnoteText"/>
      </w:pPr>
      <w:r>
        <w:rPr>
          <w:rStyle w:val="FootnoteReference"/>
        </w:rPr>
        <w:footnoteRef/>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xml:space="preserve"> (Feb. 25, 1988).</w:t>
      </w:r>
    </w:p>
  </w:footnote>
  <w:footnote w:id="714">
    <w:p w14:paraId="77B2E12D"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f)(2)"/>
        </w:smartTagPr>
        <w:r>
          <w:t>§1.469-1T(f)(2)</w:t>
        </w:r>
      </w:smartTag>
      <w:r>
        <w:t xml:space="preserve"> requires that, when losses are suspended, they retain their underlying character as deductions or losses, and that each deduction or loss is suspended on a pro-rata basis. Reg. </w:t>
      </w:r>
      <w:smartTag w:uri="http://www.bna.com/sgml2word/cite" w:element="cite.cfr">
        <w:smartTagPr>
          <w:attr w:name="ref" w:val="cfr\26\1.469-2T(f)(2)(iii)"/>
        </w:smartTagPr>
        <w:r>
          <w:t>§1.469-2T(f)(2)(iii)</w:t>
        </w:r>
      </w:smartTag>
      <w:r>
        <w:t xml:space="preserve"> provides that taxpayers are required to track suspended deductions separately only if those deductions may impact the taxpayer’s tax calculation.</w:t>
      </w:r>
    </w:p>
  </w:footnote>
  <w:footnote w:id="715">
    <w:p w14:paraId="24757841" w14:textId="77777777" w:rsidR="00494B49" w:rsidRDefault="00494B49">
      <w:pPr>
        <w:pStyle w:val="FootnoteText"/>
      </w:pPr>
      <w:r>
        <w:rPr>
          <w:rStyle w:val="FootnoteReference"/>
        </w:rPr>
        <w:footnoteRef/>
      </w:r>
      <w:r>
        <w:t xml:space="preserve">The amount is not taken into account in computing the taxpayer’s MAGI or net investment income. </w:t>
      </w:r>
    </w:p>
  </w:footnote>
  <w:footnote w:id="716">
    <w:p w14:paraId="499327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v)"/>
        </w:smartTagPr>
        <w:r>
          <w:t>§1.1411-4(f)(2)(v)</w:t>
        </w:r>
      </w:smartTag>
      <w:r>
        <w:t>.</w:t>
      </w:r>
    </w:p>
  </w:footnote>
  <w:footnote w:id="717">
    <w:p w14:paraId="2D655444"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2)(v)"/>
        </w:smartTagPr>
        <w:r>
          <w:t>§1.1411-4(f)(2)(v)</w:t>
        </w:r>
      </w:smartTag>
      <w:r>
        <w:t xml:space="preserve"> </w:t>
      </w:r>
      <w:r>
        <w:rPr>
          <w:i/>
        </w:rPr>
        <w:t>Ex.</w:t>
      </w:r>
      <w:r>
        <w:t xml:space="preserve"> 1. </w:t>
      </w:r>
    </w:p>
  </w:footnote>
  <w:footnote w:id="718">
    <w:p w14:paraId="235E6E53" w14:textId="77777777" w:rsidR="00494B49" w:rsidRDefault="00494B49">
      <w:pPr>
        <w:pStyle w:val="FootnoteText"/>
      </w:pPr>
      <w:r>
        <w:rPr>
          <w:rStyle w:val="FootnoteReference"/>
        </w:rPr>
        <w:footnoteRef/>
      </w:r>
      <w:r>
        <w:t xml:space="preserve">The editing of the example is to illustrate how the operative mechanics of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xml:space="preserve"> deal with the allowance of disallowed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deductions. Additionally, solely for illustrative and simplicity purposes, the ordering rules in Prop. Reg. </w:t>
      </w:r>
      <w:smartTag w:uri="http://www.bna.com/sgml2word/cite" w:element="cite.cfr">
        <w:smartTagPr>
          <w:attr w:name="ref" w:val="prule\cfr\26\1.465-38"/>
        </w:smartTagPr>
        <w:r>
          <w:t>§1.465-38</w:t>
        </w:r>
      </w:smartTag>
      <w:r>
        <w:t xml:space="preserve"> are disregarded. </w:t>
      </w:r>
    </w:p>
  </w:footnote>
  <w:footnote w:id="719">
    <w:p w14:paraId="78BB33C6" w14:textId="77777777" w:rsidR="00494B49" w:rsidRDefault="00494B49">
      <w:pPr>
        <w:pStyle w:val="FootnoteText"/>
      </w:pPr>
      <w:r>
        <w:rPr>
          <w:rStyle w:val="FootnoteReference"/>
        </w:rPr>
        <w:footnoteRef/>
      </w:r>
      <w:smartTag w:uri="http://www.bna.com/sgml2word/cite" w:element="cite.usc">
        <w:smartTagPr>
          <w:attr w:name="ref" w:val="USC\26\1411(c)(4)"/>
        </w:smartTagPr>
        <w:r>
          <w:t>Section 1411(c)(4)</w:t>
        </w:r>
      </w:smartTag>
      <w:r>
        <w:t xml:space="preserve"> is discussed in more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720">
    <w:p w14:paraId="40BE3A0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
        </w:smartTagPr>
        <w:r>
          <w:t>§1.1411-4(f)(2)</w:t>
        </w:r>
      </w:smartTag>
      <w:r>
        <w:t xml:space="preserve"> allows properly allocable deductions (current expenses and prior year passive losses) that are properly allocable to gross investment income described in </w:t>
      </w:r>
      <w:smartTag w:uri="http://www.bna.com/sgml2word/cite" w:element="cite.usc">
        <w:smartTagPr>
          <w:attr w:name="ref" w:val="USC\26\1411(c)(1)(A)"/>
        </w:smartTagPr>
        <w:r>
          <w:t>§1411(c)(1)(A)</w:t>
        </w:r>
      </w:smartTag>
      <w:r>
        <w:t xml:space="preserve">. In the case of a formerly passive activity (that is now a nonpassive activity), the nonpassive gross income is not gross net investment income under </w:t>
      </w:r>
      <w:smartTag w:uri="http://www.bna.com/sgml2word/cite" w:element="cite.usc">
        <w:smartTagPr>
          <w:attr w:name="ref" w:val="USC\26\1411(c)(1)(A)"/>
        </w:smartTagPr>
        <w:r>
          <w:t>§1411(c)(1)(A)</w:t>
        </w:r>
      </w:smartTag>
      <w:r>
        <w:t xml:space="preserve">; therefore, there can be no former passive loss deduction allowed under Reg. </w:t>
      </w:r>
      <w:smartTag w:uri="http://www.bna.com/sgml2word/cite" w:element="cite.cfr">
        <w:smartTagPr>
          <w:attr w:name="ref" w:val="cfr\26\1.1411-4(f)(2)"/>
        </w:smartTagPr>
        <w:r>
          <w:t>§1.1411-4(f)(2)</w:t>
        </w:r>
      </w:smartTag>
      <w:r>
        <w:t xml:space="preserve">. Additionally, even if the losses are suspended, they could also be used to offset self-employment income, which would be another way the losses could be disallowed under Reg. </w:t>
      </w:r>
      <w:smartTag w:uri="http://www.bna.com/sgml2word/cite" w:element="cite.cfr">
        <w:smartTagPr>
          <w:attr w:name="ref" w:val="cfr\26\1.1411-4(f)(2)"/>
        </w:smartTagPr>
        <w:r>
          <w:t>§1.1411-4(f)(2)</w:t>
        </w:r>
      </w:smartTag>
      <w:r>
        <w:t xml:space="preserve">. </w:t>
      </w:r>
      <w:r>
        <w:rPr>
          <w:i/>
        </w:rPr>
        <w:t>See, e.g.</w:t>
      </w:r>
      <w:r>
        <w:t xml:space="preserve">, </w:t>
      </w:r>
      <w:smartTag w:uri="http://www.bna.com/sgml2word/cite" w:element="cite.agency.doc">
        <w:smartTagPr>
          <w:attr w:name="ref" w:val="IRS\TAM\9750001"/>
        </w:smartTagPr>
        <w:r>
          <w:t>TAM 9750001</w:t>
        </w:r>
      </w:smartTag>
      <w:r>
        <w:t xml:space="preserve">. </w:t>
      </w:r>
    </w:p>
  </w:footnote>
  <w:footnote w:id="721">
    <w:p w14:paraId="5CC4E533" w14:textId="77777777" w:rsidR="00494B49" w:rsidRDefault="00494B49">
      <w:pPr>
        <w:pStyle w:val="FootnoteText"/>
      </w:pPr>
      <w:r>
        <w:rPr>
          <w:rStyle w:val="FootnoteReference"/>
        </w:rPr>
        <w:footnoteRef/>
      </w:r>
      <w:r>
        <w:t xml:space="preserve">These amounts represent the </w:t>
      </w:r>
      <w:smartTag w:uri="http://www.bna.com/sgml2word/cite" w:element="cite.usc">
        <w:smartTagPr>
          <w:attr w:name="ref" w:val="USC\26\469(f)(1)(A)"/>
        </w:smartTagPr>
        <w:r>
          <w:t>§469(f)(1)(A)</w:t>
        </w:r>
      </w:smartTag>
      <w:r>
        <w:t xml:space="preserve"> losses. </w:t>
      </w:r>
    </w:p>
  </w:footnote>
  <w:footnote w:id="722">
    <w:p w14:paraId="0899BA62" w14:textId="77777777" w:rsidR="00494B49" w:rsidRDefault="00494B49">
      <w:pPr>
        <w:pStyle w:val="FootnoteText"/>
      </w:pPr>
      <w:r>
        <w:rPr>
          <w:rStyle w:val="FootnoteReference"/>
        </w:rPr>
        <w:footnoteRef/>
      </w:r>
      <w:r>
        <w:t xml:space="preserve">These amounts represent the </w:t>
      </w:r>
      <w:smartTag w:uri="http://www.bna.com/sgml2word/cite" w:element="cite.usc">
        <w:smartTagPr>
          <w:attr w:name="ref" w:val="USC\26\469(f)(1)(C)"/>
        </w:smartTagPr>
        <w:r>
          <w:t>§469(f)(1)(C)</w:t>
        </w:r>
      </w:smartTag>
      <w:r>
        <w:t xml:space="preserve"> losses. </w:t>
      </w:r>
      <w:r>
        <w:rPr>
          <w:i/>
        </w:rPr>
        <w:t xml:space="preserve">See </w:t>
      </w:r>
      <w:r>
        <w:t xml:space="preserve">Reg. </w:t>
      </w:r>
      <w:smartTag w:uri="http://www.bna.com/sgml2word/cite" w:element="cite.cfr">
        <w:smartTagPr>
          <w:attr w:name="ref" w:val="cfr\26\1.1411-4(g)(8)(ii)"/>
        </w:smartTagPr>
        <w:r>
          <w:t>§1.1411-4(g)(8)(ii)</w:t>
        </w:r>
      </w:smartTag>
      <w:r>
        <w:t xml:space="preserve">. </w:t>
      </w:r>
    </w:p>
  </w:footnote>
  <w:footnote w:id="723">
    <w:p w14:paraId="0C9007D0" w14:textId="77777777" w:rsidR="00494B49" w:rsidRDefault="00494B49">
      <w:pPr>
        <w:pStyle w:val="FootnoteText"/>
      </w:pPr>
      <w:r>
        <w:rPr>
          <w:rStyle w:val="FootnoteReference"/>
        </w:rPr>
        <w:footnoteRef/>
      </w:r>
      <w:r>
        <w:t xml:space="preserve">As a result, Reg. </w:t>
      </w:r>
      <w:smartTag w:uri="http://www.bna.com/sgml2word/cite" w:element="cite.cfr">
        <w:smartTagPr>
          <w:attr w:name="ref" w:val="cfr\26\1.1411-4(g)(9)"/>
        </w:smartTagPr>
        <w:r>
          <w:t>§1.1411-4(g)(9)</w:t>
        </w:r>
      </w:smartTag>
      <w:r>
        <w:t xml:space="preserve"> does not apply.</w:t>
      </w:r>
    </w:p>
  </w:footnote>
  <w:footnote w:id="724">
    <w:p w14:paraId="0C88719C" w14:textId="77777777" w:rsidR="00494B49" w:rsidRDefault="00494B49">
      <w:pPr>
        <w:pStyle w:val="FootnoteText"/>
      </w:pPr>
      <w:r>
        <w:rPr>
          <w:rStyle w:val="FootnoteReference"/>
        </w:rPr>
        <w:footnoteRef/>
      </w:r>
      <w:r>
        <w:t>In response to the 2012 Proposed Regulations (</w:t>
      </w:r>
      <w:smartTag w:uri="http://www.bna.com/sgml2word/cite" w:element="cite.agency.doc">
        <w:smartTagPr>
          <w:attr w:name="ref" w:val="irs\nprm\REG-130507-11"/>
        </w:smartTagPr>
        <w:r>
          <w:t>REG-130507-11</w:t>
        </w:r>
      </w:smartTag>
      <w:r>
        <w:t xml:space="preserve">), commentators had recommended that losses allowed under </w:t>
      </w:r>
      <w:smartTag w:uri="http://www.bna.com/sgml2word/cite" w:element="cite.usc">
        <w:smartTagPr>
          <w:attr w:name="ref" w:val="USC\26\469(g)"/>
        </w:smartTagPr>
        <w:r>
          <w:t>§469(g)</w:t>
        </w:r>
      </w:smartTag>
      <w:r>
        <w:t xml:space="preserve"> be taken into account in computing net gain under </w:t>
      </w:r>
      <w:smartTag w:uri="http://www.bna.com/sgml2word/cite" w:element="cite.usc">
        <w:smartTagPr>
          <w:attr w:name="ref" w:val="USC\26\1411(c)(1)(A)(iii)"/>
        </w:smartTagPr>
        <w:r>
          <w:t>§1411(c)(1)(A)(iii)</w:t>
        </w:r>
      </w:smartTag>
      <w:r>
        <w:t xml:space="preserve">, and that any net loss in </w:t>
      </w:r>
      <w:smartTag w:uri="http://www.bna.com/sgml2word/cite" w:element="cite.usc">
        <w:smartTagPr>
          <w:attr w:name="ref" w:val="USC\26\1411(c)(1)(A)(iii)"/>
        </w:smartTagPr>
        <w:r>
          <w:t>§1411(c)(1)(A)(iii)</w:t>
        </w:r>
      </w:smartTag>
      <w:r>
        <w:t xml:space="preserve"> resulting from the use of such losses be treated as a properly allocable deduction under </w:t>
      </w:r>
      <w:smartTag w:uri="http://www.bna.com/sgml2word/cite" w:element="cite.usc">
        <w:smartTagPr>
          <w:attr w:name="ref" w:val="USC\26\1411(c)(1)(B)"/>
        </w:smartTagPr>
        <w:r>
          <w:t>§1411(c)(1)(B)</w:t>
        </w:r>
      </w:smartTag>
      <w:r>
        <w:t xml:space="preserve">. One commentator had suggested that, to the extent a taxpayer has a net loss under </w:t>
      </w:r>
      <w:smartTag w:uri="http://www.bna.com/sgml2word/cite" w:element="cite.usc">
        <w:smartTagPr>
          <w:attr w:name="ref" w:val="USC\26\1411(c)(1)(A)(iii)"/>
        </w:smartTagPr>
        <w:r>
          <w:t>§1411(c)(1)(A)(iii)</w:t>
        </w:r>
      </w:smartTag>
      <w:r>
        <w:t xml:space="preserve"> attributable to the allowed loss under </w:t>
      </w:r>
      <w:smartTag w:uri="http://www.bna.com/sgml2word/cite" w:element="cite.usc">
        <w:smartTagPr>
          <w:attr w:name="ref" w:val="USC\26\469(g)"/>
        </w:smartTagPr>
        <w:r>
          <w:t>§469(g)</w:t>
        </w:r>
      </w:smartTag>
      <w:r>
        <w:t xml:space="preserve">, the excess </w:t>
      </w:r>
      <w:smartTag w:uri="http://www.bna.com/sgml2word/cite" w:element="cite.usc">
        <w:smartTagPr>
          <w:attr w:name="ref" w:val="USC\26\469(g)"/>
        </w:smartTagPr>
        <w:r>
          <w:t>§469(g)</w:t>
        </w:r>
      </w:smartTag>
      <w:r>
        <w:t xml:space="preserve"> loss should continue to be suspended and carried forward to offset future gain resulting from the disposition of other passive assets subject to inclusion in </w:t>
      </w:r>
      <w:smartTag w:uri="http://www.bna.com/sgml2word/cite" w:element="cite.usc">
        <w:smartTagPr>
          <w:attr w:name="ref" w:val="USC\26\1411(c)(1)(A)(iii)"/>
        </w:smartTagPr>
        <w:r>
          <w:t>§1411(c)(1)(A)(iii)</w:t>
        </w:r>
      </w:smartTag>
      <w:r>
        <w:t>. The preamble to the 2013 Final Regulations (</w:t>
      </w:r>
      <w:smartTag w:uri="http://www.bna.com/sgml2word/cite" w:element="cite.agency.doc">
        <w:smartTagPr>
          <w:attr w:name="ref" w:val="IRS\PREAMBLE\TD9644"/>
        </w:smartTagPr>
        <w:r>
          <w:t>T.D. 9644</w:t>
        </w:r>
      </w:smartTag>
      <w:r>
        <w:t xml:space="preserve">) noted that the recommendations proposed by the commentators depart from the general operating principles in Chapter 1 and add additional complexity. Preamble, 2013 Final Regulations, Part 5.E.v. The 2013 Final Regulations did not adopt the positions advanced by commentators that </w:t>
      </w:r>
      <w:smartTag w:uri="http://www.bna.com/sgml2word/cite" w:element="cite.usc">
        <w:smartTagPr>
          <w:attr w:name="ref" w:val="USC\26\469(g)(1)"/>
        </w:smartTagPr>
        <w:r>
          <w:t>§469(g)(1)</w:t>
        </w:r>
      </w:smartTag>
      <w:r>
        <w:t xml:space="preserve"> suspended losses should offset the gain first, then be allowed as properly allocable deductions or should continue to be suspended and carried forward. Although not necessarily evident from the contexts of the comments, the commentators focused more on where to “assign” the losses within </w:t>
      </w:r>
      <w:smartTag w:uri="http://www.bna.com/sgml2word/cite" w:element="cite.usc">
        <w:smartTagPr>
          <w:attr w:name="ref" w:val="USC\26\1411(c)(1)"/>
        </w:smartTagPr>
        <w:r>
          <w:t>§1411(c)(1)</w:t>
        </w:r>
      </w:smartTag>
      <w:r>
        <w:t xml:space="preserve">, and less on the material issue of the losses’ being classified as “not from a passive activity.” </w:t>
      </w:r>
    </w:p>
  </w:footnote>
  <w:footnote w:id="725">
    <w:p w14:paraId="697B263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9)"/>
        </w:smartTagPr>
        <w:r>
          <w:t>§1.1411-4(g)(9)</w:t>
        </w:r>
      </w:smartTag>
      <w:r>
        <w:t>.</w:t>
      </w:r>
    </w:p>
  </w:footnote>
  <w:footnote w:id="726">
    <w:p w14:paraId="3476F7AF"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27">
    <w:p w14:paraId="5308C246" w14:textId="77777777" w:rsidR="00494B49" w:rsidRDefault="00494B49">
      <w:pPr>
        <w:pStyle w:val="FootnoteText"/>
      </w:pPr>
      <w:r>
        <w:rPr>
          <w:rStyle w:val="FootnoteReference"/>
        </w:rPr>
        <w:footnoteRef/>
      </w:r>
      <w:r>
        <w:t xml:space="preserve">The threshold amount is indexed for inflation for tax years beginning after 2018. For the annual inflation-adjusted threshold amounts, see Tables, Charts &amp; Lists &gt; Income Tax and Accounting &gt; </w:t>
      </w:r>
      <w:hyperlink r:id="rId11" w:history="1">
        <w:r>
          <w:rPr>
            <w:rStyle w:val="Hyperlink"/>
            <w:i/>
          </w:rPr>
          <w:t>Limitation on Excess Business Losses of Noncorporate Taxpayers</w:t>
        </w:r>
      </w:hyperlink>
      <w:r>
        <w:t>.</w:t>
      </w:r>
    </w:p>
  </w:footnote>
  <w:footnote w:id="728">
    <w:p w14:paraId="1211DF22" w14:textId="77777777" w:rsidR="00494B49" w:rsidRDefault="00494B49">
      <w:pPr>
        <w:pStyle w:val="FootnoteText"/>
      </w:pPr>
      <w:r>
        <w:rPr>
          <w:rStyle w:val="FootnoteReference"/>
        </w:rPr>
        <w:footnoteRef/>
      </w:r>
      <w:r>
        <w:t xml:space="preserve">As noted above, although this is implied, Reg. </w:t>
      </w:r>
      <w:smartTag w:uri="http://www.bna.com/sgml2word/cite" w:element="cite.cfr">
        <w:smartTagPr>
          <w:attr w:name="ref" w:val="cfr\26\1.1411-1(a)"/>
        </w:smartTagPr>
        <w:r>
          <w:t>§1.1411-1(a)</w:t>
        </w:r>
      </w:smartTag>
      <w:r>
        <w:t xml:space="preserve"> also confirms it.</w:t>
      </w:r>
    </w:p>
  </w:footnote>
  <w:footnote w:id="729">
    <w:p w14:paraId="52A9DDD0" w14:textId="77777777" w:rsidR="00494B49" w:rsidRDefault="00494B49">
      <w:pPr>
        <w:pStyle w:val="FootnoteText"/>
      </w:pPr>
      <w:r>
        <w:rPr>
          <w:rStyle w:val="FootnoteReference"/>
        </w:rPr>
        <w:footnoteRef/>
      </w:r>
      <w:smartTag w:uri="http://www.bna.com/sgml2word/cite" w:element="cite.agency.doc">
        <w:smartTagPr>
          <w:attr w:name="ref" w:val="irs\form8960"/>
        </w:smartTagPr>
        <w:r>
          <w:t>Form 8960</w:t>
        </w:r>
      </w:smartTag>
      <w:r>
        <w:t xml:space="preserve"> would have reported $2,000,000 of interest and dividends. </w:t>
      </w:r>
      <w:smartTag w:uri="http://www.bna.com/sgml2word/cite" w:element="cite.agency.doc">
        <w:smartTagPr>
          <w:attr w:name="ref" w:val="irs\form8960"/>
        </w:smartTagPr>
        <w:r>
          <w:t>Form 8960</w:t>
        </w:r>
      </w:smartTag>
      <w:r>
        <w:t xml:space="preserve">, Line 4a, would have reported a $700,000 loss, and Line 4b would have added back the $400,000 nonpassive loss from the car dealership resulting in NII of $1,700,000. </w:t>
      </w:r>
    </w:p>
  </w:footnote>
  <w:footnote w:id="730">
    <w:p w14:paraId="59AF52D2" w14:textId="77777777" w:rsidR="00494B49" w:rsidRDefault="00494B49">
      <w:pPr>
        <w:pStyle w:val="FootnoteText"/>
      </w:pPr>
      <w:r>
        <w:rPr>
          <w:rStyle w:val="FootnoteReference"/>
        </w:rPr>
        <w:footnoteRef/>
      </w:r>
      <w:r>
        <w:t xml:space="preserve">Of course, a taxpayer could take the opposite position by stating that the entire $200,000 comes from NII first, thus the entire $200,000 disallowance should be added back on </w:t>
      </w:r>
      <w:smartTag w:uri="http://www.bna.com/sgml2word/cite" w:element="cite.agency.doc">
        <w:smartTagPr>
          <w:attr w:name="ref" w:val="irs\form8960"/>
        </w:smartTagPr>
        <w:r>
          <w:t>Form 8960</w:t>
        </w:r>
      </w:smartTag>
      <w:r>
        <w:t xml:space="preserve"> Line 7, and the entire amount of NOL in Year 2 would be attributable to NII resulting in a $200,000 NII deduction.</w:t>
      </w:r>
    </w:p>
  </w:footnote>
  <w:footnote w:id="731">
    <w:p w14:paraId="36092F76" w14:textId="77777777" w:rsidR="00494B49" w:rsidRDefault="00494B49">
      <w:pPr>
        <w:pStyle w:val="FootnoteText"/>
      </w:pPr>
      <w:r>
        <w:rPr>
          <w:rStyle w:val="FootnoteReference"/>
        </w:rPr>
        <w:footnoteRef/>
      </w:r>
      <w:r>
        <w:t xml:space="preserve">See, e.g., </w:t>
      </w:r>
      <w:smartTag w:uri="http://www.bna.com/sgml2word/cite" w:element="cite.bna.reference">
        <w:smartTagPr>
          <w:attr w:name="bna.id.ref" w:val="TM\511.V.C.3"/>
        </w:smartTagPr>
        <w:r>
          <w:t>V.C.3.</w:t>
        </w:r>
      </w:smartTag>
      <w:smartTag w:uri="http://www.bna.com/sgml2word/cite" w:element="cite.bna.reference">
        <w:smartTagPr>
          <w:attr w:name="bna.id.ref" w:val="tm\873.V.C.3.c"/>
        </w:smartTagPr>
        <w:r>
          <w:t>V.C.3.c.</w:t>
        </w:r>
      </w:smartTag>
      <w:r>
        <w:t>, “Unreasonable Toggling Between Methods,” above.</w:t>
      </w:r>
    </w:p>
  </w:footnote>
  <w:footnote w:id="732">
    <w:p w14:paraId="196E8E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w:t>
      </w:r>
    </w:p>
  </w:footnote>
  <w:footnote w:id="733">
    <w:p w14:paraId="4155B793" w14:textId="77777777" w:rsidR="00494B49" w:rsidRDefault="00494B49">
      <w:pPr>
        <w:pStyle w:val="FootnoteText"/>
      </w:pPr>
      <w:r>
        <w:rPr>
          <w:rStyle w:val="FootnoteReference"/>
        </w:rPr>
        <w:footnoteRef/>
      </w:r>
      <w:r>
        <w:t xml:space="preserve">For a detailed discussion on the tax benefit rule, see </w:t>
      </w:r>
      <w:smartTag w:uri="http://www.bna.com/sgml2word/cite" w:element="cite.bna.reference">
        <w:smartTagPr>
          <w:attr w:name="bna.id.ref" w:val="TM\502"/>
        </w:smartTagPr>
        <w:r>
          <w:t>502 T.M.</w:t>
        </w:r>
      </w:smartTag>
      <w:r>
        <w:t xml:space="preserve">, </w:t>
      </w:r>
      <w:r>
        <w:rPr>
          <w:i/>
        </w:rPr>
        <w:t>Gross Income: Tax Benefit, Claim of Right and Assignment of Income</w:t>
      </w:r>
      <w:r>
        <w:t>.</w:t>
      </w:r>
    </w:p>
  </w:footnote>
  <w:footnote w:id="734">
    <w:p w14:paraId="10706490" w14:textId="77777777" w:rsidR="00494B49" w:rsidRDefault="00494B49">
      <w:pPr>
        <w:pStyle w:val="FootnoteText"/>
      </w:pPr>
      <w:r>
        <w:rPr>
          <w:rStyle w:val="FootnoteReference"/>
        </w:rPr>
        <w:footnoteRef/>
      </w:r>
      <w:r>
        <w:rPr>
          <w:i/>
        </w:rPr>
        <w:t>Compare</w:t>
      </w:r>
      <w:r>
        <w:t xml:space="preserve"> </w:t>
      </w:r>
      <w:smartTag w:uri="http://www.bna.com/sgml2word/cite" w:element="cite.usc">
        <w:smartTagPr>
          <w:attr w:name="ref" w:val="USC\26\61(a)"/>
        </w:smartTagPr>
        <w:r>
          <w:t>§61(a)</w:t>
        </w:r>
      </w:smartTag>
      <w:r>
        <w:t xml:space="preserve"> </w:t>
      </w:r>
      <w:r>
        <w:rPr>
          <w:i/>
        </w:rPr>
        <w:t>with</w:t>
      </w:r>
      <w:r>
        <w:t xml:space="preserve">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w:t>
      </w:r>
    </w:p>
  </w:footnote>
  <w:footnote w:id="735">
    <w:p w14:paraId="42CE99D7"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1(d)(10)"/>
        </w:smartTagPr>
        <w:r>
          <w:t>§1.1411-1(d)(10)</w:t>
        </w:r>
      </w:smartTag>
      <w:r>
        <w:t xml:space="preserve">. </w:t>
      </w:r>
    </w:p>
  </w:footnote>
  <w:footnote w:id="736">
    <w:p w14:paraId="0AF0A96C" w14:textId="77777777" w:rsidR="00494B49" w:rsidRDefault="00494B49">
      <w:pPr>
        <w:pStyle w:val="FootnoteText"/>
      </w:pPr>
      <w:r>
        <w:rPr>
          <w:rStyle w:val="FootnoteReference"/>
        </w:rPr>
        <w:footnoteRef/>
      </w:r>
      <w:r>
        <w:t xml:space="preserve">In this example, if the rental property was held in a pass-through entity, the $10,000 annual recovery amounts likely must be separately stated to the owner for NIIT purposes so that the owner can determine whether the recovery is included or excluded from the rule in Reg. </w:t>
      </w:r>
      <w:smartTag w:uri="http://www.bna.com/sgml2word/cite" w:element="cite.cfr">
        <w:smartTagPr>
          <w:attr w:name="ref" w:val="cfr\26\1.1411-4(g)(2)"/>
        </w:smartTagPr>
        <w:r>
          <w:t>§1.1411-4(g)(2)</w:t>
        </w:r>
      </w:smartTag>
      <w:r>
        <w:t xml:space="preserve">. </w:t>
      </w:r>
    </w:p>
  </w:footnote>
  <w:footnote w:id="737">
    <w:p w14:paraId="4DA03F5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 xml:space="preserve">. </w:t>
      </w:r>
    </w:p>
  </w:footnote>
  <w:footnote w:id="738">
    <w:p w14:paraId="17A9F14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
        </w:smartTagPr>
        <w:r>
          <w:t>§1.1411-4(g)(2)(iii)</w:t>
        </w:r>
      </w:smartTag>
      <w:r>
        <w:t xml:space="preserve">. </w:t>
      </w:r>
    </w:p>
  </w:footnote>
  <w:footnote w:id="739">
    <w:p w14:paraId="6D99E50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A)"/>
        </w:smartTagPr>
        <w:r>
          <w:t>§1.1411-4(g)(2)(iii)(A)</w:t>
        </w:r>
      </w:smartTag>
      <w:r>
        <w:t>.</w:t>
      </w:r>
    </w:p>
  </w:footnote>
  <w:footnote w:id="740">
    <w:p w14:paraId="43F3BB7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B)"/>
        </w:smartTagPr>
        <w:r>
          <w:t>§1.1411-4(g)(2)(iii)(B)</w:t>
        </w:r>
      </w:smartTag>
      <w:r>
        <w:t>.</w:t>
      </w:r>
    </w:p>
  </w:footnote>
  <w:footnote w:id="741">
    <w:p w14:paraId="786ADAF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 xml:space="preserve">. </w:t>
      </w:r>
    </w:p>
  </w:footnote>
  <w:footnote w:id="742">
    <w:p w14:paraId="365EBAF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v)"/>
        </w:smartTagPr>
        <w:r>
          <w:t>§1.1411-4(g)(2)(iv)</w:t>
        </w:r>
      </w:smartTag>
      <w:r>
        <w:rPr>
          <w:i/>
        </w:rPr>
        <w:t xml:space="preserve"> Ex.</w:t>
      </w:r>
      <w:r>
        <w:t xml:space="preserve"> 1. </w:t>
      </w:r>
    </w:p>
  </w:footnote>
  <w:footnote w:id="743">
    <w:p w14:paraId="6B37D7D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2)(iv)"/>
        </w:smartTagPr>
        <w:r>
          <w:t>§1.1411-4(g)(2)(iv)</w:t>
        </w:r>
      </w:smartTag>
      <w:r>
        <w:rPr>
          <w:i/>
        </w:rPr>
        <w:t xml:space="preserve"> Ex.</w:t>
      </w:r>
      <w:r>
        <w:t xml:space="preserve"> 2.</w:t>
      </w:r>
    </w:p>
  </w:footnote>
  <w:footnote w:id="744">
    <w:p w14:paraId="586151B0"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above, on reasonable allocations of SALT deductions during the limitation years of 2018-2025.</w:t>
      </w:r>
    </w:p>
  </w:footnote>
  <w:footnote w:id="745">
    <w:p w14:paraId="2887B87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46">
    <w:p w14:paraId="79BC5371"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provided that net investment income does not take into account a net operating loss deduction. Prop. Reg. </w:t>
      </w:r>
      <w:smartTag w:uri="http://www.bna.com/sgml2word/cite" w:element="cite.cfr">
        <w:smartTagPr>
          <w:attr w:name="ref" w:val="prule\cfr\26\1.1411-4(f)(1)(ii)"/>
        </w:smartTagPr>
        <w:r>
          <w:t>§1.1411-4(f)(1)(ii)</w:t>
        </w:r>
      </w:smartTag>
      <w:r>
        <w:t xml:space="preserve">. The rationale behind the government’s position, as enumerated in the preamble to the 2012 Proposed Regulations, was that the character of each of the various deduction items that make up a net operating loss is generally not tracked for purposes of Chapter 1 once the item becomes part of a net operating loss. Thus, when an item becomes part of a net operating loss that is carried to another year, it generally is no longer properly allocable to a specific type of income, such as gross income from interest. This result is similar to the result for self-employment income, in which </w:t>
      </w:r>
      <w:smartTag w:uri="http://www.bna.com/sgml2word/cite" w:element="cite.usc">
        <w:smartTagPr>
          <w:attr w:name="ref" w:val="USC\26\1402(a)(4)"/>
        </w:smartTagPr>
        <w:r>
          <w:t>§1402(a)(4)</w:t>
        </w:r>
      </w:smartTag>
      <w:r>
        <w:t xml:space="preserve"> specifically provides that the deduction for net operating losses may not be taken into account in determining net earnings from self-employment. The preamble to the 2012 Proposed Regulations also stated that rules to determine the portion of a net operating loss deduction properly allocable to items of gross income or net gain subject to the for net investment income tax (NIIT) would be unduly complex and not administrable. </w:t>
      </w:r>
      <w:r>
        <w:rPr>
          <w:i/>
        </w:rPr>
        <w:t>See</w:t>
      </w:r>
      <w:r>
        <w:t xml:space="preserve"> Preamble, 2012 Proposed Regulations, Part 5.E. Several commentators to the 2012 Proposed Regulations argued that at least some portion of an NOL deduction should be a deduction properly allocable to gross income included in net investment income and therefore allowed in determining net investment income. Three commentators recommended that taxpayers be allowed to keep track of the portions of an NOL attributable to investment income for the loss year. One commentator recommended that the IRS adopt a simple rule for determining a portion of an NOL that is attributable to a “net investment loss” for a loss year (e.g., using a ratio of the portion of the loss attributable to “net investment loss” to the NOL) and allow taxpayers to take a prorated portion of the NOL deduction into account in determining net investment income for a tax year to which the NOL is carried. In response to these comments, as well as other arguments for equity between the NIIT treatment of traders and nontraders, the 2013 Final Regulations (</w:t>
      </w:r>
      <w:smartTag w:uri="http://www.bna.com/sgml2word/cite" w:element="cite.agency.doc">
        <w:smartTagPr>
          <w:attr w:name="ref" w:val="IRS\PREAMBLE\TD9644"/>
        </w:smartTagPr>
        <w:r>
          <w:t>T.D. 9644</w:t>
        </w:r>
      </w:smartTag>
      <w:r>
        <w:t xml:space="preserve">) adopted a modified version of the commentator’s approach. </w:t>
      </w:r>
    </w:p>
  </w:footnote>
  <w:footnote w:id="747">
    <w:p w14:paraId="48DA0851" w14:textId="77777777" w:rsidR="00494B49" w:rsidRDefault="00494B49">
      <w:pPr>
        <w:pStyle w:val="FootnoteText"/>
      </w:pPr>
      <w:r>
        <w:rPr>
          <w:rStyle w:val="FootnoteReference"/>
        </w:rPr>
        <w:footnoteRef/>
      </w:r>
      <w:r>
        <w:t xml:space="preserve">For a detailed discussion of the calculation and use of individual NOLs under </w:t>
      </w:r>
      <w:smartTag w:uri="http://www.bna.com/sgml2word/cite" w:element="cite.usc">
        <w:smartTagPr>
          <w:attr w:name="ref" w:val="USC\26\172"/>
        </w:smartTagPr>
        <w:r>
          <w:t>§172</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48">
    <w:p w14:paraId="6F7DE569" w14:textId="77777777" w:rsidR="00494B49" w:rsidRDefault="00494B49">
      <w:pPr>
        <w:pStyle w:val="FootnoteText"/>
      </w:pPr>
      <w:r>
        <w:rPr>
          <w:rStyle w:val="FootnoteReference"/>
        </w:rPr>
        <w:footnoteRef/>
      </w:r>
      <w:r>
        <w:t xml:space="preserve">To generate a Section 1411 NOL, the taxpayer must (i) generate an NOL for regular tax purposes and (ii) have negative net investment income for the year. Although this rule is not explicit in Reg. </w:t>
      </w:r>
      <w:smartTag w:uri="http://www.bna.com/sgml2word/cite" w:element="cite.cfr">
        <w:smartTagPr>
          <w:attr w:name="ref" w:val="cfr\26\1.1411-4(h)(2)"/>
        </w:smartTagPr>
        <w:r>
          <w:t>§1.1411-4(h)(2)</w:t>
        </w:r>
      </w:smartTag>
      <w:r>
        <w:t xml:space="preserve">, the lesser-of calculation in Reg. </w:t>
      </w:r>
      <w:smartTag w:uri="http://www.bna.com/sgml2word/cite" w:element="cite.cfr">
        <w:smartTagPr>
          <w:attr w:name="ref" w:val="cfr\26\1.1411-4(h)(2)"/>
        </w:smartTagPr>
        <w:r>
          <w:t>§1.1411-4(h)(2)</w:t>
        </w:r>
      </w:smartTag>
      <w:r>
        <w:t xml:space="preserve"> causes this result.</w:t>
      </w:r>
    </w:p>
  </w:footnote>
  <w:footnote w:id="749">
    <w:p w14:paraId="4BD6F31E" w14:textId="77777777" w:rsidR="00494B49" w:rsidRDefault="00494B49">
      <w:pPr>
        <w:pStyle w:val="FootnoteText"/>
      </w:pPr>
      <w:r>
        <w:rPr>
          <w:rStyle w:val="FootnoteReference"/>
        </w:rPr>
        <w:footnoteRef/>
      </w:r>
      <w:r>
        <w:t xml:space="preserve">For example, if a $100,000 NOL consists of $25,000 of the Section 1411 NOL, and the individual can only use $60,000 (60%) of the NOL in a carryover year due to the 80% taxable income limitation, then only 60% of the $25,000 Section 1411 NOL can be used on </w:t>
      </w:r>
      <w:smartTag w:uri="http://www.bna.com/sgml2word/cite" w:element="cite.fed.form">
        <w:smartTagPr>
          <w:attr w:name="ref" w:val="irs\form8960"/>
        </w:smartTagPr>
        <w:r>
          <w:t>Form 8960</w:t>
        </w:r>
      </w:smartTag>
      <w:r>
        <w:t xml:space="preserve"> in that carryover year.</w:t>
      </w:r>
    </w:p>
  </w:footnote>
  <w:footnote w:id="750">
    <w:p w14:paraId="103997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h)(2)"/>
        </w:smartTagPr>
        <w:r>
          <w:t>§1.1411-4(h)(2)</w:t>
        </w:r>
      </w:smartTag>
      <w:r>
        <w:t xml:space="preserve">. </w:t>
      </w:r>
    </w:p>
  </w:footnote>
  <w:footnote w:id="751">
    <w:p w14:paraId="0C647656" w14:textId="77777777" w:rsidR="00494B49" w:rsidRDefault="00494B49">
      <w:pPr>
        <w:pStyle w:val="FootnoteText"/>
      </w:pPr>
      <w:r>
        <w:rPr>
          <w:rStyle w:val="FootnoteReference"/>
        </w:rPr>
        <w:footnoteRef/>
      </w:r>
      <w:r>
        <w:t xml:space="preserve">This conclusion is confirmed in the </w:t>
      </w:r>
      <w:hyperlink r:id="rId12" w:history="1">
        <w:r>
          <w:rPr>
            <w:rStyle w:val="Hyperlink"/>
          </w:rPr>
          <w:t>Instructions for Form 8960</w:t>
        </w:r>
      </w:hyperlink>
      <w:r>
        <w:t>.</w:t>
      </w:r>
    </w:p>
  </w:footnote>
  <w:footnote w:id="752">
    <w:p w14:paraId="051C85F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h)(4)"/>
        </w:smartTagPr>
        <w:r>
          <w:t>§1.1411-4(h)(4)</w:t>
        </w:r>
      </w:smartTag>
      <w:r>
        <w:t>.</w:t>
      </w:r>
    </w:p>
  </w:footnote>
  <w:footnote w:id="753">
    <w:p w14:paraId="324BAAC6" w14:textId="77777777" w:rsidR="00494B49" w:rsidRDefault="00494B49">
      <w:pPr>
        <w:pStyle w:val="FootnoteText"/>
      </w:pPr>
      <w:r>
        <w:rPr>
          <w:rStyle w:val="FootnoteReference"/>
        </w:rPr>
        <w:footnoteRef/>
      </w:r>
      <w:smartTag w:uri="http://www.bna.com/sgml2word/cite" w:element="cite.usc">
        <w:smartTagPr>
          <w:attr w:name="ref" w:val="USC\26\108(b)(2)(A)"/>
        </w:smartTagPr>
        <w:r>
          <w:t>§108(b)(2)(A)</w:t>
        </w:r>
      </w:smartTag>
      <w:r>
        <w:t xml:space="preserve">. For a detailed discussion of the NOL attribute reduction under </w:t>
      </w:r>
      <w:smartTag w:uri="http://www.bna.com/sgml2word/cite" w:element="cite.usc">
        <w:smartTagPr>
          <w:attr w:name="ref" w:val="USC\26\108"/>
        </w:smartTagPr>
        <w:r>
          <w:t>§108</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54">
    <w:p w14:paraId="1BE32C33"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r>
        <w:t>, above.</w:t>
      </w:r>
    </w:p>
  </w:footnote>
  <w:footnote w:id="755">
    <w:p w14:paraId="752351D4" w14:textId="77777777" w:rsidR="00494B49" w:rsidRDefault="00494B49">
      <w:pPr>
        <w:pStyle w:val="FootnoteText"/>
      </w:pPr>
      <w:r>
        <w:rPr>
          <w:rStyle w:val="FootnoteReference"/>
        </w:rPr>
        <w:footnoteRef/>
      </w:r>
      <w:r>
        <w:t xml:space="preserve">A Blue Book explanation is, nonetheless, a valid source of legal authority for establishing substantial authority for a tax position. </w:t>
      </w:r>
      <w:r>
        <w:rPr>
          <w:i/>
        </w:rPr>
        <w:t>See</w:t>
      </w:r>
      <w:r>
        <w:t xml:space="preserve"> Reg. </w:t>
      </w:r>
      <w:smartTag w:uri="http://www.bna.com/sgml2word/cite" w:element="cite.cfr">
        <w:smartTagPr>
          <w:attr w:name="ref" w:val="cfr\26\1.6662-4(d)(3)(iii)"/>
        </w:smartTagPr>
        <w:r>
          <w:t>§1.6662-4(d)(3)(iii)</w:t>
        </w:r>
      </w:smartTag>
      <w:r>
        <w:t>.</w:t>
      </w:r>
    </w:p>
  </w:footnote>
  <w:footnote w:id="756">
    <w:p w14:paraId="67071FC9" w14:textId="77777777" w:rsidR="00494B49" w:rsidRDefault="00494B49">
      <w:pPr>
        <w:pStyle w:val="FootnoteText"/>
      </w:pPr>
      <w:r>
        <w:rPr>
          <w:rStyle w:val="FootnoteReference"/>
        </w:rPr>
        <w:footnoteRef/>
      </w:r>
      <w:r>
        <w:t xml:space="preserve">Jt. Comm. on Tax’n, </w:t>
      </w:r>
      <w:r>
        <w:rPr>
          <w:i/>
        </w:rPr>
        <w:t>Technical Explanation of the Revenue Provisions of the ‘Reconciliation Act of 2010,’ as amended, in combination with the ‘Patient Protection and Affordable Care Act’</w:t>
      </w:r>
      <w:r>
        <w:t xml:space="preserve"> (JCX-18-10) (Mar. 21, 2010), at 135. </w:t>
      </w:r>
    </w:p>
  </w:footnote>
  <w:footnote w:id="757">
    <w:p w14:paraId="175B3FE8" w14:textId="77777777" w:rsidR="00494B49" w:rsidRDefault="00494B49">
      <w:pPr>
        <w:pStyle w:val="FootnoteText"/>
      </w:pPr>
      <w:r>
        <w:rPr>
          <w:rStyle w:val="FootnoteReference"/>
        </w:rPr>
        <w:footnoteRef/>
      </w:r>
      <w:r>
        <w:t xml:space="preserve">Jt. Comm. on Tax’n, </w:t>
      </w:r>
      <w:r>
        <w:rPr>
          <w:i/>
        </w:rPr>
        <w:t>Technical Explanation of the Revenue Provisions of the ‘Reconciliation Act of 2010,’ as amended, in combination with the ‘Patient Protection and Affordable Care Act’</w:t>
      </w:r>
      <w:r>
        <w:t xml:space="preserve"> (JCX-18-10) (Mar. 21, 2010), at 135 (fn. 286).</w:t>
      </w:r>
    </w:p>
  </w:footnote>
  <w:footnote w:id="758">
    <w:p w14:paraId="22AF719D" w14:textId="77777777" w:rsidR="00494B49" w:rsidRDefault="00494B49">
      <w:pPr>
        <w:pStyle w:val="FootnoteText"/>
      </w:pPr>
      <w:r>
        <w:rPr>
          <w:rStyle w:val="FootnoteReference"/>
        </w:rPr>
        <w:footnoteRef/>
      </w:r>
      <w:r>
        <w:t xml:space="preserve">Jt. Comm. on Tax’n, </w:t>
      </w:r>
      <w:r>
        <w:rPr>
          <w:i/>
        </w:rPr>
        <w:t>General Explanation of Tax Legislation Enacted in the 111th Congress</w:t>
      </w:r>
      <w:r>
        <w:t xml:space="preserve"> (JCS-2-11) (Mar. 24, 2011), at 364.</w:t>
      </w:r>
    </w:p>
  </w:footnote>
  <w:footnote w:id="759">
    <w:p w14:paraId="3FA64EB4"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referred to the intent as “achiev[ing] parity.” </w:t>
      </w:r>
      <w:r>
        <w:rPr>
          <w:i/>
        </w:rPr>
        <w:t>See</w:t>
      </w:r>
      <w:r>
        <w:t xml:space="preserve"> Preamble, 2012 Proposed Regulations, Part 8.</w:t>
      </w:r>
    </w:p>
  </w:footnote>
  <w:footnote w:id="760">
    <w:p w14:paraId="6A2631D8" w14:textId="77777777" w:rsidR="00494B49" w:rsidRDefault="00494B49">
      <w:pPr>
        <w:pStyle w:val="FootnoteText"/>
      </w:pPr>
      <w:r>
        <w:rPr>
          <w:rStyle w:val="FootnoteReference"/>
        </w:rPr>
        <w:footnoteRef/>
      </w:r>
      <w:r>
        <w:rPr>
          <w:i/>
        </w:rPr>
        <w:t>See</w:t>
      </w:r>
      <w:r>
        <w:t xml:space="preserve"> </w:t>
      </w:r>
      <w:r>
        <w:rPr>
          <w:i/>
        </w:rPr>
        <w:t>generally</w:t>
      </w:r>
      <w:r>
        <w:t xml:space="preserve"> Stanley S. Surrey &amp; William C. Warren, </w:t>
      </w:r>
      <w:r>
        <w:rPr>
          <w:i/>
        </w:rPr>
        <w:t>The Income Tax Project of the American Law Institute: Partnerships, Corporations, Sale of a Corporate Business, Trusts and Estates, Foreign Income and Foreign Taxpayers</w:t>
      </w:r>
      <w:r>
        <w:t xml:space="preserve">, 66 Harv. L. Rev. 1161 (1953); J. Paul Jackson, et al., </w:t>
      </w:r>
      <w:r>
        <w:rPr>
          <w:i/>
        </w:rPr>
        <w:t>A Proposed Revision of the Federal Income Tax Treatment of Partnerships and Partners-American Law Institute Draft</w:t>
      </w:r>
      <w:r>
        <w:t>, 9 Tax L. Rev. 109 (1954).</w:t>
      </w:r>
    </w:p>
  </w:footnote>
  <w:footnote w:id="761">
    <w:p w14:paraId="56531F3B" w14:textId="77777777" w:rsidR="00494B49" w:rsidRDefault="00494B49">
      <w:pPr>
        <w:pStyle w:val="FootnoteText"/>
      </w:pPr>
      <w:r>
        <w:rPr>
          <w:rStyle w:val="FootnoteReference"/>
        </w:rPr>
        <w:footnoteRef/>
      </w:r>
      <w:r>
        <w:t>2012 Prop. Reg. §1.1411-7.</w:t>
      </w:r>
    </w:p>
  </w:footnote>
  <w:footnote w:id="762">
    <w:p w14:paraId="4DE20CA0"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763">
    <w:p w14:paraId="740B2911" w14:textId="77777777" w:rsidR="00494B49" w:rsidRDefault="00494B49">
      <w:pPr>
        <w:pStyle w:val="FootnoteText"/>
      </w:pPr>
      <w:r>
        <w:rPr>
          <w:rStyle w:val="FootnoteReference"/>
        </w:rPr>
        <w:footnoteRef/>
      </w:r>
      <w:r>
        <w:t xml:space="preserve">See discussion in </w:t>
      </w:r>
      <w:smartTag w:uri="http://www.bna.com/sgml2word/cite" w:element="cite.bna.reference">
        <w:smartTagPr>
          <w:attr w:name="bna.id.ref" w:val="TM\511.VI.C.1"/>
        </w:smartTagPr>
        <w:r>
          <w:t>VI.C.1.</w:t>
        </w:r>
      </w:smartTag>
      <w:smartTag w:uri="http://www.bna.com/sgml2word/cite" w:element="cite.bna.reference">
        <w:smartTagPr>
          <w:attr w:name="bna.id.ref" w:val="TM\873.VI.C.1"/>
        </w:smartTagPr>
        <w:r>
          <w:t>VI.C.1.</w:t>
        </w:r>
      </w:smartTag>
      <w:r>
        <w:t>, below.</w:t>
      </w:r>
    </w:p>
  </w:footnote>
  <w:footnote w:id="764">
    <w:p w14:paraId="6B33744C" w14:textId="77777777" w:rsidR="00494B49" w:rsidRDefault="00494B49">
      <w:pPr>
        <w:pStyle w:val="FootnoteText"/>
      </w:pPr>
      <w:r>
        <w:rPr>
          <w:rStyle w:val="FootnoteReference"/>
        </w:rPr>
        <w:footnoteRef/>
      </w:r>
      <w:r>
        <w:t xml:space="preserve">Here is a link to the current version of </w:t>
      </w:r>
      <w:hyperlink r:id="rId13" w:history="1">
        <w:r>
          <w:rPr>
            <w:rStyle w:val="Hyperlink"/>
          </w:rPr>
          <w:t xml:space="preserve">Form 8960, </w:t>
        </w:r>
        <w:r>
          <w:rPr>
            <w:rStyle w:val="Hyperlink"/>
            <w:i/>
          </w:rPr>
          <w:t>Net Investment Income Tax Individuals, Estates, and Trusts</w:t>
        </w:r>
      </w:hyperlink>
      <w:r>
        <w:t>.</w:t>
      </w:r>
    </w:p>
  </w:footnote>
  <w:footnote w:id="765">
    <w:p w14:paraId="30018304"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
        </w:smartTagPr>
        <w:r>
          <w:t>§1.1411-7(a)(2)(i)</w:t>
        </w:r>
      </w:smartTag>
      <w:r>
        <w:t>.</w:t>
      </w:r>
    </w:p>
  </w:footnote>
  <w:footnote w:id="766">
    <w:p w14:paraId="450C1096" w14:textId="77777777" w:rsidR="00494B49" w:rsidRDefault="00494B49">
      <w:pPr>
        <w:pStyle w:val="FootnoteText"/>
      </w:pPr>
      <w:r>
        <w:rPr>
          <w:rStyle w:val="FootnoteReference"/>
        </w:rPr>
        <w:footnoteRef/>
      </w:r>
      <w:r>
        <w:t xml:space="preserve">Within the meaning of Reg. </w:t>
      </w:r>
      <w:smartTag w:uri="http://www.bna.com/sgml2word/cite" w:element="cite.cfr">
        <w:smartTagPr>
          <w:attr w:name="ref" w:val="cfr\26\301.7701-3"/>
        </w:smartTagPr>
        <w:r>
          <w:t>§301.7701-3</w:t>
        </w:r>
      </w:smartTag>
      <w:r>
        <w:t>.</w:t>
      </w:r>
    </w:p>
  </w:footnote>
  <w:footnote w:id="767">
    <w:p w14:paraId="7AE5260D" w14:textId="77777777" w:rsidR="00494B49" w:rsidRDefault="00494B49">
      <w:pPr>
        <w:pStyle w:val="FootnoteText"/>
      </w:pPr>
      <w:r>
        <w:rPr>
          <w:rStyle w:val="FootnoteReference"/>
        </w:rPr>
        <w:footnoteRef/>
      </w:r>
      <w:r>
        <w:t xml:space="preserve">The </w:t>
      </w:r>
      <w:smartTag w:uri="http://www.bna.com/sgml2word/cite" w:element="cite.usc">
        <w:smartTagPr>
          <w:attr w:name="ref" w:val="USC\26\761(a)"/>
        </w:smartTagPr>
        <w:r>
          <w:t>§761(a)</w:t>
        </w:r>
      </w:smartTag>
      <w:r>
        <w:t xml:space="preserve"> election only applies for purposes of Subchapter K. For a detailed discussion of the </w:t>
      </w:r>
      <w:smartTag w:uri="http://www.bna.com/sgml2word/cite" w:element="cite.usc">
        <w:smartTagPr>
          <w:attr w:name="ref" w:val="USC\26\761"/>
        </w:smartTagPr>
        <w:r>
          <w:t>§761</w:t>
        </w:r>
      </w:smartTag>
      <w:r>
        <w:t xml:space="preserve"> election, see </w:t>
      </w:r>
      <w:smartTag w:uri="http://www.bna.com/sgml2word/cite" w:element="cite.bna.reference">
        <w:smartTagPr>
          <w:attr w:name="bna.id.ref" w:val="TM\710"/>
        </w:smartTagPr>
        <w:r>
          <w:t>710 T.M.</w:t>
        </w:r>
      </w:smartTag>
      <w:r>
        <w:t xml:space="preserve">, </w:t>
      </w:r>
      <w:r>
        <w:rPr>
          <w:i/>
        </w:rPr>
        <w:t>Partnerships — Conceptual Overview</w:t>
      </w:r>
      <w:r>
        <w:t>.</w:t>
      </w:r>
    </w:p>
  </w:footnote>
  <w:footnote w:id="768">
    <w:p w14:paraId="43F1BF94" w14:textId="77777777" w:rsidR="00494B49" w:rsidRDefault="00494B49">
      <w:pPr>
        <w:pStyle w:val="FootnoteText"/>
      </w:pPr>
      <w:r>
        <w:rPr>
          <w:rStyle w:val="FootnoteReference"/>
        </w:rPr>
        <w:footnoteRef/>
      </w:r>
      <w:r>
        <w:t xml:space="preserve">As a result, </w:t>
      </w:r>
      <w:smartTag w:uri="http://www.bna.com/sgml2word/cite" w:element="cite.usc">
        <w:smartTagPr>
          <w:attr w:name="ref" w:val="USC\26\1411(c)(4)"/>
        </w:smartTagPr>
        <w:r>
          <w:t>§1411(c)(4)</w:t>
        </w:r>
      </w:smartTag>
      <w:r>
        <w:t xml:space="preserve"> and Prop. Reg. </w:t>
      </w:r>
      <w:smartTag w:uri="http://www.bna.com/sgml2word/cite" w:element="cite.cfr">
        <w:smartTagPr>
          <w:attr w:name="ref" w:val="cfr\26\1.1411-7"/>
        </w:smartTagPr>
        <w:r>
          <w:t>§1.1411-7</w:t>
        </w:r>
      </w:smartTag>
      <w:r>
        <w:t xml:space="preserve"> do not apply to a sale of interests in these entities, and a sale of interests in these entities is subject to the general rules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regarding net gains attributable to the disposition of property.</w:t>
      </w:r>
    </w:p>
  </w:footnote>
  <w:footnote w:id="769">
    <w:p w14:paraId="2C4F582C" w14:textId="77777777" w:rsidR="00494B49" w:rsidRDefault="00494B49">
      <w:pPr>
        <w:pStyle w:val="FootnoteText"/>
      </w:pPr>
      <w:r>
        <w:rPr>
          <w:rStyle w:val="FootnoteReference"/>
        </w:rPr>
        <w:footnoteRef/>
      </w:r>
      <w:r>
        <w:t xml:space="preserve">In fact, the 2013 Proposed Regulations could be read to implicitly sanction this strategy. Note, however, that the Optional Simplified Method may not be used if a corporation was taxable as an S corporation for less than 12 months before the sale. </w:t>
      </w:r>
      <w:r>
        <w:rPr>
          <w:i/>
        </w:rPr>
        <w:t>See</w:t>
      </w:r>
      <w:r>
        <w:t xml:space="preserve"> Prop. Reg. </w:t>
      </w:r>
      <w:smartTag w:uri="http://www.bna.com/sgml2word/cite" w:element="cite.cfr">
        <w:smartTagPr>
          <w:attr w:name="ref" w:val="prule\cfr\26\1.1411-7(c)(3)(v)"/>
        </w:smartTagPr>
        <w:r>
          <w:t>§1.1411-7(c)(3)(v)</w:t>
        </w:r>
      </w:smartTag>
      <w:r>
        <w:t xml:space="preserve">. See discussion in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70">
    <w:p w14:paraId="7AF66DCB" w14:textId="77777777" w:rsidR="00494B49" w:rsidRDefault="00494B49">
      <w:pPr>
        <w:pStyle w:val="FootnoteText"/>
      </w:pPr>
      <w:r>
        <w:rPr>
          <w:rStyle w:val="FootnoteReference"/>
        </w:rPr>
        <w:footnoteRef/>
      </w:r>
      <w:r>
        <w:t xml:space="preserve">Keep in mind that converting to an S corporation before the sale date will only be practical if the seller can claim that the S corporation is a nonpassive activity (within the meaning of </w:t>
      </w:r>
      <w:smartTag w:uri="http://www.bna.com/sgml2word/cite" w:element="cite.usc">
        <w:smartTagPr>
          <w:attr w:name="ref" w:val="USC\26\469"/>
        </w:smartTagPr>
        <w:r>
          <w:t>§469</w:t>
        </w:r>
      </w:smartTag>
      <w:r>
        <w:t xml:space="preserve">). If the C corporation is not subject to </w:t>
      </w:r>
      <w:smartTag w:uri="http://www.bna.com/sgml2word/cite" w:element="cite.usc">
        <w:smartTagPr>
          <w:attr w:name="ref" w:val="USC\26\469"/>
        </w:smartTagPr>
        <w:r>
          <w:t>§469</w:t>
        </w:r>
      </w:smartTag>
      <w:r>
        <w:t xml:space="preserve">, an election immediately before a sale likely will not provide any net investment income tax benefit because the taxpayer could not have materially participated in the S corporation for the requisite amount of time in accordance with Reg. </w:t>
      </w:r>
      <w:smartTag w:uri="http://www.bna.com/sgml2word/cite" w:element="cite.cfr">
        <w:smartTagPr>
          <w:attr w:name="ref" w:val="cfr\26\1.469-5T"/>
        </w:smartTagPr>
        <w:r>
          <w:t>§1.469-5T</w:t>
        </w:r>
      </w:smartTag>
      <w:r>
        <w:t xml:space="preserve">. In the case of a C corporation that is subject to </w:t>
      </w:r>
      <w:smartTag w:uri="http://www.bna.com/sgml2word/cite" w:element="cite.usc">
        <w:smartTagPr>
          <w:attr w:name="ref" w:val="USC\26\469"/>
        </w:smartTagPr>
        <w:r>
          <w:t>§469</w:t>
        </w:r>
      </w:smartTag>
      <w:r>
        <w:t xml:space="preserve"> (i.e., a closely held corporation or a personal service corporation), it may be theoretically possible to claim nonpassive treatment on the sale under Reg. </w:t>
      </w:r>
      <w:smartTag w:uri="http://www.bna.com/sgml2word/cite" w:element="cite.cfr">
        <w:smartTagPr>
          <w:attr w:name="ref" w:val="cfr\26\1.469-4(d)(5)(ii)"/>
        </w:smartTagPr>
        <w:r>
          <w:t>§1.469-4(d)(5)(ii)</w:t>
        </w:r>
      </w:smartTag>
      <w:r>
        <w:t xml:space="preserve"> and </w:t>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771">
    <w:p w14:paraId="5ADEEE78"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3)"/>
        </w:smartTagPr>
        <w:r>
          <w:t>§1.1411-7(a)(3)</w:t>
        </w:r>
      </w:smartTag>
      <w:r>
        <w:t xml:space="preserve">. </w:t>
      </w:r>
    </w:p>
  </w:footnote>
  <w:footnote w:id="772">
    <w:p w14:paraId="356F56D3" w14:textId="77777777" w:rsidR="00494B49" w:rsidRDefault="00494B49">
      <w:pPr>
        <w:pStyle w:val="FootnoteText"/>
      </w:pPr>
      <w:r>
        <w:rPr>
          <w:rStyle w:val="FootnoteReference"/>
        </w:rPr>
        <w:footnoteRef/>
      </w:r>
      <w:r>
        <w:t xml:space="preserve">Within the meaning of Reg. </w:t>
      </w:r>
      <w:smartTag w:uri="http://www.bna.com/sgml2word/cite" w:element="cite.cfr">
        <w:smartTagPr>
          <w:attr w:name="ref" w:val="cfr\26\1.469-2T(f)(2)"/>
        </w:smartTagPr>
        <w:r>
          <w:t>§1.469-2T(f)(2)</w:t>
        </w:r>
      </w:smartTag>
      <w:r>
        <w:t xml:space="preserve"> and Reg. </w:t>
      </w:r>
      <w:smartTag w:uri="http://www.bna.com/sgml2word/cite" w:element="cite.cfr">
        <w:smartTagPr>
          <w:attr w:name="ref" w:val="cfr\26\1.469-5T(c)"/>
        </w:smartTagPr>
        <w:r>
          <w:t>§1.469-5T(c)</w:t>
        </w:r>
      </w:smartTag>
      <w:r>
        <w:t>.</w:t>
      </w:r>
    </w:p>
  </w:footnote>
  <w:footnote w:id="773">
    <w:p w14:paraId="0B629F58" w14:textId="77777777" w:rsidR="00494B49" w:rsidRDefault="00494B49">
      <w:pPr>
        <w:pStyle w:val="FootnoteText"/>
      </w:pPr>
      <w:r>
        <w:rPr>
          <w:rStyle w:val="FootnoteReference"/>
        </w:rPr>
        <w:footnoteRef/>
      </w:r>
      <w:r>
        <w:t xml:space="preserve">For example, if an individual transferred an interest in a partnership to an S corporation in a tax-free </w:t>
      </w:r>
      <w:smartTag w:uri="http://www.bna.com/sgml2word/cite" w:element="cite.usc">
        <w:smartTagPr>
          <w:attr w:name="ref" w:val="USC\26\351"/>
        </w:smartTagPr>
        <w:r>
          <w:t>§351</w:t>
        </w:r>
      </w:smartTag>
      <w:r>
        <w:t xml:space="preserve"> exchange, or to a partnership in a tax-free </w:t>
      </w:r>
      <w:smartTag w:uri="http://www.bna.com/sgml2word/cite" w:element="cite.usc">
        <w:smartTagPr>
          <w:attr w:name="ref" w:val="USC\26\721"/>
        </w:smartTagPr>
        <w:r>
          <w:t>§721</w:t>
        </w:r>
      </w:smartTag>
      <w:r>
        <w:t xml:space="preserve"> exchange, there would be a realization event for regular income tax purposes, but there would not be a recognition event. The same would be true for an estate or trust that distributes an interest in a Passthrough Entity to the beneficiary and gain is recognized by the estate or trust under </w:t>
      </w:r>
      <w:smartTag w:uri="http://www.bna.com/sgml2word/cite" w:element="cite.usc">
        <w:smartTagPr>
          <w:attr w:name="ref" w:val="USC\26\643(e)"/>
        </w:smartTagPr>
        <w:r>
          <w:t>§643(e)</w:t>
        </w:r>
      </w:smartTag>
      <w:r>
        <w:t xml:space="preserve">. </w:t>
      </w:r>
    </w:p>
  </w:footnote>
  <w:footnote w:id="774">
    <w:p w14:paraId="61879968" w14:textId="77777777" w:rsidR="00494B49" w:rsidRDefault="00494B49">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Part 9.A. The IRS received no public comments in response to this request.</w:t>
      </w:r>
    </w:p>
  </w:footnote>
  <w:footnote w:id="775">
    <w:p w14:paraId="2A150B9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
        </w:smartTagPr>
        <w:r>
          <w:t>§1.1411-7(a)(2)(i)</w:t>
        </w:r>
      </w:smartTag>
      <w:r>
        <w:t xml:space="preserve"> (second sentence).</w:t>
      </w:r>
    </w:p>
  </w:footnote>
  <w:footnote w:id="776">
    <w:p w14:paraId="046A6D69" w14:textId="77777777" w:rsidR="00494B49" w:rsidRDefault="00494B49">
      <w:pPr>
        <w:pStyle w:val="FootnoteText"/>
      </w:pPr>
      <w:r>
        <w:rPr>
          <w:rStyle w:val="FootnoteReference"/>
        </w:rPr>
        <w:footnoteRef/>
      </w:r>
      <w:smartTag w:uri="http://www.bna.com/sgml2word/cite" w:element="cite.agency.doc">
        <w:smartTagPr>
          <w:attr w:name="ref" w:val="IRS\RevRul\99-6"/>
        </w:smartTagPr>
        <w:r>
          <w:t>Rev. Rul. 99-6</w:t>
        </w:r>
      </w:smartTag>
      <w:r>
        <w:t xml:space="preserve"> describes the federal income tax consequences of a purchase of all of the ownership interests in a domestic limited liability company (LLC) that is classified as a partnership under Reg. </w:t>
      </w:r>
      <w:smartTag w:uri="http://www.bna.com/sgml2word/cite" w:element="cite.cfr">
        <w:smartTagPr>
          <w:attr w:name="ref" w:val="cfr\26\301.7701-3"/>
        </w:smartTagPr>
        <w:r>
          <w:t>§301.7701-3</w:t>
        </w:r>
      </w:smartTag>
      <w:r>
        <w:t xml:space="preserve">, causing the LLC’s status as a partnership to terminate under </w:t>
      </w:r>
      <w:smartTag w:uri="http://www.bna.com/sgml2word/cite" w:element="cite.usc">
        <w:smartTagPr>
          <w:attr w:name="ref" w:val="2016\USC\26\708(b)(1)"/>
        </w:smartTagPr>
        <w:r>
          <w:t>§708(b)(1)(A)</w:t>
        </w:r>
      </w:smartTag>
      <w:r>
        <w:t xml:space="preserve">. Generally, </w:t>
      </w:r>
      <w:smartTag w:uri="http://www.bna.com/sgml2word/cite" w:element="cite.agency.doc">
        <w:smartTagPr>
          <w:attr w:name="ref" w:val="IRS\RevRul\99-6"/>
        </w:smartTagPr>
        <w:r>
          <w:t>Rev. Rul. 99-6</w:t>
        </w:r>
      </w:smartTag>
      <w:r>
        <w:t xml:space="preserve"> provides that the transaction is treated as a sale of partnership interests by the sellers, but an acquisition of the assets of the partnership by the buyer. </w:t>
      </w:r>
    </w:p>
  </w:footnote>
  <w:footnote w:id="777">
    <w:p w14:paraId="01F4088D" w14:textId="77777777" w:rsidR="00494B49" w:rsidRDefault="00494B49">
      <w:pPr>
        <w:pStyle w:val="FootnoteText"/>
      </w:pPr>
      <w:r>
        <w:rPr>
          <w:rStyle w:val="FootnoteReference"/>
        </w:rPr>
        <w:footnoteRef/>
      </w:r>
      <w:r>
        <w:t xml:space="preserve">For example, distributions from an S corporation that exceed the shareholder’s basis are treated as a sale of the S corporation under </w:t>
      </w:r>
      <w:smartTag w:uri="http://www.bna.com/sgml2word/cite" w:element="cite.usc">
        <w:smartTagPr>
          <w:attr w:name="ref" w:val="USC\26\1368(b)(2)"/>
        </w:smartTagPr>
        <w:r>
          <w:t>§1368(b)(2)</w:t>
        </w:r>
      </w:smartTag>
      <w:r>
        <w:t xml:space="preserve"> or </w:t>
      </w:r>
      <w:smartTag w:uri="http://www.bna.com/sgml2word/cite" w:element="cite.usc">
        <w:smartTagPr>
          <w:attr w:name="ref" w:val="USC\26\1368(c)(3)"/>
        </w:smartTagPr>
        <w:r>
          <w:t>§1368(c)(3)</w:t>
        </w:r>
      </w:smartTag>
      <w:r>
        <w:t xml:space="preserve"> and </w:t>
      </w:r>
      <w:smartTag w:uri="http://www.bna.com/sgml2word/cite" w:element="cite.usc">
        <w:smartTagPr>
          <w:attr w:name="ref" w:val="USC\26\301(c)(3)"/>
        </w:smartTagPr>
        <w:r>
          <w:t>§301(c)(3)</w:t>
        </w:r>
      </w:smartTag>
      <w:r>
        <w:t xml:space="preserve">. </w:t>
      </w:r>
    </w:p>
  </w:footnote>
  <w:footnote w:id="778">
    <w:p w14:paraId="09F8AD91" w14:textId="77777777" w:rsidR="00494B49" w:rsidRDefault="00494B49">
      <w:pPr>
        <w:pStyle w:val="FootnoteText"/>
      </w:pPr>
      <w:r>
        <w:rPr>
          <w:rStyle w:val="FootnoteReference"/>
        </w:rPr>
        <w:footnoteRef/>
      </w:r>
      <w:r>
        <w:t xml:space="preserve">For example, distributions described in </w:t>
      </w:r>
      <w:smartTag w:uri="http://www.bna.com/sgml2word/cite" w:element="cite.usc">
        <w:smartTagPr>
          <w:attr w:name="ref" w:val="USC\26\731(a)(2)"/>
        </w:smartTagPr>
        <w:r>
          <w:t>§731(a)(2)</w:t>
        </w:r>
      </w:smartTag>
      <w:r>
        <w:t xml:space="preserve"> that are treated as a sale or exchange of a partnership interest. </w:t>
      </w:r>
    </w:p>
  </w:footnote>
  <w:footnote w:id="779">
    <w:p w14:paraId="24274AD4"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001-1(e)"/>
        </w:smartTagPr>
        <w:r>
          <w:t>§1.1001-1(e)</w:t>
        </w:r>
      </w:smartTag>
      <w:r>
        <w:t xml:space="preserve"> (part sale, part gift); Reg. </w:t>
      </w:r>
      <w:smartTag w:uri="http://www.bna.com/sgml2word/cite" w:element="cite.cfr">
        <w:smartTagPr>
          <w:attr w:name="ref" w:val="cfr\26\1.1001-2(c)"/>
        </w:smartTagPr>
        <w:r>
          <w:t>§1.1001-2(c)</w:t>
        </w:r>
      </w:smartTag>
      <w:r>
        <w:t xml:space="preserve"> </w:t>
      </w:r>
      <w:r>
        <w:rPr>
          <w:i/>
        </w:rPr>
        <w:t>Ex.</w:t>
      </w:r>
      <w:r>
        <w:t xml:space="preserve"> 4 (bargain sale to charity); Reg. </w:t>
      </w:r>
      <w:smartTag w:uri="http://www.bna.com/sgml2word/cite" w:element="cite.cfr">
        <w:smartTagPr>
          <w:attr w:name="ref" w:val="cfr\26\1.1001-2(c)"/>
        </w:smartTagPr>
        <w:r>
          <w:t>§1.1001-2(c)</w:t>
        </w:r>
      </w:smartTag>
      <w:r>
        <w:t xml:space="preserve"> </w:t>
      </w:r>
      <w:r>
        <w:rPr>
          <w:i/>
        </w:rPr>
        <w:t>Ex.</w:t>
      </w:r>
      <w:r>
        <w:t xml:space="preserve"> 5 (termination of grantor trust status).</w:t>
      </w:r>
    </w:p>
  </w:footnote>
  <w:footnote w:id="780">
    <w:p w14:paraId="126E6580" w14:textId="77777777" w:rsidR="00494B49" w:rsidRDefault="00494B49">
      <w:pPr>
        <w:pStyle w:val="FootnoteText"/>
      </w:pPr>
      <w:r>
        <w:rPr>
          <w:rStyle w:val="FootnoteReference"/>
        </w:rPr>
        <w:footnoteRef/>
      </w:r>
      <w:smartTag w:uri="http://www.bna.com/sgml2word/cite" w:element="cite.agency.doc">
        <w:smartTagPr>
          <w:attr w:name="ref" w:val="IRS\RevRul\99-5"/>
        </w:smartTagPr>
        <w:r>
          <w:t>Rev. Rul. 99-5</w:t>
        </w:r>
      </w:smartTag>
      <w:r>
        <w:t xml:space="preserve"> describes the federal income tax consequences that result if a single-member limited liability company that is disregarded as an entity separate from its owner under Reg. </w:t>
      </w:r>
      <w:smartTag w:uri="http://www.bna.com/sgml2word/cite" w:element="cite.cfr">
        <w:smartTagPr>
          <w:attr w:name="ref" w:val="cfr\26\301.7701-3"/>
        </w:smartTagPr>
        <w:r>
          <w:t>§301.7701-3</w:t>
        </w:r>
      </w:smartTag>
      <w:r>
        <w:t xml:space="preserve"> becomes an entity with more than one owner that is classified as a partnership for federal tax purposes. Generally, </w:t>
      </w:r>
      <w:smartTag w:uri="http://www.bna.com/sgml2word/cite" w:element="cite.agency.doc">
        <w:smartTagPr>
          <w:attr w:name="ref" w:val="IRS\RevRul\99-5"/>
        </w:smartTagPr>
        <w:r>
          <w:t>Rev. Rul. 99-5</w:t>
        </w:r>
      </w:smartTag>
      <w:r>
        <w:t xml:space="preserve"> provides that a purchase of a 50% ownership interest in the LLC is treated as the purchase of a 50% interest in each of the LLC’s assets. </w:t>
      </w:r>
    </w:p>
  </w:footnote>
  <w:footnote w:id="781">
    <w:p w14:paraId="3038967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3)(iv)"/>
        </w:smartTagPr>
        <w:r>
          <w:t>§1.1411-1(d)(3)(iv)</w:t>
        </w:r>
      </w:smartTag>
      <w:r>
        <w:t xml:space="preserve"> (definition of a dividend for purposes of </w:t>
      </w:r>
      <w:smartTag w:uri="http://www.bna.com/sgml2word/cite" w:element="cite.usc">
        <w:smartTagPr>
          <w:attr w:name="ref" w:val="USC\26\1411(c)(1)(A)(i)"/>
        </w:smartTagPr>
        <w:r>
          <w:t>§1411(c)(1)(A)(i)</w:t>
        </w:r>
      </w:smartTag>
      <w:r>
        <w:t>).</w:t>
      </w:r>
    </w:p>
  </w:footnote>
  <w:footnote w:id="782">
    <w:p w14:paraId="05F0FC7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v)"/>
        </w:smartTagPr>
        <w:r>
          <w:t>§1.1411-7(a)(2)(iv)</w:t>
        </w:r>
      </w:smartTag>
      <w:r>
        <w:t xml:space="preserve">. </w:t>
      </w:r>
    </w:p>
  </w:footnote>
  <w:footnote w:id="783">
    <w:p w14:paraId="0912C115"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84">
    <w:p w14:paraId="2F85FBE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b)(1)(i)"/>
        </w:smartTagPr>
        <w:r>
          <w:t>§1.1411-7(b)(1)(i)</w:t>
        </w:r>
      </w:smartTag>
      <w:r>
        <w:t>.</w:t>
      </w:r>
    </w:p>
  </w:footnote>
  <w:footnote w:id="785">
    <w:p w14:paraId="421E0175"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b)(1)(ii)"/>
        </w:smartTagPr>
        <w:r>
          <w:t>§1.1411-7(b)(1)(ii)</w:t>
        </w:r>
      </w:smartTag>
      <w:r>
        <w:t>.</w:t>
      </w:r>
    </w:p>
  </w:footnote>
  <w:footnote w:id="786">
    <w:p w14:paraId="142AC59A"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§1.1411-7(b)(1)(i)(A)</w:t>
        </w:r>
      </w:smartTag>
      <w:r>
        <w:t xml:space="preserve"> and </w:t>
      </w:r>
      <w:smartTag w:uri="http://www.bna.com/sgml2word/cite" w:element="cite.cfr">
        <w:smartTagPr>
          <w:attr w:name="ref" w:val="prule\cfr\26\1.1411-7(b)(1)(i)(B)"/>
        </w:smartTagPr>
        <w:r>
          <w:t>§1.1411-7(b)(1)(i)(B)</w:t>
        </w:r>
      </w:smartTag>
      <w:r>
        <w:t xml:space="preserve">. Recall that </w:t>
      </w:r>
      <w:smartTag w:uri="http://www.bna.com/sgml2word/cite" w:element="cite.usc">
        <w:smartTagPr>
          <w:attr w:name="ref" w:val="USC\26\1411"/>
        </w:smartTagPr>
        <w:r>
          <w:t>Section 1411</w:t>
        </w:r>
      </w:smartTag>
      <w:r>
        <w:t xml:space="preserve"> Property is property that, if sold, would give rise to gain or loss that is includible in determining the transferor’s net investment income under Reg. </w:t>
      </w:r>
      <w:smartTag w:uri="http://www.bna.com/sgml2word/cite" w:element="cite.cfr">
        <w:smartTagPr>
          <w:attr w:name="ref" w:val="cfr\26\1.1411-4(a)(1)(iii)"/>
        </w:smartTagPr>
        <w:r>
          <w:t>§1.1411-4(a)(1)(iii)</w:t>
        </w:r>
      </w:smartTag>
      <w:r>
        <w:t xml:space="preserve"> — thus, Section 1411 Property is property that is held in a trade or business that is either passive with respect to the transferor or is a trading business.</w:t>
      </w:r>
    </w:p>
  </w:footnote>
  <w:footnote w:id="787">
    <w:p w14:paraId="47EB69E1"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§1.1411-7(b)(1)(i)(A)</w:t>
        </w:r>
      </w:smartTag>
      <w:r>
        <w:t xml:space="preserve"> and </w:t>
      </w:r>
      <w:smartTag w:uri="http://www.bna.com/sgml2word/cite" w:element="cite.cfr">
        <w:smartTagPr>
          <w:attr w:name="ref" w:val="prule\cfr\26\1.1411-7(b)(1)(i)(B)"/>
        </w:smartTagPr>
        <w:r>
          <w:t>§1.1411-7(b)(1)(i)(B)</w:t>
        </w:r>
      </w:smartTag>
      <w:r>
        <w:t>. This answer may seem intuitive, but a situation could arise in which a transferor has net gain on the sale of an interest in a Passthrough Entity, but the mechanics could yield a gain on nonpassive assets and a net loss on portfolio assets, or vice versa.</w:t>
      </w:r>
    </w:p>
  </w:footnote>
  <w:footnote w:id="788">
    <w:p w14:paraId="2D49BAC6"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i)(A)"/>
        </w:smartTagPr>
        <w:r>
          <w:t>§1.1411-7(b)(1)(ii)(A)</w:t>
        </w:r>
      </w:smartTag>
      <w:r>
        <w:t xml:space="preserve"> and </w:t>
      </w:r>
      <w:smartTag w:uri="http://www.bna.com/sgml2word/cite" w:element="cite.cfr">
        <w:smartTagPr>
          <w:attr w:name="ref" w:val="prule\cfr\26\1.1411-7(b)(1)(ii)(B)"/>
        </w:smartTagPr>
        <w:r>
          <w:t>§1.1411-7(b)(1)(ii)(B)</w:t>
        </w:r>
      </w:smartTag>
      <w:r>
        <w:t>.</w:t>
      </w:r>
    </w:p>
  </w:footnote>
  <w:footnote w:id="789">
    <w:p w14:paraId="008F163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b)"/>
        </w:smartTagPr>
        <w:r>
          <w:t>§1.1411-7(b)</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for a detailed discussion of Reg. </w:t>
      </w:r>
      <w:smartTag w:uri="http://www.bna.com/sgml2word/cite" w:element="cite.cfr">
        <w:smartTagPr>
          <w:attr w:name="ref" w:val="cfr\26\1.469-2T(e)(3)"/>
        </w:smartTagPr>
        <w:r>
          <w:t>§1.469-2T(e)(3)</w:t>
        </w:r>
      </w:smartTag>
      <w:r>
        <w:t>.</w:t>
      </w:r>
    </w:p>
  </w:footnote>
  <w:footnote w:id="790">
    <w:p w14:paraId="0C5354F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
        </w:smartTagPr>
        <w:r>
          <w:t>§1.469-2T(e)(3)</w:t>
        </w:r>
      </w:smartTag>
      <w:r>
        <w:t xml:space="preserve"> provides guidance on allocating disposition gains or losses among the activities of the entity. These rules require the taxpayer to determine the overall gain or loss from each activity (regardless of whether or not the taxpayer materially participates in the activity). For this purpose, Reg. </w:t>
      </w:r>
      <w:smartTag w:uri="http://www.bna.com/sgml2word/cite" w:element="cite.cfr">
        <w:smartTagPr>
          <w:attr w:name="ref" w:val="cfr\26\1.469-2T(e)(3)(ii)(B)(1)(i)"/>
        </w:smartTagPr>
        <w:r>
          <w:t>§1.469-2T(e)(3)(ii)(B)(1)(i)</w:t>
        </w:r>
      </w:smartTag>
      <w:r>
        <w:t xml:space="preserve"> requires the taxpayer to compute for each activity “the amount of net gain . . . that would have been allocated to the holder of such interest with respect thereto if the Passthrough Entity had sold its entire interest in such activity for its fair market value on the applicable valuation date.” Reg. </w:t>
      </w:r>
      <w:smartTag w:uri="http://www.bna.com/sgml2word/cite" w:element="cite.cfr">
        <w:smartTagPr>
          <w:attr w:name="ref" w:val="cfr\26\1.469-2T(e)(3)(ii)(B)(2)(i)"/>
        </w:smartTagPr>
        <w:r>
          <w:t>§1.469-2T(e)(3)(ii)(B)(2)(i)</w:t>
        </w:r>
      </w:smartTag>
      <w:r>
        <w:t xml:space="preserve"> contains a corollary rule for dispositions at a loss.</w:t>
      </w:r>
    </w:p>
  </w:footnote>
  <w:footnote w:id="791">
    <w:p w14:paraId="73EEF7D8" w14:textId="77777777" w:rsidR="00494B49" w:rsidRDefault="00494B49">
      <w:pPr>
        <w:pStyle w:val="FootnoteText"/>
      </w:pPr>
      <w:r>
        <w:rPr>
          <w:rStyle w:val="FootnoteReference"/>
        </w:rPr>
        <w:footnoteRef/>
      </w:r>
      <w:r>
        <w:t xml:space="preserve">Interestingly, the Optional Simplified Method in 2013 Prop. Reg. </w:t>
      </w:r>
      <w:smartTag w:uri="http://www.bna.com/sgml2word/cite" w:element="cite.cfr">
        <w:smartTagPr>
          <w:attr w:name="ref" w:val="prule\cfr\26\1.1411-7(c)"/>
        </w:smartTagPr>
        <w:r>
          <w:t>§1.1411-7(c)</w:t>
        </w:r>
      </w:smartTag>
      <w:r>
        <w:t xml:space="preserve"> and the information reporting requirements in 2013 Prop. Reg. </w:t>
      </w:r>
      <w:smartTag w:uri="http://www.bna.com/sgml2word/cite" w:element="cite.cfr">
        <w:smartTagPr>
          <w:attr w:name="ref" w:val="prule\cfr\26\1.1411-7(g)"/>
        </w:smartTagPr>
        <w:r>
          <w:t>§1.1411-7(g)</w:t>
        </w:r>
      </w:smartTag>
      <w:r>
        <w:t xml:space="preserve"> attempt to alleviate any burden on the Passthrough Entity to provide the NIIT version of the Reg. </w:t>
      </w:r>
      <w:smartTag w:uri="http://www.bna.com/sgml2word/cite" w:element="cite.cfr">
        <w:smartTagPr>
          <w:attr w:name="ref" w:val="cfr\26\1.469-2T(e)(3)"/>
        </w:smartTagPr>
        <w:r>
          <w:t>§1.469-2T(e)(3)</w:t>
        </w:r>
      </w:smartTag>
      <w:r>
        <w:t xml:space="preserve"> calculation to the partner or shareholder. However, even without this burden, the Reg. </w:t>
      </w:r>
      <w:smartTag w:uri="http://www.bna.com/sgml2word/cite" w:element="cite.cfr">
        <w:smartTagPr>
          <w:attr w:name="ref" w:val="cfr\26\1.469-2T(e)(3)"/>
        </w:smartTagPr>
        <w:r>
          <w:t>§1.469-2T(e)(3)</w:t>
        </w:r>
      </w:smartTag>
      <w:r>
        <w:t xml:space="preserve"> calculation must be completed by the Passthrough Entity and given to the partner or shareholder, and these rules have been effective for more than 25 years.</w:t>
      </w:r>
    </w:p>
  </w:footnote>
  <w:footnote w:id="792">
    <w:p w14:paraId="31A711B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4(d)(1)(i)(A)"/>
        </w:smartTagPr>
        <w:r>
          <w:t>§1.469-4(d)(1)(i)(A)</w:t>
        </w:r>
      </w:smartTag>
      <w:r>
        <w:t>.</w:t>
      </w:r>
    </w:p>
  </w:footnote>
  <w:footnote w:id="793">
    <w:p w14:paraId="715E8B0A"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1)(i)(B)"/>
        </w:smartTagPr>
        <w:r>
          <w:t>§1.1411-7(b)(1)(i)(B)</w:t>
        </w:r>
      </w:smartTag>
      <w:r>
        <w:t xml:space="preserve"> (applicable to gains) and 2013 Prop. Reg. </w:t>
      </w:r>
      <w:smartTag w:uri="http://www.bna.com/sgml2word/cite" w:element="cite.cfr">
        <w:smartTagPr>
          <w:attr w:name="ref" w:val="prule\cfr\26\1.1411-7(b)(1)(ii)(B)"/>
        </w:smartTagPr>
        <w:r>
          <w:t>§1.1411-7(b)(1)(ii)(B)</w:t>
        </w:r>
      </w:smartTag>
      <w:r>
        <w:t xml:space="preserve"> (applicable to losses).</w:t>
      </w:r>
    </w:p>
  </w:footnote>
  <w:footnote w:id="794">
    <w:p w14:paraId="5308F35F" w14:textId="77777777" w:rsidR="00494B49" w:rsidRDefault="00494B49">
      <w:pPr>
        <w:pStyle w:val="FootnoteText"/>
      </w:pPr>
      <w:r>
        <w:rPr>
          <w:rStyle w:val="FootnoteReference"/>
        </w:rPr>
        <w:footnoteRef/>
      </w:r>
      <w:r>
        <w:t xml:space="preserve">Because Reg. </w:t>
      </w:r>
      <w:smartTag w:uri="http://www.bna.com/sgml2word/cite" w:element="cite.cfr">
        <w:smartTagPr>
          <w:attr w:name="ref" w:val="cfr\26\1.469-2T(e)(3)(v)"/>
        </w:smartTagPr>
        <w:r>
          <w:t>§1.469-2T(e)(3)(v)</w:t>
        </w:r>
      </w:smartTag>
      <w:r>
        <w:t xml:space="preserve">, via Reg. </w:t>
      </w:r>
      <w:smartTag w:uri="http://www.bna.com/sgml2word/cite" w:element="cite.cfr">
        <w:smartTagPr>
          <w:attr w:name="ref" w:val="cfr\26\1.469-2T(e)(3)(vi)(A)"/>
        </w:smartTagPr>
        <w:r>
          <w:t>§1.469-2T(e)(3)(vi)(A)</w:t>
        </w:r>
      </w:smartTag>
      <w:r>
        <w:t xml:space="preserve">, links the concept of “investment activity” to portfolio income described in Reg. </w:t>
      </w:r>
      <w:smartTag w:uri="http://www.bna.com/sgml2word/cite" w:element="cite.cfr">
        <w:smartTagPr>
          <w:attr w:name="ref" w:val="cfr\26\1.469-2T(c)(3)(i)"/>
        </w:smartTagPr>
        <w:r>
          <w:t>§1.469-2T(c)(3)(i)</w:t>
        </w:r>
      </w:smartTag>
      <w:r>
        <w:t xml:space="preserve">, this amount will be net investment income because of the similar mechanical cross-references to Reg. </w:t>
      </w:r>
      <w:smartTag w:uri="http://www.bna.com/sgml2word/cite" w:element="cite.cfr">
        <w:smartTagPr>
          <w:attr w:name="ref" w:val="cfr\26\1.469-2T(c)(3)"/>
        </w:smartTagPr>
        <w:r>
          <w:t>§1.469-2T(c)(3)</w:t>
        </w:r>
      </w:smartTag>
      <w:r>
        <w:t xml:space="preserve"> in Reg. </w:t>
      </w:r>
      <w:smartTag w:uri="http://www.bna.com/sgml2word/cite" w:element="cite.cfr">
        <w:smartTagPr>
          <w:attr w:name="ref" w:val="cfr\26\1.1411-6(a)"/>
        </w:smartTagPr>
        <w:r>
          <w:t>§1.1411-6(a)</w:t>
        </w:r>
      </w:smartTag>
      <w:r>
        <w:t xml:space="preserve"> (which implements the </w:t>
      </w:r>
      <w:smartTag w:uri="http://www.bna.com/sgml2word/cite" w:element="cite.usc">
        <w:smartTagPr>
          <w:attr w:name="ref" w:val="USC\26\1411(c)(3)"/>
        </w:smartTagPr>
        <w:r>
          <w:t>§1411(c)(3)</w:t>
        </w:r>
      </w:smartTag>
      <w:r>
        <w:t xml:space="preserve"> working capital rule). In this case, because Reg. </w:t>
      </w:r>
      <w:smartTag w:uri="http://www.bna.com/sgml2word/cite" w:element="cite.cfr">
        <w:smartTagPr>
          <w:attr w:name="ref" w:val="cfr\26\1.469-2T(c)(3)(i)(C)"/>
        </w:smartTagPr>
        <w:r>
          <w:t>§1.469-2T(c)(3)(i)(C)</w:t>
        </w:r>
      </w:smartTag>
      <w:r>
        <w:t xml:space="preserve"> provides that gain or loss from the disposition of an asset that produces Reg. </w:t>
      </w:r>
      <w:smartTag w:uri="http://www.bna.com/sgml2word/cite" w:element="cite.cfr">
        <w:smartTagPr>
          <w:attr w:name="ref" w:val="cfr\26\1.469-2T(c)(3)(i)(A)"/>
        </w:smartTagPr>
        <w:r>
          <w:t>§1.469-2T(c)(3)(i)(A)</w:t>
        </w:r>
      </w:smartTag>
      <w:r>
        <w:t xml:space="preserve"> income (interest, dividends, etc.) is portfolio income, such assets are treated as not held in a trade or business and, thus, are considered working capital. Because gains and losses from working capital are included in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the amount allocated to “investment activity” under Reg. </w:t>
      </w:r>
      <w:smartTag w:uri="http://www.bna.com/sgml2word/cite" w:element="cite.cfr">
        <w:smartTagPr>
          <w:attr w:name="ref" w:val="cfr\26\1.469-2T(e)(3)"/>
        </w:smartTagPr>
        <w:r>
          <w:t>§1.469-2T(e)(3)</w:t>
        </w:r>
      </w:smartTag>
      <w:r>
        <w:t xml:space="preserve"> will nearly always be included in net investment income. </w:t>
      </w:r>
    </w:p>
  </w:footnote>
  <w:footnote w:id="795">
    <w:p w14:paraId="196D5D5A"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contained no similar rule, which left taxpayers with the requirement that the </w:t>
      </w:r>
      <w:smartTag w:uri="http://www.bna.com/sgml2word/cite" w:element="cite.usc">
        <w:smartTagPr>
          <w:attr w:name="ref" w:val="USC\26\1411(c)(4)"/>
        </w:smartTagPr>
        <w:r>
          <w:t>§1411(c)(4)</w:t>
        </w:r>
      </w:smartTag>
      <w:r>
        <w:t xml:space="preserve"> computation must be done on the date of the sale of a Passthrough Entity.</w:t>
      </w:r>
    </w:p>
  </w:footnote>
  <w:footnote w:id="796">
    <w:p w14:paraId="13A3175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
        </w:smartTagPr>
        <w:r>
          <w:t>§1.469-2T(e)(3)(ii)(D)(1)(i)</w:t>
        </w:r>
      </w:smartTag>
      <w:r>
        <w:t>.</w:t>
      </w:r>
    </w:p>
  </w:footnote>
  <w:footnote w:id="797">
    <w:p w14:paraId="72C44A8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
        </w:smartTagPr>
        <w:r>
          <w:t>§1.469-2T(e)(3)(ii)(D)(1)(i)</w:t>
        </w:r>
      </w:smartTag>
      <w:r>
        <w:t>.</w:t>
      </w:r>
    </w:p>
  </w:footnote>
  <w:footnote w:id="798">
    <w:p w14:paraId="6F6C5E5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799">
    <w:p w14:paraId="2B6CBB2D"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0">
    <w:p w14:paraId="055579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1">
    <w:p w14:paraId="3B1F25E8" w14:textId="77777777" w:rsidR="00494B49" w:rsidRDefault="00494B49">
      <w:pPr>
        <w:pStyle w:val="FootnoteText"/>
      </w:pPr>
      <w:r>
        <w:rPr>
          <w:rStyle w:val="FootnoteReference"/>
        </w:rPr>
        <w:footnoteRef/>
      </w:r>
      <w:smartTag w:uri="http://www.bna.com/sgml2word/cite" w:element="cite.usc">
        <w:smartTagPr>
          <w:attr w:name="ref" w:val="usc\26\704(d)(3)"/>
        </w:smartTagPr>
        <w:r>
          <w:t>§704(d)(3)</w:t>
        </w:r>
      </w:smartTag>
      <w:r>
        <w:t>.</w:t>
      </w:r>
    </w:p>
  </w:footnote>
  <w:footnote w:id="802">
    <w:p w14:paraId="34FE05AE"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t xml:space="preserve"> </w:t>
      </w:r>
      <w:r>
        <w:rPr>
          <w:i/>
        </w:rPr>
        <w:t>Ex.</w:t>
      </w:r>
      <w:r>
        <w:t xml:space="preserve"> 1. </w:t>
      </w:r>
    </w:p>
  </w:footnote>
  <w:footnote w:id="803">
    <w:p w14:paraId="102CBA3B" w14:textId="77777777" w:rsidR="00494B49" w:rsidRDefault="00494B49">
      <w:pPr>
        <w:pStyle w:val="FootnoteText"/>
      </w:pPr>
      <w:r>
        <w:rPr>
          <w:rStyle w:val="FootnoteReference"/>
        </w:rPr>
        <w:footnoteRef/>
      </w:r>
      <w:r>
        <w:t xml:space="preserve">P is required to provide this information to A by reason of 2013 Prop. Reg. </w:t>
      </w:r>
      <w:smartTag w:uri="http://www.bna.com/sgml2word/cite" w:element="cite.cfr">
        <w:smartTagPr>
          <w:attr w:name="ref" w:val="prule\cfr\26\1.1411-7(g)(1)"/>
        </w:smartTagPr>
        <w:r>
          <w:t>§1.1411-7(g)(1)</w:t>
        </w:r>
      </w:smartTag>
      <w:r>
        <w:t xml:space="preserve">. </w:t>
      </w:r>
    </w:p>
  </w:footnote>
  <w:footnote w:id="804">
    <w:p w14:paraId="1EF130FE" w14:textId="77777777" w:rsidR="00494B49" w:rsidRDefault="00494B49">
      <w:pPr>
        <w:pStyle w:val="FootnoteText"/>
      </w:pPr>
      <w:r>
        <w:rPr>
          <w:rStyle w:val="FootnoteReference"/>
        </w:rPr>
        <w:footnoteRef/>
      </w:r>
      <w:r>
        <w:t xml:space="preserve">For a discussion of the information reporting requirements for A, see </w:t>
      </w:r>
      <w:smartTag w:uri="http://www.bna.com/sgml2word/cite" w:element="cite.bna.reference">
        <w:smartTagPr>
          <w:attr w:name="bna.id.ref" w:val="TM\511.VI.B.3"/>
        </w:smartTagPr>
        <w:r>
          <w:t>VI.B.3.</w:t>
        </w:r>
      </w:smartTag>
      <w:smartTag w:uri="http://www.bna.com/sgml2word/cite" w:element="cite.bna.reference">
        <w:smartTagPr>
          <w:attr w:name="bna.id.ref" w:val="TM\873.VI.B.3"/>
        </w:smartTagPr>
        <w:r>
          <w:t>VI.B.3.</w:t>
        </w:r>
      </w:smartTag>
      <w:r>
        <w:t xml:space="preserve">, below. </w:t>
      </w:r>
    </w:p>
  </w:footnote>
  <w:footnote w:id="805">
    <w:p w14:paraId="25F145A9"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rPr>
          <w:i/>
        </w:rPr>
        <w:t xml:space="preserve"> Ex.</w:t>
      </w:r>
      <w:r>
        <w:t xml:space="preserve"> 2.</w:t>
      </w:r>
    </w:p>
  </w:footnote>
  <w:footnote w:id="806">
    <w:p w14:paraId="340A1F84" w14:textId="77777777" w:rsidR="00494B49" w:rsidRDefault="00494B49">
      <w:pPr>
        <w:pStyle w:val="FootnoteText"/>
      </w:pPr>
      <w:r>
        <w:rPr>
          <w:rStyle w:val="FootnoteReference"/>
        </w:rPr>
        <w:footnoteRef/>
      </w:r>
      <w:r>
        <w:t xml:space="preserve">See, e.g., the use of $250,000 in </w:t>
      </w:r>
      <w:smartTag w:uri="http://www.bna.com/sgml2word/cite" w:element="cite.usc">
        <w:smartTagPr>
          <w:attr w:name="ref" w:val="USC\26\743(d)"/>
        </w:smartTagPr>
        <w:r>
          <w:t>§743(d)</w:t>
        </w:r>
      </w:smartTag>
      <w:r>
        <w:t xml:space="preserve"> for “substantial built-in loss property.”</w:t>
      </w:r>
    </w:p>
  </w:footnote>
  <w:footnote w:id="807">
    <w:p w14:paraId="0367CA7F" w14:textId="77777777" w:rsidR="00494B49" w:rsidRDefault="00494B49">
      <w:pPr>
        <w:pStyle w:val="FootnoteText"/>
      </w:pPr>
      <w:r>
        <w:rPr>
          <w:rStyle w:val="FootnoteReference"/>
        </w:rPr>
        <w:footnoteRef/>
      </w:r>
      <w:r>
        <w:t xml:space="preserve">The concept of a multiplier is embodied in 2013 Prop. Reg. </w:t>
      </w:r>
      <w:smartTag w:uri="http://www.bna.com/sgml2word/cite" w:element="cite.cfr">
        <w:smartTagPr>
          <w:attr w:name="ref" w:val="prule\cfr\26\1.1411-7(c)(5)"/>
        </w:smartTagPr>
        <w:r>
          <w:t>§1.1411-7(c)(5)</w:t>
        </w:r>
      </w:smartTag>
      <w:r>
        <w:t>. The Section 1411 Holding Period goes into the calculation of the “fraction” that is then multiplied by the Chapter 1 gain.</w:t>
      </w:r>
    </w:p>
  </w:footnote>
  <w:footnote w:id="808">
    <w:p w14:paraId="3FD01ED0" w14:textId="77777777" w:rsidR="00494B49" w:rsidRDefault="00494B49">
      <w:pPr>
        <w:pStyle w:val="FootnoteText"/>
      </w:pPr>
      <w:r>
        <w:rPr>
          <w:rStyle w:val="FootnoteReference"/>
        </w:rPr>
        <w:footnoteRef/>
      </w:r>
      <w:r>
        <w:t xml:space="preserve">Based on the calculation within 2013 Prop. Reg. </w:t>
      </w:r>
      <w:smartTag w:uri="http://www.bna.com/sgml2word/cite" w:element="cite.cfr">
        <w:smartTagPr>
          <w:attr w:name="ref" w:val="prule\cfr\26\1.1411-7(c)(5)"/>
        </w:smartTagPr>
        <w:r>
          <w:t>§1.1411-7(c)(5)</w:t>
        </w:r>
      </w:smartTag>
      <w:r>
        <w:t>, a $200,000 gain multiplied by 20% will yield $40,000 of gain includible in net investment income, whereas a $200,000 gain multiplied by 35% will yield $70,000 of gain includible in net investment income.</w:t>
      </w:r>
    </w:p>
  </w:footnote>
  <w:footnote w:id="809">
    <w:p w14:paraId="2E3ADFA4"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
        </w:smartTagPr>
        <w:r>
          <w:t>§1.1411-7(a)(2)(iii)</w:t>
        </w:r>
      </w:smartTag>
      <w:r>
        <w:t xml:space="preserve">. </w:t>
      </w:r>
    </w:p>
  </w:footnote>
  <w:footnote w:id="810">
    <w:p w14:paraId="23A2546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A)"/>
        </w:smartTagPr>
        <w:r>
          <w:t>§1.1411-7(a)(2)(iii)(A)</w:t>
        </w:r>
      </w:smartTag>
      <w:r>
        <w:t>.</w:t>
      </w:r>
    </w:p>
  </w:footnote>
  <w:footnote w:id="811">
    <w:p w14:paraId="258C7AEA" w14:textId="77777777" w:rsidR="00494B49" w:rsidRDefault="00494B49">
      <w:pPr>
        <w:pStyle w:val="FootnoteText"/>
      </w:pPr>
      <w:r>
        <w:rPr>
          <w:rStyle w:val="FootnoteReference"/>
        </w:rPr>
        <w:footnoteRef/>
      </w:r>
      <w:r>
        <w:t>For example, assume a lower-tier Passthrough Entity is a passive activity of the taxpayer in Year 1 and Year 2, such that the taxpayer’s Section 1411 Holding Period consists of mostly net investment income, which would result in an increased multiplier. However, if in Year 3, the year of the sale, the taxpayer becomes nonpassive in the lower-tier partnership's activity, this would be beneficial because it would reduce the multiplier. Query whether the upper-tier entity could distribute lower-tier Passthrough Entity to purge the prior years? A distribution of the lower-tier Passthrough Entity up to the now-nonpassive owner would result in the taxpayer holding the Passthrough Entity for the one-year holding period. The taxpayer could then sell it and end up with a more favorable multiplier. Of course, this planning transaction would work only if the distribution of the lower-tier Passthrough Entity is not a taxable event. That said, S corporations generally are unable to take advantage of this planning, as distributions of property, including an interest in a lower-tier Passthrough Entity, trigger taxation.</w:t>
      </w:r>
    </w:p>
  </w:footnote>
  <w:footnote w:id="812">
    <w:p w14:paraId="19541CC8"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B)"/>
        </w:smartTagPr>
        <w:r>
          <w:t>§1.1411-7(a)(2)(iii)(B)</w:t>
        </w:r>
      </w:smartTag>
      <w:r>
        <w:t>.</w:t>
      </w:r>
    </w:p>
  </w:footnote>
  <w:footnote w:id="813">
    <w:p w14:paraId="4AE0D9D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4">
    <w:p w14:paraId="2F127F0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5">
    <w:p w14:paraId="73A0DD0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
        </w:smartTagPr>
        <w:r>
          <w:t>§1.1411-7(c)(2)(i)</w:t>
        </w:r>
      </w:smartTag>
      <w:r>
        <w:t>.</w:t>
      </w:r>
    </w:p>
  </w:footnote>
  <w:footnote w:id="816">
    <w:p w14:paraId="7D4D38E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
        </w:smartTagPr>
        <w:r>
          <w:t>§1.1411-7(c)(3)(i)</w:t>
        </w:r>
      </w:smartTag>
      <w:r>
        <w:t xml:space="preserve">. </w:t>
      </w:r>
    </w:p>
  </w:footnote>
  <w:footnote w:id="817">
    <w:p w14:paraId="168DCA05" w14:textId="77777777" w:rsidR="00494B49" w:rsidRDefault="00494B49">
      <w:pPr>
        <w:pStyle w:val="FootnoteText"/>
      </w:pPr>
      <w:r>
        <w:rPr>
          <w:rStyle w:val="FootnoteReference"/>
        </w:rPr>
        <w:footnoteRef/>
      </w:r>
      <w:r>
        <w:t>For example, an acquisition of a partnership that was distributed from a C corporation and treated as a sale.</w:t>
      </w:r>
    </w:p>
  </w:footnote>
  <w:footnote w:id="818">
    <w:p w14:paraId="588BE74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(first sentence).</w:t>
      </w:r>
    </w:p>
  </w:footnote>
  <w:footnote w:id="819">
    <w:p w14:paraId="0A3450E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(second sentence).</w:t>
      </w:r>
    </w:p>
  </w:footnote>
  <w:footnote w:id="820">
    <w:p w14:paraId="140FA98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i)"/>
        </w:smartTagPr>
        <w:r>
          <w:t>§1.1411-7(c)(3)(iii)</w:t>
        </w:r>
      </w:smartTag>
      <w:r>
        <w:t>.</w:t>
      </w:r>
    </w:p>
  </w:footnote>
  <w:footnote w:id="821">
    <w:p w14:paraId="37E72EBB" w14:textId="77777777" w:rsidR="00494B49" w:rsidRDefault="00494B49">
      <w:pPr>
        <w:pStyle w:val="FootnoteText"/>
      </w:pPr>
      <w:r>
        <w:rPr>
          <w:rStyle w:val="FootnoteReference"/>
        </w:rPr>
        <w:footnoteRef/>
      </w:r>
      <w:r>
        <w:t xml:space="preserve">In this case, the C corporation stock would be Section 1411 Property, whereas the assets now owned by the S corporation as a result of the deemed </w:t>
      </w:r>
      <w:smartTag w:uri="http://www.bna.com/sgml2word/cite" w:element="cite.usc">
        <w:smartTagPr>
          <w:attr w:name="ref" w:val="USC\26\332"/>
        </w:smartTagPr>
        <w:r>
          <w:t>§332</w:t>
        </w:r>
      </w:smartTag>
      <w:r>
        <w:t xml:space="preserve"> liquidation may not be Section 1411 Property to the extent that they are associated with a trade or business that is not a </w:t>
      </w:r>
      <w:smartTag w:uri="http://www.bna.com/sgml2word/cite" w:element="cite.usc">
        <w:smartTagPr>
          <w:attr w:name="ref" w:val="USC\26\1411(c)(2)"/>
        </w:smartTagPr>
        <w:r>
          <w:t>§1411(c)(2)</w:t>
        </w:r>
      </w:smartTag>
      <w:r>
        <w:t xml:space="preserve"> trade or business.</w:t>
      </w:r>
    </w:p>
  </w:footnote>
  <w:footnote w:id="822">
    <w:p w14:paraId="3AF8867D" w14:textId="77777777" w:rsidR="00494B49" w:rsidRDefault="00494B49">
      <w:pPr>
        <w:pStyle w:val="FootnoteText"/>
      </w:pPr>
      <w:r>
        <w:rPr>
          <w:rStyle w:val="FootnoteReference"/>
        </w:rPr>
        <w:footnoteRef/>
      </w:r>
      <w:r>
        <w:t xml:space="preserve">For example, mergers or significant acquisitions may require shareholder or partner approval. The admission of a new partner would change the profit and loss percentages reflected on the historical Schedule K-1. The QSub election would likely have ramifications for the shareholders, such as requiring accumulated earnings and profits to be considered in the calculation of taxability of distributions, last-in-first-out (LIFO) recapture, or </w:t>
      </w:r>
      <w:smartTag w:uri="http://www.bna.com/sgml2word/cite" w:element="cite.usc">
        <w:smartTagPr>
          <w:attr w:name="ref" w:val="USC\26\1374"/>
        </w:smartTagPr>
        <w:r>
          <w:t>§1374</w:t>
        </w:r>
      </w:smartTag>
      <w:r>
        <w:t xml:space="preserve"> considerations (e.g., actual </w:t>
      </w:r>
      <w:smartTag w:uri="http://www.bna.com/sgml2word/cite" w:element="cite.usc">
        <w:smartTagPr>
          <w:attr w:name="ref" w:val="USC\26\1374"/>
        </w:smartTagPr>
        <w:r>
          <w:t>§1374</w:t>
        </w:r>
      </w:smartTag>
      <w:r>
        <w:t xml:space="preserve"> built-in gain tax being paid by the entity or corporate expenses associated with asset valuation necessary to determine the amount of net unrealized built-in gain on the date of the QSub election). </w:t>
      </w:r>
    </w:p>
  </w:footnote>
  <w:footnote w:id="823">
    <w:p w14:paraId="6B4C38F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v)"/>
        </w:smartTagPr>
        <w:r>
          <w:t>§1.1411-7(c)(3)(iv)</w:t>
        </w:r>
      </w:smartTag>
      <w:r>
        <w:t>.</w:t>
      </w:r>
    </w:p>
  </w:footnote>
  <w:footnote w:id="824">
    <w:p w14:paraId="6632F1A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v)"/>
        </w:smartTagPr>
        <w:r>
          <w:t>§1.1411-7(c)(3)(v)</w:t>
        </w:r>
      </w:smartTag>
      <w:r>
        <w:t>.</w:t>
      </w:r>
    </w:p>
  </w:footnote>
  <w:footnote w:id="825">
    <w:p w14:paraId="4B6CEF2D"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a)(2)(iii)(A)"/>
        </w:smartTagPr>
        <w:r>
          <w:t>§1.1411-7(a)(2)(iii)(A)</w:t>
        </w:r>
      </w:smartTag>
      <w:r>
        <w:t xml:space="preserve"> or </w:t>
      </w:r>
      <w:smartTag w:uri="http://www.bna.com/sgml2word/cite" w:element="cite.cfr">
        <w:smartTagPr>
          <w:attr w:name="ref" w:val="prule\cfr\26\1.1411-7(a)(2)(iii)(C)"/>
        </w:smartTagPr>
        <w:r>
          <w:t>§1.1411-7(a)(2)(iii)(C)</w:t>
        </w:r>
      </w:smartTag>
      <w:r>
        <w:t xml:space="preserve">. </w:t>
      </w:r>
    </w:p>
  </w:footnote>
  <w:footnote w:id="826">
    <w:p w14:paraId="2D207FF1"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(third sentence)</w:t>
      </w:r>
      <w:r>
        <w:rPr>
          <w:i/>
        </w:rPr>
        <w:t xml:space="preserve">. </w:t>
      </w:r>
    </w:p>
  </w:footnote>
  <w:footnote w:id="827">
    <w:p w14:paraId="52D91E49"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a)(2)(iii)(B)"/>
        </w:smartTagPr>
        <w:r>
          <w:t>§1.1411-7(a)(2)(iii)(B)</w:t>
        </w:r>
      </w:smartTag>
      <w:r>
        <w:t>.</w:t>
      </w:r>
    </w:p>
  </w:footnote>
  <w:footnote w:id="828">
    <w:p w14:paraId="6E6BB94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(last sentence).</w:t>
      </w:r>
    </w:p>
  </w:footnote>
  <w:footnote w:id="829">
    <w:p w14:paraId="35AF9BB4" w14:textId="77777777" w:rsidR="00494B49" w:rsidRDefault="00494B49">
      <w:pPr>
        <w:pStyle w:val="FootnoteText"/>
      </w:pPr>
      <w:r>
        <w:rPr>
          <w:rStyle w:val="FootnoteReference"/>
        </w:rPr>
        <w:footnoteRef/>
      </w:r>
      <w:r>
        <w:t>The use of the term “net NII” in this context is meant to capture the phrase “any separately stated loss and deduction items netted as negative numbers.” The point is that a short-term capital loss in Year 1 of the Section 1411 Holding Period will net with dividend income in Year 2 of the Section 1411 Holding Period.</w:t>
      </w:r>
    </w:p>
  </w:footnote>
  <w:footnote w:id="830">
    <w:p w14:paraId="2CF52A2C" w14:textId="77777777" w:rsidR="00494B49" w:rsidRDefault="00494B49">
      <w:pPr>
        <w:pStyle w:val="FootnoteText"/>
      </w:pPr>
      <w:r>
        <w:rPr>
          <w:rStyle w:val="FootnoteReference"/>
        </w:rPr>
        <w:footnoteRef/>
      </w:r>
      <w:r>
        <w:t xml:space="preserve">The use of the phrase “net income” is meant to follow the same logic as “net NII” in the preceding footnote. </w:t>
      </w:r>
    </w:p>
  </w:footnote>
  <w:footnote w:id="831">
    <w:p w14:paraId="545FB56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(second sentence).</w:t>
      </w:r>
    </w:p>
  </w:footnote>
  <w:footnote w:id="832">
    <w:p w14:paraId="76BED49B" w14:textId="77777777" w:rsidR="00494B49" w:rsidRDefault="00494B49">
      <w:pPr>
        <w:pStyle w:val="FootnoteText"/>
      </w:pPr>
      <w:r>
        <w:rPr>
          <w:rStyle w:val="FootnoteReference"/>
        </w:rPr>
        <w:footnoteRef/>
      </w:r>
      <w:r>
        <w:t xml:space="preserve">Under 2013 Prop. Reg. </w:t>
      </w:r>
      <w:smartTag w:uri="http://www.bna.com/sgml2word/cite" w:element="cite.cfr">
        <w:smartTagPr>
          <w:attr w:name="ref" w:val="prule\cfr\26\1.1411-7"/>
        </w:smartTagPr>
        <w:r>
          <w:t>§1.1411-7(c)(2)(i)</w:t>
        </w:r>
      </w:smartTag>
      <w:r>
        <w:t xml:space="preserve">, the $10,000 loss is treated as a positive amount for purposes of determining A’s eligibility for the Optional Simplified Method, but not for determining the multiplier under 2013 Prop. Reg. </w:t>
      </w:r>
      <w:smartTag w:uri="http://www.bna.com/sgml2word/cite" w:element="cite.cfr">
        <w:smartTagPr>
          <w:attr w:name="ref" w:val="prule\cfr\26\1.1411-7(c)(4)"/>
        </w:smartTagPr>
        <w:r>
          <w:t>§1.1411-7(c)(4)</w:t>
        </w:r>
      </w:smartTag>
      <w:r>
        <w:t xml:space="preserve">. </w:t>
      </w:r>
    </w:p>
  </w:footnote>
  <w:footnote w:id="833">
    <w:p w14:paraId="11EF3440"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g)(2)(i)"/>
        </w:smartTagPr>
        <w:r>
          <w:t>§1.1411-7(g)(2)(i)</w:t>
        </w:r>
      </w:smartTag>
      <w:r>
        <w:t xml:space="preserve"> and </w:t>
      </w:r>
      <w:smartTag w:uri="http://www.bna.com/sgml2word/cite" w:element="cite.cfr">
        <w:smartTagPr>
          <w:attr w:name="ref" w:val="prule\cfr\26\1.1411-7(g)(2)(ii)"/>
        </w:smartTagPr>
        <w:r>
          <w:t>§1.1411-7(g)(2)(ii)</w:t>
        </w:r>
      </w:smartTag>
      <w:r>
        <w:t xml:space="preserve">. Because A is using the Optional Simplified Method, PRS is not required to give A any information; thus, no information is required to be reported under 2013 Prop. Reg. </w:t>
      </w:r>
      <w:smartTag w:uri="http://www.bna.com/sgml2word/cite" w:element="cite.cfr">
        <w:smartTagPr>
          <w:attr w:name="ref" w:val="prule\cfr\26\1.1411-7(g)(2)(iii)"/>
        </w:smartTagPr>
        <w:r>
          <w:t>§1.1411-7(g)(2)(iii)</w:t>
        </w:r>
      </w:smartTag>
      <w:r>
        <w:t xml:space="preserve">. There is nothing in the example to indicate that any basis differences described in 2013 Prop. Reg. </w:t>
      </w:r>
      <w:smartTag w:uri="http://www.bna.com/sgml2word/cite" w:element="cite.cfr">
        <w:smartTagPr>
          <w:attr w:name="ref" w:val="prule\cfr\26\1.1411-7(f)"/>
        </w:smartTagPr>
        <w:r>
          <w:t>§1.1411-7(f)</w:t>
        </w:r>
      </w:smartTag>
      <w:r>
        <w:t xml:space="preserve"> exist; thus, there is no information required to be reported under 2013 Prop. Reg. </w:t>
      </w:r>
      <w:smartTag w:uri="http://www.bna.com/sgml2word/cite" w:element="cite.cfr">
        <w:smartTagPr>
          <w:attr w:name="ref" w:val="prule\cfr\26\1.1411-7(g)(2)(iv)"/>
        </w:smartTagPr>
        <w:r>
          <w:t>§1.1411-7(g)(2)(iv)</w:t>
        </w:r>
      </w:smartTag>
      <w:r>
        <w:t xml:space="preserve">. </w:t>
      </w:r>
    </w:p>
  </w:footnote>
  <w:footnote w:id="834">
    <w:p w14:paraId="20B42B2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g)(1)"/>
        </w:smartTagPr>
        <w:r>
          <w:t>§1.1411-7(g)(1)</w:t>
        </w:r>
      </w:smartTag>
      <w:r>
        <w:t xml:space="preserve">. </w:t>
      </w:r>
    </w:p>
  </w:footnote>
  <w:footnote w:id="835">
    <w:p w14:paraId="3AE76D7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g)(2)"/>
        </w:smartTagPr>
        <w:r>
          <w:t>§1.1411-7(g)(2)</w:t>
        </w:r>
      </w:smartTag>
      <w:r>
        <w:t>.</w:t>
      </w:r>
    </w:p>
  </w:footnote>
  <w:footnote w:id="836">
    <w:p w14:paraId="5B5EB429" w14:textId="77777777" w:rsidR="00494B49" w:rsidRDefault="00494B49">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classified as a partnership, the following is deemed to occur: The association distributes all of its assets and liabilities to its shareholders in liquidation of the association, and immediately thereafter, the shareholders contribute all of the distributed assets and liabilities to a newly formed partnership.</w:t>
      </w:r>
    </w:p>
  </w:footnote>
  <w:footnote w:id="837">
    <w:p w14:paraId="5B326B80" w14:textId="77777777" w:rsidR="00494B49" w:rsidRDefault="00494B49">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disregarded as an entity separate from its owner, the association is deemed to have distributed all of its assets and liabilities to its single owner in liquidation of the association.</w:t>
      </w:r>
    </w:p>
  </w:footnote>
  <w:footnote w:id="838">
    <w:p w14:paraId="3852E8D7"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4)(iii)(A)"/>
        </w:smartTagPr>
        <w:r>
          <w:t>§1.1411-7(a)(4)(iii)(A)</w:t>
        </w:r>
      </w:smartTag>
      <w:r>
        <w:t xml:space="preserve">. </w:t>
      </w:r>
    </w:p>
  </w:footnote>
  <w:footnote w:id="839">
    <w:p w14:paraId="5FBB43B0"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1374"/>
        </w:smartTagPr>
        <w:r>
          <w:t>§1374</w:t>
        </w:r>
      </w:smartTag>
      <w:r>
        <w:t xml:space="preserve">, see </w:t>
      </w:r>
      <w:smartTag w:uri="http://www.bna.com/sgml2word/cite" w:element="cite.bna.reference">
        <w:smartTagPr>
          <w:attr w:name="bna.id.ref" w:val="TM\731"/>
        </w:smartTagPr>
        <w:r>
          <w:t>731 T.M.</w:t>
        </w:r>
      </w:smartTag>
      <w:r>
        <w:t xml:space="preserve">, </w:t>
      </w:r>
      <w:r>
        <w:rPr>
          <w:i/>
        </w:rPr>
        <w:t>S Corporations: Corporate Tax Issues</w:t>
      </w:r>
      <w:r>
        <w:t xml:space="preserve">. </w:t>
      </w:r>
    </w:p>
  </w:footnote>
  <w:footnote w:id="840">
    <w:p w14:paraId="2E20B0FF" w14:textId="77777777" w:rsidR="00494B49" w:rsidRDefault="00494B49">
      <w:pPr>
        <w:pStyle w:val="FootnoteText"/>
      </w:pPr>
      <w:r>
        <w:rPr>
          <w:rStyle w:val="FootnoteReference"/>
        </w:rPr>
        <w:footnoteRef/>
      </w:r>
      <w:r>
        <w:t xml:space="preserve">The theory behind the rule is that </w:t>
      </w:r>
      <w:smartTag w:uri="http://www.bna.com/sgml2word/cite" w:element="cite.usc">
        <w:smartTagPr>
          <w:attr w:name="ref" w:val="USC\26\1366(f)(2)"/>
        </w:smartTagPr>
        <w:r>
          <w:t>§1366(f)(2)</w:t>
        </w:r>
      </w:smartTag>
      <w:r>
        <w:t xml:space="preserve"> actually provides for an offsetting loss equal to the </w:t>
      </w:r>
      <w:smartTag w:uri="http://www.bna.com/sgml2word/cite" w:element="cite.usc">
        <w:smartTagPr>
          <w:attr w:name="ref" w:val="USC\26\1374"/>
        </w:smartTagPr>
        <w:r>
          <w:t>§1374</w:t>
        </w:r>
      </w:smartTag>
      <w:r>
        <w:t xml:space="preserve"> tax. Because no </w:t>
      </w:r>
      <w:smartTag w:uri="http://www.bna.com/sgml2word/cite" w:element="cite.usc">
        <w:smartTagPr>
          <w:attr w:name="ref" w:val="USC\26\1374"/>
        </w:smartTagPr>
        <w:r>
          <w:t>§1374</w:t>
        </w:r>
      </w:smartTag>
      <w:r>
        <w:t xml:space="preserve"> tax is payable by the S corporation on the sale, there is no mechanism to “trigger” the offsetting loss. It is also possible that the </w:t>
      </w:r>
      <w:smartTag w:uri="http://www.bna.com/sgml2word/cite" w:element="cite.usc">
        <w:smartTagPr>
          <w:attr w:name="ref" w:val="USC\26\1374"/>
        </w:smartTagPr>
        <w:r>
          <w:t>§1374</w:t>
        </w:r>
      </w:smartTag>
      <w:r>
        <w:t xml:space="preserve"> tax will never be triggered, or that other attributes may reduce the overall tax that makes a hypothetical application of </w:t>
      </w:r>
      <w:smartTag w:uri="http://www.bna.com/sgml2word/cite" w:element="cite.usc">
        <w:smartTagPr>
          <w:attr w:name="ref" w:val="USC\26\1374"/>
        </w:smartTagPr>
        <w:r>
          <w:t>§1374</w:t>
        </w:r>
      </w:smartTag>
      <w:r>
        <w:t xml:space="preserve"> solely for </w:t>
      </w:r>
      <w:smartTag w:uri="http://www.bna.com/sgml2word/cite" w:element="cite.usc">
        <w:smartTagPr>
          <w:attr w:name="ref" w:val="USC\26\1411(c)(4)"/>
        </w:smartTagPr>
        <w:r>
          <w:t>§1411(c)(4)</w:t>
        </w:r>
      </w:smartTag>
      <w:r>
        <w:t xml:space="preserve"> purposes impractical and burdensome on the S corporation. </w:t>
      </w:r>
    </w:p>
  </w:footnote>
  <w:footnote w:id="841">
    <w:p w14:paraId="3732FC5B" w14:textId="77777777" w:rsidR="00494B49" w:rsidRDefault="00494B49">
      <w:pPr>
        <w:pStyle w:val="FootnoteText"/>
      </w:pPr>
      <w:r>
        <w:rPr>
          <w:rStyle w:val="FootnoteReference"/>
        </w:rPr>
        <w:footnoteRef/>
      </w:r>
      <w:r>
        <w:t xml:space="preserve">It would be impractical and counterproductive to the intent of the Optional Simplified Method if taxpayers (and the S corporations) would have to “unpack” the gross gain and net gain amounts (after the application of </w:t>
      </w:r>
      <w:smartTag w:uri="http://www.bna.com/sgml2word/cite" w:element="cite.usc">
        <w:smartTagPr>
          <w:attr w:name="ref" w:val="USC\26\1366(f)(2)"/>
        </w:smartTagPr>
        <w:r>
          <w:t>§1366(f)(2)</w:t>
        </w:r>
      </w:smartTag>
      <w:r>
        <w:t>) reported to the selling shareholder on Schedules K-1 during the Section 1411 Holding Period.</w:t>
      </w:r>
    </w:p>
  </w:footnote>
  <w:footnote w:id="842">
    <w:p w14:paraId="3A08011B" w14:textId="77777777" w:rsidR="00494B49" w:rsidRDefault="00494B49">
      <w:pPr>
        <w:pStyle w:val="FootnoteText"/>
      </w:pPr>
      <w:r>
        <w:rPr>
          <w:rStyle w:val="FootnoteReference"/>
        </w:rPr>
        <w:footnoteRef/>
      </w:r>
      <w:smartTag w:uri="http://www.bna.com/sgml2word/cite" w:element="cite.usc">
        <w:smartTagPr>
          <w:attr w:name="ref" w:val="USC\26\1361(d)(1)(C)"/>
        </w:smartTagPr>
        <w:r>
          <w:t>§1361(d)(1)(C)</w:t>
        </w:r>
      </w:smartTag>
      <w:r>
        <w:t>.</w:t>
      </w:r>
    </w:p>
  </w:footnote>
  <w:footnote w:id="843">
    <w:p w14:paraId="601F3EA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4)(iii)(C)"/>
        </w:smartTagPr>
        <w:r>
          <w:t>§1.1411-7(a)(4)(iii)(C)</w:t>
        </w:r>
      </w:smartTag>
      <w:r>
        <w:t>.</w:t>
      </w:r>
    </w:p>
  </w:footnote>
  <w:footnote w:id="844">
    <w:p w14:paraId="29B452D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w:t>
      </w:r>
    </w:p>
  </w:footnote>
  <w:footnote w:id="845">
    <w:p w14:paraId="05DA830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b)(1)"/>
        </w:smartTagPr>
        <w:r>
          <w:t>§1.1411-7(b)(1)</w:t>
        </w:r>
      </w:smartTag>
      <w:r>
        <w:t>.</w:t>
      </w:r>
    </w:p>
  </w:footnote>
  <w:footnote w:id="846">
    <w:p w14:paraId="2AE09E19"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2)"/>
        </w:smartTagPr>
        <w:r>
          <w:t>§1.1411-7(c)(2)</w:t>
        </w:r>
      </w:smartTag>
      <w:r>
        <w:t xml:space="preserve">. </w:t>
      </w:r>
    </w:p>
  </w:footnote>
  <w:footnote w:id="847">
    <w:p w14:paraId="061DEBA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4)"/>
        </w:smartTagPr>
        <w:r>
          <w:t>§1.1411-7(c)(4)</w:t>
        </w:r>
      </w:smartTag>
      <w:r>
        <w:t>.</w:t>
      </w:r>
    </w:p>
  </w:footnote>
  <w:footnote w:id="848">
    <w:p w14:paraId="44E6B6A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The language “assumed that any contingencies potentially affecting consideration to the transferor that are reasonably expected to occur will occur” is functionally similar to the approach taken in the </w:t>
      </w:r>
      <w:smartTag w:uri="http://www.bna.com/sgml2word/cite" w:element="cite.usc">
        <w:smartTagPr>
          <w:attr w:name="ref" w:val="USC\26\673"/>
        </w:smartTagPr>
        <w:r>
          <w:t>§673</w:t>
        </w:r>
      </w:smartTag>
      <w:r>
        <w:t xml:space="preserve"> regulations relating to contingent remainder interests in trusts. </w:t>
      </w:r>
      <w:r>
        <w:rPr>
          <w:i/>
        </w:rPr>
        <w:t>See, e.g.</w:t>
      </w:r>
      <w:r>
        <w:t xml:space="preserve">, Reg. </w:t>
      </w:r>
      <w:smartTag w:uri="http://www.bna.com/sgml2word/cite" w:element="cite.cfr">
        <w:smartTagPr>
          <w:attr w:name="ref" w:val="cfr\26\1.673(a)-1"/>
        </w:smartTagPr>
        <w:r>
          <w:t>§1.673(a)-1</w:t>
        </w:r>
      </w:smartTag>
      <w:r>
        <w:t xml:space="preserve">. </w:t>
      </w:r>
    </w:p>
  </w:footnote>
  <w:footnote w:id="849">
    <w:p w14:paraId="61F9A245" w14:textId="77777777" w:rsidR="00494B49" w:rsidRDefault="00494B49">
      <w:pPr>
        <w:pStyle w:val="FootnoteText"/>
      </w:pPr>
      <w:r>
        <w:rPr>
          <w:rStyle w:val="FootnoteReference"/>
        </w:rPr>
        <w:footnoteRef/>
      </w:r>
      <w:r>
        <w:t xml:space="preserve">For this purpose, contingent installment sales are the type described in Reg. </w:t>
      </w:r>
      <w:smartTag w:uri="http://www.bna.com/sgml2word/cite" w:element="cite.cfr">
        <w:smartTagPr>
          <w:attr w:name="ref" w:val="cfr\26\15A.453-1(c)"/>
        </w:smartTagPr>
        <w:r>
          <w:t>§15A.453-1(c)</w:t>
        </w:r>
      </w:smartTag>
      <w:r>
        <w:t xml:space="preserve">. </w:t>
      </w:r>
    </w:p>
  </w:footnote>
  <w:footnote w:id="850">
    <w:p w14:paraId="40D31219" w14:textId="77777777" w:rsidR="00494B49" w:rsidRDefault="00494B49">
      <w:pPr>
        <w:pStyle w:val="FootnoteText"/>
      </w:pPr>
      <w:r>
        <w:rPr>
          <w:rStyle w:val="FootnoteReference"/>
        </w:rPr>
        <w:footnoteRef/>
      </w:r>
      <w:r>
        <w:t>For example, assume a partnership is engaged in pharmaceutical research and development. The partnership’s domestic sales are conducted at the partnership level, but the foreign sales are conducted through wholly owned C corporations. If the earn-out payments on the sale of the partnership are based on financial statement earnings of the consolidated business enterprise, it would be complicated for partners that no longer own interests to deconstruct the consolidated financials to determine how much of the earn-out was attributable to the foreign sales in the C corporations versus domestic sales conducted at the partnership level.</w:t>
      </w:r>
    </w:p>
  </w:footnote>
  <w:footnote w:id="851">
    <w:p w14:paraId="7C6A2B89" w14:textId="77777777" w:rsidR="00494B49" w:rsidRDefault="00494B49">
      <w:pPr>
        <w:pStyle w:val="FootnoteText"/>
      </w:pPr>
      <w:r>
        <w:rPr>
          <w:rStyle w:val="FootnoteReference"/>
        </w:rPr>
        <w:footnoteRef/>
      </w:r>
      <w:r>
        <w:t>The 2013 Proposed Regulations refer to the lower-tier partnership as a “Subsidiary Passthrough Entity.”</w:t>
      </w:r>
    </w:p>
  </w:footnote>
  <w:footnote w:id="852">
    <w:p w14:paraId="10151A89" w14:textId="77777777" w:rsidR="00494B49" w:rsidRDefault="00494B49">
      <w:pPr>
        <w:pStyle w:val="FootnoteText"/>
      </w:pPr>
      <w:r>
        <w:rPr>
          <w:rStyle w:val="FootnoteReference"/>
        </w:rPr>
        <w:footnoteRef/>
      </w:r>
      <w:r>
        <w:t xml:space="preserve">This treatment is generally consistent with the aggregate theory of taxation embodied in </w:t>
      </w:r>
      <w:smartTag w:uri="http://www.bna.com/sgml2word/cite" w:element="cite.usc">
        <w:smartTagPr>
          <w:attr w:name="ref" w:val="USC\26\1411(c)(4)"/>
        </w:smartTagPr>
        <w:r>
          <w:t>§1411(c)(4)</w:t>
        </w:r>
      </w:smartTag>
      <w:r>
        <w:t xml:space="preserve">. </w:t>
      </w:r>
    </w:p>
  </w:footnote>
  <w:footnote w:id="853">
    <w:p w14:paraId="14A7C5AD"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B.2"/>
        </w:smartTagPr>
        <w:r>
          <w:t>VI.B.2.</w:t>
        </w:r>
      </w:smartTag>
      <w:smartTag w:uri="http://www.bna.com/sgml2word/cite" w:element="cite.bna.reference">
        <w:smartTagPr>
          <w:attr w:name="bna.id.ref" w:val="TM\873.VI.B.2"/>
        </w:smartTagPr>
        <w:r>
          <w:t>VI.B.2.</w:t>
        </w:r>
      </w:smartTag>
      <w:r>
        <w:t>, above.</w:t>
      </w:r>
    </w:p>
  </w:footnote>
  <w:footnote w:id="854">
    <w:p w14:paraId="035731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3)"/>
        </w:smartTagPr>
        <w:r>
          <w:t>§1.469-2T(e)(3)(ii)(D)(3)</w:t>
        </w:r>
      </w:smartTag>
      <w:r>
        <w:t xml:space="preserve"> provides, in relevant part, that in the case of a disposition of an interest in a passthrough entity (the “subsidiary passthrough entity”) by a holder that is also a passthrough entity, any gain or loss from the disposition taken into account by any person who owns (directly or indirectly) an interest in the holder shall be allocated among the activities of the subsidiary passthrough entity by applying the rules of Reg. </w:t>
      </w:r>
      <w:smartTag w:uri="http://www.bna.com/sgml2word/cite" w:element="cite.cfr">
        <w:smartTagPr>
          <w:attr w:name="ref" w:val="cfr\26\1.469-2T(e)(3)(ii)"/>
        </w:smartTagPr>
        <w:r>
          <w:t>§1.469-2T(e)(3)(ii)</w:t>
        </w:r>
      </w:smartTag>
      <w:r>
        <w:t xml:space="preserve"> to the person taking the gain or loss into account as if the person has been the holder of an interest in the Subsidiary Passthrough Entity and had recognized gain or loss as a result of a disposition.</w:t>
      </w:r>
    </w:p>
  </w:footnote>
  <w:footnote w:id="855">
    <w:p w14:paraId="430EEEB2"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469-2T(e)(3)(ii)(D)(3)"/>
        </w:smartTagPr>
        <w:r>
          <w:t>§1.469-2T(e)(3)(ii)(D)(3)</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56">
    <w:p w14:paraId="2EE7F7EF"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e)"/>
        </w:smartTagPr>
        <w:r>
          <w:t>§1.1411-7(e)</w:t>
        </w:r>
      </w:smartTag>
      <w:r>
        <w:t xml:space="preserve"> is titled “Disposition of Tiered Passthrough Entities.”</w:t>
      </w:r>
    </w:p>
  </w:footnote>
  <w:footnote w:id="857">
    <w:p w14:paraId="141F5A6D" w14:textId="77777777" w:rsidR="00494B49" w:rsidRDefault="00494B49">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xml:space="preserve">), Part 9.D. </w:t>
      </w:r>
    </w:p>
  </w:footnote>
  <w:footnote w:id="858">
    <w:p w14:paraId="11DCCFD5"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859">
    <w:p w14:paraId="5F1DD5C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a)"/>
        </w:smartTagPr>
        <w:r>
          <w:t>§1.469-5T(a)</w:t>
        </w:r>
      </w:smartTag>
      <w:r>
        <w:t xml:space="preserve"> provides that an individual is treated as materially participating in an activity for the taxable year if: (1) the individual participates in the activity for more than 500 hours; (2) the individual’s participation in the activity constitutes substantially all of the participation in the activity; (3) the individual participates in the activity for more than 100 hours during the taxable year and the individual’s participation is not less than the participation in the activity of any other person; (4) the activity is a significant participation activity and the individual’s aggregate or grouped participation in the activities for the year exceeds 500 hours; and (5) based on all facts and circumstances the individual participated in the activity on a regular, continuous and substantial basis for at least 100 hours.</w:t>
      </w:r>
    </w:p>
  </w:footnote>
  <w:footnote w:id="860">
    <w:p w14:paraId="169E0982" w14:textId="77777777" w:rsidR="00494B49" w:rsidRDefault="00494B49">
      <w:pPr>
        <w:pStyle w:val="FootnoteText"/>
      </w:pPr>
      <w:r>
        <w:rPr>
          <w:rStyle w:val="FootnoteReference"/>
        </w:rPr>
        <w:footnoteRef/>
      </w:r>
      <w:r>
        <w:t xml:space="preserve">In the case of a recharacterization of net income that is not further deemed to be portfolio income, Reg. </w:t>
      </w:r>
      <w:smartTag w:uri="http://www.bna.com/sgml2word/cite" w:element="cite.cfr">
        <w:smartTagPr>
          <w:attr w:name="ref" w:val="cfr\26\1.1411-5(b)(2)(i)"/>
        </w:smartTagPr>
        <w:r>
          <w:t>§1.1411-5(b)(2)(i)</w:t>
        </w:r>
      </w:smartTag>
      <w:r>
        <w:t xml:space="preserve"> provides that “[t]o the extent income or gain from a trade or business is subject to a net income recharacterization rule relating to …. [s]ignificant participation passive activities… any gross income or gain recharacterized as “not from a passive activity” will not be considered derived from a passive activity trade or business for NIIT purposes.”</w:t>
      </w:r>
    </w:p>
  </w:footnote>
  <w:footnote w:id="861">
    <w:p w14:paraId="47DF8323" w14:textId="77777777" w:rsidR="00494B49" w:rsidRDefault="00494B49">
      <w:pPr>
        <w:pStyle w:val="FootnoteText"/>
      </w:pPr>
      <w:r>
        <w:rPr>
          <w:rStyle w:val="FootnoteReference"/>
        </w:rPr>
        <w:footnoteRef/>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862">
    <w:p w14:paraId="64B6B76B" w14:textId="77777777" w:rsidR="00494B49" w:rsidRDefault="00494B49">
      <w:pPr>
        <w:pStyle w:val="FootnoteText"/>
      </w:pPr>
      <w:r>
        <w:rPr>
          <w:rStyle w:val="FootnoteReference"/>
        </w:rPr>
        <w:footnoteRef/>
      </w:r>
      <w:r>
        <w:t>This term “</w:t>
      </w:r>
      <w:smartTag w:uri="http://www.bna.com/sgml2word/cite" w:element="cite.usc">
        <w:smartTagPr>
          <w:attr w:name="ref" w:val="USC\26\469"/>
        </w:smartTagPr>
        <w:r>
          <w:t>§469</w:t>
        </w:r>
      </w:smartTag>
      <w:r>
        <w:t xml:space="preserve"> activity” includes partnerships, S corporations, and corporations subject to </w:t>
      </w:r>
      <w:smartTag w:uri="http://www.bna.com/sgml2word/cite" w:element="cite.usc">
        <w:smartTagPr>
          <w:attr w:name="ref" w:val="USC\26\469"/>
        </w:smartTagPr>
        <w:r>
          <w:t>§469</w:t>
        </w:r>
      </w:smartTag>
      <w:r>
        <w:t xml:space="preserve">. For example, if an individual sells 70% of a business on February 1 and retains 25% ownership for the balance of the year, the entire year of material participation will determine whether the sale is covered by </w:t>
      </w:r>
      <w:smartTag w:uri="http://www.bna.com/sgml2word/cite" w:element="cite.usc">
        <w:smartTagPr>
          <w:attr w:name="ref" w:val="USC\26\1411(c)(4)"/>
        </w:smartTagPr>
        <w:r>
          <w:t>§1411(c)(4)</w:t>
        </w:r>
      </w:smartTag>
      <w:r>
        <w:t xml:space="preserve">. The preceding example works if the business is operated in partnership form, but it would not necessarily yield the same answer if the equity rollover was in the form of corporation stock where the corporation is not subject to </w:t>
      </w:r>
      <w:smartTag w:uri="http://www.bna.com/sgml2word/cite" w:element="cite.usc">
        <w:smartTagPr>
          <w:attr w:name="ref" w:val="USC\26\469"/>
        </w:smartTagPr>
        <w:r>
          <w:t>§469</w:t>
        </w:r>
      </w:smartTag>
      <w:r>
        <w:t>.</w:t>
      </w:r>
    </w:p>
  </w:footnote>
  <w:footnote w:id="863">
    <w:p w14:paraId="50A77EAE" w14:textId="77777777" w:rsidR="00494B49" w:rsidRDefault="00494B49">
      <w:pPr>
        <w:pStyle w:val="FootnoteText"/>
      </w:pPr>
      <w:r>
        <w:rPr>
          <w:rStyle w:val="FootnoteReference"/>
        </w:rPr>
        <w:footnoteRef/>
      </w:r>
      <w:r>
        <w:t xml:space="preserve">In developing the Deemed Sale, the Treasury Department and the IRS considered existing hypothetical transactions, such as the hypothetical transaction to determine a transferee’s basis adjustment under </w:t>
      </w:r>
      <w:smartTag w:uri="http://www.bna.com/sgml2word/cite" w:element="cite.usc">
        <w:smartTagPr>
          <w:attr w:name="ref" w:val="USC\26\743(b)"/>
        </w:smartTagPr>
        <w:r>
          <w:t>§743(b)</w:t>
        </w:r>
      </w:smartTag>
      <w:r>
        <w:t xml:space="preserve">. The 2012 Proposed Regulations provide that the Deemed Sale under </w:t>
      </w:r>
      <w:smartTag w:uri="http://www.bna.com/sgml2word/cite" w:element="cite.usc">
        <w:smartTagPr>
          <w:attr w:name="ref" w:val="USC\26\1411(c)(4)"/>
        </w:smartTagPr>
        <w:r>
          <w:t>§1411(c)(4)</w:t>
        </w:r>
      </w:smartTag>
      <w:r>
        <w:t xml:space="preserve"> applies rules similar, in part, to Reg. </w:t>
      </w:r>
      <w:smartTag w:uri="http://www.bna.com/sgml2word/cite" w:element="cite.cfr">
        <w:smartTagPr>
          <w:attr w:name="ref" w:val="cfr\26\1.743-1(d)(2)"/>
        </w:smartTagPr>
        <w:r>
          <w:t>§1.743-1(d)(2)</w:t>
        </w:r>
      </w:smartTag>
      <w:r>
        <w:t>.</w:t>
      </w:r>
    </w:p>
  </w:footnote>
  <w:footnote w:id="864">
    <w:p w14:paraId="44B3A7E3"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xml:space="preserve">), Part 8. “The Treasury Department and the IRS recognize that the Deemed Sale may impose an administrative burden on owners of partnerships and S corporations in certain circumstances. The Treasury Department and the IRS request comments on other methods that would implement the provisions of </w:t>
      </w:r>
      <w:smartTag w:uri="http://www.bna.com/sgml2word/cite" w:element="cite.usc">
        <w:smartTagPr>
          <w:attr w:name="ref" w:val="USC\26\1411(c)(4)"/>
        </w:smartTagPr>
        <w:r>
          <w:t>§1411(c)(4)</w:t>
        </w:r>
      </w:smartTag>
      <w:r>
        <w:t xml:space="preserve"> without imposing an undue burden on taxpayers.”</w:t>
      </w:r>
    </w:p>
  </w:footnote>
  <w:footnote w:id="865">
    <w:p w14:paraId="3B3C7EAA"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2)"/>
        </w:smartTagPr>
        <w:r>
          <w:t>§1.1411-7(c)(2)</w:t>
        </w:r>
      </w:smartTag>
      <w:r>
        <w:t>.</w:t>
      </w:r>
    </w:p>
  </w:footnote>
  <w:footnote w:id="866">
    <w:p w14:paraId="1AD41960"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3)"/>
        </w:smartTagPr>
        <w:r>
          <w:t>§1.1411-7(c)(3)</w:t>
        </w:r>
      </w:smartTag>
      <w:r>
        <w:t>.</w:t>
      </w:r>
    </w:p>
  </w:footnote>
  <w:footnote w:id="867">
    <w:p w14:paraId="55DE34A4"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ii)(A)"/>
        </w:smartTagPr>
        <w:r>
          <w:t>§1.1411-7(c)(5)(ii)(A)</w:t>
        </w:r>
      </w:smartTag>
      <w:r>
        <w:t xml:space="preserve">. The allocation rule is illustrated in 2012 Prop. Reg. </w:t>
      </w:r>
      <w:smartTag w:uri="http://www.bna.com/sgml2word/cite" w:element="cite.cfr">
        <w:smartTagPr>
          <w:attr w:name="ref" w:val="prule\cfr\26\1.1411-7(e)"/>
        </w:smartTagPr>
        <w:r>
          <w:t>§1.1411-7(e)</w:t>
        </w:r>
      </w:smartTag>
      <w:r>
        <w:t xml:space="preserve"> </w:t>
      </w:r>
      <w:r>
        <w:rPr>
          <w:i/>
        </w:rPr>
        <w:t>Ex.</w:t>
      </w:r>
      <w:r>
        <w:t xml:space="preserve"> 7.</w:t>
      </w:r>
    </w:p>
  </w:footnote>
  <w:footnote w:id="868">
    <w:p w14:paraId="48965D55"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ii)(B)"/>
        </w:smartTagPr>
        <w:r>
          <w:t>§1.1411-7(c)(5)(ii)(B)</w:t>
        </w:r>
      </w:smartTag>
      <w:r>
        <w:t>.</w:t>
      </w:r>
    </w:p>
  </w:footnote>
  <w:footnote w:id="869">
    <w:p w14:paraId="4B8752FB" w14:textId="77777777" w:rsidR="00494B49" w:rsidRDefault="00494B49">
      <w:pPr>
        <w:pStyle w:val="FootnoteText"/>
      </w:pPr>
      <w:r>
        <w:rPr>
          <w:rStyle w:val="FootnoteReference"/>
        </w:rPr>
        <w:footnoteRef/>
      </w:r>
      <w:r>
        <w:t xml:space="preserve">For example, if the entity has total assets with a fair market value of $110,000 (consisting of $10,000 in assets not held in any trade or business, $15,000 in assets held for use in Business 1, $45,000 in assets held for use in Business 2, $10,000 in cash, and goodwill of $30,000), and if the gain on the goodwill is $20,000, $5,000 of gain is allocated to Business 1 and the remaining $15,000 of gain is allocated to Business 2. </w:t>
      </w:r>
      <w:r>
        <w:rPr>
          <w:i/>
        </w:rPr>
        <w:t>See</w:t>
      </w:r>
      <w:r>
        <w:t xml:space="preserve"> 2012 Prop. Reg. </w:t>
      </w:r>
      <w:smartTag w:uri="http://www.bna.com/sgml2word/cite" w:element="cite.cfr">
        <w:smartTagPr>
          <w:attr w:name="ref" w:val="prule\cfr\26\1.1411-7(e)"/>
        </w:smartTagPr>
        <w:r>
          <w:t>§1.1411-7(e)</w:t>
        </w:r>
      </w:smartTag>
      <w:r>
        <w:t xml:space="preserve"> </w:t>
      </w:r>
      <w:r>
        <w:rPr>
          <w:i/>
        </w:rPr>
        <w:t>Ex.</w:t>
      </w:r>
      <w:r>
        <w:t xml:space="preserve"> 8.</w:t>
      </w:r>
    </w:p>
  </w:footnote>
  <w:footnote w:id="870">
    <w:p w14:paraId="21873D81"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4)"/>
        </w:smartTagPr>
        <w:r>
          <w:t>§1.1411-7(c)(4)</w:t>
        </w:r>
      </w:smartTag>
      <w:r>
        <w:t>.</w:t>
      </w:r>
    </w:p>
  </w:footnote>
  <w:footnote w:id="871">
    <w:p w14:paraId="5C4F3AEE" w14:textId="77777777" w:rsidR="00494B49" w:rsidRDefault="00494B49">
      <w:pPr>
        <w:pStyle w:val="FootnoteText"/>
      </w:pPr>
      <w:r>
        <w:rPr>
          <w:rStyle w:val="FootnoteReference"/>
        </w:rPr>
        <w:footnoteRef/>
      </w:r>
      <w:r>
        <w:t xml:space="preserve">In addition, 2012 Prop. Reg. </w:t>
      </w:r>
      <w:smartTag w:uri="http://www.bna.com/sgml2word/cite" w:element="cite.cfr">
        <w:smartTagPr>
          <w:attr w:name="ref" w:val="prule\cfr\26\1.1411-7(c)(4)"/>
        </w:smartTagPr>
        <w:r>
          <w:t>§1.1411-7(c)(4)</w:t>
        </w:r>
      </w:smartTag>
      <w:r>
        <w:t xml:space="preserve"> referred to Reg. </w:t>
      </w:r>
      <w:smartTag w:uri="http://www.bna.com/sgml2word/cite" w:element="cite.cfr">
        <w:smartTagPr>
          <w:attr w:name="ref" w:val="cfr\26\1.460-4(k)(3)(v)(B)"/>
        </w:smartTagPr>
        <w:r>
          <w:t>§1.460-4(k)(3)(v)(B)</w:t>
        </w:r>
      </w:smartTag>
      <w:r>
        <w:t xml:space="preserve"> for a rule relating to the computation of income or loss that would be allocated to the transferor from a contract accounted for under a long-term contract method of accounting as a result of the deemed sale of properties.</w:t>
      </w:r>
    </w:p>
  </w:footnote>
  <w:footnote w:id="872">
    <w:p w14:paraId="669497B9"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
        </w:smartTagPr>
        <w:r>
          <w:t>§1.1411-7(c)(5)</w:t>
        </w:r>
      </w:smartTag>
      <w:r>
        <w:t>.</w:t>
      </w:r>
    </w:p>
  </w:footnote>
  <w:footnote w:id="873">
    <w:p w14:paraId="6D8D772F"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d)"/>
        </w:smartTagPr>
        <w:r>
          <w:t>§1.1411-7(d)</w:t>
        </w:r>
      </w:smartTag>
      <w:r>
        <w:t>.</w:t>
      </w:r>
    </w:p>
  </w:footnote>
  <w:footnote w:id="874">
    <w:p w14:paraId="67224440"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8.</w:t>
      </w:r>
    </w:p>
  </w:footnote>
  <w:footnote w:id="875">
    <w:p w14:paraId="28A146F5"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12.</w:t>
      </w:r>
    </w:p>
  </w:footnote>
  <w:footnote w:id="876">
    <w:p w14:paraId="4E2BFA9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f)"/>
        </w:smartTagPr>
        <w:r>
          <w:t>§1.1411-1(f)</w:t>
        </w:r>
      </w:smartTag>
      <w:r>
        <w:t xml:space="preserve">. </w:t>
      </w:r>
    </w:p>
  </w:footnote>
  <w:footnote w:id="877">
    <w:p w14:paraId="08389D84" w14:textId="77777777" w:rsidR="00494B49" w:rsidRDefault="00494B49">
      <w:pPr>
        <w:pStyle w:val="FootnoteText"/>
      </w:pPr>
      <w:r>
        <w:rPr>
          <w:rStyle w:val="FootnoteReference"/>
        </w:rPr>
        <w:footnoteRef/>
      </w:r>
      <w:r>
        <w:t>In theory, there is no reason that a taxpayer could not follow the 2012 Proposed Regulations (</w:t>
      </w:r>
      <w:smartTag w:uri="http://www.bna.com/sgml2word/cite" w:element="cite.agency.doc">
        <w:smartTagPr>
          <w:attr w:name="ref" w:val="irs\nprm\REG-130507-11"/>
        </w:smartTagPr>
        <w:r>
          <w:t>REG-130507-11</w:t>
        </w:r>
      </w:smartTag>
      <w:r>
        <w:t>) until the 2013 Proposed Regulations (</w:t>
      </w:r>
      <w:smartTag w:uri="http://www.bna.com/sgml2word/cite" w:element="cite.agency.doc">
        <w:smartTagPr>
          <w:attr w:name="ref" w:val="irs\nprm\REG-130843-13"/>
        </w:smartTagPr>
        <w:r>
          <w:t>REG-130843-13</w:t>
        </w:r>
      </w:smartTag>
      <w:r>
        <w:t>) are finalized, but there are very few instances in which the 2012 Deemed Sale mechanics of the 2012 Proposed Regulations would produce a better result than the 2013 Proposed Regulations.</w:t>
      </w:r>
    </w:p>
  </w:footnote>
  <w:footnote w:id="878">
    <w:p w14:paraId="7EFF88B2"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957(a)"/>
        </w:smartTagPr>
        <w:r>
          <w:t>§957(a)</w:t>
        </w:r>
      </w:smartTag>
      <w:r>
        <w:t>.</w:t>
      </w:r>
    </w:p>
  </w:footnote>
  <w:footnote w:id="879">
    <w:p w14:paraId="2C2C1A43"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1297(a)"/>
        </w:smartTagPr>
        <w:r>
          <w:t>§1297(a)</w:t>
        </w:r>
      </w:smartTag>
      <w:r>
        <w:t>.</w:t>
      </w:r>
    </w:p>
  </w:footnote>
  <w:footnote w:id="880">
    <w:p w14:paraId="32F85116" w14:textId="77777777" w:rsidR="00494B49" w:rsidRDefault="00494B49">
      <w:pPr>
        <w:pStyle w:val="FootnoteText"/>
      </w:pPr>
      <w:r>
        <w:rPr>
          <w:rStyle w:val="FootnoteReference"/>
        </w:rPr>
        <w:footnoteRef/>
      </w:r>
      <w:r>
        <w:t xml:space="preserve">Seedo not italicize See Reg. </w:t>
      </w:r>
      <w:smartTag w:uri="http://www.bna.com/sgml2word/cite" w:element="cite.usc">
        <w:smartTagPr>
          <w:attr w:name="ref" w:val="usc\26\1.1411-1(d)(3)"/>
        </w:smartTagPr>
        <w:r>
          <w:t>§1.1411-1(d)(3)</w:t>
        </w:r>
      </w:smartTag>
      <w:r>
        <w:t xml:space="preserve"> for definition of “gross income from dividends.”</w:t>
      </w:r>
    </w:p>
  </w:footnote>
  <w:footnote w:id="881">
    <w:p w14:paraId="7B4B7D2C"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951(b)"/>
        </w:smartTagPr>
        <w:r>
          <w:t>§951(b)</w:t>
        </w:r>
      </w:smartTag>
      <w:r>
        <w:t xml:space="preserve"> (may be referred to as an “inclusion shareholder”).</w:t>
      </w:r>
    </w:p>
  </w:footnote>
  <w:footnote w:id="882">
    <w:p w14:paraId="1A0E0C6E" w14:textId="77777777" w:rsidR="00494B49" w:rsidRDefault="00494B49">
      <w:pPr>
        <w:pStyle w:val="FootnoteText"/>
      </w:pPr>
      <w:r>
        <w:rPr>
          <w:rStyle w:val="FootnoteReference"/>
        </w:rPr>
        <w:footnoteRef/>
      </w:r>
      <w:r>
        <w:t xml:space="preserve">For a thorough discussion of CFCs, and what constitutes income, see </w:t>
      </w:r>
      <w:smartTag w:uri="http://www.bna.com/sgml2word/cite" w:element="cite.bna.reference">
        <w:smartTagPr>
          <w:attr w:name="bna.id.ref" w:val="TM\6220"/>
        </w:smartTagPr>
        <w:r>
          <w:t>6220 T.M.</w:t>
        </w:r>
      </w:smartTag>
      <w:r>
        <w:t xml:space="preserve">, </w:t>
      </w:r>
      <w:r>
        <w:rPr>
          <w:i/>
        </w:rPr>
        <w:t>CFCs — Foreign Personal Holding Company Income</w:t>
      </w:r>
      <w:r>
        <w:t xml:space="preserve"> (Foreign Income Series), and </w:t>
      </w:r>
      <w:smartTag w:uri="http://www.bna.com/sgml2word/cite" w:element="cite.bna.reference">
        <w:smartTagPr>
          <w:attr w:name="bna.id.ref" w:val="TM\6240"/>
        </w:smartTagPr>
        <w:r>
          <w:t>6240 T.M.</w:t>
        </w:r>
      </w:smartTag>
      <w:r>
        <w:t xml:space="preserve">, </w:t>
      </w:r>
      <w:r>
        <w:rPr>
          <w:i/>
        </w:rPr>
        <w:t>CFCs — Foreign Base Company Income (Other than Foreign Personal Holding Company Income)</w:t>
      </w:r>
      <w:r>
        <w:t xml:space="preserve"> (Foreign Income Series). Generally, Subpart F income includes: (1) insurance income (</w:t>
      </w:r>
      <w:smartTag w:uri="http://www.bna.com/sgml2word/cite" w:element="cite.usc">
        <w:smartTagPr>
          <w:attr w:name="ref" w:val="USC\26\953"/>
        </w:smartTagPr>
        <w:r>
          <w:t>§953</w:t>
        </w:r>
      </w:smartTag>
      <w:r>
        <w:t>); (2) foreign-base company income (</w:t>
      </w:r>
      <w:smartTag w:uri="http://www.bna.com/sgml2word/cite" w:element="cite.usc">
        <w:smartTagPr>
          <w:attr w:name="ref" w:val="USC\26\954"/>
        </w:smartTagPr>
        <w:r>
          <w:t>§954</w:t>
        </w:r>
      </w:smartTag>
      <w:r>
        <w:t>); (3) income from countries subject to international boycotts (</w:t>
      </w:r>
      <w:smartTag w:uri="http://www.bna.com/sgml2word/cite" w:element="cite.usc">
        <w:smartTagPr>
          <w:attr w:name="ref" w:val="USC\26\999"/>
        </w:smartTagPr>
        <w:r>
          <w:t>§999</w:t>
        </w:r>
      </w:smartTag>
      <w:r>
        <w:t>); (4) illegal bribes, kickbacks, and other similar payments (</w:t>
      </w:r>
      <w:smartTag w:uri="http://www.bna.com/sgml2word/cite" w:element="cite.usc">
        <w:smartTagPr>
          <w:attr w:name="ref" w:val="USC\26\162(c)"/>
        </w:smartTagPr>
        <w:r>
          <w:t>§162(c)</w:t>
        </w:r>
      </w:smartTag>
      <w:r>
        <w:t>); and (5) income from countries where the United States has severed diplomatic relations (</w:t>
      </w:r>
      <w:smartTag w:uri="http://www.bna.com/sgml2word/cite" w:element="cite.usc">
        <w:smartTagPr>
          <w:attr w:name="ref" w:val="USC\26\901(j)"/>
        </w:smartTagPr>
        <w:r>
          <w:t>§901(j)</w:t>
        </w:r>
      </w:smartTag>
      <w:r>
        <w:t xml:space="preserve">). </w:t>
      </w:r>
      <w:smartTag w:uri="http://www.bna.com/sgml2word/cite" w:element="cite.usc">
        <w:smartTagPr>
          <w:attr w:name="ref" w:val="USC\26\952"/>
        </w:smartTagPr>
        <w:r>
          <w:t>§952</w:t>
        </w:r>
      </w:smartTag>
      <w:r>
        <w:t xml:space="preserve">. Under </w:t>
      </w:r>
      <w:smartTag w:uri="http://www.bna.com/sgml2word/cite" w:element="cite.usc">
        <w:smartTagPr>
          <w:attr w:name="ref" w:val="USC\26\954"/>
        </w:smartTagPr>
        <w:r>
          <w:t>§954</w:t>
        </w:r>
      </w:smartTag>
      <w:r>
        <w:t>, foreign-base company income includes (i) foreign personal holding company income (generally, this includes dividends, interest, royalties, capital gains and certain rents); (ii) foreign-base company sales income (generally, this includes income from selling personal property purchased or sold to a related U.S. person); and (iii) foreign-base company services income (generally, this includes income derived in connection with the performance of technical, managerial, engineering, architectural, scientific, skilled, industrial, commercial or “like services” for or on behalf of any related person outside the country under the laws of which the CFC is created or organized. It also includes services performed by a CFC if substantial assistance contributing to the performance of such services has been furnished by a related person).</w:t>
      </w:r>
    </w:p>
  </w:footnote>
  <w:footnote w:id="883">
    <w:p w14:paraId="27FF8CCA" w14:textId="77777777" w:rsidR="00494B49" w:rsidRDefault="00494B49">
      <w:pPr>
        <w:pStyle w:val="FootnoteText"/>
      </w:pPr>
      <w:r>
        <w:rPr>
          <w:rStyle w:val="FootnoteReference"/>
        </w:rPr>
        <w:footnoteRef/>
      </w:r>
      <w:r>
        <w:t xml:space="preserve">In the case of a CFC, the Subpart F inclusion is limited by the CFC’s earnings and profits (E&amp;P), but </w:t>
      </w:r>
      <w:smartTag w:uri="http://www.bna.com/sgml2word/cite" w:element="cite.usc">
        <w:smartTagPr>
          <w:attr w:name="ref" w:val="USC\26\952(c)"/>
        </w:smartTagPr>
        <w:r>
          <w:t>§952(c)</w:t>
        </w:r>
      </w:smartTag>
      <w:r>
        <w:t xml:space="preserve"> may cause inclusion in later years if the E&amp;P limitation is eliminated. </w:t>
      </w:r>
    </w:p>
  </w:footnote>
  <w:footnote w:id="884">
    <w:p w14:paraId="11C8D709" w14:textId="77777777" w:rsidR="00494B49" w:rsidRDefault="00494B49">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885">
    <w:p w14:paraId="60EE29D7" w14:textId="77777777" w:rsidR="00494B49" w:rsidRDefault="00494B49">
      <w:pPr>
        <w:pStyle w:val="FootnoteText"/>
      </w:pPr>
      <w:r>
        <w:rPr>
          <w:rStyle w:val="FootnoteReference"/>
        </w:rPr>
        <w:footnoteRef/>
      </w:r>
      <w:r>
        <w:t xml:space="preserve">Notably, while </w:t>
      </w:r>
      <w:smartTag w:uri="http://www.bna.com/sgml2word/cite" w:element="cite.usc">
        <w:smartTagPr>
          <w:attr w:name="ref" w:val="USC\26\959(a)"/>
        </w:smartTagPr>
        <w:r>
          <w:t>§959(a)</w:t>
        </w:r>
      </w:smartTag>
      <w:r>
        <w:t xml:space="preserve"> expressly states that a distribution attributable to PTI is not included in gross income, </w:t>
      </w:r>
      <w:smartTag w:uri="http://www.bna.com/sgml2word/cite" w:element="cite.usc">
        <w:smartTagPr>
          <w:attr w:name="ref" w:val="USC\26\959(d)"/>
        </w:smartTagPr>
        <w:r>
          <w:t>§959(d)</w:t>
        </w:r>
      </w:smartTag>
      <w:r>
        <w:t xml:space="preserve"> states that any amount excluded from gross income under </w:t>
      </w:r>
      <w:smartTag w:uri="http://www.bna.com/sgml2word/cite" w:element="cite.usc">
        <w:smartTagPr>
          <w:attr w:name="ref" w:val="USC\26\959(a)"/>
        </w:smartTagPr>
        <w:r>
          <w:t>§959(a)</w:t>
        </w:r>
      </w:smartTag>
      <w:r>
        <w:t xml:space="preserve"> is not a dividend for Chapter 1 purposes. </w:t>
      </w:r>
    </w:p>
  </w:footnote>
  <w:footnote w:id="886">
    <w:p w14:paraId="2BC81870" w14:textId="77777777" w:rsidR="00494B49" w:rsidRDefault="00494B49">
      <w:pPr>
        <w:pStyle w:val="FootnoteText"/>
      </w:pPr>
      <w:r>
        <w:rPr>
          <w:rStyle w:val="FootnoteReference"/>
        </w:rPr>
        <w:footnoteRef/>
      </w:r>
      <w:smartTag w:uri="http://www.bna.com/sgml2word/cite" w:element="cite.usc">
        <w:smartTagPr>
          <w:attr w:name="ref" w:val="usc\26\961(d)"/>
        </w:smartTagPr>
        <w:r>
          <w:t>§961(d)</w:t>
        </w:r>
      </w:smartTag>
      <w:r>
        <w:t>.</w:t>
      </w:r>
    </w:p>
  </w:footnote>
  <w:footnote w:id="887">
    <w:p w14:paraId="365E59C7" w14:textId="77777777" w:rsidR="00494B49" w:rsidRDefault="00494B49">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888">
    <w:p w14:paraId="5CA70002" w14:textId="77777777" w:rsidR="00494B49" w:rsidRDefault="00494B49">
      <w:pPr>
        <w:pStyle w:val="FootnoteText"/>
      </w:pPr>
      <w:r>
        <w:rPr>
          <w:rStyle w:val="FootnoteReference"/>
        </w:rPr>
        <w:footnoteRef/>
      </w:r>
      <w:smartTag w:uri="http://www.bna.com/sgml2word/cite" w:element="cite.usc">
        <w:smartTagPr>
          <w:attr w:name="ref" w:val="USC\26\1297(a)(1)"/>
        </w:smartTagPr>
        <w:r>
          <w:t>§1297(a)(1)</w:t>
        </w:r>
      </w:smartTag>
      <w:r>
        <w:t xml:space="preserve">. Passive income is defined for this purpose in </w:t>
      </w:r>
      <w:smartTag w:uri="http://www.bna.com/sgml2word/cite" w:element="cite.usc">
        <w:smartTagPr>
          <w:attr w:name="ref" w:val="USC\26\1297(b)"/>
        </w:smartTagPr>
        <w:r>
          <w:t>§1297(b)</w:t>
        </w:r>
      </w:smartTag>
      <w:r>
        <w:t>.</w:t>
      </w:r>
    </w:p>
  </w:footnote>
  <w:footnote w:id="889">
    <w:p w14:paraId="0DB828F7" w14:textId="77777777" w:rsidR="00494B49" w:rsidRDefault="00494B49">
      <w:pPr>
        <w:pStyle w:val="FootnoteText"/>
      </w:pPr>
      <w:r>
        <w:rPr>
          <w:rStyle w:val="FootnoteReference"/>
        </w:rPr>
        <w:footnoteRef/>
      </w:r>
      <w:smartTag w:uri="http://www.bna.com/sgml2word/cite" w:element="cite.usc">
        <w:smartTagPr>
          <w:attr w:name="ref" w:val="USC\26\1297(a)(2)"/>
        </w:smartTagPr>
        <w:r>
          <w:t>§1297(a)(2)</w:t>
        </w:r>
      </w:smartTag>
      <w:r>
        <w:t>.</w:t>
      </w:r>
    </w:p>
  </w:footnote>
  <w:footnote w:id="890">
    <w:p w14:paraId="6D08563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a)(2)"/>
        </w:smartTagPr>
        <w:r>
          <w:t>§1291(a)(2)</w:t>
        </w:r>
      </w:smartTag>
      <w:r>
        <w:t xml:space="preserve">. </w:t>
      </w:r>
    </w:p>
  </w:footnote>
  <w:footnote w:id="891">
    <w:p w14:paraId="73E01E38" w14:textId="77777777" w:rsidR="00494B49" w:rsidRDefault="00494B49">
      <w:pPr>
        <w:pStyle w:val="FootnoteText"/>
      </w:pPr>
      <w:r>
        <w:rPr>
          <w:rStyle w:val="FootnoteReference"/>
        </w:rPr>
        <w:footnoteRef/>
      </w:r>
      <w:smartTag w:uri="http://www.bna.com/sgml2word/cite" w:element="cite.usc">
        <w:smartTagPr>
          <w:attr w:name="ref" w:val="USC\26\1291(a)(1)(B)"/>
        </w:smartTagPr>
        <w:r>
          <w:t>§1291(a)(1)(B)</w:t>
        </w:r>
      </w:smartTag>
      <w:r>
        <w:t>.</w:t>
      </w:r>
    </w:p>
  </w:footnote>
  <w:footnote w:id="892">
    <w:p w14:paraId="77F44AFE" w14:textId="77777777" w:rsidR="00494B49" w:rsidRDefault="00494B49">
      <w:pPr>
        <w:pStyle w:val="FootnoteText"/>
      </w:pPr>
      <w:r>
        <w:rPr>
          <w:rStyle w:val="FootnoteReference"/>
        </w:rPr>
        <w:footnoteRef/>
      </w:r>
      <w:smartTag w:uri="http://www.bna.com/sgml2word/cite" w:element="cite.usc">
        <w:smartTagPr>
          <w:attr w:name="ref" w:val="USC\26\1291(a)(1)(A)"/>
        </w:smartTagPr>
        <w:r>
          <w:t>§1291(a)(1)(A)</w:t>
        </w:r>
      </w:smartTag>
      <w:r>
        <w:t xml:space="preserve">. </w:t>
      </w:r>
    </w:p>
  </w:footnote>
  <w:footnote w:id="893">
    <w:p w14:paraId="71EDEDD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b)(3)(A)"/>
        </w:smartTagPr>
        <w:r>
          <w:t>§1291(b)(3)(A)</w:t>
        </w:r>
      </w:smartTag>
      <w:r>
        <w:t xml:space="preserve"> (per-share basis). The regular rules, such as </w:t>
      </w:r>
      <w:smartTag w:uri="http://www.bna.com/sgml2word/cite" w:element="cite.usc">
        <w:smartTagPr>
          <w:attr w:name="ref" w:val="USC\26\301"/>
        </w:smartTagPr>
        <w:r>
          <w:t>§301</w:t>
        </w:r>
      </w:smartTag>
      <w:r>
        <w:t xml:space="preserve"> and </w:t>
      </w:r>
      <w:smartTag w:uri="http://www.bna.com/sgml2word/cite" w:element="cite.usc">
        <w:smartTagPr>
          <w:attr w:name="ref" w:val="USC\26\316"/>
        </w:smartTagPr>
        <w:r>
          <w:t>§316</w:t>
        </w:r>
      </w:smartTag>
      <w:r>
        <w:t xml:space="preserve">, applicable to distributions from corporations are ignored for calculating the taxability of an excess distribution from the </w:t>
      </w:r>
      <w:smartTag w:uri="http://www.bna.com/sgml2word/cite" w:element="cite.usc">
        <w:smartTagPr>
          <w:attr w:name="ref" w:val="USC\26\1291"/>
        </w:smartTagPr>
        <w:r>
          <w:t>§1291</w:t>
        </w:r>
      </w:smartTag>
      <w:r>
        <w:t xml:space="preserve"> Fund. Thus, a distribution from a </w:t>
      </w:r>
      <w:smartTag w:uri="http://www.bna.com/sgml2word/cite" w:element="cite.usc">
        <w:smartTagPr>
          <w:attr w:name="ref" w:val="USC\26\1291"/>
        </w:smartTagPr>
        <w:r>
          <w:t>§1291</w:t>
        </w:r>
      </w:smartTag>
      <w:r>
        <w:t xml:space="preserve"> Fund could be ordinary income even if a distribution from a similarly situated domestic corporation would not be a dividend due to lack of E&amp;P. </w:t>
      </w:r>
    </w:p>
  </w:footnote>
  <w:footnote w:id="894">
    <w:p w14:paraId="4FC9CC16" w14:textId="77777777" w:rsidR="00494B49" w:rsidRDefault="00494B49">
      <w:pPr>
        <w:pStyle w:val="FootnoteText"/>
      </w:pPr>
      <w:r>
        <w:rPr>
          <w:rStyle w:val="FootnoteReference"/>
        </w:rPr>
        <w:footnoteRef/>
      </w:r>
      <w:smartTag w:uri="http://www.bna.com/sgml2word/cite" w:element="cite.usc">
        <w:smartTagPr>
          <w:attr w:name="ref" w:val="USC\26\1291(b)"/>
        </w:smartTagPr>
        <w:r>
          <w:t>§1291(b)</w:t>
        </w:r>
      </w:smartTag>
      <w:r>
        <w:t xml:space="preserve">. </w:t>
      </w:r>
    </w:p>
  </w:footnote>
  <w:footnote w:id="895">
    <w:p w14:paraId="0BA73B64" w14:textId="77777777" w:rsidR="00494B49" w:rsidRDefault="00494B49">
      <w:pPr>
        <w:pStyle w:val="FootnoteText"/>
      </w:pPr>
      <w:r>
        <w:rPr>
          <w:rStyle w:val="FootnoteReference"/>
        </w:rPr>
        <w:footnoteRef/>
      </w:r>
      <w:smartTag w:uri="http://www.bna.com/sgml2word/cite" w:element="cite.usc">
        <w:smartTagPr>
          <w:attr w:name="ref" w:val="USC\26\1291(b)(2)(A)"/>
        </w:smartTagPr>
        <w:r>
          <w:t>§1291(b)(2)(A)</w:t>
        </w:r>
      </w:smartTag>
      <w:r>
        <w:t xml:space="preserve">. </w:t>
      </w:r>
    </w:p>
  </w:footnote>
  <w:footnote w:id="896">
    <w:p w14:paraId="299E252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b)(2)(A)"/>
        </w:smartTagPr>
        <w:r>
          <w:t>§1291(b)(2)(A)</w:t>
        </w:r>
      </w:smartTag>
      <w:r>
        <w:t xml:space="preserve"> (flush language).</w:t>
      </w:r>
    </w:p>
  </w:footnote>
  <w:footnote w:id="897">
    <w:p w14:paraId="3304EB84" w14:textId="77777777" w:rsidR="00494B49" w:rsidRDefault="00494B49">
      <w:pPr>
        <w:pStyle w:val="FootnoteText"/>
      </w:pPr>
      <w:r>
        <w:rPr>
          <w:rStyle w:val="FootnoteReference"/>
        </w:rPr>
        <w:footnoteRef/>
      </w:r>
      <w:r>
        <w:t xml:space="preserve">The years and days when the corporation was not a PFIC are referred to as pre-PFIC years by Prop. Reg. </w:t>
      </w:r>
      <w:smartTag w:uri="http://www.bna.com/sgml2word/cite" w:element="cite.cfr">
        <w:smartTagPr>
          <w:attr w:name="ref" w:val="prule\cfr\26\1.1291-1(b)(3)"/>
        </w:smartTagPr>
        <w:r>
          <w:t>§1.1291-1(b)(3)</w:t>
        </w:r>
      </w:smartTag>
      <w:r>
        <w:t xml:space="preserve"> (1992). </w:t>
      </w:r>
    </w:p>
  </w:footnote>
  <w:footnote w:id="898">
    <w:p w14:paraId="5ECBFB52" w14:textId="77777777" w:rsidR="00494B49" w:rsidRDefault="00494B49">
      <w:pPr>
        <w:pStyle w:val="FootnoteText"/>
      </w:pPr>
      <w:r>
        <w:rPr>
          <w:rStyle w:val="FootnoteReference"/>
        </w:rPr>
        <w:footnoteRef/>
      </w:r>
      <w:smartTag w:uri="http://www.bna.com/sgml2word/cite" w:element="cite.usc">
        <w:smartTagPr>
          <w:attr w:name="ref" w:val="USC\26\1291(c)"/>
        </w:smartTagPr>
        <w:r>
          <w:t>Section 1291(c)</w:t>
        </w:r>
      </w:smartTag>
      <w:r>
        <w:t xml:space="preserve"> provides that the deferred tax amount is, in general, the amount of tax that would have been owed if the allocated amount had been included in income in the earlier year, plus interest.</w:t>
      </w:r>
    </w:p>
  </w:footnote>
  <w:footnote w:id="899">
    <w:p w14:paraId="527566DC"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295-1(i)"/>
        </w:smartTagPr>
        <w:r>
          <w:t>§1.1295-1(i)</w:t>
        </w:r>
      </w:smartTag>
      <w:r>
        <w:t xml:space="preserve"> for more detail on the termination or revocation of the QEF election, including situations where the QEF election is automatically terminated. </w:t>
      </w:r>
    </w:p>
  </w:footnote>
  <w:footnote w:id="900">
    <w:p w14:paraId="7CF7D93D" w14:textId="77777777" w:rsidR="00494B49" w:rsidRDefault="00494B49">
      <w:pPr>
        <w:pStyle w:val="FootnoteText"/>
      </w:pPr>
      <w:r>
        <w:rPr>
          <w:rStyle w:val="FootnoteReference"/>
        </w:rPr>
        <w:footnoteRef/>
      </w:r>
      <w:smartTag w:uri="http://www.bna.com/sgml2word/cite" w:element="cite.usc">
        <w:smartTagPr>
          <w:attr w:name="ref" w:val="USC\26\1293(a)(1)(A)"/>
        </w:smartTagPr>
        <w:r>
          <w:t>§1293(a)(1)(A)</w:t>
        </w:r>
      </w:smartTag>
      <w:r>
        <w:t xml:space="preserve">. The amount included is the shareholder’s pro-rata share of ordinary earnings. Ordinary earnings, defined by </w:t>
      </w:r>
      <w:smartTag w:uri="http://www.bna.com/sgml2word/cite" w:element="cite.usc">
        <w:smartTagPr>
          <w:attr w:name="ref" w:val="USC\26\1293(e)(1)"/>
        </w:smartTagPr>
        <w:r>
          <w:t>§1293(e)(1)</w:t>
        </w:r>
      </w:smartTag>
      <w:r>
        <w:t>, is the excess of the E&amp;P of the qualified electing fund for the tax year over its net capital gain for such tax year.</w:t>
      </w:r>
    </w:p>
  </w:footnote>
  <w:footnote w:id="901">
    <w:p w14:paraId="4B55F8C3" w14:textId="77777777" w:rsidR="00494B49" w:rsidRDefault="00494B49">
      <w:pPr>
        <w:pStyle w:val="FootnoteText"/>
      </w:pPr>
      <w:r>
        <w:rPr>
          <w:rStyle w:val="FootnoteReference"/>
        </w:rPr>
        <w:footnoteRef/>
      </w:r>
      <w:smartTag w:uri="http://www.bna.com/sgml2word/cite" w:element="cite.usc">
        <w:smartTagPr>
          <w:attr w:name="ref" w:val="USC\26\1293(a)(1)(B)"/>
        </w:smartTagPr>
        <w:r>
          <w:t>§1293(a)(1)(B)</w:t>
        </w:r>
      </w:smartTag>
      <w:r>
        <w:t xml:space="preserve">. The amount included is the shareholder’s pro-rata share of net capital gain. Net capital gain, defined by </w:t>
      </w:r>
      <w:smartTag w:uri="http://www.bna.com/sgml2word/cite" w:element="cite.usc">
        <w:smartTagPr>
          <w:attr w:name="ref" w:val="USC\26\1293(d)(2)"/>
        </w:smartTagPr>
        <w:r>
          <w:t>§1293(d)(2)</w:t>
        </w:r>
      </w:smartTag>
      <w:r>
        <w:t xml:space="preserve">, is limited to the QEF’s E&amp;P for the year. </w:t>
      </w:r>
    </w:p>
  </w:footnote>
  <w:footnote w:id="902">
    <w:p w14:paraId="3C353791" w14:textId="77777777" w:rsidR="00494B49" w:rsidRDefault="00494B49">
      <w:pPr>
        <w:pStyle w:val="FootnoteText"/>
      </w:pPr>
      <w:r>
        <w:rPr>
          <w:rStyle w:val="FootnoteReference"/>
        </w:rPr>
        <w:footnoteRef/>
      </w:r>
      <w:r>
        <w:t xml:space="preserve">Although beyond the scope of this general discussion, a shareholder who has elected QEF treatment may further elect under </w:t>
      </w:r>
      <w:smartTag w:uri="http://www.bna.com/sgml2word/cite" w:element="cite.usc">
        <w:smartTagPr>
          <w:attr w:name="ref" w:val="USC\26\1294"/>
        </w:smartTagPr>
        <w:r>
          <w:t>§1294</w:t>
        </w:r>
      </w:smartTag>
      <w:r>
        <w:t xml:space="preserve"> to defer actual taxation of the deemed distribution. If this deferral election is made, an interest charge is imposed on the deferred tax liability. Upon termination of the deferral election (which occurs when certain events take place), the shareholder must pay the deferred tax plus the interest charge. </w:t>
      </w:r>
    </w:p>
  </w:footnote>
  <w:footnote w:id="903">
    <w:p w14:paraId="60A190A3" w14:textId="77777777" w:rsidR="00494B49" w:rsidRDefault="00494B49">
      <w:pPr>
        <w:pStyle w:val="FootnoteText"/>
      </w:pPr>
      <w:r>
        <w:rPr>
          <w:rStyle w:val="FootnoteReference"/>
        </w:rPr>
        <w:footnoteRef/>
      </w:r>
      <w:smartTag w:uri="http://www.bna.com/sgml2word/cite" w:element="cite.usc">
        <w:smartTagPr>
          <w:attr w:name="ref" w:val="USC\26\1293(d)(1)"/>
        </w:smartTagPr>
        <w:r>
          <w:t>§1293(d)(1)</w:t>
        </w:r>
      </w:smartTag>
      <w:r>
        <w:t xml:space="preserve">. </w:t>
      </w:r>
    </w:p>
  </w:footnote>
  <w:footnote w:id="904">
    <w:p w14:paraId="3136AAB0" w14:textId="77777777" w:rsidR="00494B49" w:rsidRDefault="00494B49">
      <w:pPr>
        <w:pStyle w:val="FootnoteText"/>
      </w:pPr>
      <w:r>
        <w:rPr>
          <w:rStyle w:val="FootnoteReference"/>
        </w:rPr>
        <w:footnoteRef/>
      </w:r>
      <w:smartTag w:uri="http://www.bna.com/sgml2word/cite" w:element="cite.usc">
        <w:smartTagPr>
          <w:attr w:name="ref" w:val="USC\26\1293(d)(2)"/>
        </w:smartTagPr>
        <w:r>
          <w:t>§1293(d)(2)</w:t>
        </w:r>
      </w:smartTag>
      <w:r>
        <w:t xml:space="preserve">. </w:t>
      </w:r>
    </w:p>
  </w:footnote>
  <w:footnote w:id="905">
    <w:p w14:paraId="193EE3E1" w14:textId="77777777" w:rsidR="00494B49" w:rsidRDefault="00494B49">
      <w:pPr>
        <w:pStyle w:val="FootnoteText"/>
      </w:pPr>
      <w:r>
        <w:rPr>
          <w:rStyle w:val="FootnoteReference"/>
        </w:rPr>
        <w:footnoteRef/>
      </w:r>
      <w:r>
        <w:t xml:space="preserve">Marketable stock is defined in </w:t>
      </w:r>
      <w:smartTag w:uri="http://www.bna.com/sgml2word/cite" w:element="cite.usc">
        <w:smartTagPr>
          <w:attr w:name="ref" w:val="USC\26\1296(e)"/>
        </w:smartTagPr>
        <w:r>
          <w:t>§1296(e)</w:t>
        </w:r>
      </w:smartTag>
      <w:r>
        <w:t xml:space="preserve">. </w:t>
      </w:r>
    </w:p>
  </w:footnote>
  <w:footnote w:id="906">
    <w:p w14:paraId="1CB8DC39" w14:textId="77777777" w:rsidR="00494B49" w:rsidRDefault="00494B49">
      <w:pPr>
        <w:pStyle w:val="FootnoteText"/>
      </w:pPr>
      <w:r>
        <w:rPr>
          <w:rStyle w:val="FootnoteReference"/>
        </w:rPr>
        <w:footnoteRef/>
      </w:r>
      <w:r>
        <w:t xml:space="preserve">Reg. </w:t>
      </w:r>
      <w:smartTag w:uri="http://www.bna.com/sgml2word/cite" w:element="cite.cfr">
        <w:smartTagPr>
          <w:attr w:name="ref" w:val="cfr\26\1.1296-1(h)(3)(i)"/>
        </w:smartTagPr>
        <w:r>
          <w:t>§1.1296-1(h)(3)(i)</w:t>
        </w:r>
      </w:smartTag>
      <w:r>
        <w:t xml:space="preserve"> provides that a </w:t>
      </w:r>
      <w:smartTag w:uri="http://www.bna.com/sgml2word/cite" w:element="cite.usc">
        <w:smartTagPr>
          <w:attr w:name="ref" w:val="USC\26\1296"/>
        </w:smartTagPr>
        <w:r>
          <w:t>§1296</w:t>
        </w:r>
      </w:smartTag>
      <w:r>
        <w:t xml:space="preserve"> Election automatically terminates when the PFIC stock (i) ceases to be marketable or (ii) is marked to market under another provision of Chapter 1 of the Code. </w:t>
      </w:r>
    </w:p>
  </w:footnote>
  <w:footnote w:id="907">
    <w:p w14:paraId="7AE533FF" w14:textId="77777777" w:rsidR="00494B49" w:rsidRDefault="00494B49">
      <w:pPr>
        <w:pStyle w:val="FootnoteText"/>
      </w:pPr>
      <w:r>
        <w:rPr>
          <w:rStyle w:val="FootnoteReference"/>
        </w:rPr>
        <w:footnoteRef/>
      </w:r>
      <w:r>
        <w:t xml:space="preserve">A </w:t>
      </w:r>
      <w:smartTag w:uri="http://www.bna.com/sgml2word/cite" w:element="cite.usc">
        <w:smartTagPr>
          <w:attr w:name="ref" w:val="USC\26\1296"/>
        </w:smartTagPr>
        <w:r>
          <w:t>§1296</w:t>
        </w:r>
      </w:smartTag>
      <w:r>
        <w:t xml:space="preserve"> Election may be revoked with the consent of the IRS. </w:t>
      </w:r>
      <w:smartTag w:uri="http://www.bna.com/sgml2word/cite" w:element="cite.usc">
        <w:smartTagPr>
          <w:attr w:name="ref" w:val="USC\26\1296(k)(2)"/>
        </w:smartTagPr>
        <w:r>
          <w:t>§1296(k)(2)</w:t>
        </w:r>
      </w:smartTag>
      <w:r>
        <w:t xml:space="preserve">. The IRS may consent to the U.S. person’s request to revoke its </w:t>
      </w:r>
      <w:smartTag w:uri="http://www.bna.com/sgml2word/cite" w:element="cite.usc">
        <w:smartTagPr>
          <w:attr w:name="ref" w:val="USC\26\1296"/>
        </w:smartTagPr>
        <w:r>
          <w:t>§1296</w:t>
        </w:r>
      </w:smartTag>
      <w:r>
        <w:t xml:space="preserve"> Election upon a finding of a substantial change in circumstances. </w:t>
      </w:r>
      <w:r>
        <w:rPr>
          <w:i/>
        </w:rPr>
        <w:t>See</w:t>
      </w:r>
      <w:r>
        <w:t xml:space="preserve"> Reg. </w:t>
      </w:r>
      <w:smartTag w:uri="http://www.bna.com/sgml2word/cite" w:element="cite.cfr">
        <w:smartTagPr>
          <w:attr w:name="ref" w:val="cfr\26\1.1296-1(h)(3)(i)"/>
        </w:smartTagPr>
        <w:r>
          <w:t>§1.1296-1(h)(3)(i)</w:t>
        </w:r>
      </w:smartTag>
      <w:r>
        <w:t>. Similar rules apply in the case of the revocation of a QEF election.</w:t>
      </w:r>
    </w:p>
  </w:footnote>
  <w:footnote w:id="908">
    <w:p w14:paraId="4608ADCE" w14:textId="77777777" w:rsidR="00494B49" w:rsidRDefault="00494B49">
      <w:pPr>
        <w:pStyle w:val="FootnoteText"/>
      </w:pPr>
      <w:r>
        <w:rPr>
          <w:rStyle w:val="FootnoteReference"/>
        </w:rPr>
        <w:footnoteRef/>
      </w:r>
      <w:smartTag w:uri="http://www.bna.com/sgml2word/cite" w:element="cite.usc">
        <w:smartTagPr>
          <w:attr w:name="ref" w:val="USC\26\1296(a)(1)"/>
        </w:smartTagPr>
        <w:r>
          <w:t>§1296(a)(1)</w:t>
        </w:r>
      </w:smartTag>
      <w:r>
        <w:t xml:space="preserve"> and </w:t>
      </w:r>
      <w:smartTag w:uri="http://www.bna.com/sgml2word/cite" w:element="cite.usc">
        <w:smartTagPr>
          <w:attr w:name="ref" w:val="USC\26\1296(c)(1)(A)"/>
        </w:smartTagPr>
        <w:r>
          <w:t>§1296(c)(1)(A)</w:t>
        </w:r>
      </w:smartTag>
      <w:r>
        <w:t xml:space="preserve">. </w:t>
      </w:r>
    </w:p>
  </w:footnote>
  <w:footnote w:id="909">
    <w:p w14:paraId="56008E87" w14:textId="77777777" w:rsidR="00494B49" w:rsidRDefault="00494B49">
      <w:pPr>
        <w:pStyle w:val="FootnoteText"/>
      </w:pPr>
      <w:r>
        <w:rPr>
          <w:rStyle w:val="FootnoteReference"/>
        </w:rPr>
        <w:footnoteRef/>
      </w:r>
      <w:smartTag w:uri="http://www.bna.com/sgml2word/cite" w:element="cite.usc">
        <w:smartTagPr>
          <w:attr w:name="ref" w:val="USC\26\1296(b)(1)"/>
        </w:smartTagPr>
        <w:r>
          <w:t>§1296(b)(1)</w:t>
        </w:r>
      </w:smartTag>
      <w:r>
        <w:t xml:space="preserve">. </w:t>
      </w:r>
    </w:p>
  </w:footnote>
  <w:footnote w:id="910">
    <w:p w14:paraId="6E68B0F3" w14:textId="77777777" w:rsidR="00494B49" w:rsidRDefault="00494B49">
      <w:pPr>
        <w:pStyle w:val="FootnoteText"/>
      </w:pPr>
      <w:r>
        <w:rPr>
          <w:rStyle w:val="FootnoteReference"/>
        </w:rPr>
        <w:footnoteRef/>
      </w:r>
      <w:smartTag w:uri="http://www.bna.com/sgml2word/cite" w:element="cite.usc">
        <w:smartTagPr>
          <w:attr w:name="ref" w:val="USC\26\1296(a)(2)"/>
        </w:smartTagPr>
        <w:r>
          <w:t>§1296(a)(2)</w:t>
        </w:r>
      </w:smartTag>
      <w:r>
        <w:t xml:space="preserve"> and </w:t>
      </w:r>
      <w:smartTag w:uri="http://www.bna.com/sgml2word/cite" w:element="cite.usc">
        <w:smartTagPr>
          <w:attr w:name="ref" w:val="USC\26\1296(c)(1)(B)"/>
        </w:smartTagPr>
        <w:r>
          <w:t>§1296(c)(1)(B)</w:t>
        </w:r>
      </w:smartTag>
      <w:r>
        <w:t xml:space="preserve">. The cap on the loss is referred to as “unreversed inclusions” defined under </w:t>
      </w:r>
      <w:smartTag w:uri="http://www.bna.com/sgml2word/cite" w:element="cite.usc">
        <w:smartTagPr>
          <w:attr w:name="ref" w:val="USC\26\1296(d)"/>
        </w:smartTagPr>
        <w:r>
          <w:t>§1296(d)</w:t>
        </w:r>
      </w:smartTag>
      <w:r>
        <w:t xml:space="preserve">. </w:t>
      </w:r>
    </w:p>
  </w:footnote>
  <w:footnote w:id="911">
    <w:p w14:paraId="4159474C" w14:textId="77777777" w:rsidR="00494B49" w:rsidRDefault="00494B49">
      <w:pPr>
        <w:pStyle w:val="FootnoteText"/>
      </w:pPr>
      <w:r>
        <w:rPr>
          <w:rStyle w:val="FootnoteReference"/>
        </w:rPr>
        <w:footnoteRef/>
      </w:r>
      <w:smartTag w:uri="http://www.bna.com/sgml2word/cite" w:element="cite.usc">
        <w:smartTagPr>
          <w:attr w:name="ref" w:val="USC\26\1296(b)(2)"/>
        </w:smartTagPr>
        <w:r>
          <w:t>§1296(b)(2)</w:t>
        </w:r>
      </w:smartTag>
      <w:r>
        <w:t xml:space="preserve">. </w:t>
      </w:r>
    </w:p>
  </w:footnote>
  <w:footnote w:id="912">
    <w:p w14:paraId="1911138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2)(ii)"/>
        </w:smartTagPr>
        <w:r>
          <w:t>§1.1411-10(c)(2)(ii)</w:t>
        </w:r>
      </w:smartTag>
      <w:r>
        <w:t>.</w:t>
      </w:r>
    </w:p>
  </w:footnote>
  <w:footnote w:id="913">
    <w:p w14:paraId="3F27624F" w14:textId="77777777" w:rsidR="00494B49" w:rsidRDefault="00494B49">
      <w:pPr>
        <w:pStyle w:val="FootnoteText"/>
      </w:pPr>
      <w:r>
        <w:rPr>
          <w:rStyle w:val="FootnoteReference"/>
        </w:rPr>
        <w:footnoteRef/>
      </w:r>
      <w:r>
        <w:t xml:space="preserve">See treatment of excess distributions from foreign trusts in </w:t>
      </w:r>
      <w:smartTag w:uri="http://www.bna.com/sgml2word/cite" w:element="cite.bna.reference">
        <w:smartTagPr>
          <w:attr w:name="bna.id.ref" w:val="TM\511.X.B.4"/>
        </w:smartTagPr>
        <w:r>
          <w:t>X.B.4.</w:t>
        </w:r>
      </w:smartTag>
      <w:smartTag w:uri="http://www.bna.com/sgml2word/cite" w:element="cite.bna.reference">
        <w:smartTagPr>
          <w:attr w:name="bna.id.ref" w:val="TM\873.X.B.4"/>
        </w:smartTagPr>
        <w:r>
          <w:t>X.B.4.</w:t>
        </w:r>
      </w:smartTag>
      <w:r>
        <w:t>, below.</w:t>
      </w:r>
    </w:p>
  </w:footnote>
  <w:footnote w:id="914">
    <w:p w14:paraId="64F34D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
        </w:smartTagPr>
        <w:r>
          <w:t>§1.1411-10(e)(1)(i)</w:t>
        </w:r>
      </w:smartTag>
      <w:r>
        <w:t xml:space="preserve"> requires the upward adjustment for individuals and Reg. </w:t>
      </w:r>
      <w:smartTag w:uri="http://www.bna.com/sgml2word/cite" w:element="cite.cfr">
        <w:smartTagPr>
          <w:attr w:name="ref" w:val="cfr\26\1.1411-10(e)(2)(i)"/>
        </w:smartTagPr>
        <w:r>
          <w:t>§1.1411-10(e)(2)(i)</w:t>
        </w:r>
      </w:smartTag>
      <w:r>
        <w:t xml:space="preserve"> requires the upward adjustment for estates and trusts. </w:t>
      </w:r>
    </w:p>
  </w:footnote>
  <w:footnote w:id="915">
    <w:p w14:paraId="65039BDB" w14:textId="77777777" w:rsidR="00494B49" w:rsidRDefault="00494B49">
      <w:pPr>
        <w:pStyle w:val="FootnoteText"/>
      </w:pPr>
      <w:r>
        <w:rPr>
          <w:rStyle w:val="FootnoteReference"/>
        </w:rPr>
        <w:footnoteRef/>
      </w:r>
      <w:r>
        <w:t xml:space="preserve">An Excess Distribution within the meaning of </w:t>
      </w:r>
      <w:smartTag w:uri="http://www.bna.com/sgml2word/cite" w:element="cite.usc">
        <w:smartTagPr>
          <w:attr w:name="ref" w:val="USC\26\1291(b)"/>
        </w:smartTagPr>
        <w:r>
          <w:t>§1291(b)</w:t>
        </w:r>
      </w:smartTag>
      <w:r>
        <w:t xml:space="preserve"> (which includes both distributions and gains).</w:t>
      </w:r>
    </w:p>
  </w:footnote>
  <w:footnote w:id="916">
    <w:p w14:paraId="567EFC32" w14:textId="77777777" w:rsidR="00494B49" w:rsidRDefault="00494B49">
      <w:pPr>
        <w:pStyle w:val="FootnoteText"/>
      </w:pPr>
      <w:r>
        <w:rPr>
          <w:rStyle w:val="FootnoteReference"/>
        </w:rPr>
        <w:footnoteRef/>
      </w:r>
      <w:r>
        <w:t xml:space="preserve">As a structural matter, Reg. </w:t>
      </w:r>
      <w:smartTag w:uri="http://www.bna.com/sgml2word/cite" w:element="cite.cfr">
        <w:smartTagPr>
          <w:attr w:name="ref" w:val="cfr\26\1.1411-10(e)(1)(i)"/>
        </w:smartTagPr>
        <w:r>
          <w:t>§1.1411-10(e)(1)(i)</w:t>
        </w:r>
      </w:smartTag>
      <w:r>
        <w:t xml:space="preserve"> and </w:t>
      </w:r>
      <w:smartTag w:uri="http://www.bna.com/sgml2word/cite" w:element="cite.cfr">
        <w:smartTagPr>
          <w:attr w:name="ref" w:val="cfr\26\1.1411-10(e)(2)(i)"/>
        </w:smartTagPr>
        <w:r>
          <w:t>§1.1411-10(e)(2)(i)</w:t>
        </w:r>
      </w:smartTag>
      <w:r>
        <w:t xml:space="preserve"> refer to (1) net investment income described in Reg. </w:t>
      </w:r>
      <w:smartTag w:uri="http://www.bna.com/sgml2word/cite" w:element="cite.cfr">
        <w:smartTagPr>
          <w:attr w:name="ref" w:val="CFR\26\1.1411-10(c)(1)(ii)"/>
        </w:smartTagPr>
        <w:r>
          <w:t>§1.1411-10(c)(1)(ii)</w:t>
        </w:r>
      </w:smartTag>
      <w:r>
        <w:t xml:space="preserve"> (which includes </w:t>
      </w:r>
      <w:smartTag w:uri="http://www.bna.com/sgml2word/cite" w:element="cite.usc">
        <w:smartTagPr>
          <w:attr w:name="ref" w:val="USC\26\316"/>
        </w:smartTagPr>
        <w:r>
          <w:t>§316</w:t>
        </w:r>
      </w:smartTag>
      <w:r>
        <w:t xml:space="preserve">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§1411(c)(1)(A)(i)</w:t>
        </w:r>
      </w:smartTag>
      <w:r>
        <w:t xml:space="preserve">, and (2) net investment income described in Reg. </w:t>
      </w:r>
      <w:smartTag w:uri="http://www.bna.com/sgml2word/cite" w:element="cite.cfr">
        <w:smartTagPr>
          <w:attr w:name="ref" w:val="cfr\26\1.1411-10(c)(2)(i)"/>
        </w:smartTagPr>
        <w:r>
          <w:t>§1.1411-10(c)(2)(i)</w:t>
        </w:r>
      </w:smartTag>
      <w:r>
        <w:t xml:space="preserve"> (which includes gain from the disposition of a </w:t>
      </w:r>
      <w:smartTag w:uri="http://www.bna.com/sgml2word/cite" w:element="cite.usc">
        <w:smartTagPr>
          <w:attr w:name="ref" w:val="USC\26\1291"/>
        </w:smartTagPr>
        <w:r>
          <w:t>§1291</w:t>
        </w:r>
      </w:smartTag>
      <w:r>
        <w:t xml:space="preserve"> Funds) as net investment income as “net gain” under </w:t>
      </w:r>
      <w:smartTag w:uri="http://www.bna.com/sgml2word/cite" w:element="cite.usc">
        <w:smartTagPr>
          <w:attr w:name="ref" w:val="USC\26\1411(c)(1)(A)(iii)"/>
        </w:smartTagPr>
        <w:r>
          <w:t>§1411(c)(1)(A)(iii)</w:t>
        </w:r>
      </w:smartTag>
      <w:r>
        <w:t xml:space="preserve">). </w:t>
      </w:r>
    </w:p>
  </w:footnote>
  <w:footnote w:id="917">
    <w:p w14:paraId="609DE99F" w14:textId="77777777" w:rsidR="00494B49" w:rsidRDefault="00494B49">
      <w:pPr>
        <w:pStyle w:val="FootnoteText"/>
      </w:pPr>
      <w:r>
        <w:rPr>
          <w:rStyle w:val="FootnoteReference"/>
        </w:rPr>
        <w:footnoteRef/>
      </w:r>
      <w:r>
        <w:t xml:space="preserve">The amount of income that is treated as from current year earnings is simply a dividend from a C corporation includible in net investment income under </w:t>
      </w:r>
      <w:smartTag w:uri="http://www.bna.com/sgml2word/cite" w:element="cite.usc">
        <w:smartTagPr>
          <w:attr w:name="ref" w:val="USC\26\1411(c)(1)(A)(i)"/>
        </w:smartTagPr>
        <w:r>
          <w:t>§1411(c)(1)(A)(i)</w:t>
        </w:r>
      </w:smartTag>
      <w:r>
        <w:t xml:space="preserve">. Reg. </w:t>
      </w:r>
      <w:smartTag w:uri="http://www.bna.com/sgml2word/cite" w:element="cite.cfr">
        <w:smartTagPr>
          <w:attr w:name="ref" w:val="cfr\26\1.1411-10(c)(1)"/>
        </w:smartTagPr>
        <w:r>
          <w:t>§1.1411-10(c)(1)</w:t>
        </w:r>
      </w:smartTag>
      <w:r>
        <w:t>.</w:t>
      </w:r>
    </w:p>
  </w:footnote>
  <w:footnote w:id="918">
    <w:p w14:paraId="25186256" w14:textId="77777777" w:rsidR="00494B49" w:rsidRDefault="00494B49">
      <w:pPr>
        <w:pStyle w:val="FootnoteText"/>
      </w:pPr>
      <w:r>
        <w:rPr>
          <w:rStyle w:val="FootnoteReference"/>
        </w:rPr>
        <w:footnoteRef/>
      </w:r>
      <w:smartTag w:uri="http://www.bna.com/sgml2word/cite" w:element="cite.usc">
        <w:smartTagPr>
          <w:attr w:name="ref" w:val="USC\26\1291(a)(2)"/>
        </w:smartTagPr>
        <w:r>
          <w:t>§1291(a)(2)</w:t>
        </w:r>
      </w:smartTag>
      <w:r>
        <w:t xml:space="preserve">. </w:t>
      </w:r>
    </w:p>
  </w:footnote>
  <w:footnote w:id="919">
    <w:p w14:paraId="33815476" w14:textId="77777777" w:rsidR="00494B49" w:rsidRDefault="00494B49">
      <w:pPr>
        <w:pStyle w:val="FootnoteText"/>
      </w:pPr>
      <w:r>
        <w:rPr>
          <w:rStyle w:val="FootnoteReference"/>
        </w:rPr>
        <w:footnoteRef/>
      </w:r>
      <w:r>
        <w:t xml:space="preserve">The gain that is not an excess distribution is simply gain from the disposition of C corporation stock. Reg. </w:t>
      </w:r>
      <w:smartTag w:uri="http://www.bna.com/sgml2word/cite" w:element="cite.cfr">
        <w:smartTagPr>
          <w:attr w:name="ref" w:val="cfr\26\1.1411-10(c)(2)(i)"/>
        </w:smartTagPr>
        <w:r>
          <w:t>§1.1411-10(c)(2)(i)</w:t>
        </w:r>
      </w:smartTag>
      <w:r>
        <w:t xml:space="preserve"> provides that gains treated as excess distributions under </w:t>
      </w:r>
      <w:smartTag w:uri="http://www.bna.com/sgml2word/cite" w:element="cite.usc">
        <w:smartTagPr>
          <w:attr w:name="ref" w:val="USC\26\1291(a)(2)"/>
        </w:smartTagPr>
        <w:r>
          <w:t>§1291(a)(2)</w:t>
        </w:r>
      </w:smartTag>
      <w:r>
        <w:t xml:space="preserve"> are included in determining net gain attributable to the disposition of property for purposes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w:t>
      </w:r>
    </w:p>
  </w:footnote>
  <w:footnote w:id="920">
    <w:p w14:paraId="0391F6D5"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951(b)"/>
        </w:smartTagPr>
        <w:r>
          <w:t>§951(b)</w:t>
        </w:r>
      </w:smartTag>
      <w:r>
        <w:t>.</w:t>
      </w:r>
    </w:p>
  </w:footnote>
  <w:footnote w:id="921">
    <w:p w14:paraId="11B6F331" w14:textId="77777777" w:rsidR="00494B49" w:rsidRDefault="00494B49">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 However, there are instances in which </w:t>
      </w:r>
      <w:smartTag w:uri="http://www.bna.com/sgml2word/cite" w:element="cite.usc">
        <w:smartTagPr>
          <w:attr w:name="ref" w:val="USC\26\951"/>
        </w:smartTagPr>
        <w:r>
          <w:t>§951</w:t>
        </w:r>
      </w:smartTag>
      <w:r>
        <w:t xml:space="preserve"> inclusions have been considered dividends. </w:t>
      </w:r>
      <w:r>
        <w:rPr>
          <w:i/>
        </w:rPr>
        <w:t>See</w:t>
      </w:r>
      <w:r>
        <w:t xml:space="preserve"> </w:t>
      </w:r>
      <w:smartTag w:uri="http://www.bna.com/sgml2word/cite" w:element="cite.agency.doc">
        <w:smartTagPr>
          <w:attr w:name="ref" w:val="IRS\PLR\8819034"/>
        </w:smartTagPr>
        <w:r>
          <w:t>PLR 8819034</w:t>
        </w:r>
      </w:smartTag>
      <w:r>
        <w:t xml:space="preserve">, </w:t>
      </w:r>
      <w:smartTag w:uri="http://www.bna.com/sgml2word/cite" w:element="cite.agency.doc">
        <w:smartTagPr>
          <w:attr w:name="ref" w:val="IRS\PLR\8836037"/>
        </w:smartTagPr>
        <w:r>
          <w:t>PLR 8836037</w:t>
        </w:r>
      </w:smartTag>
      <w:r>
        <w:t xml:space="preserve">, </w:t>
      </w:r>
      <w:smartTag w:uri="http://www.bna.com/sgml2word/cite" w:element="cite.agency.doc">
        <w:smartTagPr>
          <w:attr w:name="ref" w:val="IRS\PLR\8922047"/>
        </w:smartTagPr>
        <w:r>
          <w:t>PLR 8922047</w:t>
        </w:r>
      </w:smartTag>
      <w:r>
        <w:t xml:space="preserve">, </w:t>
      </w:r>
      <w:smartTag w:uri="http://www.bna.com/sgml2word/cite" w:element="cite.agency.doc">
        <w:smartTagPr>
          <w:attr w:name="ref" w:val="IRS\PLR\9024026"/>
        </w:smartTagPr>
        <w:r>
          <w:t>PLR 9024026</w:t>
        </w:r>
      </w:smartTag>
      <w:r>
        <w:t xml:space="preserve">, </w:t>
      </w:r>
      <w:smartTag w:uri="http://www.bna.com/sgml2word/cite" w:element="cite.agency.doc">
        <w:smartTagPr>
          <w:attr w:name="ref" w:val="IRS\PLR\9024086"/>
        </w:smartTagPr>
        <w:r>
          <w:t>PLR 9024086</w:t>
        </w:r>
      </w:smartTag>
      <w:r>
        <w:t xml:space="preserve">, </w:t>
      </w:r>
      <w:smartTag w:uri="http://www.bna.com/sgml2word/cite" w:element="cite.agency.doc">
        <w:smartTagPr>
          <w:attr w:name="ref" w:val="IRS\PLR\9027051"/>
        </w:smartTagPr>
        <w:r>
          <w:t>PLR 9027051</w:t>
        </w:r>
      </w:smartTag>
      <w:r>
        <w:t xml:space="preserve">, </w:t>
      </w:r>
      <w:smartTag w:uri="http://www.bna.com/sgml2word/cite" w:element="cite.agency.doc">
        <w:smartTagPr>
          <w:attr w:name="ref" w:val="IRS\PLR\9407007"/>
        </w:smartTagPr>
        <w:r>
          <w:t>PLR 9407007</w:t>
        </w:r>
      </w:smartTag>
      <w:r>
        <w:t xml:space="preserve">, </w:t>
      </w:r>
      <w:smartTag w:uri="http://www.bna.com/sgml2word/cite" w:element="cite.agency.doc">
        <w:smartTagPr>
          <w:attr w:name="ref" w:val="IRS\PLR\201430017"/>
        </w:smartTagPr>
        <w:r>
          <w:t>PLR 201430017</w:t>
        </w:r>
      </w:smartTag>
      <w:r>
        <w:t xml:space="preserve"> (relating to treatment of </w:t>
      </w:r>
      <w:smartTag w:uri="http://www.bna.com/sgml2word/cite" w:element="cite.usc">
        <w:smartTagPr>
          <w:attr w:name="ref" w:val="USC\26\951"/>
        </w:smartTagPr>
        <w:r>
          <w:t>§951</w:t>
        </w:r>
      </w:smartTag>
      <w:r>
        <w:t xml:space="preserve"> inclusions for UBTI purposes); </w:t>
      </w:r>
      <w:smartTag w:uri="http://www.bna.com/sgml2word/cite" w:element="cite.agency.doc">
        <w:smartTagPr>
          <w:attr w:name="ref" w:val="IRS\GCM\39153"/>
        </w:smartTagPr>
        <w:r>
          <w:t>GCM 39153</w:t>
        </w:r>
      </w:smartTag>
      <w:r>
        <w:t xml:space="preserve"> (relating to E&amp;P paid out in current tax year treated as dividends). </w:t>
      </w:r>
    </w:p>
  </w:footnote>
  <w:footnote w:id="922">
    <w:p w14:paraId="329C5FEA" w14:textId="77777777" w:rsidR="00494B49" w:rsidRDefault="00494B49">
      <w:pPr>
        <w:pStyle w:val="FootnoteText"/>
      </w:pPr>
      <w:r>
        <w:rPr>
          <w:rStyle w:val="FootnoteReference"/>
        </w:rPr>
        <w:footnoteRef/>
      </w:r>
      <w:r>
        <w:t xml:space="preserve">The parenthetical is supported by Reg. </w:t>
      </w:r>
      <w:smartTag w:uri="http://www.bna.com/sgml2word/cite" w:element="cite.cfr">
        <w:smartTagPr>
          <w:attr w:name="ref" w:val="cfr\26\1.1411-10(b)"/>
        </w:smartTagPr>
        <w:r>
          <w:t>§1.1411-10(b)</w:t>
        </w:r>
      </w:smartTag>
      <w:r>
        <w:t>, discussed below.</w:t>
      </w:r>
    </w:p>
  </w:footnote>
  <w:footnote w:id="923">
    <w:p w14:paraId="341867EE"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reflected this same premise. In response to the 2012 Proposed Regulations, commentators recommended that the final regulations treat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a)(1)"/>
        </w:smartTagPr>
        <w:r>
          <w:t>§1293(a)(1)</w:t>
        </w:r>
      </w:smartTag>
      <w:r>
        <w:t xml:space="preserve"> inclusions) as dividends for purposes of </w:t>
      </w:r>
      <w:smartTag w:uri="http://www.bna.com/sgml2word/cite" w:element="cite.usc">
        <w:smartTagPr>
          <w:attr w:name="ref" w:val="USC\26\1411"/>
        </w:smartTagPr>
        <w:r>
          <w:t>§1411</w:t>
        </w:r>
      </w:smartTag>
      <w:r>
        <w:t xml:space="preserve"> (without regard to any election by the taxpayer), rather than treating the distributions of previously taxed E&amp;P attributable to </w:t>
      </w:r>
      <w:smartTag w:uri="http://www.bna.com/sgml2word/cite" w:element="cite.usc">
        <w:smartTagPr>
          <w:attr w:name="ref" w:val="USC\26\951"/>
        </w:smartTagPr>
        <w:r>
          <w:t>§951</w:t>
        </w:r>
      </w:smartTag>
      <w:r>
        <w:t xml:space="preserve"> inclusions (which were included in Chapter 1 income in a tax year beginning after December 31, 2012) as dividends. The commentators stated that the rules in the 2012 Proposed Regulations applicable to CFCs and QEFs when an election under Reg. </w:t>
      </w:r>
      <w:smartTag w:uri="http://www.bna.com/sgml2word/cite" w:element="cite.cfr">
        <w:smartTagPr>
          <w:attr w:name="ref" w:val="cfr\26\1.1411-10(g)"/>
        </w:smartTagPr>
        <w:r>
          <w:t>§1.1411-10(g)</w:t>
        </w:r>
      </w:smartTag>
      <w:r>
        <w:t xml:space="preserve"> is not in effect are unduly complicated and impose significant administrative burdens on taxpayers. A commentator also recommended modifying the regulations to generally impose </w:t>
      </w:r>
      <w:smartTag w:uri="http://www.bna.com/sgml2word/cite" w:element="cite.usc">
        <w:smartTagPr>
          <w:attr w:name="ref" w:val="USC\26\1411"/>
        </w:smartTagPr>
        <w:r>
          <w:t>§1411</w:t>
        </w:r>
      </w:smartTag>
      <w:r>
        <w:t xml:space="preserve"> when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are taxed for purposes of Chapter 1, and permit taxpayers to elect to defer such tax until the distribution of the E&amp;P that previously were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In promulgating the 2013 Final Regulations, the Treasury Department and the IRS did not adopt the commentators’ recommendations to treat </w:t>
      </w:r>
      <w:smartTag w:uri="http://www.bna.com/sgml2word/cite" w:element="cite.usc">
        <w:smartTagPr>
          <w:attr w:name="ref" w:val="USC\26\951"/>
        </w:smartTagPr>
        <w:r>
          <w:t>§951</w:t>
        </w:r>
      </w:smartTag>
      <w:r>
        <w:t xml:space="preserve"> inclusions as dividends for purposes of </w:t>
      </w:r>
      <w:smartTag w:uri="http://www.bna.com/sgml2word/cite" w:element="cite.usc">
        <w:smartTagPr>
          <w:attr w:name="ref" w:val="USC\26\1411"/>
        </w:smartTagPr>
        <w:r>
          <w:t>§1411</w:t>
        </w:r>
      </w:smartTag>
      <w:r>
        <w:t xml:space="preserve">. As stated in the preamble to the 2012 Proposed Regulations, and reiterated in the preamble to the 2013 Final Regulations, the Treasury Department and IRS stated that </w:t>
      </w:r>
      <w:smartTag w:uri="http://www.bna.com/sgml2word/cite" w:element="cite.usc">
        <w:smartTagPr>
          <w:attr w:name="ref" w:val="USC\26\951"/>
        </w:smartTagPr>
        <w:r>
          <w:t>§951</w:t>
        </w:r>
      </w:smartTag>
      <w:r>
        <w:t xml:space="preserve"> inclusions are not treated as dividends except when expressly provided for in the Code (citing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Because </w:t>
      </w:r>
      <w:smartTag w:uri="http://www.bna.com/sgml2word/cite" w:element="cite.usc">
        <w:smartTagPr>
          <w:attr w:name="ref" w:val="USC\26\1411"/>
        </w:smartTagPr>
        <w:r>
          <w:t>§1411</w:t>
        </w:r>
      </w:smartTag>
      <w:r>
        <w:t xml:space="preserve"> does not provide a special rule or a special grant of legislative regulation writing authority (similar to that in </w:t>
      </w:r>
      <w:smartTag w:uri="http://www.bna.com/sgml2word/cite" w:element="cite.usc">
        <w:smartTagPr>
          <w:attr w:name="ref" w:val="USC\26\469(l)"/>
        </w:smartTagPr>
        <w:r>
          <w:t>§469(l)</w:t>
        </w:r>
      </w:smartTag>
      <w:r>
        <w:t xml:space="preserve">), the treatment was necessitated under the cannons of statutory construction and could not be overcome by the Treasury Department and the IRS’s interpretative regulation promulgation authority under </w:t>
      </w:r>
      <w:smartTag w:uri="http://www.bna.com/sgml2word/cite" w:element="cite.usc">
        <w:smartTagPr>
          <w:attr w:name="ref" w:val="USC\26\7805"/>
        </w:smartTagPr>
        <w:r>
          <w:t>§7805</w:t>
        </w:r>
      </w:smartTag>
      <w:r>
        <w:t>.</w:t>
      </w:r>
    </w:p>
  </w:footnote>
  <w:footnote w:id="924">
    <w:p w14:paraId="2757D9B9" w14:textId="77777777" w:rsidR="00494B49" w:rsidRDefault="00494B49">
      <w:pPr>
        <w:pStyle w:val="FootnoteText"/>
      </w:pPr>
      <w:r>
        <w:rPr>
          <w:rStyle w:val="FootnoteReference"/>
        </w:rPr>
        <w:footnoteRef/>
      </w:r>
      <w:r>
        <w:t xml:space="preserve">More precisely, the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 xml:space="preserve">. </w:t>
      </w:r>
    </w:p>
  </w:footnote>
  <w:footnote w:id="925">
    <w:p w14:paraId="704853E3" w14:textId="77777777" w:rsidR="00494B49" w:rsidRDefault="00494B49">
      <w:pPr>
        <w:pStyle w:val="FootnoteText"/>
      </w:pPr>
      <w:r>
        <w:rPr>
          <w:rStyle w:val="FootnoteReference"/>
        </w:rPr>
        <w:footnoteRef/>
      </w:r>
      <w:r>
        <w:t xml:space="preserve">Although the cutoff based on December 31, 2012, is the same as the effective date of </w:t>
      </w:r>
      <w:smartTag w:uri="http://www.bna.com/sgml2word/cite" w:element="cite.usc">
        <w:smartTagPr>
          <w:attr w:name="ref" w:val="USC\26\1411"/>
        </w:smartTagPr>
        <w:r>
          <w:t>§1411</w:t>
        </w:r>
      </w:smartTag>
      <w:r>
        <w:t xml:space="preserve">, it excludes all previously earned E&amp;P. This would not be the case for an ordinary corporation. </w:t>
      </w:r>
    </w:p>
  </w:footnote>
  <w:footnote w:id="926">
    <w:p w14:paraId="21C728D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c)(1)(i)(B)"/>
        </w:smartTagPr>
        <w:r>
          <w:t>§1.1411-10(c)(1)(i)(B)</w:t>
        </w:r>
      </w:smartTag>
      <w:r>
        <w:t xml:space="preserve">. </w:t>
      </w:r>
    </w:p>
  </w:footnote>
  <w:footnote w:id="927">
    <w:p w14:paraId="7075D5C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ii)"/>
        </w:smartTagPr>
        <w:r>
          <w:t>§1.1411-10(e)(1)(iii)</w:t>
        </w:r>
      </w:smartTag>
      <w:r>
        <w:t xml:space="preserve"> and </w:t>
      </w:r>
      <w:smartTag w:uri="http://www.bna.com/sgml2word/cite" w:element="cite.cfr">
        <w:smartTagPr>
          <w:attr w:name="ref" w:val="cfr\26\1.1411-10(e)(2)(iii)"/>
        </w:smartTagPr>
        <w:r>
          <w:t>§1.1411-10(e)(2)(iii)</w:t>
        </w:r>
      </w:smartTag>
      <w:r>
        <w:t xml:space="preserve">. </w:t>
      </w:r>
    </w:p>
  </w:footnote>
  <w:footnote w:id="928">
    <w:p w14:paraId="73973D2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 xml:space="preserve">. Taking into account the effective date of </w:t>
      </w:r>
      <w:smartTag w:uri="http://www.bna.com/sgml2word/cite" w:element="cite.usc">
        <w:smartTagPr>
          <w:attr w:name="ref" w:val="USC\26\1411"/>
        </w:smartTagPr>
        <w:r>
          <w:t>§1411</w:t>
        </w:r>
      </w:smartTag>
      <w:r>
        <w:t xml:space="preserve"> and the administrative burdens that would be imposed if taxpayers were required to reconstruct the tax basis of their CFC or QEF stock (and any intermediate entities) to eliminate the basis adjustments associated with pre-effective-date income inclusions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the regulations provide a limit on the treatment of distributions of previously taxed earnings and profits (E&amp;P) of a CFC or QEF as dividends for NIIT purposes. This is conceptually similar to the cut-off for corporations for E&amp;P earned before February 28, 1913 in </w:t>
      </w:r>
      <w:smartTag w:uri="http://www.bna.com/sgml2word/cite" w:element="cite.usc">
        <w:smartTagPr>
          <w:attr w:name="ref" w:val="USC\26\316(a)(2)"/>
        </w:smartTagPr>
        <w:r>
          <w:t>§316(a)(2)</w:t>
        </w:r>
      </w:smartTag>
      <w:r>
        <w:t>.</w:t>
      </w:r>
    </w:p>
  </w:footnote>
  <w:footnote w:id="929">
    <w:p w14:paraId="0C12302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w:t>
      </w:r>
    </w:p>
  </w:footnote>
  <w:footnote w:id="930">
    <w:p w14:paraId="30CD1A8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 xml:space="preserve">. Thus, this classification of distributions as net investment income or non-net-investment income is separate from, and in addition to, the allocation of distributions to previously taxed E&amp;P that are described in </w:t>
      </w:r>
      <w:smartTag w:uri="http://www.bna.com/sgml2word/cite" w:element="cite.usc">
        <w:smartTagPr>
          <w:attr w:name="ref" w:val="USC\26\959(c)(1)"/>
        </w:smartTagPr>
        <w:r>
          <w:t>§959(c)(1)</w:t>
        </w:r>
      </w:smartTag>
      <w:r>
        <w:t xml:space="preserve"> and </w:t>
      </w:r>
      <w:smartTag w:uri="http://www.bna.com/sgml2word/cite" w:element="cite.usc">
        <w:smartTagPr>
          <w:attr w:name="ref" w:val="USC\26\959(c)(2)"/>
        </w:smartTagPr>
        <w:r>
          <w:t>§959(c)(2)</w:t>
        </w:r>
      </w:smartTag>
      <w:r>
        <w:t>.</w:t>
      </w:r>
    </w:p>
  </w:footnote>
  <w:footnote w:id="931">
    <w:p w14:paraId="4780BF1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 </w:t>
      </w:r>
    </w:p>
  </w:footnote>
  <w:footnote w:id="932">
    <w:p w14:paraId="313062E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w:t>
      </w:r>
    </w:p>
  </w:footnote>
  <w:footnote w:id="933">
    <w:p w14:paraId="284DEC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i)"/>
        </w:smartTagPr>
        <w:r>
          <w:t>§1.1411-10(e)(1)(ii)</w:t>
        </w:r>
      </w:smartTag>
      <w:r>
        <w:t xml:space="preserve">, </w:t>
      </w:r>
      <w:smartTag w:uri="http://www.bna.com/sgml2word/cite" w:element="cite.cfr">
        <w:smartTagPr>
          <w:attr w:name="ref" w:val="cfr\26\1.1411-10(e)(2)(ii)"/>
        </w:smartTagPr>
        <w:r>
          <w:t>§1.1411-10(e)(2)(ii)</w:t>
        </w:r>
      </w:smartTag>
      <w:r>
        <w:t xml:space="preserve">. </w:t>
      </w:r>
    </w:p>
  </w:footnote>
  <w:footnote w:id="934">
    <w:p w14:paraId="507EEAF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A)"/>
        </w:smartTagPr>
        <w:r>
          <w:t>§1.1411-10(d)(1)(i)(A)</w:t>
        </w:r>
      </w:smartTag>
      <w:r>
        <w:t xml:space="preserve">. </w:t>
      </w:r>
    </w:p>
  </w:footnote>
  <w:footnote w:id="935">
    <w:p w14:paraId="3007FDD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B)"/>
        </w:smartTagPr>
        <w:r>
          <w:t>§1.1411-10(d)(1)(i)(B)</w:t>
        </w:r>
      </w:smartTag>
      <w:r>
        <w:t>.</w:t>
      </w:r>
    </w:p>
  </w:footnote>
  <w:footnote w:id="936">
    <w:p w14:paraId="3DA0DB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also causes adjustments to the basis in S corporation, partnerships and common trust funds.</w:t>
      </w:r>
    </w:p>
  </w:footnote>
  <w:footnote w:id="937">
    <w:p w14:paraId="5F0C97F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w:t>
      </w:r>
    </w:p>
  </w:footnote>
  <w:footnote w:id="938">
    <w:p w14:paraId="012DB68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
        </w:smartTagPr>
        <w:r>
          <w:t>§1.1411-10(d)(1)(i)</w:t>
        </w:r>
      </w:smartTag>
      <w:r>
        <w:t>.</w:t>
      </w:r>
    </w:p>
  </w:footnote>
  <w:footnote w:id="939">
    <w:p w14:paraId="51BFC81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0">
    <w:p w14:paraId="456CB21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1">
    <w:p w14:paraId="75F7F796" w14:textId="77777777" w:rsidR="00494B49" w:rsidRDefault="00494B49">
      <w:pPr>
        <w:pStyle w:val="FootnoteText"/>
      </w:pPr>
      <w:r>
        <w:rPr>
          <w:rStyle w:val="FootnoteReference"/>
        </w:rPr>
        <w:footnoteRef/>
      </w:r>
      <w:r>
        <w:t xml:space="preserve">The basis adjustments are only required when a taxpayer CFC or QEF is governed by Reg. </w:t>
      </w:r>
      <w:smartTag w:uri="http://www.bna.com/sgml2word/cite" w:element="cite.cfr">
        <w:smartTagPr>
          <w:attr w:name="ref" w:val="cfr\26\1.1411-10(c)"/>
        </w:smartTagPr>
        <w:r>
          <w:t>§1.1411-10(c)</w:t>
        </w:r>
      </w:smartTag>
      <w:r>
        <w:t xml:space="preserve">, and the MAGI adjustments largely key off the Reg. </w:t>
      </w:r>
      <w:smartTag w:uri="http://www.bna.com/sgml2word/cite" w:element="cite.cfr">
        <w:smartTagPr>
          <w:attr w:name="ref" w:val="cfr\26\1.1411-10(c)"/>
        </w:smartTagPr>
        <w:r>
          <w:t>§1.1411-10(c)</w:t>
        </w:r>
      </w:smartTag>
      <w:r>
        <w:t xml:space="preserve"> rules. </w:t>
      </w:r>
      <w:r>
        <w:rPr>
          <w:i/>
        </w:rPr>
        <w:t>See</w:t>
      </w:r>
      <w:r>
        <w:t xml:space="preserve"> Reg. </w:t>
      </w:r>
      <w:smartTag w:uri="http://www.bna.com/sgml2word/cite" w:element="cite.cfr">
        <w:smartTagPr>
          <w:attr w:name="ref" w:val="cfr\26\1.1411-10(c)(1)(i)(A)(1)"/>
        </w:smartTagPr>
        <w:r>
          <w:t>§1.1411-10(c)(1)(i)(A)(1)</w:t>
        </w:r>
      </w:smartTag>
      <w:r>
        <w:t xml:space="preserve"> (“Except as otherwise provided … with respect to stock of a CFC or QEF for which an election under paragraph (g) of this section is</w:t>
      </w:r>
      <w:r>
        <w:rPr>
          <w:i/>
        </w:rPr>
        <w:t xml:space="preserve"> not in effect</w:t>
      </w:r>
      <w:r>
        <w:t xml:space="preserve">” [emphasis added]); Reg. </w:t>
      </w:r>
      <w:smartTag w:uri="http://www.bna.com/sgml2word/cite" w:element="cite.cfr">
        <w:smartTagPr>
          <w:attr w:name="ref" w:val="cfr\26\1.1411-10(e)(1)(iii)"/>
        </w:smartTagPr>
        <w:r>
          <w:t>§1.1411-10(e)(1)(iii)</w:t>
        </w:r>
      </w:smartTag>
      <w:r>
        <w:t xml:space="preserve"> (“Decreased by any amount included in gross income for Chapter 1 purposes under </w:t>
      </w:r>
      <w:smartTag w:uri="http://www.bna.com/sgml2word/cite" w:element="cite.usc">
        <w:smartTagPr>
          <w:attr w:name="ref" w:val="USC\26\951(a)"/>
        </w:smartTagPr>
        <w:r>
          <w:t>section 951(a)</w:t>
        </w:r>
      </w:smartTag>
      <w:r>
        <w:t xml:space="preserve"> or </w:t>
      </w:r>
      <w:smartTag w:uri="http://www.bna.com/sgml2word/cite" w:element="cite.usc">
        <w:smartTagPr>
          <w:attr w:name="ref" w:val="USC\26\1293(a)"/>
        </w:smartTagPr>
        <w:r>
          <w:t>section 1293(a)</w:t>
        </w:r>
      </w:smartTag>
      <w:r>
        <w:t xml:space="preserve"> attributable to a CFC or QEF with respect</w:t>
      </w:r>
      <w:r>
        <w:rPr>
          <w:i/>
        </w:rPr>
        <w:t xml:space="preserve"> to which no election under paragraph (g) of this section is in effect</w:t>
      </w:r>
      <w:r>
        <w:t xml:space="preserve">” [emphasis added]). </w:t>
      </w:r>
    </w:p>
  </w:footnote>
  <w:footnote w:id="942">
    <w:p w14:paraId="44E22549" w14:textId="77777777" w:rsidR="00494B49" w:rsidRDefault="00494B49">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943">
    <w:p w14:paraId="32BD3BA9" w14:textId="77777777" w:rsidR="00494B49" w:rsidRDefault="00494B49">
      <w:pPr>
        <w:pStyle w:val="FootnoteText"/>
      </w:pPr>
      <w:r>
        <w:rPr>
          <w:rStyle w:val="FootnoteReference"/>
        </w:rPr>
        <w:footnoteRef/>
      </w:r>
      <w:r>
        <w:t>Recall, as originally included in the 2012 Proposed Regulations (</w:t>
      </w:r>
      <w:smartTag w:uri="http://www.bna.com/sgml2word/cite" w:element="cite.agency.doc">
        <w:smartTagPr>
          <w:attr w:name="ref" w:val="irs\nprm\REG-130507-11"/>
        </w:smartTagPr>
        <w:r>
          <w:t>REG-130507-11</w:t>
        </w:r>
      </w:smartTag>
      <w:r>
        <w:t xml:space="preserve">), a </w:t>
      </w:r>
      <w:smartTag w:uri="http://www.bna.com/sgml2word/cite" w:element="cite.cfr">
        <w:smartTagPr>
          <w:attr w:name="ref" w:val="cfr\26\1.1411-10(g)"/>
        </w:smartTagPr>
        <w:r>
          <w:t>10(g)</w:t>
        </w:r>
      </w:smartTag>
      <w:r>
        <w:t xml:space="preserve"> Election, once made, would have applied to all interests in CFCs and PFICs, including CFCs and PFICs subsequently acquired by the electing taxpayer.</w:t>
      </w:r>
    </w:p>
  </w:footnote>
  <w:footnote w:id="944">
    <w:p w14:paraId="20A689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A)"/>
        </w:smartTagPr>
        <w:r>
          <w:t>§1.1411-10(g)(4)(i)(A)</w:t>
        </w:r>
      </w:smartTag>
      <w:r>
        <w:t xml:space="preserve">. </w:t>
      </w:r>
    </w:p>
  </w:footnote>
  <w:footnote w:id="945">
    <w:p w14:paraId="2FF8BBA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A)"/>
        </w:smartTagPr>
        <w:r>
          <w:t>§1.1411-10(g)(4)(iii)(A)</w:t>
        </w:r>
      </w:smartTag>
      <w:r>
        <w:t xml:space="preserve">. </w:t>
      </w:r>
    </w:p>
  </w:footnote>
  <w:footnote w:id="946">
    <w:p w14:paraId="7444853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A)"/>
        </w:smartTagPr>
        <w:r>
          <w:t>§1.1411-10(g)(4)(i)(A)</w:t>
        </w:r>
      </w:smartTag>
      <w:r>
        <w:t>.</w:t>
      </w:r>
    </w:p>
  </w:footnote>
  <w:footnote w:id="947">
    <w:p w14:paraId="03B7264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
        </w:smartTagPr>
        <w:r>
          <w:t>§1.1411-10(g)(4)(ii)</w:t>
        </w:r>
      </w:smartTag>
      <w:r>
        <w:t>.</w:t>
      </w:r>
    </w:p>
  </w:footnote>
  <w:footnote w:id="948">
    <w:p w14:paraId="244484E1" w14:textId="77777777" w:rsidR="00494B49" w:rsidRDefault="00494B49">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w:t>
      </w:r>
      <w:smartTag w:uri="http://www.bna.com/sgml2word/cite" w:element="cite.cfr">
        <w:smartTagPr>
          <w:attr w:name="ref" w:val="cfr\26\1.1411-10(g)"/>
        </w:smartTagPr>
        <w:r>
          <w:t>10(g)</w:t>
        </w:r>
      </w:smartTag>
      <w:r>
        <w:t xml:space="preserve"> election.</w:t>
      </w:r>
    </w:p>
  </w:footnote>
  <w:footnote w:id="949">
    <w:p w14:paraId="73AA74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w:t>
      </w:r>
    </w:p>
  </w:footnote>
  <w:footnote w:id="950">
    <w:p w14:paraId="6D4C8D8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 Note, however, that if the entity holding the CFC or QEF directly is an S corporation, this sentence does not apply because partnerships and common trust funds are not eligible S corporation shareholders.</w:t>
      </w:r>
    </w:p>
  </w:footnote>
  <w:footnote w:id="951">
    <w:p w14:paraId="2CDEA0C1" w14:textId="77777777" w:rsidR="00494B49" w:rsidRDefault="00494B49">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affirmative consent statement.</w:t>
      </w:r>
    </w:p>
  </w:footnote>
  <w:footnote w:id="952">
    <w:p w14:paraId="73C9D9D0" w14:textId="77777777" w:rsidR="00494B49" w:rsidRDefault="00494B49">
      <w:pPr>
        <w:pStyle w:val="FootnoteText"/>
      </w:pPr>
      <w:r>
        <w:rPr>
          <w:rStyle w:val="FootnoteReference"/>
        </w:rPr>
        <w:footnoteRef/>
      </w:r>
      <w:r>
        <w:t>In this context, negative consent was accomplished by telling the partners, shareholders, and participants that the entity was going to make the 10(g) Election and giving them a certain time limit within which to object. If no owner formally objected, they were deemed to consent.</w:t>
      </w:r>
    </w:p>
  </w:footnote>
  <w:footnote w:id="953">
    <w:p w14:paraId="21B5E844" w14:textId="77777777" w:rsidR="00494B49" w:rsidRDefault="00494B49">
      <w:pPr>
        <w:pStyle w:val="FootnoteText"/>
      </w:pPr>
      <w:r>
        <w:rPr>
          <w:rStyle w:val="FootnoteReference"/>
        </w:rPr>
        <w:footnoteRef/>
      </w: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include a sample blanket election.</w:t>
      </w:r>
    </w:p>
  </w:footnote>
  <w:footnote w:id="954">
    <w:p w14:paraId="5A9C3B2A" w14:textId="77777777" w:rsidR="00494B49" w:rsidRDefault="00494B49">
      <w:pPr>
        <w:pStyle w:val="FootnoteText"/>
      </w:pPr>
      <w:r>
        <w:rPr>
          <w:rStyle w:val="FootnoteReference"/>
        </w:rPr>
        <w:footnoteRef/>
      </w:r>
      <w:r>
        <w:t xml:space="preserve">The outside basis adjustment rules simply require an upward or downward adjustment to the outside basis of an S corporation, partnership, or common trust fund. The regulations do not provide additional guidance on the collateral effects of those adjustments. For example, a distribution in excess of basis for regular tax may not be for NIIT purposes, or vise versa. In the partnership context, the difference in tax basis could result in different </w:t>
      </w:r>
      <w:smartTag w:uri="http://www.bna.com/sgml2word/cite" w:element="cite.usc">
        <w:smartTagPr>
          <w:attr w:name="ref" w:val="USC\26\743"/>
        </w:smartTagPr>
        <w:r>
          <w:t>§743</w:t>
        </w:r>
      </w:smartTag>
      <w:r>
        <w:t xml:space="preserve"> or </w:t>
      </w:r>
      <w:smartTag w:uri="http://www.bna.com/sgml2word/cite" w:element="cite.usc">
        <w:smartTagPr>
          <w:attr w:name="ref" w:val="usc\26\734"/>
        </w:smartTagPr>
        <w:r>
          <w:t>§734</w:t>
        </w:r>
      </w:smartTag>
      <w:r>
        <w:t xml:space="preserve"> adjustments, and also could result in different </w:t>
      </w:r>
      <w:smartTag w:uri="http://www.bna.com/sgml2word/cite" w:element="cite.usc">
        <w:smartTagPr>
          <w:attr w:name="ref" w:val="usc\26\704"/>
        </w:smartTagPr>
        <w:r>
          <w:t>§704</w:t>
        </w:r>
      </w:smartTag>
      <w:r>
        <w:t xml:space="preserve"> allocations. In the S corporation context, the stock basis could be different between the two systems giving rise to an issue where a shareholder's debt basis in an S corporation could absorb a loss for regular tax purposes, but the shareholder still has stock basis for NIIT purposes. The result could be a repayment of debt having regular income tax consequences that differ for NIIT purposes. These are only examples of identified issues with the basis adjustment, the universe of unknown issues may be much larger.</w:t>
      </w:r>
    </w:p>
  </w:footnote>
  <w:footnote w:id="955">
    <w:p w14:paraId="3696988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For a discussion of the NIIT treatment of estates and trusts, see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footnote>
  <w:footnote w:id="956">
    <w:p w14:paraId="4A65ED20" w14:textId="77777777" w:rsidR="00494B49" w:rsidRDefault="00494B49">
      <w:pPr>
        <w:pStyle w:val="FootnoteText"/>
      </w:pPr>
      <w:r>
        <w:rPr>
          <w:rStyle w:val="FootnoteReference"/>
        </w:rPr>
        <w:footnoteRef/>
      </w:r>
      <w:r>
        <w:t xml:space="preserve">For a full discussion of </w:t>
      </w:r>
      <w:smartTag w:uri="http://www.bna.com/sgml2word/cite" w:element="cite.usc">
        <w:smartTagPr>
          <w:attr w:name="ref" w:val="usc\26\965"/>
        </w:smartTagPr>
        <w:r>
          <w:t>§965</w:t>
        </w:r>
      </w:smartTag>
      <w:r>
        <w:t xml:space="preserve">, see </w:t>
      </w:r>
      <w:smartTag w:uri="http://www.bna.com/sgml2word/cite" w:element="cite.bna.reference">
        <w:smartTagPr>
          <w:attr w:name="bna.id.ref" w:val="TM\6280"/>
        </w:smartTagPr>
        <w:r>
          <w:t>6280</w:t>
        </w:r>
      </w:smartTag>
      <w:r>
        <w:t xml:space="preserve"> T.M., </w:t>
      </w:r>
      <w:r>
        <w:rPr>
          <w:i/>
        </w:rPr>
        <w:t>CFCs — Sections 959–965 and 1248</w:t>
      </w:r>
      <w:r>
        <w:t xml:space="preserve"> (Foreign Income Series).</w:t>
      </w:r>
    </w:p>
  </w:footnote>
  <w:footnote w:id="957">
    <w:p w14:paraId="4346B10D" w14:textId="77777777" w:rsidR="00494B49" w:rsidRDefault="00494B49">
      <w:pPr>
        <w:pStyle w:val="FootnoteText"/>
      </w:pPr>
      <w:r>
        <w:rPr>
          <w:rStyle w:val="FootnoteReference"/>
        </w:rPr>
        <w:footnoteRef/>
      </w:r>
      <w:smartTag w:uri="http://www.bna.com/sgml2word/cite" w:element="cite.agency.doc">
        <w:smartTagPr>
          <w:attr w:name="ref" w:val="IRS\Notice\2018-26"/>
        </w:smartTagPr>
        <w:r>
          <w:t>Notice 2018-26</w:t>
        </w:r>
      </w:smartTag>
      <w:r>
        <w:t xml:space="preserve">, §3.06. The Treasury Department and IRS have broad regulatory authority under </w:t>
      </w:r>
      <w:smartTag w:uri="http://www.bna.com/sgml2word/cite" w:element="cite.usc">
        <w:smartTagPr>
          <w:attr w:name="ref" w:val="usc\26\965"/>
        </w:smartTagPr>
        <w:r>
          <w:t>§965</w:t>
        </w:r>
      </w:smartTag>
      <w:r>
        <w:t xml:space="preserve"> to issue regulations, however, and apparently they have become somewhat comfortable that </w:t>
      </w:r>
      <w:smartTag w:uri="http://www.bna.com/sgml2word/cite" w:element="cite.usc">
        <w:smartTagPr>
          <w:attr w:name="ref" w:val="usc\26\965(c)"/>
        </w:smartTagPr>
        <w:r>
          <w:t>§965(c)</w:t>
        </w:r>
      </w:smartTag>
      <w:r>
        <w:t xml:space="preserve"> is somehow a deduction described in </w:t>
      </w:r>
      <w:smartTag w:uri="http://www.bna.com/sgml2word/cite" w:element="cite.usc">
        <w:smartTagPr>
          <w:attr w:name="ref" w:val="USC\26\62"/>
        </w:smartTagPr>
        <w:r>
          <w:t>§62</w:t>
        </w:r>
      </w:smartTag>
      <w:r>
        <w:t xml:space="preserve">, despite the fact that the author cannot think of any other deduction allowed by the Code for an individual shareholder of a corporation that is covered by </w:t>
      </w:r>
      <w:smartTag w:uri="http://www.bna.com/sgml2word/cite" w:element="cite.usc">
        <w:smartTagPr>
          <w:attr w:name="ref" w:val="USC\26\62"/>
        </w:smartTagPr>
        <w:r>
          <w:t>§62</w:t>
        </w:r>
      </w:smartTag>
      <w:r>
        <w:t>.</w:t>
      </w:r>
    </w:p>
  </w:footnote>
  <w:footnote w:id="958">
    <w:p w14:paraId="0A03240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
        </w:smartTagPr>
        <w:r>
          <w:t>§1.1411-4(f)(2)(ii)</w:t>
        </w:r>
      </w:smartTag>
      <w:r>
        <w:t xml:space="preserve">. </w:t>
      </w:r>
    </w:p>
  </w:footnote>
  <w:footnote w:id="959">
    <w:p w14:paraId="358AE8E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
        </w:smartTagPr>
        <w:r>
          <w:t>§1.1411-4(f)(2)(i)</w:t>
        </w:r>
      </w:smartTag>
      <w:r>
        <w:t>.</w:t>
      </w:r>
    </w:p>
  </w:footnote>
  <w:footnote w:id="960">
    <w:p w14:paraId="2D14D7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961">
    <w:p w14:paraId="13A117C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above.</w:t>
      </w:r>
    </w:p>
  </w:footnote>
  <w:footnote w:id="962">
    <w:p w14:paraId="261AE4EC" w14:textId="77777777" w:rsidR="00494B49" w:rsidRDefault="00494B49">
      <w:pPr>
        <w:pStyle w:val="FootnoteText"/>
      </w:pPr>
      <w:r>
        <w:rPr>
          <w:rStyle w:val="FootnoteReference"/>
        </w:rPr>
        <w:footnoteRef/>
      </w:r>
      <w:r>
        <w:t xml:space="preserve">The rarity was largely due to the rate differences between individuals and corporations that made </w:t>
      </w:r>
      <w:smartTag w:uri="http://www.bna.com/sgml2word/cite" w:element="cite.usc">
        <w:smartTagPr>
          <w:attr w:name="ref" w:val="usc\26\962"/>
        </w:smartTagPr>
        <w:r>
          <w:t>§962</w:t>
        </w:r>
      </w:smartTag>
      <w:r>
        <w:t xml:space="preserve"> elections relatively uneconomical unless there were material amounts of indirect foreign tax credits in the calculation.</w:t>
      </w:r>
    </w:p>
  </w:footnote>
  <w:footnote w:id="963">
    <w:p w14:paraId="70CCF637" w14:textId="77777777" w:rsidR="00494B49" w:rsidRDefault="00494B49">
      <w:pPr>
        <w:pStyle w:val="FootnoteText"/>
      </w:pPr>
      <w:r>
        <w:rPr>
          <w:rStyle w:val="FootnoteReference"/>
        </w:rPr>
        <w:footnoteRef/>
      </w:r>
      <w:smartTag w:uri="http://www.bna.com/sgml2word/cite" w:element="cite.usc">
        <w:smartTagPr>
          <w:attr w:name="ref" w:val="usc\26\962"/>
        </w:smartTagPr>
        <w:r>
          <w:t>Section 962</w:t>
        </w:r>
      </w:smartTag>
      <w:r>
        <w:t xml:space="preserve"> was enacted during the Kennedy administration, along with the remaining subpart F income rules. In enacting the provision, Congress recognized a need to create parity in the treatment of individuals who conduct foreign operations through directly held foreign corporations and those who do so indirectly through a domestic corporation.</w:t>
      </w:r>
    </w:p>
  </w:footnote>
  <w:footnote w:id="964">
    <w:p w14:paraId="020E9CF0" w14:textId="77777777" w:rsidR="00494B49" w:rsidRDefault="00494B49">
      <w:pPr>
        <w:pStyle w:val="FootnoteText"/>
      </w:pPr>
      <w:r>
        <w:rPr>
          <w:rStyle w:val="FootnoteReference"/>
        </w:rPr>
        <w:footnoteRef/>
      </w:r>
      <w:hyperlink r:id="rId14" w:history="1">
        <w:r>
          <w:rPr>
            <w:rStyle w:val="Hyperlink"/>
          </w:rPr>
          <w:t>2021 Instructions for Form 1040</w:t>
        </w:r>
      </w:hyperlink>
      <w:r>
        <w:t>.</w:t>
      </w:r>
    </w:p>
  </w:footnote>
  <w:footnote w:id="965">
    <w:p w14:paraId="05A74788" w14:textId="77777777" w:rsidR="00494B49" w:rsidRDefault="00494B49">
      <w:pPr>
        <w:pStyle w:val="FootnoteText"/>
      </w:pPr>
      <w:r>
        <w:rPr>
          <w:rStyle w:val="FootnoteReference"/>
        </w:rPr>
        <w:footnoteRef/>
      </w:r>
      <w:r>
        <w:t>Whether the dividend is a qualified dividend or nonqualified dividend income is determined based on the jurisdiction of the CFC. Such a determination is not relevant for NIIT purposes, and thus is beyond the scope of this Portfolio.</w:t>
      </w:r>
    </w:p>
  </w:footnote>
  <w:footnote w:id="966">
    <w:p w14:paraId="7D6FE38D" w14:textId="77777777" w:rsidR="00494B49" w:rsidRDefault="00494B49">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MAGI to be increased for these amounts.</w:t>
      </w:r>
    </w:p>
  </w:footnote>
  <w:footnote w:id="967">
    <w:p w14:paraId="4879A36E" w14:textId="77777777" w:rsidR="00494B49" w:rsidRDefault="00494B49">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net investment income to be increased for these amounts.</w:t>
      </w:r>
    </w:p>
  </w:footnote>
  <w:footnote w:id="968">
    <w:p w14:paraId="7D7F9065" w14:textId="77777777" w:rsidR="00494B49" w:rsidRDefault="00494B49">
      <w:pPr>
        <w:pStyle w:val="FootnoteText"/>
      </w:pPr>
      <w:r>
        <w:rPr>
          <w:rStyle w:val="FootnoteReference"/>
        </w:rPr>
        <w:footnoteRef/>
      </w:r>
      <w:r>
        <w:rPr>
          <w:i/>
        </w:rPr>
        <w:t>See</w:t>
      </w:r>
      <w:r>
        <w:t xml:space="preserve"> Jt. Comm. on Tax’n, </w:t>
      </w:r>
      <w:r>
        <w:rPr>
          <w:i/>
        </w:rPr>
        <w:t>General Explanation of Tax Legislation Enacted in the 111th Congress</w:t>
      </w:r>
      <w:r>
        <w:t xml:space="preserve"> (JCS-2-11) (Mar. 24, 2011), at 364. See also </w:t>
      </w:r>
      <w:smartTag w:uri="http://www.bna.com/sgml2word/cite" w:element="cite.usc">
        <w:smartTagPr>
          <w:attr w:name="ref" w:val="USC\26\164(f)"/>
        </w:smartTagPr>
        <w:r>
          <w:t>§164(f)</w:t>
        </w:r>
      </w:smartTag>
      <w:r>
        <w:t xml:space="preserve">, which allows an above-the-line deduction for a portion of the self-employment tax. There is no corresponding provision in </w:t>
      </w:r>
      <w:smartTag w:uri="http://www.bna.com/sgml2word/cite" w:element="cite.usc">
        <w:smartTagPr>
          <w:attr w:name="ref" w:val="USC\26\164"/>
        </w:smartTagPr>
        <w:r>
          <w:t>§164</w:t>
        </w:r>
      </w:smartTag>
      <w:r>
        <w:t xml:space="preserve"> for the tax imposed by </w:t>
      </w:r>
      <w:smartTag w:uri="http://www.bna.com/sgml2word/cite" w:element="cite.usc">
        <w:smartTagPr>
          <w:attr w:name="ref" w:val="USC\26\1411"/>
        </w:smartTagPr>
        <w:r>
          <w:t>§1411</w:t>
        </w:r>
      </w:smartTag>
      <w:r>
        <w:t>.</w:t>
      </w:r>
    </w:p>
  </w:footnote>
  <w:footnote w:id="969">
    <w:p w14:paraId="21D35FF0" w14:textId="77777777" w:rsidR="00494B49" w:rsidRDefault="00494B49">
      <w:pPr>
        <w:pStyle w:val="FootnoteText"/>
      </w:pPr>
      <w:r>
        <w:rPr>
          <w:rStyle w:val="FootnoteReference"/>
        </w:rPr>
        <w:footnoteRef/>
      </w:r>
      <w:r>
        <w:t xml:space="preserve">The Joint Committee on Taxation in 2011 stated that “[i]n the case of an individual, estate, or trust an unearned income Medicare contribution tax is imposed. No provision is made for the transfer of the tax imposed by this provision from the General Fund of the United States Treasury to any Trust Fund.” </w:t>
      </w:r>
      <w:r>
        <w:rPr>
          <w:i/>
        </w:rPr>
        <w:t>See</w:t>
      </w:r>
      <w:r>
        <w:t xml:space="preserve"> Jt. Comm. on Tax’n, </w:t>
      </w:r>
      <w:r>
        <w:rPr>
          <w:i/>
        </w:rPr>
        <w:t>General Explanation of Tax Legislation Enacted in the 111th Congress</w:t>
      </w:r>
      <w:r>
        <w:t xml:space="preserve"> (JCS-2-11) (Mar. 24, 2011), at 363; </w:t>
      </w:r>
      <w:r>
        <w:rPr>
          <w:i/>
        </w:rPr>
        <w:t>see also</w:t>
      </w:r>
      <w:r>
        <w:t xml:space="preserve"> Jt. Comm. on Tax’n, </w:t>
      </w:r>
      <w:r>
        <w:rPr>
          <w:i/>
        </w:rPr>
        <w:t>Description of the Social Security Tax Base</w:t>
      </w:r>
      <w:r>
        <w:t xml:space="preserve"> (JCX-36-11) (June 21, 2011), at 24.</w:t>
      </w:r>
    </w:p>
  </w:footnote>
  <w:footnote w:id="970">
    <w:p w14:paraId="45144DBC" w14:textId="77777777" w:rsidR="00494B49" w:rsidRDefault="00494B49">
      <w:pPr>
        <w:pStyle w:val="FootnoteText"/>
      </w:pPr>
      <w:r>
        <w:rPr>
          <w:rStyle w:val="FootnoteReference"/>
        </w:rPr>
        <w:footnoteRef/>
      </w:r>
      <w:r>
        <w:t xml:space="preserve">For a more detailed discussion of Totalization Agreements in the context of the NIIT, see </w:t>
      </w:r>
      <w:smartTag w:uri="http://www.bna.com/sgml2word/cite" w:element="cite.bna.reference">
        <w:smartTagPr>
          <w:attr w:name="bna.id.ref" w:val="TM\511.X.C.2"/>
        </w:smartTagPr>
        <w:r>
          <w:t>X.C.2.</w:t>
        </w:r>
      </w:smartTag>
      <w:smartTag w:uri="http://www.bna.com/sgml2word/cite" w:element="cite.bna.reference">
        <w:smartTagPr>
          <w:attr w:name="bna.id.ref" w:val="TM\873.X.C.2"/>
        </w:smartTagPr>
        <w:r>
          <w:t>X.C.2.</w:t>
        </w:r>
      </w:smartTag>
      <w:r>
        <w:t>, below.</w:t>
      </w:r>
    </w:p>
  </w:footnote>
  <w:footnote w:id="971">
    <w:p w14:paraId="36F6ED1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c)(1)"/>
        </w:smartTagPr>
        <w:r>
          <w:t>§1.1411-2(c)(1)</w:t>
        </w:r>
      </w:smartTag>
      <w:r>
        <w:t xml:space="preserve">. </w:t>
      </w:r>
    </w:p>
  </w:footnote>
  <w:footnote w:id="972">
    <w:p w14:paraId="39F1F28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2(c)(2)"/>
        </w:smartTagPr>
        <w:r>
          <w:t>§1.1411-2(c)(2)</w:t>
        </w:r>
      </w:smartTag>
      <w:r>
        <w:t xml:space="preserve"> and </w:t>
      </w:r>
      <w:smartTag w:uri="http://www.bna.com/sgml2word/cite" w:element="cite.cfr">
        <w:smartTagPr>
          <w:attr w:name="ref" w:val="cfr\26\1.1411-10(e)"/>
        </w:smartTagPr>
        <w:r>
          <w:t>§1.1411-10(e)</w:t>
        </w:r>
      </w:smartTag>
      <w:r>
        <w:t xml:space="preserve">. Corresponding adjustments to MAGI are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973">
    <w:p w14:paraId="11F306B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1(b)(2)(A)"/>
        </w:smartTagPr>
        <w:r>
          <w:t>§1401(b)(2)(A)</w:t>
        </w:r>
      </w:smartTag>
      <w:r>
        <w:t xml:space="preserve"> and </w:t>
      </w:r>
      <w:smartTag w:uri="http://www.bna.com/sgml2word/cite" w:element="cite.usc">
        <w:smartTagPr>
          <w:attr w:name="ref" w:val="USC\26\3101(b)(2)"/>
        </w:smartTagPr>
        <w:r>
          <w:t>§3101(b)(2)</w:t>
        </w:r>
      </w:smartTag>
      <w:r>
        <w:t>.</w:t>
      </w:r>
    </w:p>
  </w:footnote>
  <w:footnote w:id="974">
    <w:p w14:paraId="33550E6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d)(2)(i)"/>
        </w:smartTagPr>
        <w:r>
          <w:t>§1.1411-2(d)(2)(i)</w:t>
        </w:r>
      </w:smartTag>
      <w:r>
        <w:t>.</w:t>
      </w:r>
    </w:p>
  </w:footnote>
  <w:footnote w:id="975">
    <w:p w14:paraId="6116EF58" w14:textId="77777777" w:rsidR="00494B49" w:rsidRDefault="00494B49">
      <w:pPr>
        <w:pStyle w:val="FootnoteText"/>
      </w:pPr>
      <w:r>
        <w:rPr>
          <w:rStyle w:val="FootnoteReference"/>
        </w:rPr>
        <w:footnoteRef/>
      </w:r>
      <w:r>
        <w:t xml:space="preserve">The taxpayer’s federal income tax is the tax computed on the annualized taxable income by multiplying the taxable income for the short period by 12 and dividing the result by the number of months in the short period. </w:t>
      </w:r>
      <w:r>
        <w:rPr>
          <w:i/>
        </w:rPr>
        <w:t>See</w:t>
      </w:r>
      <w:r>
        <w:t xml:space="preserve"> </w:t>
      </w:r>
      <w:smartTag w:uri="http://www.bna.com/sgml2word/cite" w:element="cite.usc">
        <w:smartTagPr>
          <w:attr w:name="ref" w:val="USC\26\442"/>
        </w:smartTagPr>
        <w:r>
          <w:t>§442</w:t>
        </w:r>
      </w:smartTag>
      <w:r>
        <w:t xml:space="preserve"> and </w:t>
      </w:r>
      <w:smartTag w:uri="http://www.bna.com/sgml2word/cite" w:element="cite.usc">
        <w:smartTagPr>
          <w:attr w:name="ref" w:val="USC\26\443(b)(1)"/>
        </w:smartTagPr>
        <w:r>
          <w:t>§443(b)(1)</w:t>
        </w:r>
      </w:smartTag>
      <w:r>
        <w:t xml:space="preserve">. </w:t>
      </w:r>
    </w:p>
  </w:footnote>
  <w:footnote w:id="976">
    <w:p w14:paraId="47E8DFF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977">
    <w:p w14:paraId="4BE47D70" w14:textId="77777777" w:rsidR="00494B49" w:rsidRDefault="00494B49">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978">
    <w:p w14:paraId="17AD1DD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979">
    <w:p w14:paraId="675D6C2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A)"/>
        </w:smartTagPr>
        <w:r>
          <w:t>§1.1411-2(a)(2)(iii)(A)</w:t>
        </w:r>
      </w:smartTag>
      <w:r>
        <w:t xml:space="preserve"> and </w:t>
      </w:r>
      <w:smartTag w:uri="http://www.bna.com/sgml2word/cite" w:element="cite.cfr">
        <w:smartTagPr>
          <w:attr w:name="ref" w:val="cfr\26\1.1411-2(a)(2)(iv)(A)"/>
        </w:smartTagPr>
        <w:r>
          <w:t>§1.1411-2(a)(2)(iv)(A)</w:t>
        </w:r>
      </w:smartTag>
      <w:r>
        <w:t>.</w:t>
      </w:r>
    </w:p>
  </w:footnote>
  <w:footnote w:id="980">
    <w:p w14:paraId="060B323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1">
    <w:p w14:paraId="76915EB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2">
    <w:p w14:paraId="41EB4EF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w:t>
      </w:r>
    </w:p>
  </w:footnote>
  <w:footnote w:id="983">
    <w:p w14:paraId="7B408A3A" w14:textId="77777777" w:rsidR="00494B49" w:rsidRDefault="00494B49">
      <w:pPr>
        <w:pStyle w:val="FootnoteText"/>
      </w:pPr>
      <w:r>
        <w:rPr>
          <w:rStyle w:val="FootnoteReference"/>
        </w:rPr>
        <w:footnoteRef/>
      </w:r>
      <w:r>
        <w:rPr>
          <w:i/>
        </w:rPr>
        <w:t>See</w:t>
      </w:r>
      <w:r>
        <w:t xml:space="preserve"> </w:t>
      </w:r>
      <w:hyperlink r:id="rId15" w:history="1">
        <w:r>
          <w:rPr>
            <w:rStyle w:val="Hyperlink"/>
          </w:rPr>
          <w:t>Instructions for Form 8960</w:t>
        </w:r>
      </w:hyperlink>
      <w:r>
        <w:t xml:space="preserve">. Unlike the </w:t>
      </w:r>
      <w:smartTag w:uri="http://www.bna.com/sgml2word/cite" w:element="cite.usc">
        <w:smartTagPr>
          <w:attr w:name="ref" w:val="USC\26\6013(g)"/>
        </w:smartTagPr>
        <w:r>
          <w:t>§6013(g)</w:t>
        </w:r>
      </w:smartTag>
      <w:r>
        <w:t xml:space="preserve"> election, the 2013 version of the Form 8960 did not contain a special box to check to make the </w:t>
      </w:r>
      <w:smartTag w:uri="http://www.bna.com/sgml2word/cite" w:element="cite.usc">
        <w:smartTagPr>
          <w:attr w:name="ref" w:val="USC\26\6013(h)"/>
        </w:smartTagPr>
        <w:r>
          <w:t>§6013(h)</w:t>
        </w:r>
      </w:smartTag>
      <w:r>
        <w:t xml:space="preserve"> election. The </w:t>
      </w:r>
      <w:hyperlink r:id="rId16" w:history="1">
        <w:r>
          <w:rPr>
            <w:rStyle w:val="Hyperlink"/>
          </w:rPr>
          <w:t>Instructions for Form 8960 (2013)</w:t>
        </w:r>
      </w:hyperlink>
      <w:r>
        <w:t xml:space="preserve"> provided that, for 2013, to make that election, 2013 Form 8960 had to be completed in a manner consistent with the effect of the election (using a threshold amount of $250,000 and including the income of both spouses in MAGI and net investment income calculations). Beginning with the 2014 tax year, </w:t>
      </w:r>
      <w:smartTag w:uri="http://www.bna.com/sgml2word/cite" w:element="cite.fed.form">
        <w:smartTagPr>
          <w:attr w:name="ref" w:val="irs\form8960"/>
        </w:smartTagPr>
        <w:r>
          <w:t>Form 8960</w:t>
        </w:r>
      </w:smartTag>
      <w:r>
        <w:t xml:space="preserve"> has a check-box at the top of the form to make the </w:t>
      </w:r>
      <w:smartTag w:uri="http://www.bna.com/sgml2word/cite" w:element="cite.usc">
        <w:smartTagPr>
          <w:attr w:name="ref" w:val="USC\26\6013(h)"/>
        </w:smartTagPr>
        <w:r>
          <w:t>§6013(h)</w:t>
        </w:r>
      </w:smartTag>
      <w:r>
        <w:t xml:space="preserve"> election for NIIT purposes.</w:t>
      </w:r>
    </w:p>
  </w:footnote>
  <w:footnote w:id="984">
    <w:p w14:paraId="7603DD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 xml:space="preserve">. </w:t>
      </w:r>
    </w:p>
  </w:footnote>
  <w:footnote w:id="985">
    <w:p w14:paraId="0D6803C3" w14:textId="77777777" w:rsidR="00494B49" w:rsidRDefault="00494B49">
      <w:pPr>
        <w:pStyle w:val="FootnoteText"/>
      </w:pPr>
      <w:r>
        <w:rPr>
          <w:rStyle w:val="FootnoteReference"/>
        </w:rPr>
        <w:footnoteRef/>
      </w:r>
      <w:r>
        <w:t xml:space="preserve">Unlike the </w:t>
      </w:r>
      <w:smartTag w:uri="http://www.bna.com/sgml2word/cite" w:element="cite.usc">
        <w:smartTagPr>
          <w:attr w:name="ref" w:val="USC\26\6013(h)"/>
        </w:smartTagPr>
        <w:r>
          <w:t>§6013(h)</w:t>
        </w:r>
      </w:smartTag>
      <w:r>
        <w:t xml:space="preserve"> election, which is generally only a one-year election because both spouses will be residents or citizens at the end of the year (and following year(s) and thus will be considered Married Filing Jointly in those years irrespective of the </w:t>
      </w:r>
      <w:smartTag w:uri="http://www.bna.com/sgml2word/cite" w:element="cite.usc">
        <w:smartTagPr>
          <w:attr w:name="ref" w:val="USC\26\6013(h)"/>
        </w:smartTagPr>
        <w:r>
          <w:t>§6013(h)</w:t>
        </w:r>
      </w:smartTag>
      <w:r>
        <w:t xml:space="preserve"> election in a preceding year), the </w:t>
      </w:r>
      <w:smartTag w:uri="http://www.bna.com/sgml2word/cite" w:element="cite.usc">
        <w:smartTagPr>
          <w:attr w:name="ref" w:val="USC\26\6013(g)"/>
        </w:smartTagPr>
        <w:r>
          <w:t>§6013(g)</w:t>
        </w:r>
      </w:smartTag>
      <w:r>
        <w:t xml:space="preserve"> election is a multi-year election. </w:t>
      </w:r>
    </w:p>
  </w:footnote>
  <w:footnote w:id="986">
    <w:p w14:paraId="6A65030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7">
    <w:p w14:paraId="40318C9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8">
    <w:p w14:paraId="47EC4CE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w:t>
      </w:r>
    </w:p>
  </w:footnote>
  <w:footnote w:id="989">
    <w:p w14:paraId="4F4F53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e)"/>
        </w:smartTagPr>
        <w:r>
          <w:t>§1.1411-2(e)</w:t>
        </w:r>
      </w:smartTag>
      <w:r>
        <w:t xml:space="preserve"> cross-references Reg. </w:t>
      </w:r>
      <w:smartTag w:uri="http://www.bna.com/sgml2word/cite" w:element="cite.cfr">
        <w:smartTagPr>
          <w:attr w:name="ref" w:val="cfr\26\1.1411-1(f)"/>
        </w:smartTagPr>
        <w:r>
          <w:t>§1.1411-1(f)</w:t>
        </w:r>
      </w:smartTag>
      <w:r>
        <w:t xml:space="preserve"> which provide reliance rules for tax years beginning before January 1, 2014. </w:t>
      </w:r>
    </w:p>
  </w:footnote>
  <w:footnote w:id="990">
    <w:p w14:paraId="313E3D5A" w14:textId="77777777" w:rsidR="00494B49" w:rsidRDefault="00494B49">
      <w:pPr>
        <w:pStyle w:val="FootnoteText"/>
      </w:pPr>
      <w:r>
        <w:rPr>
          <w:rStyle w:val="FootnoteReference"/>
        </w:rPr>
        <w:footnoteRef/>
      </w:r>
      <w:r>
        <w:t xml:space="preserve">To be “subject to tax under </w:t>
      </w:r>
      <w:smartTag w:uri="http://www.bna.com/sgml2word/cite" w:element="cite.usc">
        <w:smartTagPr>
          <w:attr w:name="ref" w:val="USC\26\1411"/>
        </w:smartTagPr>
        <w:r>
          <w:t>§1411</w:t>
        </w:r>
      </w:smartTag>
      <w:r>
        <w:t xml:space="preserve">,” the U.S. taxpayer must have MAGI above the married filing separately threshold ($125,000) and must have net investment income. </w:t>
      </w:r>
    </w:p>
  </w:footnote>
  <w:footnote w:id="991">
    <w:p w14:paraId="3BC4775E" w14:textId="77777777" w:rsidR="00494B49" w:rsidRDefault="00494B49">
      <w:pPr>
        <w:pStyle w:val="FootnoteText"/>
      </w:pPr>
      <w:r>
        <w:rPr>
          <w:rStyle w:val="FootnoteReference"/>
        </w:rPr>
        <w:footnoteRef/>
      </w:r>
      <w:r>
        <w:rPr>
          <w:i/>
        </w:rPr>
        <w:t>See</w:t>
      </w:r>
      <w:r>
        <w:t xml:space="preserve"> </w:t>
      </w:r>
      <w:hyperlink r:id="rId17" w:history="1">
        <w:r>
          <w:rPr>
            <w:rStyle w:val="Hyperlink"/>
          </w:rPr>
          <w:t>Instructions for Form 8960</w:t>
        </w:r>
      </w:hyperlink>
      <w:r>
        <w:t xml:space="preserve">. </w:t>
      </w:r>
      <w:smartTag w:uri="http://www.bna.com/sgml2word/cite" w:element="cite.fed.form">
        <w:smartTagPr>
          <w:attr w:name="ref" w:val="irs\form8960"/>
        </w:smartTagPr>
        <w:r>
          <w:t>Form 8960</w:t>
        </w:r>
      </w:smartTag>
      <w:r>
        <w:t xml:space="preserve"> contains a special check-box at the top of the form to make the </w:t>
      </w:r>
      <w:smartTag w:uri="http://www.bna.com/sgml2word/cite" w:element="cite.usc">
        <w:smartTagPr>
          <w:attr w:name="ref" w:val="USC\26\6013(g)"/>
        </w:smartTagPr>
        <w:r>
          <w:t>§6013(g)</w:t>
        </w:r>
      </w:smartTag>
      <w:r>
        <w:t xml:space="preserve"> election for NIIT purposes. </w:t>
      </w:r>
    </w:p>
  </w:footnote>
  <w:footnote w:id="992">
    <w:p w14:paraId="7B242A8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 xml:space="preserve">. Although not expressly stated in the regulation text or associated regulation preamble, it is unlikely that taxpayers can avail themselves of Reg. </w:t>
      </w:r>
      <w:smartTag w:uri="http://www.bna.com/sgml2word/cite" w:element="cite.cfr">
        <w:smartTagPr>
          <w:attr w:name="ref" w:val="cfr\26\301.9100-3"/>
        </w:smartTagPr>
        <w:r>
          <w:t>§301.9100-3</w:t>
        </w:r>
      </w:smartTag>
      <w:r>
        <w:t xml:space="preserve"> relief provisions with respect to the Reg. </w:t>
      </w:r>
      <w:smartTag w:uri="http://www.bna.com/sgml2word/cite" w:element="cite.cfr">
        <w:smartTagPr>
          <w:attr w:name="ref" w:val="cfr\26\1.1411-2(a)(2)(iii)(B)"/>
        </w:smartTagPr>
        <w:r>
          <w:t>§1.1411-2(a)(2)(iii)(B)</w:t>
        </w:r>
      </w:smartTag>
      <w:r>
        <w:t xml:space="preserve"> election. First, although the </w:t>
      </w:r>
      <w:smartTag w:uri="http://www.bna.com/sgml2word/cite" w:element="cite.usc">
        <w:smartTagPr>
          <w:attr w:name="ref" w:val="USC\26\6501"/>
        </w:smartTagPr>
        <w:r>
          <w:t>§6501</w:t>
        </w:r>
      </w:smartTag>
      <w:r>
        <w:t xml:space="preserve"> limitation period is still open, the ability to make the election on an amended return is an “alternative ground for relief” within the meaning of Reg. </w:t>
      </w:r>
      <w:smartTag w:uri="http://www.bna.com/sgml2word/cite" w:element="cite.cfr">
        <w:smartTagPr>
          <w:attr w:name="ref" w:val="cfr\26\301.9100-1(d)(2)"/>
        </w:smartTagPr>
        <w:r>
          <w:t>§301.9100-1(d)(2)</w:t>
        </w:r>
      </w:smartTag>
      <w:r>
        <w:t xml:space="preserve">. Second, once the </w:t>
      </w:r>
      <w:smartTag w:uri="http://www.bna.com/sgml2word/cite" w:element="cite.usc">
        <w:smartTagPr>
          <w:attr w:name="ref" w:val="USC\26\6501"/>
        </w:smartTagPr>
        <w:r>
          <w:t>§6501</w:t>
        </w:r>
      </w:smartTag>
      <w:r>
        <w:t xml:space="preserve"> limitation period closes, the taxpayer is likely barred by reason of Reg. </w:t>
      </w:r>
      <w:smartTag w:uri="http://www.bna.com/sgml2word/cite" w:element="cite.cfr">
        <w:smartTagPr>
          <w:attr w:name="ref" w:val="cfr\26\301.9100-3(c)(1)(ii)"/>
        </w:smartTagPr>
        <w:r>
          <w:t>§301.9100-3(c)(1)(ii)</w:t>
        </w:r>
      </w:smartTag>
      <w:r>
        <w:t xml:space="preserve"> (prejudice to the interest of the government due to closed tax years). </w:t>
      </w:r>
    </w:p>
  </w:footnote>
  <w:footnote w:id="993">
    <w:p w14:paraId="3580BE5C" w14:textId="77777777" w:rsidR="00494B49" w:rsidRDefault="00494B49">
      <w:pPr>
        <w:pStyle w:val="FootnoteText"/>
      </w:pPr>
      <w:r>
        <w:rPr>
          <w:rStyle w:val="FootnoteReference"/>
        </w:rPr>
        <w:footnoteRef/>
      </w:r>
      <w:r>
        <w:t xml:space="preserve">In this case, the amended return eliminates eligibility under Reg. </w:t>
      </w:r>
      <w:smartTag w:uri="http://www.bna.com/sgml2word/cite" w:element="cite.cfr">
        <w:smartTagPr>
          <w:attr w:name="ref" w:val="cfr\26\1.1411-2(a)(2)(iii)(B)(2)"/>
        </w:smartTagPr>
        <w:r>
          <w:t>§1.1411-2(a)(2)(iii)(B)(2)</w:t>
        </w:r>
      </w:smartTag>
      <w:r>
        <w:t xml:space="preserve"> to make the election. </w:t>
      </w:r>
    </w:p>
  </w:footnote>
  <w:footnote w:id="994">
    <w:p w14:paraId="27139B2D" w14:textId="77777777" w:rsidR="00494B49" w:rsidRDefault="00494B49">
      <w:pPr>
        <w:pStyle w:val="FootnoteText"/>
      </w:pPr>
      <w:r>
        <w:rPr>
          <w:rStyle w:val="FootnoteReference"/>
        </w:rPr>
        <w:footnoteRef/>
      </w:r>
      <w:r>
        <w:t xml:space="preserve">If a taxpayer has made an election and this rule applies, the regulations require the taxpayer to make “appropriate adjustments to properly reflect the ineffective election.” In this context, the phrase “appropriate adjustments to properly reflect the ineffective election” is requiring taxpayers to file amended returns in future years consistent with the ineffective election. </w:t>
      </w:r>
    </w:p>
  </w:footnote>
  <w:footnote w:id="995">
    <w:p w14:paraId="3634D95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 xml:space="preserve">. </w:t>
      </w:r>
    </w:p>
  </w:footnote>
  <w:footnote w:id="996">
    <w:p w14:paraId="24822609" w14:textId="77777777" w:rsidR="00494B49" w:rsidRDefault="00494B49">
      <w:pPr>
        <w:pStyle w:val="FootnoteText"/>
      </w:pPr>
      <w:r>
        <w:rPr>
          <w:rStyle w:val="FootnoteReference"/>
        </w:rPr>
        <w:footnoteRef/>
      </w:r>
      <w:r>
        <w:t>In this context, the phrase “appropriate adjustments to properly reflect the ineffective election” essentially requires the taxpayer to file amended returns consistent with the ineffective election.</w:t>
      </w:r>
    </w:p>
  </w:footnote>
  <w:footnote w:id="997">
    <w:p w14:paraId="2FF9FBC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w:t>
      </w:r>
    </w:p>
  </w:footnote>
  <w:footnote w:id="998">
    <w:p w14:paraId="243D4A0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999">
    <w:p w14:paraId="5E4DB99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 </w:t>
      </w:r>
    </w:p>
  </w:footnote>
  <w:footnote w:id="1000">
    <w:p w14:paraId="66D6E2C0" w14:textId="77777777" w:rsidR="00494B49" w:rsidRDefault="00494B49">
      <w:pPr>
        <w:pStyle w:val="FootnoteText"/>
      </w:pPr>
      <w:r>
        <w:rPr>
          <w:rStyle w:val="FootnoteReference"/>
        </w:rPr>
        <w:footnoteRef/>
      </w:r>
      <w:r>
        <w:rPr>
          <w:i/>
        </w:rPr>
        <w:t>See</w:t>
      </w:r>
      <w:r>
        <w:t xml:space="preserve"> Preamble, 2013 Final Regulations (T.D. </w:t>
      </w:r>
      <w:smartTag w:uri="http://www.bna.com/sgml2word/cite" w:element="cite.agency.doc">
        <w:smartTagPr>
          <w:attr w:name="ref" w:val="IRS\PREAMBLE\TD9644"/>
        </w:smartTagPr>
        <w:r>
          <w:t>9644</w:t>
        </w:r>
      </w:smartTag>
      <w:r>
        <w:t xml:space="preserve">), Part 3.B.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001">
    <w:p w14:paraId="5CC5BF5B"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937(a)"/>
        </w:smartTagPr>
        <w:r>
          <w:t>§937(a)</w:t>
        </w:r>
      </w:smartTag>
      <w:r>
        <w:t xml:space="preserve">. Reg. </w:t>
      </w:r>
      <w:smartTag w:uri="http://www.bna.com/sgml2word/cite" w:element="cite.cfr">
        <w:smartTagPr>
          <w:attr w:name="ref" w:val="cfr\26\1.1411-2(a)(2)(vi)(C)(1)"/>
        </w:smartTagPr>
        <w:r>
          <w:t>§1.1411-2(a)(2)(vi)(C)(1)</w:t>
        </w:r>
      </w:smartTag>
      <w:r>
        <w:t>.</w:t>
      </w:r>
    </w:p>
  </w:footnote>
  <w:footnote w:id="1002">
    <w:p w14:paraId="294AFD92" w14:textId="77777777" w:rsidR="00494B49" w:rsidRDefault="00494B49">
      <w:pPr>
        <w:pStyle w:val="FootnoteText"/>
      </w:pPr>
      <w:r>
        <w:rPr>
          <w:rStyle w:val="FootnoteReference"/>
        </w:rPr>
        <w:footnoteRef/>
      </w:r>
      <w:r>
        <w:t xml:space="preserve">For purposes of </w:t>
      </w:r>
      <w:smartTag w:uri="http://www.bna.com/sgml2word/cite" w:element="cite.usc">
        <w:smartTagPr>
          <w:attr w:name="ref" w:val="USC\26\1411"/>
        </w:smartTagPr>
        <w:r>
          <w:t>§1411</w:t>
        </w:r>
      </w:smartTag>
      <w:r>
        <w:t xml:space="preserve">, the term “U.S. territories” refers to American Samoa, Guam, the Northern Mariana Islands, Puerto Rico, and the United States Virgin Islands. Reg. </w:t>
      </w:r>
      <w:smartTag w:uri="http://www.bna.com/sgml2word/cite" w:element="cite.cfr">
        <w:smartTagPr>
          <w:attr w:name="ref" w:val="cfr\26\1.1411-2(a)(2)(vi)(C)(2)"/>
        </w:smartTagPr>
        <w:r>
          <w:t>§1.1411-2(a)(2)(vi)(C)(2)</w:t>
        </w:r>
      </w:smartTag>
      <w:r>
        <w:t>.</w:t>
      </w:r>
    </w:p>
  </w:footnote>
  <w:footnote w:id="1003">
    <w:p w14:paraId="3CEE9904" w14:textId="77777777" w:rsidR="00494B49" w:rsidRDefault="00494B49">
      <w:pPr>
        <w:pStyle w:val="FootnoteText"/>
      </w:pPr>
      <w:r>
        <w:rPr>
          <w:rStyle w:val="FootnoteReference"/>
        </w:rPr>
        <w:footnoteRef/>
      </w:r>
      <w:r>
        <w:t>In general, a Mirror Code exists when the income tax laws of a U.S. territory are generally identical to the Internal Revenue Code (except for the substitution of the name of the relevant territory for the term “United States” where appropriate).</w:t>
      </w:r>
    </w:p>
  </w:footnote>
  <w:footnote w:id="1004">
    <w:p w14:paraId="2870F32A" w14:textId="77777777" w:rsidR="00494B49" w:rsidRDefault="00494B49">
      <w:pPr>
        <w:pStyle w:val="FootnoteText"/>
      </w:pPr>
      <w:r>
        <w:rPr>
          <w:rStyle w:val="FootnoteReference"/>
        </w:rPr>
        <w:footnoteRef/>
      </w:r>
      <w:r>
        <w:rPr>
          <w:i/>
        </w:rPr>
        <w:t>See generally</w:t>
      </w:r>
      <w:r>
        <w:t xml:space="preserve"> </w:t>
      </w:r>
      <w:smartTag w:uri="http://www.bna.com/sgml2word/cite" w:element="cite.usc">
        <w:smartTagPr>
          <w:attr w:name="ref" w:val="USC\26\932"/>
        </w:smartTagPr>
        <w:r>
          <w:t>§932</w:t>
        </w:r>
      </w:smartTag>
      <w:r>
        <w:t xml:space="preserve">, </w:t>
      </w:r>
      <w:smartTag w:uri="http://www.bna.com/sgml2word/cite" w:element="cite.usc">
        <w:smartTagPr>
          <w:attr w:name="ref" w:val="USC\26\934"/>
        </w:smartTagPr>
        <w:r>
          <w:t>§934</w:t>
        </w:r>
      </w:smartTag>
      <w:r>
        <w:t xml:space="preserve">, and </w:t>
      </w:r>
      <w:smartTag w:uri="http://www.bna.com/sgml2word/cite" w:element="cite.usc">
        <w:smartTagPr>
          <w:attr w:name="ref" w:val="USC\26\935"/>
        </w:smartTagPr>
        <w:r>
          <w:t>§935</w:t>
        </w:r>
      </w:smartTag>
      <w:r>
        <w:t>.</w:t>
      </w:r>
    </w:p>
  </w:footnote>
  <w:footnote w:id="1005">
    <w:p w14:paraId="102D5B6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06">
    <w:p w14:paraId="3717C998"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932(c)(3)"/>
        </w:smartTagPr>
        <w:r>
          <w:t>§932(c)(3)</w:t>
        </w:r>
      </w:smartTag>
      <w:r>
        <w:t xml:space="preserve"> (“In the case of an individual to whom this subsection applies in a tax year for purposes of so much of this title (other than this section and </w:t>
      </w:r>
      <w:smartTag w:uri="http://www.bna.com/sgml2word/cite" w:element="cite.usc">
        <w:smartTagPr>
          <w:attr w:name="ref" w:val="USC\26\7654"/>
        </w:smartTagPr>
        <w:r>
          <w:t>section 7654</w:t>
        </w:r>
      </w:smartTag>
      <w:r>
        <w:t>) as relates to the taxes imposed by this Chapter, the Virgin Islands shall be treated as including the United States.” (Emphasis added.))</w:t>
      </w:r>
    </w:p>
  </w:footnote>
  <w:footnote w:id="1007">
    <w:p w14:paraId="269DA3E3" w14:textId="77777777" w:rsidR="00494B49" w:rsidRDefault="00494B49">
      <w:pPr>
        <w:pStyle w:val="FootnoteText"/>
      </w:pPr>
      <w:r>
        <w:rPr>
          <w:rStyle w:val="FootnoteReference"/>
        </w:rPr>
        <w:footnoteRef/>
      </w:r>
      <w:r>
        <w:rPr>
          <w:i/>
        </w:rPr>
        <w:t>See also</w:t>
      </w:r>
      <w:r>
        <w:t xml:space="preserve"> </w:t>
      </w:r>
      <w:smartTag w:uri="http://www.bna.com/sgml2word/cite" w:element="cite.agency.doc">
        <w:smartTagPr>
          <w:attr w:name="ref" w:val="irs\publication\570"/>
        </w:smartTagPr>
        <w:r>
          <w:t>IRS Pub. 570</w:t>
        </w:r>
      </w:smartTag>
      <w:r>
        <w:t xml:space="preserve">, </w:t>
      </w:r>
      <w:r>
        <w:rPr>
          <w:i/>
        </w:rPr>
        <w:t>Tax Guide for Individuals With Income From U.S. Possessions</w:t>
      </w:r>
      <w:r>
        <w:t xml:space="preserve"> (bona fide residents of the CNMI, Guam, and the U.S. Virgin Islands should contact their local territorial tax department for guidance on the possible mirrored application of the NIIT in these jurisdictions).</w:t>
      </w:r>
    </w:p>
  </w:footnote>
  <w:footnote w:id="1008">
    <w:p w14:paraId="08A502E0" w14:textId="77777777" w:rsidR="00494B49" w:rsidRDefault="00494B49">
      <w:pPr>
        <w:pStyle w:val="FootnoteText"/>
      </w:pPr>
      <w:r>
        <w:rPr>
          <w:rStyle w:val="FootnoteReference"/>
        </w:rPr>
        <w:footnoteRef/>
      </w:r>
      <w:smartTag w:uri="http://www.bna.com/sgml2word/cite" w:element="cite.usc">
        <w:smartTagPr>
          <w:attr w:name="ref" w:val="USC\26\937"/>
        </w:smartTagPr>
        <w:r>
          <w:t>Section 937</w:t>
        </w:r>
      </w:smartTag>
      <w:r>
        <w:t xml:space="preserve"> provides that for purposes of a long list of Code sections, including </w:t>
      </w:r>
      <w:smartTag w:uri="http://www.bna.com/sgml2word/cite" w:element="cite.usc">
        <w:smartTagPr>
          <w:attr w:name="ref" w:val="USC\26\932"/>
        </w:smartTagPr>
        <w:r>
          <w:t>§932</w:t>
        </w:r>
      </w:smartTag>
      <w:r>
        <w:t xml:space="preserve">, </w:t>
      </w:r>
      <w:smartTag w:uri="http://www.bna.com/sgml2word/cite" w:element="cite.usc">
        <w:smartTagPr>
          <w:attr w:name="ref" w:val="USC\26\865(g)(3)"/>
        </w:smartTagPr>
        <w:r>
          <w:t>§865(g)(3)</w:t>
        </w:r>
      </w:smartTag>
      <w:r>
        <w:t xml:space="preserve">, </w:t>
      </w:r>
      <w:smartTag w:uri="http://www.bna.com/sgml2word/cite" w:element="cite.usc">
        <w:smartTagPr>
          <w:attr w:name="ref" w:val="USC\26\876"/>
        </w:smartTagPr>
        <w:r>
          <w:t>§876</w:t>
        </w:r>
      </w:smartTag>
      <w:r>
        <w:t xml:space="preserve">, </w:t>
      </w:r>
      <w:smartTag w:uri="http://www.bna.com/sgml2word/cite" w:element="cite.usc">
        <w:smartTagPr>
          <w:attr w:name="ref" w:val="USC\26\881(b)"/>
        </w:smartTagPr>
        <w:r>
          <w:t>§881(b)</w:t>
        </w:r>
      </w:smartTag>
      <w:r>
        <w:t xml:space="preserve">, </w:t>
      </w:r>
      <w:smartTag w:uri="http://www.bna.com/sgml2word/cite" w:element="cite.usc">
        <w:smartTagPr>
          <w:attr w:name="ref" w:val="USC\26\901(b)(2)"/>
        </w:smartTagPr>
        <w:r>
          <w:t>§901(b)(2)</w:t>
        </w:r>
      </w:smartTag>
      <w:r>
        <w:t xml:space="preserve">, </w:t>
      </w:r>
      <w:smartTag w:uri="http://www.bna.com/sgml2word/cite" w:element="cite.usc">
        <w:smartTagPr>
          <w:attr w:name="ref" w:val="USC\26\901(b)(3)"/>
        </w:smartTagPr>
        <w:r>
          <w:t>§901(b)(3)</w:t>
        </w:r>
      </w:smartTag>
      <w:r>
        <w:t xml:space="preserve">, </w:t>
      </w:r>
      <w:smartTag w:uri="http://www.bna.com/sgml2word/cite" w:element="cite.usc">
        <w:smartTagPr>
          <w:attr w:name="ref" w:val="USC\26\957(c)"/>
        </w:smartTagPr>
        <w:r>
          <w:t>§957(c)</w:t>
        </w:r>
      </w:smartTag>
      <w:r>
        <w:t xml:space="preserve">, </w:t>
      </w:r>
      <w:smartTag w:uri="http://www.bna.com/sgml2word/cite" w:element="cite.usc">
        <w:smartTagPr>
          <w:attr w:name="ref" w:val="USC\26\3401(a)(8)(C)"/>
        </w:smartTagPr>
        <w:r>
          <w:t>§3401(a)(8)(C)</w:t>
        </w:r>
      </w:smartTag>
      <w:r>
        <w:t xml:space="preserve">, and </w:t>
      </w:r>
      <w:smartTag w:uri="http://www.bna.com/sgml2word/cite" w:element="cite.usc">
        <w:smartTagPr>
          <w:attr w:name="ref" w:val="USC\26\7654(a)"/>
        </w:smartTagPr>
        <w:r>
          <w:t>§7654(a)</w:t>
        </w:r>
      </w:smartTag>
      <w:r>
        <w:t xml:space="preserve">, the term “bona fide resident” generally means a person (1) who is present for at least 183 days during the tax year in Guam, American Samoa, the Northern Mariana Islands, Puerto Rico, or the Virgin Islands, as the case may be, and (2) who does not have a tax home (generally determined under the principles of </w:t>
      </w:r>
      <w:smartTag w:uri="http://www.bna.com/sgml2word/cite" w:element="cite.usc">
        <w:smartTagPr>
          <w:attr w:name="ref" w:val="USC\26\911(d)(3)"/>
        </w:smartTagPr>
        <w:r>
          <w:t>§911(d)(3)</w:t>
        </w:r>
      </w:smartTag>
      <w:r>
        <w:t xml:space="preserve">) outside the specified possession during the tax year and does not have a closer connection (determined under the principles of </w:t>
      </w:r>
      <w:smartTag w:uri="http://www.bna.com/sgml2word/cite" w:element="cite.usc">
        <w:smartTagPr>
          <w:attr w:name="ref" w:val="USC\26\7701(b)(3)(B)(ii)"/>
        </w:smartTagPr>
        <w:r>
          <w:t>§7701(b)(3)(B)(ii)</w:t>
        </w:r>
      </w:smartTag>
      <w:r>
        <w:t xml:space="preserve">) to the United States or a foreign country than to the specified possession. For purposes of </w:t>
      </w:r>
      <w:smartTag w:uri="http://www.bna.com/sgml2word/cite" w:element="cite.usc">
        <w:smartTagPr>
          <w:attr w:name="ref" w:val="USC\26\937(a)(1)"/>
        </w:smartTagPr>
        <w:r>
          <w:t>§937(a)(1)</w:t>
        </w:r>
      </w:smartTag>
      <w:r>
        <w:t xml:space="preserve">, the determination of whether a person is present for any day shall be made under the principles of </w:t>
      </w:r>
      <w:smartTag w:uri="http://www.bna.com/sgml2word/cite" w:element="cite.usc">
        <w:smartTagPr>
          <w:attr w:name="ref" w:val="USC\26\7701(b)"/>
        </w:smartTagPr>
        <w:r>
          <w:t>§7701(b)</w:t>
        </w:r>
      </w:smartTag>
      <w:r>
        <w:t xml:space="preserve">. </w:t>
      </w:r>
      <w:smartTag w:uri="http://www.bna.com/sgml2word/cite" w:element="cite.usc">
        <w:smartTagPr>
          <w:attr w:name="ref" w:val="USC\26\7701(a)(1)"/>
        </w:smartTagPr>
        <w:r>
          <w:t>Section 7701(a)(1)</w:t>
        </w:r>
      </w:smartTag>
      <w:r>
        <w:t xml:space="preserve"> provides that the term “ ‘person’ shall be construed to mean and include an individual, a trust, estate, partnership, association, company or corporation.”</w:t>
      </w:r>
    </w:p>
  </w:footnote>
  <w:footnote w:id="1009">
    <w:p w14:paraId="3D6C02D3" w14:textId="77777777" w:rsidR="00494B49" w:rsidRDefault="00494B49">
      <w:pPr>
        <w:pStyle w:val="FootnoteText"/>
      </w:pPr>
      <w:r>
        <w:rPr>
          <w:rStyle w:val="FootnoteReference"/>
        </w:rPr>
        <w:footnoteRef/>
      </w:r>
      <w:r>
        <w:t xml:space="preserve">American Samoa currently is the only territory to which </w:t>
      </w:r>
      <w:smartTag w:uri="http://www.bna.com/sgml2word/cite" w:element="cite.usc">
        <w:smartTagPr>
          <w:attr w:name="ref" w:val="USC\26\931"/>
        </w:smartTagPr>
        <w:r>
          <w:t>§931</w:t>
        </w:r>
      </w:smartTag>
      <w:r>
        <w:t xml:space="preserve"> applies because it is the only territory that has entered into an implementing agreement under </w:t>
      </w:r>
      <w:smartTag w:uri="http://www.bna.com/sgml2word/cite" w:element="cite.usc">
        <w:smartTagPr>
          <w:attr w:name="ref" w:val="USC\26\1271(b)"/>
        </w:smartTagPr>
        <w:r>
          <w:t>§1271(b)</w:t>
        </w:r>
      </w:smartTag>
      <w:r>
        <w:t xml:space="preserve"> and </w:t>
      </w:r>
      <w:smartTag w:uri="http://www.bna.com/sgml2word/cite" w:element="cite.usc">
        <w:smartTagPr>
          <w:attr w:name="ref" w:val="USC\26\1277(b)"/>
        </w:smartTagPr>
        <w:r>
          <w:t>§1277(b)</w:t>
        </w:r>
      </w:smartTag>
      <w:r>
        <w:t xml:space="preserve"> of the Tax Reform Act of 1986.</w:t>
      </w:r>
    </w:p>
  </w:footnote>
  <w:footnote w:id="1010">
    <w:p w14:paraId="73B51C03"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931(a)"/>
        </w:smartTagPr>
        <w:r>
          <w:t>§931(a)</w:t>
        </w:r>
      </w:smartTag>
      <w:r>
        <w:t xml:space="preserve">, </w:t>
      </w:r>
      <w:smartTag w:uri="http://www.bna.com/sgml2word/cite" w:element="cite.usc">
        <w:smartTagPr>
          <w:attr w:name="ref" w:val="USC\26\931(d)"/>
        </w:smartTagPr>
        <w:r>
          <w:t>§931(d)</w:t>
        </w:r>
      </w:smartTag>
      <w:r>
        <w:t xml:space="preserve"> and </w:t>
      </w:r>
      <w:smartTag w:uri="http://www.bna.com/sgml2word/cite" w:element="cite.usc">
        <w:smartTagPr>
          <w:attr w:name="ref" w:val="USC\26\933"/>
        </w:smartTagPr>
        <w:r>
          <w:t>§933</w:t>
        </w:r>
      </w:smartTag>
      <w:r>
        <w:t xml:space="preserve">. </w:t>
      </w:r>
    </w:p>
  </w:footnote>
  <w:footnote w:id="1011">
    <w:p w14:paraId="0600843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12">
    <w:p w14:paraId="5CDE20C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B)"/>
        </w:smartTagPr>
        <w:r>
          <w:t>§1.1411-2(a)(2)(vi)(B)</w:t>
        </w:r>
      </w:smartTag>
      <w:r>
        <w:t xml:space="preserve">. However, NRA individuals who are bona fide residents of non-mirror-code jurisdictions remain subject to taxation under Chapter 1 of Subtitle A pursuant to </w:t>
      </w:r>
      <w:smartTag w:uri="http://www.bna.com/sgml2word/cite" w:element="cite.usc">
        <w:smartTagPr>
          <w:attr w:name="ref" w:val="USC\26\876"/>
        </w:smartTagPr>
        <w:r>
          <w:t>§876</w:t>
        </w:r>
      </w:smartTag>
      <w:r>
        <w:t>.</w:t>
      </w:r>
    </w:p>
  </w:footnote>
  <w:footnote w:id="1013">
    <w:p w14:paraId="509B6AF9" w14:textId="77777777" w:rsidR="00494B49" w:rsidRDefault="00494B49">
      <w:pPr>
        <w:pStyle w:val="FootnoteText"/>
      </w:pPr>
      <w:r>
        <w:rPr>
          <w:rStyle w:val="FootnoteReference"/>
        </w:rPr>
        <w:footnoteRef/>
      </w:r>
      <w:smartTag w:uri="http://www.bna.com/sgml2word/cite" w:element="cite.usc">
        <w:smartTagPr>
          <w:attr w:name="ref" w:val="usc\26\1(g)(2)(A)(i)"/>
        </w:smartTagPr>
        <w:r>
          <w:t>§1(g)(2)(A)(i)</w:t>
        </w:r>
      </w:smartTag>
      <w:r>
        <w:t>.</w:t>
      </w:r>
    </w:p>
  </w:footnote>
  <w:footnote w:id="1014">
    <w:p w14:paraId="7563AAA5" w14:textId="77777777" w:rsidR="00494B49" w:rsidRDefault="00494B49">
      <w:pPr>
        <w:pStyle w:val="FootnoteText"/>
      </w:pPr>
      <w:r>
        <w:rPr>
          <w:rStyle w:val="FootnoteReference"/>
        </w:rPr>
        <w:footnoteRef/>
      </w:r>
      <w:smartTag w:uri="http://www.bna.com/sgml2word/cite" w:element="cite.usc">
        <w:smartTagPr>
          <w:attr w:name="ref" w:val="usc\26\1(g)(2)(A)(ii)"/>
        </w:smartTagPr>
        <w:r>
          <w:t>§1(g)(2)(A)(ii)</w:t>
        </w:r>
      </w:smartTag>
      <w:r>
        <w:t>.</w:t>
      </w:r>
    </w:p>
  </w:footnote>
  <w:footnote w:id="1015">
    <w:p w14:paraId="0B967421" w14:textId="77777777" w:rsidR="00494B49" w:rsidRDefault="00494B49">
      <w:pPr>
        <w:pStyle w:val="FootnoteText"/>
      </w:pPr>
      <w:r>
        <w:rPr>
          <w:rStyle w:val="FootnoteReference"/>
        </w:rPr>
        <w:footnoteRef/>
      </w:r>
      <w:smartTag w:uri="http://www.bna.com/sgml2word/cite" w:element="cite.usc">
        <w:smartTagPr>
          <w:attr w:name="ref" w:val="usc\26\1(g)(4)(A)(ii)"/>
        </w:smartTagPr>
        <w:r>
          <w:t>§1(g)(4)(A)(ii)</w:t>
        </w:r>
      </w:smartTag>
      <w:r>
        <w:t>.</w:t>
      </w:r>
    </w:p>
  </w:footnote>
  <w:footnote w:id="1016">
    <w:p w14:paraId="25F1D6F4" w14:textId="77777777" w:rsidR="00494B49" w:rsidRDefault="00494B49">
      <w:pPr>
        <w:pStyle w:val="FootnoteText"/>
      </w:pPr>
      <w:r>
        <w:rPr>
          <w:rStyle w:val="FootnoteReference"/>
        </w:rPr>
        <w:footnoteRef/>
      </w:r>
      <w:r>
        <w:t xml:space="preserve">The election is made by filing </w:t>
      </w:r>
      <w:smartTag w:uri="http://www.bna.com/sgml2word/cite" w:element="cite.fed.form">
        <w:smartTagPr>
          <w:attr w:name="ref" w:val="irs\form8814"/>
        </w:smartTagPr>
        <w:r>
          <w:t>Form 8814</w:t>
        </w:r>
      </w:smartTag>
      <w:r>
        <w:t xml:space="preserve"> with the parent’s income tax return. </w:t>
      </w:r>
    </w:p>
  </w:footnote>
  <w:footnote w:id="1017">
    <w:p w14:paraId="49D014A0" w14:textId="77777777" w:rsidR="00494B49" w:rsidRDefault="00494B49">
      <w:pPr>
        <w:pStyle w:val="FootnoteText"/>
      </w:pPr>
      <w:r>
        <w:rPr>
          <w:rStyle w:val="FootnoteReference"/>
        </w:rPr>
        <w:footnoteRef/>
      </w:r>
      <w:r>
        <w:t xml:space="preserve">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 </w:t>
      </w:r>
    </w:p>
  </w:footnote>
  <w:footnote w:id="1018">
    <w:p w14:paraId="4EB40AA0" w14:textId="77777777" w:rsidR="00494B49" w:rsidRDefault="00494B49">
      <w:pPr>
        <w:pStyle w:val="FootnoteText"/>
      </w:pPr>
      <w:r>
        <w:rPr>
          <w:rStyle w:val="FootnoteReference"/>
        </w:rPr>
        <w:footnoteRef/>
      </w:r>
      <w:smartTag w:uri="http://www.bna.com/sgml2word/cite" w:element="cite.usc">
        <w:smartTagPr>
          <w:attr w:name="ref" w:val="2018\usc\26\1(j)(4)(B)"/>
        </w:smartTagPr>
        <w:r>
          <w:t>Former §1(j)(4)(B)</w:t>
        </w:r>
      </w:smartTag>
      <w:r>
        <w:t xml:space="preserve">, </w:t>
      </w:r>
      <w:smartTag w:uri="http://www.bna.com/sgml2word/cite" w:element="cite.usc">
        <w:smartTagPr>
          <w:attr w:name="ref" w:val="2018\usc\26\1(g)(2)"/>
        </w:smartTagPr>
        <w:r>
          <w:t>former §1(g)(2)</w:t>
        </w:r>
      </w:smartTag>
      <w:r>
        <w:t xml:space="preserve">. In effect, each child subject to the kiddie tax was required to construct his or her own tax table. For tax years beginning before 2018 and tax years beginning after 2019, the net unearned income of an applicable child is generally taxed using the greater of the child's or the applicable parent's marginal income tax rate. See </w:t>
      </w:r>
      <w:smartTag w:uri="http://www.bna.com/sgml2word/cite" w:element="cite.usc">
        <w:smartTagPr>
          <w:attr w:name="ref" w:val="USC\26\1(g)(1)"/>
        </w:smartTagPr>
        <w:r>
          <w:t>§1(g)(1)</w:t>
        </w:r>
      </w:smartTag>
      <w:r>
        <w:t xml:space="preserve">. The </w:t>
      </w:r>
      <w:smartTag w:uri="http://www.bna.com/sgml2word/cite" w:element="cite.usc">
        <w:smartTagPr>
          <w:attr w:name="ref" w:val="usc\26\1(j)(4)"/>
        </w:smartTagPr>
        <w:r>
          <w:t>§1(j)(4)</w:t>
        </w:r>
      </w:smartTag>
      <w:r>
        <w:t xml:space="preserve"> methodology was originally intended to apply to tax years beginning in 2018 through 2025 but proved unwieldy. </w:t>
      </w:r>
      <w:smartTag w:uri="http://www.bna.com/sgml2word/cite" w:element="cite.usc">
        <w:smartTagPr>
          <w:attr w:name="ref" w:val="usc\26\1(j)(4)"/>
        </w:smartTagPr>
        <w:r>
          <w:t>Section 1(j)(4)</w:t>
        </w:r>
      </w:smartTag>
      <w:r>
        <w:t xml:space="preserve"> was repealed by Pub. L. No. 116-94, Div. O, §501, for tax years beginning after December 31, 2019, and taxpayers may elect to retroactively return to the </w:t>
      </w:r>
      <w:smartTag w:uri="http://www.bna.com/sgml2word/cite" w:element="cite.usc">
        <w:smartTagPr>
          <w:attr w:name="ref" w:val="USC\26\1(g)(1)"/>
        </w:smartTagPr>
        <w:r>
          <w:t>§1(g)(1)</w:t>
        </w:r>
      </w:smartTag>
      <w:r>
        <w:t xml:space="preserve"> calculation method for the 2018 and 2019 tax years.</w:t>
      </w:r>
    </w:p>
  </w:footnote>
  <w:footnote w:id="1019">
    <w:p w14:paraId="6C08876C" w14:textId="77777777" w:rsidR="00494B49" w:rsidRDefault="00494B49">
      <w:pPr>
        <w:pStyle w:val="FootnoteText"/>
      </w:pPr>
      <w:r>
        <w:rPr>
          <w:rStyle w:val="FootnoteReference"/>
        </w:rPr>
        <w:footnoteRef/>
      </w:r>
      <w:r>
        <w:t xml:space="preserve">This dollar amount can be found in the tax tables contained in Tables, Charts &amp; Lists (Federal) &gt; Income Tax and Accounting &gt; </w:t>
      </w:r>
      <w:hyperlink r:id="rId18" w:history="1">
        <w:r>
          <w:rPr>
            <w:rStyle w:val="Hyperlink"/>
            <w:i/>
          </w:rPr>
          <w:t>Tax Tables</w:t>
        </w:r>
      </w:hyperlink>
      <w:r>
        <w:t>.</w:t>
      </w:r>
    </w:p>
  </w:footnote>
  <w:footnote w:id="1020">
    <w:p w14:paraId="1E401846" w14:textId="77777777" w:rsidR="00494B49" w:rsidRDefault="00494B49">
      <w:pPr>
        <w:pStyle w:val="FootnoteText"/>
      </w:pPr>
      <w:r>
        <w:rPr>
          <w:rStyle w:val="FootnoteReference"/>
        </w:rPr>
        <w:footnoteRef/>
      </w:r>
      <w:smartTag w:uri="http://www.bna.com/sgml2word/cite" w:element="cite.pl">
        <w:smartTagPr>
          <w:attr w:name="ref" w:val="PL\111-152\1402(a)(2)"/>
        </w:smartTagPr>
        <w:r>
          <w:t>Pub. L. No. 111-152, §1402(a)(2)</w:t>
        </w:r>
      </w:smartTag>
      <w:r>
        <w:t xml:space="preserve"> (Mar. 30, 2010).</w:t>
      </w:r>
    </w:p>
  </w:footnote>
  <w:footnote w:id="1021">
    <w:p w14:paraId="1BEFE769"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654(f)(3)"/>
        </w:smartTagPr>
        <w:r>
          <w:t>§6654(f)(3)</w:t>
        </w:r>
      </w:smartTag>
      <w:r>
        <w:t xml:space="preserve"> and </w:t>
      </w:r>
      <w:smartTag w:uri="http://www.bna.com/sgml2word/cite" w:element="cite.usc">
        <w:smartTagPr>
          <w:attr w:name="ref" w:val="USC\26\6654(l)"/>
        </w:smartTagPr>
        <w:r>
          <w:t>§6654(l)</w:t>
        </w:r>
      </w:smartTag>
      <w:r>
        <w:t xml:space="preserve">. </w:t>
      </w:r>
    </w:p>
  </w:footnote>
  <w:footnote w:id="1022">
    <w:p w14:paraId="5D8D608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
        </w:smartTagPr>
        <w:r>
          <w:t>§1.1411-3(a)(1)(i)</w:t>
        </w:r>
      </w:smartTag>
      <w:r>
        <w:t xml:space="preserve">. </w:t>
      </w:r>
    </w:p>
  </w:footnote>
  <w:footnote w:id="1023">
    <w:p w14:paraId="13BD6D38"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301.7701-1(b)"/>
        </w:smartTagPr>
        <w:r>
          <w:t>§301.7701-1(b)</w:t>
        </w:r>
      </w:smartTag>
      <w:r>
        <w:t xml:space="preserve">. </w:t>
      </w:r>
    </w:p>
  </w:footnote>
  <w:footnote w:id="1024">
    <w:p w14:paraId="6513C413"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584(b)"/>
        </w:smartTagPr>
        <w:r>
          <w:t>§584(b)</w:t>
        </w:r>
      </w:smartTag>
      <w:r>
        <w:t>.</w:t>
      </w:r>
    </w:p>
  </w:footnote>
  <w:footnote w:id="1025">
    <w:p w14:paraId="4255F8B9"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468B(b)(4)"/>
        </w:smartTagPr>
        <w:r>
          <w:t>§468B(b)(4)</w:t>
        </w:r>
      </w:smartTag>
      <w:r>
        <w:t>.</w:t>
      </w:r>
    </w:p>
  </w:footnote>
  <w:footnote w:id="1026">
    <w:p w14:paraId="7733B9A7" w14:textId="77777777" w:rsidR="00494B49" w:rsidRDefault="00494B49">
      <w:pPr>
        <w:pStyle w:val="FootnoteText"/>
      </w:pPr>
      <w:r>
        <w:rPr>
          <w:rStyle w:val="FootnoteReference"/>
        </w:rPr>
        <w:footnoteRef/>
      </w:r>
      <w:smartTag w:uri="http://www.bna.com/sgml2word/cite" w:element="cite.usc">
        <w:smartTagPr>
          <w:attr w:name="ref" w:val="USC\26\468A(e)(2)(B)"/>
        </w:smartTagPr>
        <w:r>
          <w:t>Section 468A(e)(2)(B)</w:t>
        </w:r>
      </w:smartTag>
      <w:r>
        <w:t xml:space="preserve"> provides that the tax imposed by </w:t>
      </w:r>
      <w:smartTag w:uri="http://www.bna.com/sgml2word/cite" w:element="cite.usc">
        <w:smartTagPr>
          <w:attr w:name="ref" w:val="USC\26\468A(e)(2)(A)"/>
        </w:smartTagPr>
        <w:r>
          <w:t>§468A(e)(2)(A)</w:t>
        </w:r>
      </w:smartTag>
      <w:r>
        <w:t xml:space="preserve"> is imposed in lieu of any other taxation under Subtitle A of the income from assets in the fund.</w:t>
      </w:r>
    </w:p>
  </w:footnote>
  <w:footnote w:id="1027">
    <w:p w14:paraId="166643D1" w14:textId="77777777" w:rsidR="00494B49" w:rsidRDefault="00494B49">
      <w:pPr>
        <w:pStyle w:val="FootnoteText"/>
      </w:pPr>
      <w:r>
        <w:rPr>
          <w:rStyle w:val="FootnoteReference"/>
        </w:rPr>
        <w:footnoteRef/>
      </w:r>
      <w:r>
        <w:rPr>
          <w:i/>
        </w:rPr>
        <w:t>See also</w:t>
      </w:r>
      <w:r>
        <w:t xml:space="preserve"> Reg. </w:t>
      </w:r>
      <w:smartTag w:uri="http://www.bna.com/sgml2word/cite" w:element="cite.cfr">
        <w:smartTagPr>
          <w:attr w:name="ref" w:val="cfr\26\1.1411-3(b)(1)(i)"/>
        </w:smartTagPr>
        <w:r>
          <w:t>§1.1411-3(b)(1)(i)</w:t>
        </w:r>
      </w:smartTag>
      <w:r>
        <w:t>.</w:t>
      </w:r>
    </w:p>
  </w:footnote>
  <w:footnote w:id="1028">
    <w:p w14:paraId="6C445E0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i)"/>
        </w:smartTagPr>
        <w:r>
          <w:t>§1.1411-3(b)(1)(ii)</w:t>
        </w:r>
      </w:smartTag>
      <w:r>
        <w:t>–</w:t>
      </w:r>
      <w:smartTag w:uri="http://www.bna.com/sgml2word/cite" w:element="cite.cfr">
        <w:smartTagPr>
          <w:attr w:name="ref" w:val="cfr\26\1.1411-3(b)(1)(iv)"/>
        </w:smartTagPr>
        <w:r>
          <w:t>§1.1411-3(b)(1)(iv)</w:t>
        </w:r>
      </w:smartTag>
      <w:r>
        <w:t xml:space="preserve">. Although the regulations specifically list these trusts as excluded from </w:t>
      </w:r>
      <w:smartTag w:uri="http://www.bna.com/sgml2word/cite" w:element="cite.usc">
        <w:smartTagPr>
          <w:attr w:name="ref" w:val="USC\26\1411"/>
        </w:smartTagPr>
        <w:r>
          <w:t>§1411</w:t>
        </w:r>
      </w:smartTag>
      <w:r>
        <w:t xml:space="preserve">, this specific exclusion is not technically necessary because the statutory language governing these trusts exclude them from taxes imposed by Subtitle A (which includes </w:t>
      </w:r>
      <w:smartTag w:uri="http://www.bna.com/sgml2word/cite" w:element="cite.usc">
        <w:smartTagPr>
          <w:attr w:name="ref" w:val="USC\26\1411"/>
        </w:smartTagPr>
        <w:r>
          <w:t>§1411</w:t>
        </w:r>
      </w:smartTag>
      <w:r>
        <w:t>).</w:t>
      </w:r>
    </w:p>
  </w:footnote>
  <w:footnote w:id="1029">
    <w:p w14:paraId="15D8EA3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
        </w:smartTagPr>
        <w:r>
          <w:t>§1.1411-3(b)(1)(v)</w:t>
        </w:r>
      </w:smartTag>
      <w:r>
        <w:t>.</w:t>
      </w:r>
    </w:p>
  </w:footnote>
  <w:footnote w:id="1030">
    <w:p w14:paraId="3D9F3E5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
        </w:smartTagPr>
        <w:r>
          <w:t>§1.1411-3(b)(1)(vi)</w:t>
        </w:r>
      </w:smartTag>
      <w:r>
        <w:t>.</w:t>
      </w:r>
    </w:p>
  </w:footnote>
  <w:footnote w:id="1031">
    <w:p w14:paraId="2127661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i)"/>
        </w:smartTagPr>
        <w:r>
          <w:t>§1.1411-3(b)(1)(vii)</w:t>
        </w:r>
      </w:smartTag>
      <w:r>
        <w:t>.</w:t>
      </w:r>
    </w:p>
  </w:footnote>
  <w:footnote w:id="1032">
    <w:p w14:paraId="7F83B1E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ii)"/>
        </w:smartTagPr>
        <w:r>
          <w:t>§1.1411-3(b)(1)(viii)</w:t>
        </w:r>
      </w:smartTag>
      <w:r>
        <w:t>.</w:t>
      </w:r>
    </w:p>
  </w:footnote>
  <w:footnote w:id="1033">
    <w:p w14:paraId="7A4CE4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
        </w:smartTagPr>
        <w:r>
          <w:t>§1.1411-3(b)(1)(i)</w:t>
        </w:r>
      </w:smartTag>
      <w:r>
        <w:t>.</w:t>
      </w:r>
    </w:p>
  </w:footnote>
  <w:footnote w:id="1034">
    <w:p w14:paraId="72DF41B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x)"/>
        </w:smartTagPr>
        <w:r>
          <w:t>§1.1411-3(b)(1)(ix)</w:t>
        </w:r>
      </w:smartTag>
      <w:r>
        <w:t>.</w:t>
      </w:r>
    </w:p>
  </w:footnote>
  <w:footnote w:id="1035">
    <w:p w14:paraId="79E8673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i)"/>
        </w:smartTagPr>
        <w:r>
          <w:t>§1.1411-3(a)(1)(ii)</w:t>
        </w:r>
      </w:smartTag>
      <w:r>
        <w:t xml:space="preserve">. </w:t>
      </w:r>
    </w:p>
  </w:footnote>
  <w:footnote w:id="1036">
    <w:p w14:paraId="63CD68B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Although the notion that an estate’s or trust’s calculation of net investment income is the same as that of an individual, the specific rule was inserted into Reg. </w:t>
      </w:r>
      <w:smartTag w:uri="http://www.bna.com/sgml2word/cite" w:element="cite.cfr">
        <w:smartTagPr>
          <w:attr w:name="ref" w:val="cfr\26\1.1411-3(e)(1)"/>
        </w:smartTagPr>
        <w:r>
          <w:t>§1.1411-3(e)(1)</w:t>
        </w:r>
      </w:smartTag>
      <w:r>
        <w:t xml:space="preserve"> to compliment the general rule in </w:t>
      </w:r>
      <w:smartTag w:uri="http://www.bna.com/sgml2word/cite" w:element="cite.usc">
        <w:smartTagPr>
          <w:attr w:name="ref" w:val="USC\26\641(b)"/>
        </w:smartTagPr>
        <w:r>
          <w:t>§641(b)</w:t>
        </w:r>
      </w:smartTag>
      <w:r>
        <w:t xml:space="preserve"> which provides, in relevant part, that “the taxable income of an estate or trust shall be computed in the same manner as in the case of an individual, except as otherwise provided in this part.” However, because the computation of net investment income is a calculation uniquely distinct from taxable income (and both serve a basis for taxation within their respective Chapters), such a rule is necessary to minimize divergences between </w:t>
      </w:r>
      <w:smartTag w:uri="http://www.bna.com/sgml2word/cite" w:element="cite.usc">
        <w:smartTagPr>
          <w:attr w:name="ref" w:val="USC\26\1411"/>
        </w:smartTagPr>
        <w:r>
          <w:t>§1411</w:t>
        </w:r>
      </w:smartTag>
      <w:r>
        <w:t xml:space="preserve"> and Chapter 1. </w:t>
      </w:r>
    </w:p>
  </w:footnote>
  <w:footnote w:id="1037">
    <w:p w14:paraId="5A36774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i)"/>
        </w:smartTagPr>
        <w:r>
          <w:t>§1.1411-3(e)(3)(i)</w:t>
        </w:r>
      </w:smartTag>
      <w:r>
        <w:t>.</w:t>
      </w:r>
    </w:p>
  </w:footnote>
  <w:footnote w:id="1038">
    <w:p w14:paraId="768A362E" w14:textId="77777777" w:rsidR="00494B49" w:rsidRDefault="00494B49">
      <w:pPr>
        <w:pStyle w:val="FootnoteText"/>
      </w:pPr>
      <w:r>
        <w:rPr>
          <w:rStyle w:val="FootnoteReference"/>
        </w:rPr>
        <w:footnoteRef/>
      </w:r>
      <w:r>
        <w:t xml:space="preserve">Excluded Income is defined in Reg. </w:t>
      </w:r>
      <w:smartTag w:uri="http://www.bna.com/sgml2word/cite" w:element="cite.cfr">
        <w:smartTagPr>
          <w:attr w:name="ref" w:val="cfr\26\1.1411-1(d)(4)"/>
        </w:smartTagPr>
        <w:r>
          <w:t>§1.1411-1(d)(4)</w:t>
        </w:r>
      </w:smartTag>
      <w:r>
        <w:t xml:space="preserve"> and discussed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above. </w:t>
      </w:r>
    </w:p>
  </w:footnote>
  <w:footnote w:id="1039">
    <w:p w14:paraId="2F4D71AE" w14:textId="77777777" w:rsidR="00494B49" w:rsidRDefault="00494B49">
      <w:pPr>
        <w:pStyle w:val="FootnoteText"/>
      </w:pPr>
      <w:r>
        <w:rPr>
          <w:rStyle w:val="FootnoteReference"/>
        </w:rPr>
        <w:footnoteRef/>
      </w:r>
      <w:r>
        <w:rPr>
          <w:i/>
        </w:rPr>
        <w:t>See</w:t>
      </w:r>
      <w:r>
        <w:t xml:space="preserve"> Diane Freda, </w:t>
      </w:r>
      <w:r>
        <w:rPr>
          <w:i/>
        </w:rPr>
        <w:t>Trusts’ Net Investment Income Also Taxable in Beneficiary’s Hands Under New IRS Rules,</w:t>
      </w:r>
      <w:r>
        <w:t xml:space="preserve"> 33 Bloomberg BNA Daily Tax Report G-4 (Feb. 19, 2014). </w:t>
      </w:r>
    </w:p>
  </w:footnote>
  <w:footnote w:id="1040">
    <w:p w14:paraId="490EFA8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4)"/>
        </w:smartTagPr>
        <w:r>
          <w:t>§1.1411-3(e)(4)</w:t>
        </w:r>
      </w:smartTag>
      <w:r>
        <w:t xml:space="preserve">. </w:t>
      </w:r>
    </w:p>
  </w:footnote>
  <w:footnote w:id="1041">
    <w:p w14:paraId="5EACD59E"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170(b)(1)"/>
        </w:smartTagPr>
        <w:r>
          <w:t>§170(b)(1)</w:t>
        </w:r>
      </w:smartTag>
      <w:r>
        <w:t xml:space="preserve">. </w:t>
      </w:r>
    </w:p>
  </w:footnote>
  <w:footnote w:id="1042">
    <w:p w14:paraId="278BF56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1)(i)"/>
        </w:smartTagPr>
        <w:r>
          <w:t>§1.1411-4(f)(1)(i)</w:t>
        </w:r>
      </w:smartTag>
      <w:r>
        <w:t xml:space="preserve"> (only properly allocable deductions described in this paragraph may be taken into account in determining net investment income) and </w:t>
      </w:r>
      <w:hyperlink r:id="rId19" w:history="1">
        <w:r>
          <w:rPr>
            <w:rStyle w:val="Hyperlink"/>
          </w:rPr>
          <w:t>Instructions for Form 8960</w:t>
        </w:r>
      </w:hyperlink>
      <w:r>
        <w:t>, Part II (items not deductible in calculating net investment income)</w:t>
      </w:r>
    </w:p>
  </w:footnote>
  <w:footnote w:id="1043">
    <w:p w14:paraId="3F532712"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7(e)"/>
        </w:smartTagPr>
        <w:r>
          <w:t>§67(e)</w:t>
        </w:r>
      </w:smartTag>
      <w:r>
        <w:t xml:space="preserve"> (a trust’s AGI is only reduced by deductions described in </w:t>
      </w:r>
      <w:smartTag w:uri="http://www.bna.com/sgml2word/cite" w:element="cite.usc">
        <w:smartTagPr>
          <w:attr w:name="ref" w:val="usc\26\651"/>
        </w:smartTagPr>
        <w:r>
          <w:t>§651</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642(b)"/>
        </w:smartTagPr>
        <w:r>
          <w:t>§642(b)</w:t>
        </w:r>
      </w:smartTag>
      <w:r>
        <w:t>).</w:t>
      </w:r>
    </w:p>
  </w:footnote>
  <w:footnote w:id="1044">
    <w:p w14:paraId="740EBA8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e)(3)"/>
        </w:smartTagPr>
        <w:r>
          <w:t>§1.1411-3(e)(3)</w:t>
        </w:r>
      </w:smartTag>
      <w:r>
        <w:t>.</w:t>
      </w:r>
    </w:p>
  </w:footnote>
  <w:footnote w:id="1045">
    <w:p w14:paraId="7416907A"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3(e)(4)"/>
        </w:smartTagPr>
        <w:r>
          <w:t>§1.1411-3(e)(4)</w:t>
        </w:r>
      </w:smartTag>
      <w:r>
        <w:t>.</w:t>
      </w:r>
    </w:p>
  </w:footnote>
  <w:footnote w:id="1046">
    <w:p w14:paraId="20B18472" w14:textId="77777777" w:rsidR="00494B49" w:rsidRDefault="00494B49">
      <w:pPr>
        <w:pStyle w:val="FootnoteText"/>
      </w:pPr>
      <w:r>
        <w:rPr>
          <w:rStyle w:val="FootnoteReference"/>
        </w:rPr>
        <w:footnoteRef/>
      </w:r>
      <w:r>
        <w:t xml:space="preserve">Admittedly, it is hard to point to specific deductions that would cause this situation. But, because taxable income includes all deductions allowed by the Code, and net investment income tax deductions are limited to specifically enumerated items in Reg. </w:t>
      </w:r>
      <w:smartTag w:uri="http://www.bna.com/sgml2word/cite" w:element="cite.cfr">
        <w:smartTagPr>
          <w:attr w:name="ref" w:val="cfr\26\1.1411-4"/>
        </w:smartTagPr>
        <w:r>
          <w:t>§1.1411-4</w:t>
        </w:r>
      </w:smartTag>
      <w:r>
        <w:t>, it is theoretically possible.</w:t>
      </w:r>
    </w:p>
  </w:footnote>
  <w:footnote w:id="1047">
    <w:p w14:paraId="5532C116" w14:textId="77777777" w:rsidR="00494B49" w:rsidRDefault="00494B49">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48">
    <w:p w14:paraId="17264143" w14:textId="77777777" w:rsidR="00494B49" w:rsidRDefault="00494B49">
      <w:pPr>
        <w:pStyle w:val="FootnoteText"/>
      </w:pPr>
      <w:r>
        <w:rPr>
          <w:rStyle w:val="FootnoteReference"/>
        </w:rPr>
        <w:footnoteRef/>
      </w:r>
      <w:r>
        <w:rPr>
          <w:i/>
        </w:rPr>
        <w:t>Id.</w:t>
      </w:r>
    </w:p>
  </w:footnote>
  <w:footnote w:id="1049">
    <w:p w14:paraId="31A259C5" w14:textId="77777777" w:rsidR="00494B49" w:rsidRDefault="00494B49">
      <w:pPr>
        <w:pStyle w:val="FootnoteText"/>
      </w:pPr>
      <w:r>
        <w:rPr>
          <w:rStyle w:val="FootnoteReference"/>
        </w:rPr>
        <w:footnoteRef/>
      </w:r>
      <w:r>
        <w:t xml:space="preserve">$950 net investment income tax Liability = 3.8% × (lesser of $75,000 or $25,000), or 3.8% × $25,000. </w:t>
      </w:r>
    </w:p>
  </w:footnote>
  <w:footnote w:id="1050">
    <w:p w14:paraId="3C5A9769" w14:textId="77777777" w:rsidR="00494B49" w:rsidRDefault="00494B49">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51">
    <w:p w14:paraId="7A6F5D80" w14:textId="77777777" w:rsidR="00494B49" w:rsidRDefault="00494B49">
      <w:pPr>
        <w:pStyle w:val="FootnoteText"/>
      </w:pPr>
      <w:r>
        <w:rPr>
          <w:rStyle w:val="FootnoteReference"/>
        </w:rPr>
        <w:footnoteRef/>
      </w:r>
      <w:r>
        <w:t xml:space="preserve">The </w:t>
      </w:r>
      <w:smartTag w:uri="http://www.bna.com/sgml2word/cite" w:element="cite.usc">
        <w:smartTagPr>
          <w:attr w:name="ref" w:val="USC\26\67(g)"/>
        </w:smartTagPr>
        <w:r>
          <w:t>§67(g)</w:t>
        </w:r>
      </w:smartTag>
      <w:r>
        <w:t xml:space="preserve"> suspension on miscellaneous itemized deductions does not apply to the </w:t>
      </w:r>
      <w:smartTag w:uri="http://www.bna.com/sgml2word/cite" w:element="cite.usc">
        <w:smartTagPr>
          <w:attr w:name="ref" w:val="USC\26\67(e)"/>
        </w:smartTagPr>
        <w:r>
          <w:t>§67(e)</w:t>
        </w:r>
      </w:smartTag>
      <w:r>
        <w:t xml:space="preserve"> deduction for estate or trust administration expenses. </w:t>
      </w:r>
      <w:smartTag w:uri="http://www.bna.com/sgml2word/cite" w:element="cite.cfr">
        <w:smartTagPr>
          <w:attr w:name="ref" w:val="cfr\26\1.67-4(a)(1)(ii)"/>
        </w:smartTagPr>
        <w:r>
          <w:t>Reg. §1.67-4(a)(1)(ii)</w:t>
        </w:r>
      </w:smartTag>
      <w:r>
        <w:t xml:space="preserve">. Additionally, regulations separate the excess deduction under </w:t>
      </w:r>
      <w:smartTag w:uri="http://www.bna.com/sgml2word/cite" w:element="cite.usc">
        <w:smartTagPr>
          <w:attr w:name="ref" w:val="USC\26\642(h)(2)"/>
        </w:smartTagPr>
        <w:r>
          <w:t>§642(h)(2)</w:t>
        </w:r>
      </w:smartTag>
      <w:r>
        <w:t xml:space="preserve"> such that each deduction would retain its separate character as an amount allowed in arriving at adjusted gross income, a nonmiscellaneous itemized deduction, or a miscellaneous itemized deduction. Reg. </w:t>
      </w:r>
      <w:smartTag w:uri="http://www.bna.com/sgml2word/cite" w:element="cite.cfr">
        <w:smartTagPr>
          <w:attr w:name="ref" w:val="cfr\26\1.642(h)-2(b)"/>
        </w:smartTagPr>
        <w:r>
          <w:t>§1.642(h)-2(b)</w:t>
        </w:r>
      </w:smartTag>
      <w:r>
        <w:t>. Only miscellaneous itemized deductions would be subject to the 2% floor.</w:t>
      </w:r>
    </w:p>
  </w:footnote>
  <w:footnote w:id="1052">
    <w:p w14:paraId="1D62E6D9"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4(d)(4)(i)(C)"/>
        </w:smartTagPr>
        <w:r>
          <w:t>§1.1411-4(d)(4)(i)(C)</w:t>
        </w:r>
      </w:smartTag>
      <w:r>
        <w:rPr>
          <w:i/>
        </w:rPr>
        <w:t xml:space="preserve"> Ex.</w:t>
      </w:r>
      <w:r>
        <w:t xml:space="preserve"> 2, for an example of when an estate can exclude capital gain from an installment sale. </w:t>
      </w:r>
    </w:p>
  </w:footnote>
  <w:footnote w:id="1053">
    <w:p w14:paraId="763EC34F" w14:textId="77777777" w:rsidR="00494B49" w:rsidRDefault="00494B49">
      <w:pPr>
        <w:pStyle w:val="FootnoteText"/>
      </w:pPr>
      <w:r>
        <w:rPr>
          <w:rStyle w:val="FootnoteReference"/>
        </w:rPr>
        <w:footnoteRef/>
      </w:r>
      <w:r>
        <w:t xml:space="preserve">For the sake of completeness, the estate’s </w:t>
      </w:r>
      <w:smartTag w:uri="http://www.bna.com/sgml2word/cite" w:element="cite.fed.form">
        <w:smartTagPr>
          <w:attr w:name="ref" w:val="irs\form8960"/>
        </w:smartTagPr>
        <w:r>
          <w:t>Form 8960</w:t>
        </w:r>
      </w:smartTag>
      <w:r>
        <w:t>, Line 18b reports a deduction for distributed net investment income of $225,000 ($75,000 for each beneficiary).</w:t>
      </w:r>
    </w:p>
  </w:footnote>
  <w:footnote w:id="1054">
    <w:p w14:paraId="60D79B8B" w14:textId="77777777" w:rsidR="00494B49" w:rsidRDefault="00494B49">
      <w:pPr>
        <w:pStyle w:val="FootnoteText"/>
      </w:pPr>
      <w:r>
        <w:rPr>
          <w:rStyle w:val="FootnoteReference"/>
        </w:rPr>
        <w:footnoteRef/>
      </w:r>
      <w:r>
        <w:t xml:space="preserve">For confirmation of this result, see an analogous situation in Reg. </w:t>
      </w:r>
      <w:smartTag w:uri="http://www.bna.com/sgml2word/cite" w:element="cite.cfr">
        <w:smartTagPr>
          <w:attr w:name="ref" w:val="cfr\26\1.1411-4(f)(4)"/>
        </w:smartTagPr>
        <w:r>
          <w:t>§1.1411-4(f)(4)</w:t>
        </w:r>
      </w:smartTag>
      <w:r>
        <w:rPr>
          <w:i/>
        </w:rPr>
        <w:t xml:space="preserve"> Ex.</w:t>
      </w:r>
      <w:r>
        <w:t xml:space="preserve"> 3. </w:t>
      </w:r>
    </w:p>
  </w:footnote>
  <w:footnote w:id="1055">
    <w:p w14:paraId="4A77086D"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4(h)"/>
        </w:smartTagPr>
        <w:r>
          <w:t>§1.1411-4(h)</w:t>
        </w:r>
      </w:smartTag>
      <w:r>
        <w:t xml:space="preserve"> for a calculation of a net investment income tax net operating loss, and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above, for a discussion of the mechanics. </w:t>
      </w:r>
    </w:p>
  </w:footnote>
  <w:footnote w:id="1056">
    <w:p w14:paraId="538B0AC6"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4(f)(1)(ii)"/>
        </w:smartTagPr>
        <w:r>
          <w:t>§1.1411-4(f)(1)(ii)</w:t>
        </w:r>
      </w:smartTag>
      <w:r>
        <w:t xml:space="preserve">. </w:t>
      </w:r>
    </w:p>
  </w:footnote>
  <w:footnote w:id="1057">
    <w:p w14:paraId="18292B3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5T(g)"/>
        </w:smartTagPr>
        <w:r>
          <w:t>§1.469-5T(g)</w:t>
        </w:r>
      </w:smartTag>
      <w:r>
        <w:t xml:space="preserve">, </w:t>
      </w:r>
      <w:smartTag w:uri="http://www.bna.com/sgml2word/cite" w:element="cite.fr">
        <w:smartTagPr>
          <w:attr w:name="ref" w:val="FR\53\5727"/>
        </w:smartTagPr>
        <w:r>
          <w:t>53 Fed. Reg. 5727</w:t>
        </w:r>
      </w:smartTag>
      <w:r>
        <w:t xml:space="preserve"> (Feb. 25, 1988) (reserving a place for a regulation to be titled </w:t>
      </w:r>
      <w:r>
        <w:rPr>
          <w:i/>
        </w:rPr>
        <w:t>Material participation of trusts and estates</w:t>
      </w:r>
      <w:r>
        <w:t xml:space="preserve">). Additionally, Reg. </w:t>
      </w:r>
      <w:smartTag w:uri="http://www.bna.com/sgml2word/cite" w:element="cite.cfr">
        <w:smartTagPr>
          <w:attr w:name="ref" w:val="cfr\26\1.469-8"/>
        </w:smartTagPr>
        <w:r>
          <w:t>§1.469-8</w:t>
        </w:r>
      </w:smartTag>
      <w:r>
        <w:t xml:space="preserve"> (titled </w:t>
      </w:r>
      <w:r>
        <w:rPr>
          <w:i/>
        </w:rPr>
        <w:t xml:space="preserve">Application of </w:t>
      </w:r>
      <w:smartTag w:uri="http://www.bna.com/sgml2word/cite" w:element="cite.usc">
        <w:smartTagPr>
          <w:attr w:name="ref" w:val="USC\26\469"/>
        </w:smartTagPr>
        <w:r>
          <w:rPr>
            <w:i/>
          </w:rPr>
          <w:t>section 469</w:t>
        </w:r>
      </w:smartTag>
      <w:r>
        <w:rPr>
          <w:i/>
        </w:rPr>
        <w:t xml:space="preserve"> to trust, estates, and their beneficiaries</w:t>
      </w:r>
      <w:r>
        <w:t xml:space="preserve">) is entirely reserved. The preamble to the 1988 Temporary Regulations stated “[m]aterial participation rules for trusts and estates will be included in future regulations providing rules for the application of </w:t>
      </w:r>
      <w:smartTag w:uri="http://www.bna.com/sgml2word/cite" w:element="cite.usc">
        <w:smartTagPr>
          <w:attr w:name="ref" w:val="USC\26\469"/>
        </w:smartTagPr>
        <w:r>
          <w:t>§469</w:t>
        </w:r>
      </w:smartTag>
      <w:r>
        <w:t xml:space="preserve"> to trusts, estates, and their beneficiaries.”</w:t>
      </w:r>
    </w:p>
  </w:footnote>
  <w:footnote w:id="1058">
    <w:p w14:paraId="7E6BBC49" w14:textId="77777777" w:rsidR="00494B49" w:rsidRDefault="00494B49">
      <w:pPr>
        <w:pStyle w:val="FootnoteText"/>
      </w:pPr>
      <w:r>
        <w:rPr>
          <w:rStyle w:val="FootnoteReference"/>
        </w:rPr>
        <w:footnoteRef/>
      </w:r>
      <w:r>
        <w:rPr>
          <w:i/>
        </w:rPr>
        <w:t>See, e.g.,</w:t>
      </w:r>
      <w:r>
        <w:t xml:space="preserve"> Leo L. Schmolka, </w:t>
      </w:r>
      <w:r>
        <w:rPr>
          <w:i/>
        </w:rPr>
        <w:t>Passive Activity Losses, Trusts, and Estates: The Regulations (If I Were King)</w:t>
      </w:r>
      <w:r>
        <w:t xml:space="preserve">, 58 Tax L. Rev. 191 (2005); 1 Byrle K. Abbin, David K. Carlson, and Mark L. Vorsatz, </w:t>
      </w:r>
      <w:r>
        <w:rPr>
          <w:i/>
        </w:rPr>
        <w:t>Income Taxation of Fiduciaries and Beneficiaries</w:t>
      </w:r>
      <w:r>
        <w:t xml:space="preserve">, sec. 801, at 8003 to 8004 (2012 ed.); M. Carr Ferguson, James J. Freeland, and Mark L. Ascher, </w:t>
      </w:r>
      <w:r>
        <w:rPr>
          <w:i/>
        </w:rPr>
        <w:t>Federal Income Taxation of Estates, Trusts, and Beneficiaries</w:t>
      </w:r>
      <w:r>
        <w:t xml:space="preserve">, ¶8.01, at 8-1 to 8-8 (3d ed. 2003); Amy Sutton and Laura Howell-Smith, </w:t>
      </w:r>
      <w:r>
        <w:rPr>
          <w:i/>
        </w:rPr>
        <w:t>Federal Income Taxation of Passive Activities</w:t>
      </w:r>
      <w:r>
        <w:t>, ¶15.05 (2014).</w:t>
      </w:r>
    </w:p>
  </w:footnote>
  <w:footnote w:id="1059">
    <w:p w14:paraId="06233E86" w14:textId="77777777" w:rsidR="00494B49" w:rsidRDefault="00494B49">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0">
    <w:p w14:paraId="112253D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1">
    <w:p w14:paraId="6CF79C5F"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2">
    <w:p w14:paraId="7236E1F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3">
    <w:p w14:paraId="3E87D1DE"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w:t>
      </w:r>
    </w:p>
  </w:footnote>
  <w:footnote w:id="1064">
    <w:p w14:paraId="7B8B055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5">
    <w:p w14:paraId="1F58D6B0" w14:textId="77777777" w:rsidR="00494B49" w:rsidRDefault="00494B49">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6">
    <w:p w14:paraId="2E30EF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7">
    <w:p w14:paraId="26736C6B"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8">
    <w:p w14:paraId="3512FE7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9">
    <w:p w14:paraId="34B9F566"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w:t>
      </w:r>
    </w:p>
  </w:footnote>
  <w:footnote w:id="1070">
    <w:p w14:paraId="5D082AC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71">
    <w:p w14:paraId="1D5E4DF8" w14:textId="77777777" w:rsidR="00494B49" w:rsidRDefault="00494B49">
      <w:pPr>
        <w:pStyle w:val="FootnoteText"/>
      </w:pPr>
      <w:r>
        <w:rPr>
          <w:rStyle w:val="FootnoteReference"/>
        </w:rPr>
        <w:footnoteRef/>
      </w:r>
      <w:r>
        <w:t xml:space="preserve">The term controlled foreign corporation (CFC) is as defined in </w:t>
      </w:r>
      <w:smartTag w:uri="http://www.bna.com/sgml2word/cite" w:element="cite.usc">
        <w:smartTagPr>
          <w:attr w:name="ref" w:val="USC\26\953(c)(1)(B)"/>
        </w:smartTagPr>
        <w:r>
          <w:t>§953(c)(1)(B)</w:t>
        </w:r>
      </w:smartTag>
      <w:r>
        <w:t xml:space="preserve"> or </w:t>
      </w:r>
      <w:smartTag w:uri="http://www.bna.com/sgml2word/cite" w:element="cite.usc">
        <w:smartTagPr>
          <w:attr w:name="ref" w:val="usc\26\957(a)"/>
        </w:smartTagPr>
        <w:r>
          <w:t>§957(a)</w:t>
        </w:r>
      </w:smartTag>
      <w:r>
        <w:t xml:space="preserve">. Reg. </w:t>
      </w:r>
      <w:smartTag w:uri="http://www.bna.com/sgml2word/cite" w:element="cite.cfr">
        <w:smartTagPr>
          <w:attr w:name="ref" w:val="cfr\26\1.1411-1(d)(2)"/>
        </w:smartTagPr>
        <w:r>
          <w:t>§1.1411-1(d)(2)</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2">
    <w:p w14:paraId="45E1DA9E" w14:textId="77777777" w:rsidR="00494B49" w:rsidRDefault="00494B49">
      <w:pPr>
        <w:pStyle w:val="FootnoteText"/>
      </w:pPr>
      <w:r>
        <w:rPr>
          <w:rStyle w:val="FootnoteReference"/>
        </w:rPr>
        <w:footnoteRef/>
      </w:r>
      <w:r>
        <w:t xml:space="preserve">The term passive foreign investment company (PFIC) is as defined in </w:t>
      </w:r>
      <w:smartTag w:uri="http://www.bna.com/sgml2word/cite" w:element="cite.usc">
        <w:smartTagPr>
          <w:attr w:name="ref" w:val="usc\26\1297(a)"/>
        </w:smartTagPr>
        <w:r>
          <w:t>§1297(a)</w:t>
        </w:r>
      </w:smartTag>
      <w:r>
        <w:t xml:space="preserve">. Reg. </w:t>
      </w:r>
      <w:smartTag w:uri="http://www.bna.com/sgml2word/cite" w:element="cite.cfr">
        <w:smartTagPr>
          <w:attr w:name="ref" w:val="cfr\26\1.1411-1(d)(9)"/>
        </w:smartTagPr>
        <w:r>
          <w:t>§1.1411-1(d)(9)</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3">
    <w:p w14:paraId="048CA9B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of the 2013 Proposed Regulations (</w:t>
      </w:r>
      <w:smartTag w:uri="http://www.bna.com/sgml2word/cite" w:element="cite.agency.doc">
        <w:smartTagPr>
          <w:attr w:name="ref" w:val="irs\nprm\REG-130843-13"/>
        </w:smartTagPr>
        <w:r>
          <w:t>REG-130843-13</w:t>
        </w:r>
      </w:smartTag>
      <w:r>
        <w:t xml:space="preserve">) has complicated rules for aligning the net investment income tax deferred income regime with the CRT deferral regime inherent in the operation of </w:t>
      </w:r>
      <w:smartTag w:uri="http://www.bna.com/sgml2word/cite" w:element="cite.usc">
        <w:smartTagPr>
          <w:attr w:name="ref" w:val="USC\26\664"/>
        </w:smartTagPr>
        <w:r>
          <w:t>§664</w:t>
        </w:r>
      </w:smartTag>
      <w:r>
        <w:t xml:space="preserve">. </w:t>
      </w:r>
    </w:p>
  </w:footnote>
  <w:footnote w:id="1074">
    <w:p w14:paraId="2358259B" w14:textId="77777777" w:rsidR="00494B49" w:rsidRDefault="00494B49">
      <w:pPr>
        <w:pStyle w:val="FootnoteText"/>
      </w:pPr>
      <w:r>
        <w:rPr>
          <w:rStyle w:val="FootnoteReference"/>
        </w:rPr>
        <w:footnoteRef/>
      </w:r>
      <w:r>
        <w:rPr>
          <w:i/>
        </w:rPr>
        <w:t xml:space="preserve">See </w:t>
      </w:r>
      <w:r>
        <w:t>Preamble, 2012 Proposed Regulations (</w:t>
      </w:r>
      <w:smartTag w:uri="http://www.bna.com/sgml2word/cite" w:element="cite.agency.doc">
        <w:smartTagPr>
          <w:attr w:name="ref" w:val="irs\nprm\REG-130507-11"/>
        </w:smartTagPr>
        <w:r>
          <w:t>REG-130507-11</w:t>
        </w:r>
      </w:smartTag>
      <w:r>
        <w:t xml:space="preserve">), Part 11.B; Preamble, 2013 Final Regulations (T.D. </w:t>
      </w:r>
      <w:smartTag w:uri="http://www.bna.com/sgml2word/cite" w:element="cite.agency.doc">
        <w:smartTagPr>
          <w:attr w:name="ref" w:val="IRS\PREAMBLE\TD9644"/>
        </w:smartTagPr>
        <w:r>
          <w:t>9644</w:t>
        </w:r>
      </w:smartTag>
      <w:r>
        <w:t xml:space="preserve">), Part 11.B; and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1075">
    <w:p w14:paraId="07A7676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
        </w:smartTagPr>
        <w:r>
          <w:t>§1.1411-10(c)</w:t>
        </w:r>
      </w:smartTag>
      <w:r>
        <w:t>.</w:t>
      </w:r>
    </w:p>
  </w:footnote>
  <w:footnote w:id="1076">
    <w:p w14:paraId="3C36A7D2"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10(c)(2)(ii)"/>
        </w:smartTagPr>
        <w:r>
          <w:t>§1.1411-10(c)(2)(ii)</w:t>
        </w:r>
      </w:smartTag>
      <w:r>
        <w:t xml:space="preserve">. Mark-to-market increases treated as income under </w:t>
      </w:r>
      <w:smartTag w:uri="http://www.bna.com/sgml2word/cite" w:element="cite.usc">
        <w:smartTagPr>
          <w:attr w:name="ref" w:val="USC\26\1296(a)(1)"/>
        </w:smartTagPr>
        <w:r>
          <w:t>§1296(a)(1)</w:t>
        </w:r>
      </w:smartTag>
      <w:r>
        <w:t xml:space="preserve">, and mark-to-market decreases treated as deductions under </w:t>
      </w:r>
      <w:smartTag w:uri="http://www.bna.com/sgml2word/cite" w:element="cite.usc">
        <w:smartTagPr>
          <w:attr w:name="ref" w:val="USC\26\1296(a)(2)"/>
        </w:smartTagPr>
        <w:r>
          <w:t>§1296(a)(2)</w:t>
        </w:r>
      </w:smartTag>
      <w:r>
        <w:t xml:space="preserve"> are taken income account in computing net investment income as “net gain” under </w:t>
      </w:r>
      <w:smartTag w:uri="http://www.bna.com/sgml2word/cite" w:element="cite.usc">
        <w:smartTagPr>
          <w:attr w:name="ref" w:val="USC\26\1411(c)(1)(A)(iii)"/>
        </w:smartTagPr>
        <w:r>
          <w:t>§1411(c)(1)(A)(iii)</w:t>
        </w:r>
      </w:smartTag>
      <w:r>
        <w:t xml:space="preserve">. </w:t>
      </w:r>
    </w:p>
  </w:footnote>
  <w:footnote w:id="1077">
    <w:p w14:paraId="17D0EF1F" w14:textId="77777777" w:rsidR="00494B49" w:rsidRDefault="00494B49">
      <w:pPr>
        <w:pStyle w:val="FootnoteText"/>
      </w:pPr>
      <w:r>
        <w:rPr>
          <w:rStyle w:val="FootnoteReference"/>
        </w:rPr>
        <w:footnoteRef/>
      </w:r>
      <w:r>
        <w:t xml:space="preserve">In certain cases, distributions from </w:t>
      </w:r>
      <w:smartTag w:uri="http://www.bna.com/sgml2word/cite" w:element="cite.usc">
        <w:smartTagPr>
          <w:attr w:name="ref" w:val="USC\26\1291"/>
        </w:smartTagPr>
        <w:r>
          <w:t>§1291</w:t>
        </w:r>
      </w:smartTag>
      <w:r>
        <w:t xml:space="preserve"> Funds are subject to a special taxation regime, somewhat similar to the throwback rules for foreign trusts, and may not be taxed as a gross income from dividends or gain for regular tax purposes. For a detailed discussion of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PFICs</w:t>
      </w:r>
      <w:r>
        <w:t xml:space="preserve"> (Foreign Income Series).</w:t>
      </w:r>
    </w:p>
  </w:footnote>
  <w:footnote w:id="1078">
    <w:p w14:paraId="457224D8" w14:textId="77777777" w:rsidR="00494B49" w:rsidRDefault="00494B49">
      <w:pPr>
        <w:pStyle w:val="FootnoteText"/>
      </w:pPr>
      <w:r>
        <w:rPr>
          <w:rStyle w:val="FootnoteReference"/>
        </w:rPr>
        <w:footnoteRef/>
      </w:r>
      <w:r>
        <w:t>These rules were included in the 2012 Proposed Regulations (</w:t>
      </w:r>
      <w:smartTag w:uri="http://www.bna.com/sgml2word/cite" w:element="cite.agency.doc">
        <w:smartTagPr>
          <w:attr w:name="ref" w:val="irs\nprm\REG-130507-11"/>
        </w:smartTagPr>
        <w:r>
          <w:t>REG-130507-11</w:t>
        </w:r>
      </w:smartTag>
      <w:r>
        <w:t xml:space="preserve">) and carried over to the 2013 Final Regulations (T.D. </w:t>
      </w:r>
      <w:smartTag w:uri="http://www.bna.com/sgml2word/cite" w:element="cite.agency.doc">
        <w:smartTagPr>
          <w:attr w:name="ref" w:val="IRS\PREAMBLE\TD9644"/>
        </w:smartTagPr>
        <w:r>
          <w:t>9644</w:t>
        </w:r>
      </w:smartTag>
      <w:r>
        <w:t xml:space="preserve">) substantially unchanged. In the preamble to the 2012 Proposed Regulations, the Treasury Department and the IRS requested public comments on these rules, specifically the interaction of Subchapter J and the PFIC rules to address consistency issues between Chapter 1 and Chapter 2A. See Preamble, 2012 Proposed Regulations, Part 11.E., but no comments were received. At the time the 2012 Proposed Regulations were issued, the Treasury Department and IRS recognized that even the regular tax treatment of estates and trusts holding CFCs and PFICs were troublesome. </w:t>
      </w:r>
      <w:r>
        <w:rPr>
          <w:i/>
        </w:rPr>
        <w:t>See, e.g.,</w:t>
      </w:r>
      <w:r>
        <w:t xml:space="preserve"> Laura H. Peebles, </w:t>
      </w:r>
      <w:r>
        <w:rPr>
          <w:i/>
        </w:rPr>
        <w:t>Charitable Remainder Trusts and Passive Foreign Investment Companies: A Modest Proposal</w:t>
      </w:r>
      <w:r>
        <w:t>, 32 Est., Gifts and Tr. J. 271 (2007).</w:t>
      </w:r>
    </w:p>
  </w:footnote>
  <w:footnote w:id="1079">
    <w:p w14:paraId="46FC4F3B" w14:textId="77777777" w:rsidR="00494B49" w:rsidRDefault="00494B49">
      <w:pPr>
        <w:pStyle w:val="FootnoteText"/>
      </w:pPr>
      <w:r>
        <w:rPr>
          <w:rStyle w:val="FootnoteReference"/>
        </w:rPr>
        <w:footnoteRef/>
      </w:r>
      <w:smartTag w:uri="http://www.bna.com/sgml2word/cite" w:element="cite.usc">
        <w:smartTagPr>
          <w:attr w:name="ref" w:val="USC\26\643(a)"/>
        </w:smartTagPr>
        <w:r>
          <w:t>Section 643(a)</w:t>
        </w:r>
      </w:smartTag>
      <w:r>
        <w:t xml:space="preserve"> provides, in relevant part, that “the term ‘distributable net income’ means, with respect to any tax year, the taxable income of the estate or trust computed with the following modifications….”</w:t>
      </w:r>
    </w:p>
  </w:footnote>
  <w:footnote w:id="1080">
    <w:p w14:paraId="58785F54" w14:textId="77777777" w:rsidR="00494B49" w:rsidRDefault="00494B49">
      <w:pPr>
        <w:pStyle w:val="FootnoteText"/>
      </w:pPr>
      <w:r>
        <w:rPr>
          <w:rStyle w:val="FootnoteReference"/>
        </w:rPr>
        <w:footnoteRef/>
      </w:r>
      <w:r>
        <w:t xml:space="preserve">The basis for regular tax and net investment income tax would differ because post-2013 </w:t>
      </w:r>
      <w:smartTag w:uri="http://www.bna.com/sgml2word/cite" w:element="cite.usc">
        <w:smartTagPr>
          <w:attr w:name="ref" w:val="USC\26\951(a)"/>
        </w:smartTagPr>
        <w:r>
          <w:t>§951(a)</w:t>
        </w:r>
      </w:smartTag>
      <w:r>
        <w:t xml:space="preserve"> inclusions were not included in the trust’s net investment income, and thus not added to basis under Reg. </w:t>
      </w:r>
      <w:smartTag w:uri="http://www.bna.com/sgml2word/cite" w:element="cite.cfr">
        <w:smartTagPr>
          <w:attr w:name="ref" w:val="cfr\26\1.1411-10(d)(1)(i)"/>
        </w:smartTagPr>
        <w:r>
          <w:t>§1.1411-10(d)(1)(i)</w:t>
        </w:r>
      </w:smartTag>
      <w:r>
        <w:t>.</w:t>
      </w:r>
    </w:p>
  </w:footnote>
  <w:footnote w:id="1081">
    <w:p w14:paraId="1CEDEBA4" w14:textId="77777777" w:rsidR="00494B49" w:rsidRDefault="00494B49">
      <w:pPr>
        <w:pStyle w:val="FootnoteText"/>
      </w:pPr>
      <w:r>
        <w:rPr>
          <w:rStyle w:val="FootnoteReference"/>
        </w:rPr>
        <w:footnoteRef/>
      </w:r>
      <w:r>
        <w:t xml:space="preserve">To take the position that the basis for net investment income tax is $100 (same as regular tax) would be inconsistent with Subchapter J. </w:t>
      </w:r>
    </w:p>
  </w:footnote>
  <w:footnote w:id="1082">
    <w:p w14:paraId="6E75A90C" w14:textId="77777777" w:rsidR="00494B49" w:rsidRDefault="00494B49">
      <w:pPr>
        <w:pStyle w:val="FootnoteText"/>
      </w:pPr>
      <w:r>
        <w:rPr>
          <w:rStyle w:val="FootnoteReference"/>
        </w:rPr>
        <w:footnoteRef/>
      </w:r>
      <w:r>
        <w:t xml:space="preserve">For the sake of simplicity, the deferred tax amount (as described in </w:t>
      </w:r>
      <w:smartTag w:uri="http://www.bna.com/sgml2word/cite" w:element="cite.usc">
        <w:smartTagPr>
          <w:attr w:name="ref" w:val="USC\26\1291(c)"/>
        </w:smartTagPr>
        <w:r>
          <w:t>§1291(c)</w:t>
        </w:r>
      </w:smartTag>
      <w:r>
        <w:t>) was intentionally omitted from the example.</w:t>
      </w:r>
    </w:p>
  </w:footnote>
  <w:footnote w:id="1083">
    <w:p w14:paraId="32E3339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i)"/>
        </w:smartTagPr>
        <w:r>
          <w:t>§1.1411-10(c)(1)(ii)</w:t>
        </w:r>
      </w:smartTag>
      <w:r>
        <w:t xml:space="preserve"> treats all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§1411(c)(1)(A)(i)</w:t>
        </w:r>
      </w:smartTag>
      <w:r>
        <w:t>.</w:t>
      </w:r>
    </w:p>
  </w:footnote>
  <w:footnote w:id="1084">
    <w:p w14:paraId="513ECFA4" w14:textId="77777777" w:rsidR="00494B49" w:rsidRDefault="00494B49">
      <w:pPr>
        <w:pStyle w:val="FootnoteText"/>
      </w:pPr>
      <w:r>
        <w:rPr>
          <w:rStyle w:val="FootnoteReference"/>
        </w:rPr>
        <w:footnoteRef/>
      </w:r>
      <w:r>
        <w:rPr>
          <w:i/>
        </w:rPr>
        <w:t>Id</w:t>
      </w:r>
      <w:r>
        <w:t xml:space="preserve">. </w:t>
      </w:r>
    </w:p>
  </w:footnote>
  <w:footnote w:id="1085">
    <w:p w14:paraId="71B0B1B9" w14:textId="77777777" w:rsidR="00494B49" w:rsidRDefault="00494B49">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86">
    <w:p w14:paraId="229EFCAC" w14:textId="77777777" w:rsidR="00494B49" w:rsidRDefault="00494B49">
      <w:pPr>
        <w:pStyle w:val="FootnoteText"/>
      </w:pPr>
      <w:r>
        <w:rPr>
          <w:rStyle w:val="FootnoteReference"/>
        </w:rPr>
        <w:footnoteRef/>
      </w:r>
      <w:smartTag w:uri="http://www.bna.com/sgml2word/cite" w:element="cite.usc">
        <w:smartTagPr>
          <w:attr w:name="ref" w:val="USC\26\643(a)(3)"/>
        </w:smartTagPr>
        <w:r>
          <w:t>§643(a)(3)</w:t>
        </w:r>
      </w:smartTag>
      <w:r>
        <w:t xml:space="preserve">. </w:t>
      </w:r>
    </w:p>
  </w:footnote>
  <w:footnote w:id="1087">
    <w:p w14:paraId="48500CB4" w14:textId="77777777" w:rsidR="00494B49" w:rsidRDefault="00494B49">
      <w:pPr>
        <w:pStyle w:val="FootnoteText"/>
      </w:pPr>
      <w:r>
        <w:rPr>
          <w:rStyle w:val="FootnoteReference"/>
        </w:rPr>
        <w:footnoteRef/>
      </w:r>
      <w:r>
        <w:t xml:space="preserve">The $12,000 adjustment relates to the amount that is included in MAGI under Reg. </w:t>
      </w:r>
      <w:smartTag w:uri="http://www.bna.com/sgml2word/cite" w:element="cite.cfr">
        <w:smartTagPr>
          <w:attr w:name="ref" w:val="cfr\26\1.1411-10(e)(2)(i)"/>
        </w:smartTagPr>
        <w:r>
          <w:t>§1.1411-10(e)(2)(i)</w:t>
        </w:r>
      </w:smartTag>
      <w:r>
        <w:t xml:space="preserve"> that is not included in AGI for regular tax purposes. </w:t>
      </w:r>
    </w:p>
  </w:footnote>
  <w:footnote w:id="1088">
    <w:p w14:paraId="42043466" w14:textId="77777777" w:rsidR="00494B49" w:rsidRDefault="00494B49">
      <w:pPr>
        <w:pStyle w:val="FootnoteText"/>
      </w:pPr>
      <w:r>
        <w:rPr>
          <w:rStyle w:val="FootnoteReference"/>
        </w:rPr>
        <w:footnoteRef/>
      </w:r>
      <w:r>
        <w:t xml:space="preserve">The end result was intended to mirror the Subchapter J result. Under Subchapter J, the entire $12,000 would be included in taxable income, which would naturally increase DNI under </w:t>
      </w:r>
      <w:smartTag w:uri="http://www.bna.com/sgml2word/cite" w:element="cite.usc">
        <w:smartTagPr>
          <w:attr w:name="ref" w:val="USC\26\643(a)"/>
        </w:smartTagPr>
        <w:r>
          <w:t>§643(a)</w:t>
        </w:r>
      </w:smartTag>
      <w:r>
        <w:t xml:space="preserve"> and then the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would increase by $7,000. The result would still be a deemed increase in taxable income by $5,000. </w:t>
      </w:r>
    </w:p>
  </w:footnote>
  <w:footnote w:id="1089">
    <w:p w14:paraId="365B13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4)"/>
        </w:smartTagPr>
        <w:r>
          <w:t>§1.1411-10(c)(4)</w:t>
        </w:r>
      </w:smartTag>
      <w:r>
        <w:t xml:space="preserve"> causes the amount of the excess distribution that is not in the beneficiary’s taxable income to be included in net investment income. This would be reflected on the beneficiary’s Form </w:t>
      </w:r>
      <w:smartTag w:uri="http://www.bna.com/sgml2word/cite" w:element="cite.fed.form">
        <w:smartTagPr>
          <w:attr w:name="ref" w:val="irs\form1040"/>
        </w:smartTagPr>
        <w:r>
          <w:t>1040</w:t>
        </w:r>
      </w:smartTag>
      <w:r>
        <w:t xml:space="preserve">, Schedule K-1, Box 14(H) and reported on the beneficiary’s Form </w:t>
      </w:r>
      <w:smartTag w:uri="http://www.bna.com/sgml2word/cite" w:element="cite.fed.form">
        <w:smartTagPr>
          <w:attr w:name="ref" w:val="irs\form8960"/>
        </w:smartTagPr>
        <w:r>
          <w:t>8960</w:t>
        </w:r>
      </w:smartTag>
      <w:r>
        <w:t xml:space="preserve">, Line 7. </w:t>
      </w:r>
    </w:p>
  </w:footnote>
  <w:footnote w:id="1090">
    <w:p w14:paraId="5EFBBBA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
        </w:smartTagPr>
        <w:r>
          <w:t>§1.1411-10(e)(1)(i)</w:t>
        </w:r>
      </w:smartTag>
      <w:r>
        <w:t xml:space="preserve"> (increase the beneficiary’s AGI by $7,000 (the amount included by reason of Reg. </w:t>
      </w:r>
      <w:smartTag w:uri="http://www.bna.com/sgml2word/cite" w:element="cite.cfr">
        <w:smartTagPr>
          <w:attr w:name="ref" w:val="cfr\26\1.1411-10(c)(4)"/>
        </w:smartTagPr>
        <w:r>
          <w:t>§1.1411-10(c)(4)</w:t>
        </w:r>
      </w:smartTag>
      <w:r>
        <w:t xml:space="preserve">)). </w:t>
      </w:r>
    </w:p>
  </w:footnote>
  <w:footnote w:id="1091">
    <w:p w14:paraId="7A5ADDBD" w14:textId="77777777" w:rsidR="00494B49" w:rsidRDefault="00494B49">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92">
    <w:p w14:paraId="0AF9A754" w14:textId="77777777" w:rsidR="00494B49" w:rsidRDefault="00494B49">
      <w:pPr>
        <w:pStyle w:val="FootnoteText"/>
      </w:pPr>
      <w:r>
        <w:rPr>
          <w:rStyle w:val="FootnoteReference"/>
        </w:rPr>
        <w:footnoteRef/>
      </w:r>
      <w:r>
        <w:t xml:space="preserve">The $50,000 adjustment relates to the amount that is deducted from MAGI under Reg. </w:t>
      </w:r>
      <w:smartTag w:uri="http://www.bna.com/sgml2word/cite" w:element="cite.cfr">
        <w:smartTagPr>
          <w:attr w:name="ref" w:val="cfr\26\1.1411-10(e)(2)(iii)"/>
        </w:smartTagPr>
        <w:r>
          <w:t>§1.1411-10(e)(2)(iii)</w:t>
        </w:r>
      </w:smartTag>
      <w:r>
        <w:t xml:space="preserve"> that is excluded from net investment income. </w:t>
      </w:r>
    </w:p>
  </w:footnote>
  <w:footnote w:id="1093">
    <w:p w14:paraId="26950B2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661(c)-1"/>
        </w:smartTagPr>
        <w:r>
          <w:t>§1.661(c)-1</w:t>
        </w:r>
      </w:smartTag>
      <w:r>
        <w:t xml:space="preserve"> and Reg. </w:t>
      </w:r>
      <w:smartTag w:uri="http://www.bna.com/sgml2word/cite" w:element="cite.cfr">
        <w:smartTagPr>
          <w:attr w:name="ref" w:val="cfr\26\1.1411-3(e)(5)"/>
        </w:smartTagPr>
        <w:r>
          <w:t>§1.1411-3(e)(5)</w:t>
        </w:r>
      </w:smartTag>
      <w:r>
        <w:rPr>
          <w:i/>
        </w:rPr>
        <w:t xml:space="preserve"> Ex.</w:t>
      </w:r>
      <w:r>
        <w:t xml:space="preserve"> 1. </w:t>
      </w:r>
    </w:p>
  </w:footnote>
  <w:footnote w:id="1094">
    <w:p w14:paraId="3EDA5FAA" w14:textId="77777777" w:rsidR="00494B49" w:rsidRDefault="00494B49">
      <w:pPr>
        <w:pStyle w:val="FootnoteText"/>
      </w:pPr>
      <w:r>
        <w:rPr>
          <w:rStyle w:val="FootnoteReference"/>
        </w:rPr>
        <w:footnoteRef/>
      </w:r>
      <w:smartTag w:uri="http://www.bna.com/sgml2word/cite" w:element="cite.usc">
        <w:smartTagPr>
          <w:attr w:name="ref" w:val="USC\26\685(c)"/>
        </w:smartTagPr>
        <w:r>
          <w:t>Section 685(c)</w:t>
        </w:r>
      </w:smartTag>
      <w:r>
        <w:t xml:space="preserve"> provides that the tax imposed on the QFT is calculated by treating each beneficiary’s interest in his or her contract as a separate trust. </w:t>
      </w:r>
    </w:p>
  </w:footnote>
  <w:footnote w:id="1095">
    <w:p w14:paraId="5A94DDF0"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2(a)(2)(v)"/>
        </w:smartTagPr>
        <w:r>
          <w:t>§1.1411-2(a)(2)(v)</w:t>
        </w:r>
      </w:smartTag>
      <w:r>
        <w:t xml:space="preserve"> and </w:t>
      </w:r>
      <w:smartTag w:uri="http://www.bna.com/sgml2word/cite" w:element="cite.cfr">
        <w:smartTagPr>
          <w:attr w:name="ref" w:val="cfr\26\1.1411-3(b)(2)(ii)"/>
        </w:smartTagPr>
        <w:r>
          <w:t>§1.1411-3(b)(2)(ii)</w:t>
        </w:r>
      </w:smartTag>
      <w:r>
        <w:t xml:space="preserve">. </w:t>
      </w:r>
    </w:p>
  </w:footnote>
  <w:footnote w:id="1096">
    <w:p w14:paraId="1C133095" w14:textId="77777777" w:rsidR="00494B49" w:rsidRDefault="00494B49">
      <w:pPr>
        <w:pStyle w:val="FootnoteText"/>
      </w:pPr>
      <w:r>
        <w:rPr>
          <w:rStyle w:val="FootnoteReference"/>
        </w:rPr>
        <w:footnoteRef/>
      </w:r>
      <w:r>
        <w:t xml:space="preserve">See parenthetical language in Reg. </w:t>
      </w:r>
      <w:smartTag w:uri="http://www.bna.com/sgml2word/cite" w:element="cite.cfr">
        <w:smartTagPr>
          <w:attr w:name="ref" w:val="cfr\26\1.1411-3(b)(1)(viii)"/>
        </w:smartTagPr>
        <w:r>
          <w:t>§1.1411-3(b)(1)(viii)</w:t>
        </w:r>
      </w:smartTag>
      <w:r>
        <w:t xml:space="preserve"> and </w:t>
      </w:r>
      <w:smartTag w:uri="http://www.bna.com/sgml2word/cite" w:element="cite.cfr">
        <w:smartTagPr>
          <w:attr w:name="ref" w:val="cfr\26\1.1411-3(b)(1)(ix)"/>
        </w:smartTagPr>
        <w:r>
          <w:t>§1.1411-3(b)(1)(ix)</w:t>
        </w:r>
      </w:smartTag>
      <w:r>
        <w:t xml:space="preserve">, and Reg. </w:t>
      </w:r>
      <w:smartTag w:uri="http://www.bna.com/sgml2word/cite" w:element="cite.cfr">
        <w:smartTagPr>
          <w:attr w:name="ref" w:val="cfr\26\1.1411-3(e)(3)(ii)"/>
        </w:smartTagPr>
        <w:r>
          <w:t>§1.1411-3(e)(3)(ii)</w:t>
        </w:r>
      </w:smartTag>
      <w:r>
        <w:t xml:space="preserve"> (last sentence). See also Reg. </w:t>
      </w:r>
      <w:smartTag w:uri="http://www.bna.com/sgml2word/cite" w:element="cite.cfr">
        <w:smartTagPr>
          <w:attr w:name="ref" w:val="cfr\26\1.1411-4(e)(1)(i)"/>
        </w:smartTagPr>
        <w:r>
          <w:t>§1.1411-4(e)(1)(i)</w:t>
        </w:r>
      </w:smartTag>
      <w:r>
        <w:t xml:space="preserve"> for inclusion of distributed net investment income of an estate or trust in the net investment income calculation of the beneficiary. </w:t>
      </w:r>
    </w:p>
  </w:footnote>
  <w:footnote w:id="1097">
    <w:p w14:paraId="273B894A" w14:textId="77777777" w:rsidR="00494B49" w:rsidRDefault="00494B49">
      <w:pPr>
        <w:pStyle w:val="FootnoteText"/>
      </w:pPr>
      <w:r>
        <w:rPr>
          <w:rStyle w:val="FootnoteReference"/>
        </w:rPr>
        <w:footnoteRef/>
      </w:r>
      <w:r>
        <w:rPr>
          <w:i/>
        </w:rPr>
        <w:t xml:space="preserve">See </w:t>
      </w:r>
      <w:r>
        <w:t xml:space="preserve">Preamble, 2013 Final Regulations (T.D. </w:t>
      </w:r>
      <w:smartTag w:uri="http://www.bna.com/sgml2word/cite" w:element="cite.agency.doc">
        <w:smartTagPr>
          <w:attr w:name="ref" w:val="IRS\PREAMBLE\TD9644"/>
        </w:smartTagPr>
        <w:r>
          <w:t>9644</w:t>
        </w:r>
      </w:smartTag>
      <w:r>
        <w:t>), Part 4.D.ii. The preamble to the 2012 Proposed Regulations (</w:t>
      </w:r>
      <w:smartTag w:uri="http://www.bna.com/sgml2word/cite" w:element="cite.agency.doc">
        <w:smartTagPr>
          <w:attr w:name="ref" w:val="irs\nprm\REG-130507-11"/>
        </w:smartTagPr>
        <w:r>
          <w:t>REG-130507-11</w:t>
        </w:r>
      </w:smartTag>
      <w:r>
        <w:t xml:space="preserve">) requested comments on the application of </w:t>
      </w:r>
      <w:smartTag w:uri="http://www.bna.com/sgml2word/cite" w:element="cite.usc">
        <w:smartTagPr>
          <w:attr w:name="ref" w:val="USC\26\1411"/>
        </w:smartTagPr>
        <w:r>
          <w:t>§1411</w:t>
        </w:r>
      </w:smartTag>
      <w:r>
        <w:t xml:space="preserve"> to net investment income of foreign trusts that is earned or accumulated for the benefit of U.S. beneficiaries, including whether </w:t>
      </w:r>
      <w:smartTag w:uri="http://www.bna.com/sgml2word/cite" w:element="cite.usc">
        <w:smartTagPr>
          <w:attr w:name="ref" w:val="USC\26\1411"/>
        </w:smartTagPr>
        <w:r>
          <w:t>§1411</w:t>
        </w:r>
      </w:smartTag>
      <w:r>
        <w:t xml:space="preserve"> should apply to the foreign trust, or to the U.S. beneficiaries upon an accumulation distribution. Commentators recommended that </w:t>
      </w:r>
      <w:smartTag w:uri="http://www.bna.com/sgml2word/cite" w:element="cite.usc">
        <w:smartTagPr>
          <w:attr w:name="ref" w:val="USC\26\1411"/>
        </w:smartTagPr>
        <w:r>
          <w:t>§1411</w:t>
        </w:r>
      </w:smartTag>
      <w:r>
        <w:t xml:space="preserve"> should not apply to foreign trusts that accumulate income for the benefit of U.S. beneficiaries, but rather, that U.S. beneficiaries should be subject to </w:t>
      </w:r>
      <w:smartTag w:uri="http://www.bna.com/sgml2word/cite" w:element="cite.usc">
        <w:smartTagPr>
          <w:attr w:name="ref" w:val="USC\26\1411"/>
        </w:smartTagPr>
        <w:r>
          <w:t>§1411</w:t>
        </w:r>
      </w:smartTag>
      <w:r>
        <w:t xml:space="preserve"> upon the receipt of an accumulation distribution from a foreign trust. However, the commentators did not provide an adequate legal analysis with respect to how the net investment income tax is incorporated into the throwback rules embodied in </w:t>
      </w:r>
      <w:smartTag w:uri="http://www.bna.com/sgml2word/cite" w:element="cite.usc">
        <w:smartTagPr>
          <w:attr w:name="ref" w:val="USC\26\667"/>
        </w:smartTagPr>
        <w:r>
          <w:t>§667</w:t>
        </w:r>
      </w:smartTag>
      <w:r>
        <w:t xml:space="preserve">. The IRS and the Treasury Department likely believe that accumulation distributions should be included in the net investment income tax tax base, but there are various mechanical hurdles that need to be overcome before this intention can come to fruition. </w:t>
      </w:r>
    </w:p>
  </w:footnote>
  <w:footnote w:id="1098">
    <w:p w14:paraId="320EA876" w14:textId="77777777" w:rsidR="00494B49" w:rsidRDefault="00494B49">
      <w:pPr>
        <w:pStyle w:val="FootnoteText"/>
      </w:pPr>
      <w:r>
        <w:rPr>
          <w:rStyle w:val="FootnoteReference"/>
        </w:rPr>
        <w:footnoteRef/>
      </w:r>
      <w:r>
        <w:t xml:space="preserve">For purposes of Chapter 1, </w:t>
      </w:r>
      <w:smartTag w:uri="http://www.bna.com/sgml2word/cite" w:element="cite.usc">
        <w:smartTagPr>
          <w:attr w:name="ref" w:val="USC\26\641(c)(1)"/>
        </w:smartTagPr>
        <w:r>
          <w:t>§641(c)(1)</w:t>
        </w:r>
      </w:smartTag>
      <w:r>
        <w:t xml:space="preserve"> provides that (A) the portion of any ESBT that consists of stock in one or more S corporations shall be treated as a separate trust, and (B) the amount of the tax imposed by Chapter 1 on such separate trust is determined with certain modifications detailed in </w:t>
      </w:r>
      <w:smartTag w:uri="http://www.bna.com/sgml2word/cite" w:element="cite.usc">
        <w:smartTagPr>
          <w:attr w:name="ref" w:val="USC\26\641(c)(2)"/>
        </w:smartTagPr>
        <w:r>
          <w:t>§641(c)(2)</w:t>
        </w:r>
      </w:smartTag>
      <w:r>
        <w:t xml:space="preserve">. Reg. </w:t>
      </w:r>
      <w:smartTag w:uri="http://www.bna.com/sgml2word/cite" w:element="cite.cfr">
        <w:smartTagPr>
          <w:attr w:name="ref" w:val="cfr\26\1.641(c)-1(a)"/>
        </w:smartTagPr>
        <w:r>
          <w:t>§1.641(c)-1(a)</w:t>
        </w:r>
      </w:smartTag>
      <w:r>
        <w:t xml:space="preserve"> provides that an ESBT is treated as two separate trusts for purposes of Chapter 1.</w:t>
      </w:r>
    </w:p>
  </w:footnote>
  <w:footnote w:id="1099">
    <w:p w14:paraId="776182C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1)"/>
        </w:smartTagPr>
        <w:r>
          <w:t>§1.1411-3(c)(1)</w:t>
        </w:r>
      </w:smartTag>
      <w:r>
        <w:t xml:space="preserve">. </w:t>
      </w:r>
    </w:p>
  </w:footnote>
  <w:footnote w:id="1100">
    <w:p w14:paraId="72E2997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
        </w:smartTagPr>
        <w:r>
          <w:t>§1.1411-3(c)(2)(i)</w:t>
        </w:r>
      </w:smartTag>
      <w:r>
        <w:t>.</w:t>
      </w:r>
    </w:p>
  </w:footnote>
  <w:footnote w:id="1101">
    <w:p w14:paraId="7A26DC5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i)"/>
        </w:smartTagPr>
        <w:r>
          <w:t>§1.1411-3(c)(2)(ii)</w:t>
        </w:r>
      </w:smartTag>
      <w:r>
        <w:t>.</w:t>
      </w:r>
    </w:p>
  </w:footnote>
  <w:footnote w:id="1102">
    <w:p w14:paraId="3FDF31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ii)"/>
        </w:smartTagPr>
        <w:r>
          <w:t>§1.1411-3(c)(2)(iii)</w:t>
        </w:r>
      </w:smartTag>
      <w:r>
        <w:t>.</w:t>
      </w:r>
    </w:p>
  </w:footnote>
  <w:footnote w:id="1103">
    <w:p w14:paraId="707AAAC7" w14:textId="77777777" w:rsidR="00494B49" w:rsidRDefault="00494B49">
      <w:pPr>
        <w:pStyle w:val="FootnoteText"/>
      </w:pPr>
      <w:r>
        <w:rPr>
          <w:rStyle w:val="FootnoteReference"/>
        </w:rPr>
        <w:footnoteRef/>
      </w:r>
      <w:r>
        <w:t xml:space="preserve">The inability to deduct net investment income distributed to beneficiaries in calculating undistributed net investment income of the S portion of an ESBT is found in Reg. </w:t>
      </w:r>
      <w:smartTag w:uri="http://www.bna.com/sgml2word/cite" w:element="cite.cfr">
        <w:smartTagPr>
          <w:attr w:name="ref" w:val="cfr\26\1.1411-3(e)(3)"/>
        </w:smartTagPr>
        <w:r>
          <w:t>§1.1411-3(e)(3)</w:t>
        </w:r>
      </w:smartTag>
      <w:r>
        <w:t xml:space="preserve">. Under that provision, the deduction allowed to an estate or trust is the lesser of net investment income distributed or the amount deducted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Because the S portion is not permitted distribution deductions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deduction is $0 for the S portion. </w:t>
      </w:r>
    </w:p>
  </w:footnote>
  <w:footnote w:id="1104">
    <w:p w14:paraId="2CF685BC" w14:textId="77777777" w:rsidR="00494B49" w:rsidRDefault="00494B49">
      <w:pPr>
        <w:pStyle w:val="FootnoteText"/>
      </w:pPr>
      <w:r>
        <w:rPr>
          <w:rStyle w:val="FootnoteReference"/>
        </w:rPr>
        <w:footnoteRef/>
      </w:r>
      <w:r>
        <w:t xml:space="preserve">For net operating losses arising in tax years beginning after December 31, 2020, the deduction for net operating losses is limited to 80% of the taxpayer's taxable income, computed without regard to the net operating loss deduction. </w:t>
      </w:r>
      <w:smartTag w:uri="http://www.bna.com/sgml2word/cite" w:element="cite.usc">
        <w:smartTagPr>
          <w:attr w:name="ref" w:val="usc\26\172(a)(2)"/>
        </w:smartTagPr>
        <w:r>
          <w:t>§172(a)(2)</w:t>
        </w:r>
      </w:smartTag>
      <w:r>
        <w:t xml:space="preserve">, as amended by the CARES Act, </w:t>
      </w:r>
      <w:smartTag w:uri="http://www.bna.com/sgml2word/cite" w:element="cite.pl">
        <w:smartTagPr>
          <w:attr w:name="ref" w:val="pl\116-136"/>
        </w:smartTagPr>
        <w:r>
          <w:t>Pub. L. No. 116-136,</w:t>
        </w:r>
      </w:smartTag>
      <w:r>
        <w:t xml:space="preserve"> §2303(a), effective for tax years beginning after December 31, 2017, and tax years beginning on or before such date to which net operating losses arising in taxable years beginning after such date are carried. </w:t>
      </w:r>
    </w:p>
  </w:footnote>
  <w:footnote w:id="1105">
    <w:p w14:paraId="08755770" w14:textId="77777777" w:rsidR="00494B49" w:rsidRDefault="00494B49">
      <w:pPr>
        <w:pStyle w:val="FootnoteText"/>
      </w:pPr>
      <w:r>
        <w:rPr>
          <w:rStyle w:val="FootnoteReference"/>
        </w:rPr>
        <w:footnoteRef/>
      </w:r>
      <w:r>
        <w:t xml:space="preserve">Miscellaneous itemized deductions are not deductible for tax years beginning 2018 through 2025. </w:t>
      </w:r>
      <w:smartTag w:uri="http://www.bna.com/sgml2word/cite" w:element="cite.usc">
        <w:smartTagPr>
          <w:attr w:name="ref" w:val="USC\26\67(g)"/>
        </w:smartTagPr>
        <w:r>
          <w:t>§67(g)</w:t>
        </w:r>
      </w:smartTag>
      <w:r>
        <w:t>.</w:t>
      </w:r>
    </w:p>
  </w:footnote>
  <w:footnote w:id="1106">
    <w:p w14:paraId="18A82ADF" w14:textId="77777777" w:rsidR="00494B49" w:rsidRDefault="00494B49">
      <w:pPr>
        <w:pStyle w:val="FootnoteText"/>
      </w:pPr>
      <w:r>
        <w:rPr>
          <w:rStyle w:val="FootnoteReference"/>
        </w:rPr>
        <w:footnoteRef/>
      </w:r>
      <w:r>
        <w:t xml:space="preserve">For a discussion of the capital loss carryforward rule in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1.e"/>
        </w:smartTagPr>
        <w:r>
          <w:t>III.D.1.e.</w:t>
        </w:r>
      </w:smartTag>
      <w:smartTag w:uri="http://www.bna.com/sgml2word/cite" w:element="cite.bna.reference">
        <w:smartTagPr>
          <w:attr w:name="bna.id.ref" w:val="TM\873.III.D.1.e"/>
        </w:smartTagPr>
        <w:r>
          <w:t>III.D.1.e.</w:t>
        </w:r>
      </w:smartTag>
      <w:r>
        <w:t>, above.</w:t>
      </w:r>
    </w:p>
  </w:footnote>
  <w:footnote w:id="1107">
    <w:p w14:paraId="068175EC"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08">
    <w:p w14:paraId="2F958819" w14:textId="77777777" w:rsidR="00494B49" w:rsidRDefault="00494B49">
      <w:pPr>
        <w:pStyle w:val="FootnoteText"/>
      </w:pPr>
      <w:r>
        <w:rPr>
          <w:rStyle w:val="FootnoteReference"/>
        </w:rPr>
        <w:footnoteRef/>
      </w:r>
      <w:r>
        <w:t xml:space="preserve">The threshold amount is the dollar amount at which the highest tax bracket in </w:t>
      </w:r>
      <w:smartTag w:uri="http://www.bna.com/sgml2word/cite" w:element="cite.usc">
        <w:smartTagPr>
          <w:attr w:name="ref" w:val="USC\26\1(e)"/>
        </w:smartTagPr>
        <w:r>
          <w:t>§1(e)</w:t>
        </w:r>
      </w:smartTag>
      <w:r>
        <w:t xml:space="preserve"> begins for such tax year. Similar to individuals, the threshold amount (dollar amounts at which the highest tax bracket begins in </w:t>
      </w:r>
      <w:smartTag w:uri="http://www.bna.com/sgml2word/cite" w:element="cite.usc">
        <w:smartTagPr>
          <w:attr w:name="ref" w:val="USC\26\1(e)"/>
        </w:smartTagPr>
        <w:r>
          <w:t>§1(e)</w:t>
        </w:r>
      </w:smartTag>
      <w:r>
        <w:t xml:space="preserve">) is reduced in the case of a short year due to a change in accounting period. </w:t>
      </w:r>
      <w:r>
        <w:rPr>
          <w:i/>
        </w:rPr>
        <w:t xml:space="preserve">See </w:t>
      </w:r>
      <w:r>
        <w:t xml:space="preserve">Reg. </w:t>
      </w:r>
      <w:smartTag w:uri="http://www.bna.com/sgml2word/cite" w:element="cite.cfr">
        <w:smartTagPr>
          <w:attr w:name="ref" w:val="cfr\26\1.1411-3(a)(2)(ii)"/>
        </w:smartTagPr>
        <w:r>
          <w:t>§1.1411-3(a)(2)(ii)</w:t>
        </w:r>
      </w:smartTag>
      <w:r>
        <w:t xml:space="preserve">. The threshold amount for each year can be found in the tax tables contained in the Worksheets to </w:t>
      </w:r>
      <w:smartTag w:uri="http://www.bna.com/sgml2word/cite" w:element="cite.bna.reference">
        <w:smartTagPr>
          <w:attr w:name="bna.id.ref" w:val="TM\507"/>
        </w:smartTagPr>
        <w:r>
          <w:t>507</w:t>
        </w:r>
      </w:smartTag>
      <w:r>
        <w:t xml:space="preserve"> T.M., </w:t>
      </w:r>
      <w:r>
        <w:rPr>
          <w:i/>
        </w:rPr>
        <w:t>Income Tax Liability: Concepts and Calculation</w:t>
      </w:r>
      <w:r>
        <w:t>.</w:t>
      </w:r>
    </w:p>
  </w:footnote>
  <w:footnote w:id="1109">
    <w:p w14:paraId="1692E4C0"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Preamble, Part 4.B.iii. </w:t>
      </w:r>
    </w:p>
  </w:footnote>
  <w:footnote w:id="1110">
    <w:p w14:paraId="1C5E6009" w14:textId="77777777" w:rsidR="00494B49" w:rsidRDefault="00494B49">
      <w:pPr>
        <w:pStyle w:val="FootnoteText"/>
      </w:pPr>
      <w:r>
        <w:rPr>
          <w:rStyle w:val="FootnoteReference"/>
        </w:rPr>
        <w:footnoteRef/>
      </w:r>
      <w:r>
        <w:t xml:space="preserve">The provisions of Reg. </w:t>
      </w:r>
      <w:smartTag w:uri="http://www.bna.com/sgml2word/cite" w:element="cite.cfr">
        <w:smartTagPr>
          <w:attr w:name="ref" w:val="cfr\26\1.1411-3(d)(2)"/>
        </w:smartTagPr>
        <w:r>
          <w:t>§1.1411-3(d)(2)</w:t>
        </w:r>
      </w:smartTag>
      <w:r>
        <w:t xml:space="preserve"> apply to tax years of CRTs that begin after December 31, 2012, provided however that, for CRTs that relied on the proposed regulations for returns filed before December 2, 2013, the CRT and its beneficiary (as applicable) do not have to amend their returns to comply with rules set forth in the 2013 Final Regulations. When transitioning from the method in the proposed regulations to the method in the 2013 Final Regulations,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11">
    <w:p w14:paraId="6B96FB47"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12">
    <w:p w14:paraId="1A32D3F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 xml:space="preserve">. </w:t>
      </w:r>
    </w:p>
  </w:footnote>
  <w:footnote w:id="1113">
    <w:p w14:paraId="2AFAB0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
        </w:smartTagPr>
        <w:r>
          <w:t>§1.1411-3(a)(1)(i)</w:t>
        </w:r>
      </w:smartTag>
      <w:r>
        <w:t xml:space="preserve"> provides that </w:t>
      </w:r>
      <w:smartTag w:uri="http://www.bna.com/sgml2word/cite" w:element="cite.usc">
        <w:smartTagPr>
          <w:attr w:name="ref" w:val="USC\26\1411"/>
        </w:smartTagPr>
        <w:r>
          <w:t>§1411</w:t>
        </w:r>
      </w:smartTag>
      <w:r>
        <w:t xml:space="preserve"> and the regulations thereunder apply to all estates and trusts that are subject to the provisions of part I of Subchapter J of Chapter 1 of Subtitle A of the Code, unless specifically exempted under Reg. </w:t>
      </w:r>
      <w:smartTag w:uri="http://www.bna.com/sgml2word/cite" w:element="cite.cfr">
        <w:smartTagPr>
          <w:attr w:name="ref" w:val="cfr\26\1.1411-3(b)"/>
        </w:smartTagPr>
        <w:r>
          <w:t>§1.1411-3(b)</w:t>
        </w:r>
      </w:smartTag>
      <w:r>
        <w:t xml:space="preserve">. A CRT is specifically exempt from taxation under Reg. </w:t>
      </w:r>
      <w:smartTag w:uri="http://www.bna.com/sgml2word/cite" w:element="cite.cfr">
        <w:smartTagPr>
          <w:attr w:name="ref" w:val="cfr\26\1.1411-3(b)(1)(iii)"/>
        </w:smartTagPr>
        <w:r>
          <w:t>§1.1411-3(b)(1)(iii)</w:t>
        </w:r>
      </w:smartTag>
      <w:r>
        <w:t xml:space="preserve">. </w:t>
      </w:r>
    </w:p>
  </w:footnote>
  <w:footnote w:id="1114">
    <w:p w14:paraId="6E56DAAA" w14:textId="77777777" w:rsidR="00494B49" w:rsidRDefault="00494B49">
      <w:pPr>
        <w:pStyle w:val="FootnoteText"/>
      </w:pPr>
      <w:r>
        <w:rPr>
          <w:rStyle w:val="FootnoteReference"/>
        </w:rPr>
        <w:footnoteRef/>
      </w:r>
      <w:r>
        <w:t xml:space="preserve">For a comprehensive analysis of the CRT ordering rules, see </w:t>
      </w:r>
      <w:smartTag w:uri="http://www.bna.com/sgml2word/cite" w:element="cite.bna.reference">
        <w:smartTagPr>
          <w:attr w:name="bna.id.ref" w:val="TM\865"/>
        </w:smartTagPr>
        <w:r>
          <w:t>865</w:t>
        </w:r>
      </w:smartTag>
      <w:r>
        <w:t xml:space="preserve"> T.M., </w:t>
      </w:r>
      <w:r>
        <w:rPr>
          <w:i/>
        </w:rPr>
        <w:t>Charitable Remainder Trusts, Charitable Gift Annuities, and Pooled Income Funds (Sections 664 and 642(c)(5))</w:t>
      </w:r>
      <w:r>
        <w:t xml:space="preserve"> (Estates, Gifts, and Trusts Series).</w:t>
      </w:r>
    </w:p>
  </w:footnote>
  <w:footnote w:id="1115">
    <w:p w14:paraId="150FA538" w14:textId="77777777" w:rsidR="00494B49" w:rsidRDefault="00494B49">
      <w:pPr>
        <w:pStyle w:val="FootnoteText"/>
      </w:pPr>
      <w:r>
        <w:rPr>
          <w:rStyle w:val="FootnoteReference"/>
        </w:rPr>
        <w:footnoteRef/>
      </w:r>
      <w:r>
        <w:t xml:space="preserve">These examples were written to not only show the application of the rule, but also to provide the computer programmers behind the tax preparation software a roadmap for reprograming the calculation engine behind the Form </w:t>
      </w:r>
      <w:smartTag w:uri="http://www.bna.com/sgml2word/cite" w:element="cite.fed.form">
        <w:smartTagPr>
          <w:attr w:name="ref" w:val="irs\form5227"/>
        </w:smartTagPr>
        <w:r>
          <w:t>5227</w:t>
        </w:r>
      </w:smartTag>
      <w:r>
        <w:t xml:space="preserve">. </w:t>
      </w:r>
    </w:p>
  </w:footnote>
  <w:footnote w:id="1116">
    <w:p w14:paraId="144219C2" w14:textId="77777777" w:rsidR="00494B49" w:rsidRDefault="00494B49">
      <w:pPr>
        <w:pStyle w:val="FootnoteText"/>
      </w:pPr>
      <w:r>
        <w:rPr>
          <w:rStyle w:val="FootnoteReference"/>
        </w:rPr>
        <w:footnoteRef/>
      </w:r>
      <w:r>
        <w:t>The term “</w:t>
      </w:r>
      <w:smartTag w:uri="http://www.bna.com/sgml2word/cite" w:element="cite.usc">
        <w:smartTagPr>
          <w:attr w:name="ref" w:val="USC\26\951"/>
        </w:smartTagPr>
        <w:r>
          <w:t>§951</w:t>
        </w:r>
      </w:smartTag>
      <w:r>
        <w:t xml:space="preserve"> Inclusions” represents ordinary income inclusions that are not dividends under </w:t>
      </w:r>
      <w:smartTag w:uri="http://www.bna.com/sgml2word/cite" w:element="cite.usc">
        <w:smartTagPr>
          <w:attr w:name="ref" w:val="USC\26\951(a)"/>
        </w:smartTagPr>
        <w:r>
          <w:t>§951(a)</w:t>
        </w:r>
      </w:smartTag>
      <w:r>
        <w:t>.</w:t>
      </w:r>
    </w:p>
  </w:footnote>
  <w:footnote w:id="1117">
    <w:p w14:paraId="46E2D4BC" w14:textId="77777777" w:rsidR="00494B49" w:rsidRDefault="00494B49">
      <w:pPr>
        <w:pStyle w:val="FootnoteText"/>
      </w:pPr>
      <w:r>
        <w:rPr>
          <w:rStyle w:val="FootnoteReference"/>
        </w:rPr>
        <w:footnoteRef/>
      </w:r>
      <w:r>
        <w:t>The term “</w:t>
      </w:r>
      <w:smartTag w:uri="http://www.bna.com/sgml2word/cite" w:element="cite.usc">
        <w:smartTagPr>
          <w:attr w:name="ref" w:val="USC\26\1293"/>
        </w:smartTagPr>
        <w:r>
          <w:t>§1293</w:t>
        </w:r>
      </w:smartTag>
      <w:r>
        <w:t xml:space="preserve"> Inclusions” represent ordinary income and capital gain inclusions that are not dividends under </w:t>
      </w:r>
      <w:smartTag w:uri="http://www.bna.com/sgml2word/cite" w:element="cite.usc">
        <w:smartTagPr>
          <w:attr w:name="ref" w:val="USC\26\1293(a)(1)(A)"/>
        </w:smartTagPr>
        <w:r>
          <w:t>§1293(a)(1)(A)</w:t>
        </w:r>
      </w:smartTag>
      <w:r>
        <w:t xml:space="preserve"> and </w:t>
      </w:r>
      <w:smartTag w:uri="http://www.bna.com/sgml2word/cite" w:element="cite.usc">
        <w:smartTagPr>
          <w:attr w:name="ref" w:val="USC\26\1293(a)(1)(B)"/>
        </w:smartTagPr>
        <w:r>
          <w:t>§1293(a)(1)(B)</w:t>
        </w:r>
      </w:smartTag>
      <w:r>
        <w:t>, respectively.</w:t>
      </w:r>
    </w:p>
  </w:footnote>
  <w:footnote w:id="1118">
    <w:p w14:paraId="0707FF0D"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411-10(e)(1)(iii)"/>
        </w:smartTagPr>
        <w:r>
          <w:t>§1.1411-10(e)(1)(iii)</w:t>
        </w:r>
      </w:smartTag>
      <w:r>
        <w:t xml:space="preserve">. </w:t>
      </w:r>
    </w:p>
  </w:footnote>
  <w:footnote w:id="1119">
    <w:p w14:paraId="58D04587" w14:textId="77777777" w:rsidR="00494B49" w:rsidRDefault="00494B49">
      <w:pPr>
        <w:pStyle w:val="FootnoteText"/>
      </w:pPr>
      <w:r>
        <w:rPr>
          <w:rStyle w:val="FootnoteReference"/>
        </w:rPr>
        <w:footnoteRef/>
      </w:r>
      <w:r>
        <w:t xml:space="preserve">It may be easiest to think of this as the “first shoe to drop.” The communication issue is somewhat dealt with on the Form </w:t>
      </w:r>
      <w:smartTag w:uri="http://www.bna.com/sgml2word/cite" w:element="cite.fed.form">
        <w:smartTagPr>
          <w:attr w:name="ref" w:val="irs\form1041"/>
        </w:smartTagPr>
        <w:r>
          <w:t>1041</w:t>
        </w:r>
      </w:smartTag>
      <w:r>
        <w:t xml:space="preserve">, Schedule K-1, Box 14, Code H. However, the instructions for the Form </w:t>
      </w:r>
      <w:smartTag w:uri="http://www.bna.com/sgml2word/cite" w:element="cite.fed.form">
        <w:smartTagPr>
          <w:attr w:name="ref" w:val="irs\form1041"/>
        </w:smartTagPr>
        <w:r>
          <w:t>1041</w:t>
        </w:r>
      </w:smartTag>
      <w:r>
        <w:t xml:space="preserve"> and Schedule K-1 address only the situation where Code H is used on Form </w:t>
      </w:r>
      <w:smartTag w:uri="http://www.bna.com/sgml2word/cite" w:element="cite.fed.form">
        <w:smartTagPr>
          <w:attr w:name="ref" w:val="irs\form8960"/>
        </w:smartTagPr>
        <w:r>
          <w:t>8960</w:t>
        </w:r>
      </w:smartTag>
      <w:r>
        <w:t xml:space="preserve"> to decrease a beneficiary’s net investment income (or very rarely, increase it). There is no stated mechanism for the trust to communicate a MAGI adjustment to a beneficiary. </w:t>
      </w:r>
    </w:p>
  </w:footnote>
  <w:footnote w:id="1120">
    <w:p w14:paraId="49082189"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411-10(e)(1)(i)"/>
        </w:smartTagPr>
        <w:r>
          <w:t>§1.1411-10(e)(1)(i)</w:t>
        </w:r>
      </w:smartTag>
      <w:r>
        <w:t>. If following the metaphor from the preceding point, this would be the “second shoe to drop.”</w:t>
      </w:r>
    </w:p>
  </w:footnote>
  <w:footnote w:id="1121">
    <w:p w14:paraId="57FB684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d)(2)(i)"/>
        </w:smartTagPr>
        <w:r>
          <w:t>§1.1411-3(d)(2)(i)</w:t>
        </w:r>
      </w:smartTag>
      <w:r>
        <w:t>.</w:t>
      </w:r>
    </w:p>
  </w:footnote>
  <w:footnote w:id="1122">
    <w:p w14:paraId="62DC27A9" w14:textId="77777777" w:rsidR="00494B49" w:rsidRDefault="00494B49">
      <w:pPr>
        <w:pStyle w:val="FootnoteText"/>
      </w:pPr>
      <w:r>
        <w:rPr>
          <w:rStyle w:val="FootnoteReference"/>
        </w:rPr>
        <w:footnoteRef/>
      </w:r>
      <w:r>
        <w:t xml:space="preserve">Accumulated net investment income is defined in Reg. </w:t>
      </w:r>
      <w:smartTag w:uri="http://www.bna.com/sgml2word/cite" w:element="cite.cfr">
        <w:smartTagPr>
          <w:attr w:name="ref" w:val="cfr\26\1.1411-3(d)(1)(iii)"/>
        </w:smartTagPr>
        <w:r>
          <w:t>§1.1411-3(d)(1)(iii)</w:t>
        </w:r>
      </w:smartTag>
      <w:r>
        <w:t xml:space="preserve"> as total net investment income received by the CRT for all years beginning after December 31, 2012 less the total amount distributed to beneficiaries after December 21, 2012.</w:t>
      </w:r>
    </w:p>
  </w:footnote>
  <w:footnote w:id="1123">
    <w:p w14:paraId="32EA5D41" w14:textId="77777777" w:rsidR="00494B49" w:rsidRDefault="00494B49">
      <w:pPr>
        <w:pStyle w:val="FootnoteText"/>
      </w:pPr>
      <w:r>
        <w:rPr>
          <w:rStyle w:val="FootnoteReference"/>
        </w:rPr>
        <w:footnoteRef/>
      </w:r>
      <w:r>
        <w:t xml:space="preserve">“Excluded Income” is a defined term under Reg. </w:t>
      </w:r>
      <w:smartTag w:uri="http://www.bna.com/sgml2word/cite" w:element="cite.cfr">
        <w:smartTagPr>
          <w:attr w:name="ref" w:val="cfr\26\1.1411-1(d)(4)"/>
        </w:smartTagPr>
        <w:r>
          <w:t>§1.1411-1(d)(4)</w:t>
        </w:r>
      </w:smartTag>
      <w:r>
        <w:t>.</w:t>
      </w:r>
    </w:p>
  </w:footnote>
  <w:footnote w:id="1124">
    <w:p w14:paraId="64085EC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§1.1411-3(d)(2)(ii)(A)</w:t>
        </w:r>
      </w:smartTag>
      <w:r>
        <w:t>.</w:t>
      </w:r>
    </w:p>
  </w:footnote>
  <w:footnote w:id="1125">
    <w:p w14:paraId="3029D6A9" w14:textId="77777777" w:rsidR="00494B49" w:rsidRDefault="00494B49">
      <w:pPr>
        <w:pStyle w:val="FootnoteText"/>
      </w:pPr>
      <w:r>
        <w:rPr>
          <w:rStyle w:val="FootnoteReference"/>
        </w:rPr>
        <w:footnoteRef/>
      </w:r>
      <w:r>
        <w:t xml:space="preserve">From a compliance perspective, the beneficiary may have no indication on the Schedule K-1 that any of the income is associated with an Inclusion. The Schedule K-1 would have negative amount in Box H of Line 14 that would eliminate the net investment income. </w:t>
      </w:r>
    </w:p>
  </w:footnote>
  <w:footnote w:id="1126">
    <w:p w14:paraId="501CD25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§1.1411-3(d)(2)(ii)(B)</w:t>
        </w:r>
      </w:smartTag>
      <w:r>
        <w:t>.</w:t>
      </w:r>
    </w:p>
  </w:footnote>
  <w:footnote w:id="1127">
    <w:p w14:paraId="7CBED967"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1)(i)"/>
        </w:smartTagPr>
        <w:r>
          <w:t>§1.1411-10(c)(1)(i)</w:t>
        </w:r>
      </w:smartTag>
      <w:r>
        <w:t xml:space="preserve">. </w:t>
      </w:r>
    </w:p>
  </w:footnote>
  <w:footnote w:id="1128">
    <w:p w14:paraId="40A73749"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1)(ii)"/>
        </w:smartTagPr>
        <w:r>
          <w:t>§1.1411-10(c)(1)(ii)</w:t>
        </w:r>
      </w:smartTag>
      <w:r>
        <w:t>.</w:t>
      </w:r>
    </w:p>
  </w:footnote>
  <w:footnote w:id="1129">
    <w:p w14:paraId="6A00B087"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2)(i)"/>
        </w:smartTagPr>
        <w:r>
          <w:t>§1.1411-10(c)(2)(i)</w:t>
        </w:r>
      </w:smartTag>
      <w:r>
        <w:t>.</w:t>
      </w:r>
    </w:p>
  </w:footnote>
  <w:footnote w:id="1130">
    <w:p w14:paraId="3781100C"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4)"/>
        </w:smartTagPr>
        <w:r>
          <w:t>§1.1411-10(c)(4)</w:t>
        </w:r>
      </w:smartTag>
      <w:r>
        <w:t>.</w:t>
      </w:r>
    </w:p>
  </w:footnote>
  <w:footnote w:id="1131">
    <w:p w14:paraId="6D51708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
        </w:smartTagPr>
        <w:r>
          <w:t>§1.1411-3(d)(2)(ii)(B)</w:t>
        </w:r>
      </w:smartTag>
      <w:r>
        <w:t>.</w:t>
      </w:r>
    </w:p>
  </w:footnote>
  <w:footnote w:id="1132">
    <w:p w14:paraId="6855DE0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i)"/>
        </w:smartTagPr>
        <w:r>
          <w:t>§1.1411-3(d)(2)(ii)(B)(i)</w:t>
        </w:r>
      </w:smartTag>
      <w:r>
        <w:t>. An early draft of the rule required the net investment income Inclusion Amount to first attach to any Excluded Income associated with a CFC or PFIC before attaching to other Excluded Income. This rule, if adopted, would have caused the subsequent net investment income Inclusion Amount to reunite with the deemed Excluded Income so as to not “taint” naturally occurring Excluded Income. However, the rule was abandoned due to the extraordinary complexity that would have resulted from including a sub-ordering rule within the ordering rule.</w:t>
      </w:r>
    </w:p>
  </w:footnote>
  <w:footnote w:id="1133">
    <w:p w14:paraId="4133926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2)"/>
        </w:smartTagPr>
        <w:r>
          <w:t>§1.1411-3(d)(2)(ii)(B)(2)</w:t>
        </w:r>
      </w:smartTag>
      <w:r>
        <w:t>.</w:t>
      </w:r>
    </w:p>
  </w:footnote>
  <w:footnote w:id="1134">
    <w:p w14:paraId="728352E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provides special basis calculation rules for CFCs, QEFs, and partnerships and S corporations that own interests in CFCs or QEFs. See </w:t>
      </w:r>
      <w:smartTag w:uri="http://www.bna.com/sgml2word/cite" w:element="cite.bna.reference">
        <w:smartTagPr>
          <w:attr w:name="bna.id.ref" w:val="TM\511.VII.D"/>
        </w:smartTagPr>
        <w:r>
          <w:t>VII.D.</w:t>
        </w:r>
      </w:smartTag>
      <w:smartTag w:uri="http://www.bna.com/sgml2word/cite" w:element="cite.bna.reference">
        <w:smartTagPr>
          <w:attr w:name="bna.id.ref" w:val="TM\873.VII.D"/>
        </w:smartTagPr>
        <w:r>
          <w:t>VII.D.</w:t>
        </w:r>
      </w:smartTag>
      <w:r>
        <w:t xml:space="preserve">, above, for a discussion of these rules. </w:t>
      </w:r>
    </w:p>
  </w:footnote>
  <w:footnote w:id="1135">
    <w:p w14:paraId="33113713" w14:textId="77777777" w:rsidR="00494B49" w:rsidRDefault="00494B49">
      <w:pPr>
        <w:pStyle w:val="FootnoteText"/>
      </w:pPr>
      <w:r>
        <w:rPr>
          <w:rStyle w:val="FootnoteReference"/>
        </w:rPr>
        <w:footnoteRef/>
      </w:r>
      <w:r>
        <w:t>The preamble to the 2013 Proposed Regulation (</w:t>
      </w:r>
      <w:smartTag w:uri="http://www.bna.com/sgml2word/cite" w:element="cite.agency.doc">
        <w:smartTagPr>
          <w:attr w:name="ref" w:val="irs\nprm\REG-130843-13"/>
        </w:smartTagPr>
        <w:r>
          <w:t>REG-130843-13</w:t>
        </w:r>
      </w:smartTag>
      <w:r>
        <w:t xml:space="preserve">) stated, “[t]he Treasury Department and the IRS believe this difference more accurately reflects the nature of the net investment income within the </w:t>
      </w:r>
      <w:smartTag w:uri="http://www.bna.com/sgml2word/cite" w:element="cite.usc">
        <w:smartTagPr>
          <w:attr w:name="ref" w:val="USC\26\664"/>
        </w:smartTagPr>
        <w:r>
          <w:t>§664</w:t>
        </w:r>
      </w:smartTag>
      <w:r>
        <w:t xml:space="preserve"> category and class system because this net investment income Inclusion Amount is attributable to a transaction that generated capital gain or loss (rather than ordinary income inclusions and dividends attributable to Prop. Reg. </w:t>
      </w:r>
      <w:smartTag w:uri="http://www.bna.com/sgml2word/cite" w:element="cite.cfr">
        <w:smartTagPr>
          <w:attr w:name="ref" w:val="prule\cfr\26\1.1411-3(d)(2)(ii)(B)"/>
        </w:smartTagPr>
        <w:r>
          <w:t>§1.1411-3(d)(2)(ii)(B)</w:t>
        </w:r>
      </w:smartTag>
      <w:r>
        <w:t xml:space="preserve"> items).” </w:t>
      </w:r>
    </w:p>
  </w:footnote>
  <w:footnote w:id="1136">
    <w:p w14:paraId="367A99D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C)(2)"/>
        </w:smartTagPr>
        <w:r>
          <w:t>§1.1411-3(d)(2)(ii)(C)(2)</w:t>
        </w:r>
      </w:smartTag>
      <w:r>
        <w:t>.</w:t>
      </w:r>
    </w:p>
  </w:footnote>
  <w:footnote w:id="1137">
    <w:p w14:paraId="186B8619"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3)(iii)"/>
        </w:smartTagPr>
        <w:r>
          <w:t>§1.1411-3(d)(3)(iii)</w:t>
        </w:r>
      </w:smartTag>
      <w:r>
        <w:t>.</w:t>
      </w:r>
    </w:p>
  </w:footnote>
  <w:footnote w:id="1138">
    <w:p w14:paraId="70043622" w14:textId="77777777" w:rsidR="00494B49" w:rsidRDefault="00494B49">
      <w:pPr>
        <w:pStyle w:val="FootnoteText"/>
      </w:pPr>
      <w:r>
        <w:rPr>
          <w:rStyle w:val="FootnoteReference"/>
        </w:rPr>
        <w:footnoteRef/>
      </w:r>
      <w:r>
        <w:t>The one difference between the method in the 2012 Proposed Regulations (</w:t>
      </w:r>
      <w:smartTag w:uri="http://www.bna.com/sgml2word/cite" w:element="cite.agency.doc">
        <w:smartTagPr>
          <w:attr w:name="ref" w:val="irs\nprm\REG-130507-11"/>
        </w:smartTagPr>
        <w:r>
          <w:t>REG-130507-11</w:t>
        </w:r>
      </w:smartTag>
      <w:r>
        <w:t>) and the Simplified Method in the 2013 Proposed Regulations (</w:t>
      </w:r>
      <w:smartTag w:uri="http://www.bna.com/sgml2word/cite" w:element="cite.agency.doc">
        <w:smartTagPr>
          <w:attr w:name="ref" w:val="irs\nprm\REG-130843-13"/>
        </w:smartTagPr>
        <w:r>
          <w:t>REG-130843-13</w:t>
        </w:r>
      </w:smartTag>
      <w:r>
        <w:t xml:space="preserve">) is that the CRT may carry forward negative net investment income (properly allocable deductions and losses in excess of gross investment income) under the 2013 proposal. </w:t>
      </w:r>
    </w:p>
  </w:footnote>
  <w:footnote w:id="1139">
    <w:p w14:paraId="6C9DBA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1)(ii)"/>
        </w:smartTagPr>
        <w:r>
          <w:t>§1.1411-4(f)(1)(ii)</w:t>
        </w:r>
      </w:smartTag>
      <w:r>
        <w:t xml:space="preserve"> provides that </w:t>
      </w:r>
      <w:smartTag w:uri="http://www.bna.com/sgml2word/cite" w:element="cite.usc">
        <w:smartTagPr>
          <w:attr w:name="ref" w:val="USC\26\1411(c)(1)(B)"/>
        </w:smartTagPr>
        <w:r>
          <w:t>§1411(c)(1)(B)</w:t>
        </w:r>
      </w:smartTag>
      <w:r>
        <w:t xml:space="preserve"> deductions in excess of gross income and net gain described in </w:t>
      </w:r>
      <w:smartTag w:uri="http://www.bna.com/sgml2word/cite" w:element="cite.usc">
        <w:smartTagPr>
          <w:attr w:name="ref" w:val="USC\26\1411(c)(1)(A)"/>
        </w:smartTagPr>
        <w:r>
          <w:t>§1411(c)(1)(A)</w:t>
        </w:r>
      </w:smartTag>
      <w:r>
        <w:t xml:space="preserve"> are not taken into account in determining net investment income in any other tax year, except as allowed under Chapter 1.</w:t>
      </w:r>
    </w:p>
  </w:footnote>
  <w:footnote w:id="1140">
    <w:p w14:paraId="7A03D0CF" w14:textId="77777777" w:rsidR="00494B49" w:rsidRDefault="00494B49">
      <w:pPr>
        <w:pStyle w:val="FootnoteText"/>
      </w:pPr>
      <w:r>
        <w:rPr>
          <w:rStyle w:val="FootnoteReference"/>
        </w:rPr>
        <w:footnoteRef/>
      </w:r>
      <w:r>
        <w:t xml:space="preserve">For example, if a CRT has a long-term capital loss of $10,000 in Year 1 and an $11,000 long-term capital gain in Year 2, the </w:t>
      </w:r>
      <w:smartTag w:uri="http://www.bna.com/sgml2word/cite" w:element="cite.usc">
        <w:smartTagPr>
          <w:attr w:name="ref" w:val="USC\26\664(d)"/>
        </w:smartTagPr>
        <w:r>
          <w:t>§664(d)</w:t>
        </w:r>
      </w:smartTag>
      <w:r>
        <w:t xml:space="preserve"> regulations provide that the CRT will have $1,000 of long-term gain available for distribution in Year 2. Proposed Reg. </w:t>
      </w:r>
      <w:smartTag w:uri="http://www.bna.com/sgml2word/cite" w:element="cite.cfr">
        <w:smartTagPr>
          <w:attr w:name="ref" w:val="prule\cfr\26\1.1411-3(d)(3)(ii)"/>
        </w:smartTagPr>
        <w:r>
          <w:t>§1.1411-3(d)(3)(ii)</w:t>
        </w:r>
      </w:smartTag>
      <w:r>
        <w:t xml:space="preserve"> is intended to provide the same result such that the CRT would have $1,000 of accumulated net investment income available for distribution in Year 2.</w:t>
      </w:r>
    </w:p>
  </w:footnote>
  <w:footnote w:id="1141">
    <w:p w14:paraId="7F6E909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f)"/>
        </w:smartTagPr>
        <w:r>
          <w:t>§1.1411-3(f)</w:t>
        </w:r>
      </w:smartTag>
      <w:r>
        <w:t xml:space="preserve">. </w:t>
      </w:r>
    </w:p>
  </w:footnote>
  <w:footnote w:id="1142">
    <w:p w14:paraId="4FAE6A71" w14:textId="77777777" w:rsidR="00494B49" w:rsidRDefault="00494B49">
      <w:pPr>
        <w:pStyle w:val="FootnoteText"/>
      </w:pPr>
      <w:r>
        <w:rPr>
          <w:rStyle w:val="FootnoteReference"/>
        </w:rPr>
        <w:footnoteRef/>
      </w:r>
      <w:r>
        <w:rPr>
          <w:i/>
        </w:rPr>
        <w:t xml:space="preserve">See </w:t>
      </w:r>
      <w:r>
        <w:t>Preamble, 2013 Proposed Regulations (</w:t>
      </w:r>
      <w:smartTag w:uri="http://www.bna.com/sgml2word/cite" w:element="cite.agency.doc">
        <w:smartTagPr>
          <w:attr w:name="ref" w:val="irs\nprm\REG-130843-13"/>
        </w:smartTagPr>
        <w:r>
          <w:t>REG-130843-13</w:t>
        </w:r>
      </w:smartTag>
      <w:r>
        <w:t>), Part 8.</w:t>
      </w:r>
    </w:p>
  </w:footnote>
  <w:footnote w:id="1143">
    <w:p w14:paraId="71364CAF" w14:textId="77777777" w:rsidR="00494B49" w:rsidRDefault="00494B49">
      <w:pPr>
        <w:pStyle w:val="FootnoteText"/>
      </w:pPr>
      <w:r>
        <w:rPr>
          <w:rStyle w:val="FootnoteReference"/>
        </w:rPr>
        <w:footnoteRef/>
      </w:r>
      <w:r>
        <w:t>Such generic transition language might provide something similar to “[when] transitioning from the [Simplified Method] to the [</w:t>
      </w:r>
      <w:smartTag w:uri="http://www.bna.com/sgml2word/cite" w:element="cite.usc">
        <w:smartTagPr>
          <w:attr w:name="ref" w:val="USC\26\664"/>
        </w:smartTagPr>
        <w:r>
          <w:t>§664</w:t>
        </w:r>
      </w:smartTag>
      <w:r>
        <w:t xml:space="preserve"> Method],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44">
    <w:p w14:paraId="4B28DB65" w14:textId="77777777" w:rsidR="00494B49" w:rsidRDefault="00494B49">
      <w:pPr>
        <w:pStyle w:val="FootnoteText"/>
      </w:pPr>
      <w:r>
        <w:rPr>
          <w:rStyle w:val="FootnoteReference"/>
        </w:rPr>
        <w:footnoteRef/>
      </w:r>
      <w:r>
        <w:rPr>
          <w:i/>
        </w:rPr>
        <w:t xml:space="preserve">See </w:t>
      </w:r>
      <w:r>
        <w:t xml:space="preserve">Prop. Reg. </w:t>
      </w:r>
      <w:smartTag w:uri="http://www.bna.com/sgml2word/cite" w:element="cite.cfr">
        <w:smartTagPr>
          <w:attr w:name="ref" w:val="prule\cfr\26\1.1411-3(d)(3)(ii)"/>
        </w:smartTagPr>
        <w:r>
          <w:t>§1.1411-3(d)(3)(ii)</w:t>
        </w:r>
      </w:smartTag>
      <w:r>
        <w:t xml:space="preserve">. </w:t>
      </w:r>
    </w:p>
  </w:footnote>
  <w:footnote w:id="1145">
    <w:p w14:paraId="79759B69" w14:textId="77777777" w:rsidR="00494B49" w:rsidRDefault="00494B49">
      <w:pPr>
        <w:pStyle w:val="FootnoteText"/>
      </w:pPr>
      <w:r>
        <w:rPr>
          <w:rStyle w:val="FootnoteReference"/>
        </w:rPr>
        <w:footnoteRef/>
      </w:r>
      <w:r>
        <w:t xml:space="preserve">Reg. </w:t>
      </w:r>
      <w:smartTag w:uri="http://www.bna.com/sgml2word/cite" w:element="cite.cfr">
        <w:smartTagPr>
          <w:attr w:name="ref" w:val="cfr\26\1.664-1(d)(1)(iii)"/>
        </w:smartTagPr>
        <w:r>
          <w:t>§1.664-1(d)(1)(iii)</w:t>
        </w:r>
      </w:smartTag>
      <w:r>
        <w:t>–</w:t>
      </w:r>
      <w:smartTag w:uri="http://www.bna.com/sgml2word/cite" w:element="cite.cfr">
        <w:smartTagPr>
          <w:attr w:name="ref" w:val="cfr\26\1.664-1(d)(1)(v)"/>
        </w:smartTagPr>
        <w:r>
          <w:t>§1.664-1(d)(1)(v)</w:t>
        </w:r>
      </w:smartTag>
      <w:r>
        <w:t>.</w:t>
      </w:r>
    </w:p>
  </w:footnote>
  <w:footnote w:id="1146">
    <w:p w14:paraId="2FD816AA" w14:textId="77777777" w:rsidR="00494B49" w:rsidRDefault="00494B49">
      <w:pPr>
        <w:pStyle w:val="FootnoteText"/>
      </w:pPr>
      <w:r>
        <w:rPr>
          <w:rStyle w:val="FootnoteReference"/>
        </w:rPr>
        <w:footnoteRef/>
      </w:r>
      <w:r>
        <w:t>Note that the 2017</w:t>
      </w:r>
      <w:smartTag w:uri="http://www.bna.com/sgml2word/cite" w:element="cite.fed.form">
        <w:smartTagPr>
          <w:attr w:name="ref" w:val="irs\form5227"/>
        </w:smartTagPr>
        <w:r>
          <w:t xml:space="preserve"> Form 5227 Instructions</w:t>
        </w:r>
      </w:smartTag>
      <w:r>
        <w:t xml:space="preserve"> reflect rates in effect before the enactment of </w:t>
      </w:r>
      <w:smartTag w:uri="http://www.bna.com/sgml2word/cite" w:element="cite.pl">
        <w:smartTagPr>
          <w:attr w:name="ref" w:val="pl\115-97"/>
        </w:smartTagPr>
        <w:r>
          <w:t>Pub. L. No. 115-97</w:t>
        </w:r>
      </w:smartTag>
      <w:r>
        <w:t>. The applicable rates are different for tax years beginning 2018 through 2025.</w:t>
      </w:r>
    </w:p>
  </w:footnote>
  <w:footnote w:id="1147">
    <w:p w14:paraId="0FEA33A1"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48">
    <w:p w14:paraId="26CB5FFC" w14:textId="77777777" w:rsidR="00494B49" w:rsidRDefault="00494B49">
      <w:pPr>
        <w:pStyle w:val="FootnoteText"/>
      </w:pPr>
      <w:r>
        <w:rPr>
          <w:rStyle w:val="FootnoteReference"/>
        </w:rPr>
        <w:footnoteRef/>
      </w:r>
      <w:r>
        <w:t xml:space="preserve">For further explanation, see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49">
    <w:p w14:paraId="632E1EBC"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reflect rates in effect before the enactment of the TCJA. The applicable rates are different for tax years beginning 2018 through 2025.</w:t>
      </w:r>
    </w:p>
  </w:footnote>
  <w:footnote w:id="1150">
    <w:p w14:paraId="7B5E0A7B"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51">
    <w:p w14:paraId="61C4F802" w14:textId="77777777" w:rsidR="00494B49" w:rsidRDefault="00494B49">
      <w:pPr>
        <w:pStyle w:val="FootnoteText"/>
      </w:pPr>
      <w:r>
        <w:rPr>
          <w:rStyle w:val="FootnoteReference"/>
        </w:rPr>
        <w:footnoteRef/>
      </w:r>
      <w:r>
        <w:t xml:space="preserve">For a discussion of the Reg. </w:t>
      </w:r>
      <w:smartTag w:uri="http://www.bna.com/sgml2word/cite" w:element="cite.cfr">
        <w:smartTagPr>
          <w:attr w:name="ref" w:val="cfr\26\1.1411-10(g)"/>
        </w:smartTagPr>
        <w:r>
          <w:t>§1.1411-10(g)</w:t>
        </w:r>
      </w:smartTag>
      <w:r>
        <w:t xml:space="preserve"> election, see </w:t>
      </w:r>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r>
        <w:t xml:space="preserve">, above. </w:t>
      </w:r>
    </w:p>
  </w:footnote>
  <w:footnote w:id="1152">
    <w:p w14:paraId="5C6B5125" w14:textId="77777777" w:rsidR="00494B49" w:rsidRDefault="00494B49">
      <w:pPr>
        <w:pStyle w:val="FootnoteText"/>
      </w:pPr>
      <w:r>
        <w:rPr>
          <w:rStyle w:val="FootnoteReference"/>
        </w:rPr>
        <w:footnoteRef/>
      </w:r>
      <w:r>
        <w:t xml:space="preserve">See discussion of the benefits of NIMCRUTs in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53">
    <w:p w14:paraId="1C14F247" w14:textId="77777777" w:rsidR="00494B49" w:rsidRDefault="00494B49">
      <w:pPr>
        <w:pStyle w:val="FootnoteText"/>
      </w:pPr>
      <w:r>
        <w:rPr>
          <w:rStyle w:val="FootnoteReference"/>
        </w:rPr>
        <w:footnoteRef/>
      </w:r>
      <w:smartTag w:uri="http://www.bna.com/sgml2word/cite" w:element="cite.usc">
        <w:smartTagPr>
          <w:attr w:name="ref" w:val="USC\26\6654(a)"/>
        </w:smartTagPr>
        <w:r>
          <w:t>§6654(a)</w:t>
        </w:r>
      </w:smartTag>
      <w:r>
        <w:t xml:space="preserve"> (reference to the tax under chapter 2A). For a detailed discussion of estimated taxes, see </w:t>
      </w:r>
      <w:smartTag w:uri="http://www.bna.com/sgml2word/cite" w:element="cite.bna.reference">
        <w:smartTagPr>
          <w:attr w:name="bna.id.ref" w:val="TM\581"/>
        </w:smartTagPr>
        <w:r>
          <w:t>581 T.M.</w:t>
        </w:r>
      </w:smartTag>
      <w:r>
        <w:t xml:space="preserve">, </w:t>
      </w:r>
      <w:r>
        <w:rPr>
          <w:i/>
        </w:rPr>
        <w:t>Estimated Tax</w:t>
      </w:r>
      <w:r>
        <w:t>.</w:t>
      </w:r>
    </w:p>
  </w:footnote>
  <w:footnote w:id="1154">
    <w:p w14:paraId="6A9F4E9B" w14:textId="77777777" w:rsidR="00494B49" w:rsidRDefault="00494B49">
      <w:pPr>
        <w:pStyle w:val="FootnoteText"/>
      </w:pPr>
      <w:r>
        <w:rPr>
          <w:rStyle w:val="FootnoteReference"/>
        </w:rPr>
        <w:footnoteRef/>
      </w:r>
      <w:smartTag w:uri="http://www.bna.com/sgml2word/cite" w:element="cite.usc">
        <w:smartTagPr>
          <w:attr w:name="ref" w:val="USC\26\6601(a)"/>
        </w:smartTagPr>
        <w:r>
          <w:t>§6601(a)</w:t>
        </w:r>
      </w:smartTag>
      <w:r>
        <w:t xml:space="preserve">. For a detailed discussion of interest on underpayments,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5">
    <w:p w14:paraId="7C976EB7" w14:textId="77777777" w:rsidR="00494B49" w:rsidRDefault="00494B49">
      <w:pPr>
        <w:pStyle w:val="FootnoteText"/>
      </w:pPr>
      <w:r>
        <w:rPr>
          <w:rStyle w:val="FootnoteReference"/>
        </w:rPr>
        <w:footnoteRef/>
      </w:r>
      <w:r>
        <w:t xml:space="preserve">For a detailed discussion of interest on overpayments,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6">
    <w:p w14:paraId="587F5D96" w14:textId="77777777" w:rsidR="00494B49" w:rsidRDefault="00494B49">
      <w:pPr>
        <w:pStyle w:val="FootnoteText"/>
      </w:pPr>
      <w:r>
        <w:rPr>
          <w:rStyle w:val="FootnoteReference"/>
        </w:rPr>
        <w:footnoteRef/>
      </w:r>
      <w:smartTag w:uri="http://www.bna.com/sgml2word/cite" w:element="cite.usc">
        <w:smartTagPr>
          <w:attr w:name="ref" w:val="USC\26\6611(f)"/>
        </w:smartTagPr>
        <w:r>
          <w:t>§6611(f)</w:t>
        </w:r>
      </w:smartTag>
      <w:r>
        <w:t xml:space="preserve">. </w:t>
      </w:r>
    </w:p>
  </w:footnote>
  <w:footnote w:id="1157">
    <w:p w14:paraId="29362E1E" w14:textId="77777777" w:rsidR="00494B49" w:rsidRDefault="00494B49">
      <w:pPr>
        <w:pStyle w:val="FootnoteText"/>
      </w:pPr>
      <w:r>
        <w:rPr>
          <w:rStyle w:val="FootnoteReference"/>
        </w:rPr>
        <w:footnoteRef/>
      </w:r>
      <w:r>
        <w:t xml:space="preserve">Generally, the penalty imposed by </w:t>
      </w:r>
      <w:smartTag w:uri="http://www.bna.com/sgml2word/cite" w:element="cite.usc">
        <w:smartTagPr>
          <w:attr w:name="ref" w:val="USC\26\6662"/>
        </w:smartTagPr>
        <w:r>
          <w:t>§6662</w:t>
        </w:r>
      </w:smartTag>
      <w:r>
        <w:t xml:space="preserve"> applies to the portion of any underpayment that is attributable to one or more of: (1) negligence or disregard of rules or regulations; (2) any substantial understatement of income tax; (3) any substantial valuation misstatement under Chapter 1; (4) any substantial overstatement of pension liabilities; (5) any substantial estate or gift tax valuation understatement; (6) any disallowance of claimed tax benefits by reason of a transaction lacking economic substance or failing to meet the requirements of any similar rule of law; (7) any undisclosed foreign financial asset understatement; (8) any inconsistent estate basis; and/or (9) any overstatement of the charitable deduction for nonitemizing taxpayers under </w:t>
      </w:r>
      <w:smartTag w:uri="http://www.bna.com/sgml2word/cite" w:element="cite.usc">
        <w:smartTagPr>
          <w:attr w:name="ref" w:val="usc\26\170(p)"/>
        </w:smartTagPr>
        <w:r>
          <w:t>§170(p)</w:t>
        </w:r>
      </w:smartTag>
      <w:r>
        <w:t xml:space="preserve">. </w:t>
      </w:r>
      <w:smartTag w:uri="http://www.bna.com/sgml2word/cite" w:element="cite.usc">
        <w:smartTagPr>
          <w:attr w:name="ref" w:val="USC\26\6662(b)"/>
        </w:smartTagPr>
        <w:r>
          <w:t>§6662(b)</w:t>
        </w:r>
      </w:smartTag>
      <w:r>
        <w:t>.</w:t>
      </w:r>
    </w:p>
  </w:footnote>
  <w:footnote w:id="1158">
    <w:p w14:paraId="1E93FA96" w14:textId="77777777" w:rsidR="00494B49" w:rsidRDefault="00494B49">
      <w:pPr>
        <w:pStyle w:val="FootnoteText"/>
      </w:pPr>
      <w:r>
        <w:rPr>
          <w:rStyle w:val="FootnoteReference"/>
        </w:rPr>
        <w:footnoteRef/>
      </w:r>
      <w:smartTag w:uri="http://www.bna.com/sgml2word/cite" w:element="cite.usc">
        <w:smartTagPr>
          <w:attr w:name="ref" w:val="USC\26\6662(d)(1)(A)"/>
        </w:smartTagPr>
        <w:r>
          <w:t>§6662(d)(1)(A)</w:t>
        </w:r>
      </w:smartTag>
      <w:r>
        <w:t xml:space="preserve">. The term “understatement” means the excess of: (i) the amount of the tax required to be shown on the return for the tax year over (ii) the amount of the tax imposed that is shown on the return, reduced by any rebate. </w:t>
      </w:r>
      <w:smartTag w:uri="http://www.bna.com/sgml2word/cite" w:element="cite.usc">
        <w:smartTagPr>
          <w:attr w:name="ref" w:val="USC\26\6662(d)(2)(A)"/>
        </w:smartTagPr>
        <w:r>
          <w:t>§6662(d)(2)(A)</w:t>
        </w:r>
      </w:smartTag>
      <w:r>
        <w:t>.</w:t>
      </w:r>
    </w:p>
  </w:footnote>
  <w:footnote w:id="1159">
    <w:p w14:paraId="2E00FD1F"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c)"/>
        </w:smartTagPr>
        <w:r>
          <w:t>§1.6664-2(c)</w:t>
        </w:r>
      </w:smartTag>
      <w:r>
        <w:t>.</w:t>
      </w:r>
    </w:p>
  </w:footnote>
  <w:footnote w:id="1160">
    <w:p w14:paraId="76FB63AD"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d)"/>
        </w:smartTagPr>
        <w:r>
          <w:t>§1.6664-2(d)</w:t>
        </w:r>
      </w:smartTag>
      <w:r>
        <w:t xml:space="preserve">. </w:t>
      </w:r>
    </w:p>
  </w:footnote>
  <w:footnote w:id="1161">
    <w:p w14:paraId="252BE6C0"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e)"/>
        </w:smartTagPr>
        <w:r>
          <w:t>§1.6664-2(e)</w:t>
        </w:r>
      </w:smartTag>
      <w:r>
        <w:t>.</w:t>
      </w:r>
    </w:p>
  </w:footnote>
  <w:footnote w:id="1162">
    <w:p w14:paraId="204013D1" w14:textId="77777777" w:rsidR="00494B49" w:rsidRDefault="00494B49">
      <w:pPr>
        <w:pStyle w:val="FootnoteText"/>
      </w:pPr>
      <w:r>
        <w:rPr>
          <w:rStyle w:val="FootnoteReference"/>
        </w:rPr>
        <w:footnoteRef/>
      </w:r>
      <w:r>
        <w:t xml:space="preserve">Reg. </w:t>
      </w:r>
      <w:smartTag w:uri="http://www.bna.com/sgml2word/cite" w:element="cite.cfr">
        <w:smartTagPr>
          <w:attr w:name="ref" w:val="cfr\26\1.6664-2(b)"/>
        </w:smartTagPr>
        <w:r>
          <w:t>§1.6664-2(b)</w:t>
        </w:r>
      </w:smartTag>
      <w:r>
        <w:t xml:space="preserve">. The amount of income tax imposed by Subtitle A is determined without regard to: (1) the credits for tax withheld under </w:t>
      </w:r>
      <w:smartTag w:uri="http://www.bna.com/sgml2word/cite" w:element="cite.usc">
        <w:smartTagPr>
          <w:attr w:name="ref" w:val="USC\26\31"/>
        </w:smartTagPr>
        <w:r>
          <w:t>§31</w:t>
        </w:r>
      </w:smartTag>
      <w:r>
        <w:t xml:space="preserve"> and </w:t>
      </w:r>
      <w:smartTag w:uri="http://www.bna.com/sgml2word/cite" w:element="cite.usc">
        <w:smartTagPr>
          <w:attr w:name="ref" w:val="USC\26\33"/>
        </w:smartTagPr>
        <w:r>
          <w:t>§33</w:t>
        </w:r>
      </w:smartTag>
      <w:r>
        <w:t xml:space="preserve">; (2) payments of tax or estimated tax by the taxpayer; (3) any credit resulting from the collection of amounts assessed under </w:t>
      </w:r>
      <w:smartTag w:uri="http://www.bna.com/sgml2word/cite" w:element="cite.usc">
        <w:smartTagPr>
          <w:attr w:name="ref" w:val="USC\26\6851"/>
        </w:smartTagPr>
        <w:r>
          <w:t>§6851</w:t>
        </w:r>
      </w:smartTag>
      <w:r>
        <w:t xml:space="preserve"> as the result of a termination assessment, or </w:t>
      </w:r>
      <w:smartTag w:uri="http://www.bna.com/sgml2word/cite" w:element="cite.usc">
        <w:smartTagPr>
          <w:attr w:name="ref" w:val="USC\26\6861"/>
        </w:smartTagPr>
        <w:r>
          <w:t>§6861</w:t>
        </w:r>
      </w:smartTag>
      <w:r>
        <w:t xml:space="preserve"> as the result of a jeopardy assessment; and (4) any tax that the taxpayer is not required to assess on the return (such as the tax imposed by </w:t>
      </w:r>
      <w:smartTag w:uri="http://www.bna.com/sgml2word/cite" w:element="cite.usc">
        <w:smartTagPr>
          <w:attr w:name="ref" w:val="USC\26\531"/>
        </w:smartTagPr>
        <w:r>
          <w:t>§531</w:t>
        </w:r>
      </w:smartTag>
      <w:r>
        <w:t xml:space="preserve"> on the accumulated taxable income of a corporation). </w:t>
      </w:r>
    </w:p>
  </w:footnote>
  <w:footnote w:id="1163">
    <w:p w14:paraId="5544F804" w14:textId="77777777" w:rsidR="00494B49" w:rsidRDefault="00494B49">
      <w:pPr>
        <w:pStyle w:val="FootnoteText"/>
      </w:pPr>
      <w:r>
        <w:rPr>
          <w:rStyle w:val="FootnoteReference"/>
        </w:rPr>
        <w:footnoteRef/>
      </w:r>
      <w:r>
        <w:t xml:space="preserve">For a detailed discussion of the paid preparer penalty imposed by </w:t>
      </w:r>
      <w:smartTag w:uri="http://www.bna.com/sgml2word/cite" w:element="cite.usc">
        <w:smartTagPr>
          <w:attr w:name="ref" w:val="USC\26\6694"/>
        </w:smartTagPr>
        <w:r>
          <w:t>§6694</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footnote>
  <w:footnote w:id="1164">
    <w:p w14:paraId="51EB890B" w14:textId="77777777" w:rsidR="00494B49" w:rsidRDefault="00494B49">
      <w:pPr>
        <w:pStyle w:val="FootnoteText"/>
      </w:pPr>
      <w:r>
        <w:rPr>
          <w:rStyle w:val="FootnoteReference"/>
        </w:rPr>
        <w:footnoteRef/>
      </w:r>
      <w:smartTag w:uri="http://www.bna.com/sgml2word/cite" w:element="cite.usc">
        <w:smartTagPr>
          <w:attr w:name="ref" w:val="USC\26\6694(a)(1)"/>
        </w:smartTagPr>
        <w:r>
          <w:t>§6694(a)(1)</w:t>
        </w:r>
      </w:smartTag>
      <w:r>
        <w:t>.</w:t>
      </w:r>
    </w:p>
  </w:footnote>
  <w:footnote w:id="1165">
    <w:p w14:paraId="53F551CC"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662(d)(2)(C)(ii)"/>
        </w:smartTagPr>
        <w:r>
          <w:t>§6662(d)(2)(C)(ii)</w:t>
        </w:r>
      </w:smartTag>
      <w:r>
        <w:t>.</w:t>
      </w:r>
    </w:p>
  </w:footnote>
  <w:footnote w:id="1166">
    <w:p w14:paraId="054FE10B" w14:textId="77777777" w:rsidR="00494B49" w:rsidRDefault="00494B49">
      <w:pPr>
        <w:pStyle w:val="FootnoteText"/>
      </w:pPr>
      <w:r>
        <w:rPr>
          <w:rStyle w:val="FootnoteReference"/>
        </w:rPr>
        <w:footnoteRef/>
      </w:r>
      <w:smartTag w:uri="http://www.bna.com/sgml2word/cite" w:element="cite.usc">
        <w:smartTagPr>
          <w:attr w:name="ref" w:val="USC\26\6694(a)(2)"/>
        </w:smartTagPr>
        <w:r>
          <w:t>§6694(a)(2)</w:t>
        </w:r>
      </w:smartTag>
      <w:r>
        <w:t>.</w:t>
      </w:r>
    </w:p>
  </w:footnote>
  <w:footnote w:id="1167">
    <w:p w14:paraId="647925FB" w14:textId="77777777" w:rsidR="00494B49" w:rsidRDefault="00494B49">
      <w:pPr>
        <w:pStyle w:val="FootnoteText"/>
      </w:pPr>
      <w:r>
        <w:rPr>
          <w:rStyle w:val="FootnoteReference"/>
        </w:rPr>
        <w:footnoteRef/>
      </w:r>
      <w:smartTag w:uri="http://www.bna.com/sgml2word/cite" w:element="cite.usc">
        <w:smartTagPr>
          <w:attr w:name="ref" w:val="USC\26\6694(e)"/>
        </w:smartTagPr>
        <w:r>
          <w:t>§6694(e)</w:t>
        </w:r>
      </w:smartTag>
      <w:r>
        <w:t>.</w:t>
      </w:r>
    </w:p>
  </w:footnote>
  <w:footnote w:id="1168">
    <w:p w14:paraId="16B2F6DC" w14:textId="77777777" w:rsidR="00494B49" w:rsidRDefault="00494B49">
      <w:pPr>
        <w:pStyle w:val="FootnoteText"/>
      </w:pPr>
      <w:r>
        <w:rPr>
          <w:rStyle w:val="FootnoteReference"/>
        </w:rPr>
        <w:footnoteRef/>
      </w:r>
      <w:smartTag w:uri="http://www.bna.com/sgml2word/cite" w:element="cite.usc">
        <w:smartTagPr>
          <w:attr w:name="ref" w:val="USC\26\992"/>
        </w:smartTagPr>
        <w:r>
          <w:t>§992</w:t>
        </w:r>
      </w:smartTag>
      <w:r>
        <w:t>.</w:t>
      </w:r>
    </w:p>
  </w:footnote>
  <w:footnote w:id="1169">
    <w:p w14:paraId="6AB5263E" w14:textId="77777777" w:rsidR="00494B49" w:rsidRDefault="00494B49">
      <w:pPr>
        <w:pStyle w:val="FootnoteText"/>
      </w:pPr>
      <w:r>
        <w:rPr>
          <w:rStyle w:val="FootnoteReference"/>
        </w:rPr>
        <w:footnoteRef/>
      </w:r>
      <w:r>
        <w:t xml:space="preserve">For a detailed discussion of IC-DISCs, see </w:t>
      </w:r>
      <w:smartTag w:uri="http://www.bna.com/sgml2word/cite" w:element="cite.bna.reference">
        <w:smartTagPr>
          <w:attr w:name="bna.id.ref" w:val="TM\6360"/>
        </w:smartTagPr>
        <w:r>
          <w:t>6360 T.M.</w:t>
        </w:r>
      </w:smartTag>
      <w:r>
        <w:t xml:space="preserve">, </w:t>
      </w:r>
      <w:r>
        <w:rPr>
          <w:i/>
        </w:rPr>
        <w:t>Export Tax Incentives</w:t>
      </w:r>
      <w:r>
        <w:t xml:space="preserve"> (Foreign Income Series). </w:t>
      </w:r>
    </w:p>
  </w:footnote>
  <w:footnote w:id="1170">
    <w:p w14:paraId="42890DF0" w14:textId="77777777" w:rsidR="00494B49" w:rsidRDefault="00494B49">
      <w:pPr>
        <w:pStyle w:val="FootnoteText"/>
      </w:pPr>
      <w:r>
        <w:rPr>
          <w:rStyle w:val="FootnoteReference"/>
        </w:rPr>
        <w:footnoteRef/>
      </w:r>
      <w:smartTag w:uri="http://www.bna.com/sgml2word/cite" w:element="cite.usc">
        <w:smartTagPr>
          <w:attr w:name="ref" w:val="USC\26\995(f)(1)"/>
        </w:smartTagPr>
        <w:r>
          <w:t>§995(f)(1)</w:t>
        </w:r>
      </w:smartTag>
      <w:r>
        <w:t xml:space="preserve">. </w:t>
      </w:r>
    </w:p>
  </w:footnote>
  <w:footnote w:id="1171">
    <w:p w14:paraId="1EE87BDE" w14:textId="77777777" w:rsidR="00494B49" w:rsidRDefault="00494B49">
      <w:pPr>
        <w:pStyle w:val="FootnoteText"/>
      </w:pPr>
      <w:r>
        <w:rPr>
          <w:rStyle w:val="FootnoteReference"/>
        </w:rPr>
        <w:footnoteRef/>
      </w:r>
      <w:smartTag w:uri="http://www.bna.com/sgml2word/cite" w:element="cite.usc">
        <w:smartTagPr>
          <w:attr w:name="ref" w:val="USC\26\995(f)(2)(A)"/>
        </w:smartTagPr>
        <w:r>
          <w:t>§995(f)(2)(A)</w:t>
        </w:r>
      </w:smartTag>
      <w:r>
        <w:t>.</w:t>
      </w:r>
    </w:p>
  </w:footnote>
  <w:footnote w:id="1172">
    <w:p w14:paraId="57E4B8A8" w14:textId="77777777" w:rsidR="00494B49" w:rsidRDefault="00494B49">
      <w:pPr>
        <w:pStyle w:val="FootnoteText"/>
      </w:pPr>
      <w:r>
        <w:rPr>
          <w:rStyle w:val="FootnoteReference"/>
        </w:rPr>
        <w:footnoteRef/>
      </w:r>
      <w:smartTag w:uri="http://www.bna.com/sgml2word/cite" w:element="cite.usc">
        <w:smartTagPr>
          <w:attr w:name="ref" w:val="USC\26\995(f)(2)(C)"/>
        </w:smartTagPr>
        <w:r>
          <w:t>§995(f)(2)(C)</w:t>
        </w:r>
      </w:smartTag>
      <w:r>
        <w:t>.</w:t>
      </w:r>
    </w:p>
  </w:footnote>
  <w:footnote w:id="1173">
    <w:p w14:paraId="7C8CEA08" w14:textId="77777777" w:rsidR="00494B49" w:rsidRDefault="00494B49">
      <w:pPr>
        <w:pStyle w:val="FootnoteText"/>
      </w:pPr>
      <w:r>
        <w:rPr>
          <w:rStyle w:val="FootnoteReference"/>
        </w:rPr>
        <w:footnoteRef/>
      </w:r>
      <w:r>
        <w:t xml:space="preserve">For a detailed discussion of installment sales, see </w:t>
      </w:r>
      <w:smartTag w:uri="http://www.bna.com/sgml2word/cite" w:element="cite.bna.reference">
        <w:smartTagPr>
          <w:attr w:name="bna.id.ref" w:val="TM\565"/>
        </w:smartTagPr>
        <w:r>
          <w:t>565</w:t>
        </w:r>
      </w:smartTag>
      <w:r>
        <w:t xml:space="preserve"> T.M., </w:t>
      </w:r>
      <w:r>
        <w:rPr>
          <w:i/>
        </w:rPr>
        <w:t>Installment Sales</w:t>
      </w:r>
      <w:r>
        <w:t xml:space="preserve">. </w:t>
      </w:r>
    </w:p>
  </w:footnote>
  <w:footnote w:id="1174">
    <w:p w14:paraId="44FB2F6A" w14:textId="77777777" w:rsidR="00494B49" w:rsidRDefault="00494B49">
      <w:pPr>
        <w:pStyle w:val="FootnoteText"/>
      </w:pPr>
      <w:r>
        <w:rPr>
          <w:rStyle w:val="FootnoteReference"/>
        </w:rPr>
        <w:footnoteRef/>
      </w:r>
      <w:smartTag w:uri="http://www.bna.com/sgml2word/cite" w:element="cite.usc">
        <w:smartTagPr>
          <w:attr w:name="ref" w:val="USC\26\453A(a)(1)"/>
        </w:smartTagPr>
        <w:r>
          <w:t>§453A(a)(1)</w:t>
        </w:r>
      </w:smartTag>
      <w:r>
        <w:t xml:space="preserve">, </w:t>
      </w:r>
      <w:smartTag w:uri="http://www.bna.com/sgml2word/cite" w:element="cite.usc">
        <w:smartTagPr>
          <w:attr w:name="ref" w:val="USC\26\453A(b)(1)"/>
        </w:smartTagPr>
        <w:r>
          <w:t>§453A(b)(1)</w:t>
        </w:r>
      </w:smartTag>
      <w:r>
        <w:t xml:space="preserve">, </w:t>
      </w:r>
      <w:smartTag w:uri="http://www.bna.com/sgml2word/cite" w:element="cite.usc">
        <w:smartTagPr>
          <w:attr w:name="ref" w:val="USC\26\453A(b)(2)"/>
        </w:smartTagPr>
        <w:r>
          <w:t>§453A(b)(2)</w:t>
        </w:r>
      </w:smartTag>
      <w:r>
        <w:t xml:space="preserve">, </w:t>
      </w:r>
      <w:smartTag w:uri="http://www.bna.com/sgml2word/cite" w:element="cite.usc">
        <w:smartTagPr>
          <w:attr w:name="ref" w:val="USC\26\453A(c)(1)"/>
        </w:smartTagPr>
        <w:r>
          <w:t>§453A(c)(1)</w:t>
        </w:r>
      </w:smartTag>
      <w:r>
        <w:t>.</w:t>
      </w:r>
    </w:p>
  </w:footnote>
  <w:footnote w:id="1175">
    <w:p w14:paraId="7356CEBF" w14:textId="77777777" w:rsidR="00494B49" w:rsidRDefault="00494B49">
      <w:pPr>
        <w:pStyle w:val="FootnoteText"/>
      </w:pPr>
      <w:r>
        <w:rPr>
          <w:rStyle w:val="FootnoteReference"/>
        </w:rPr>
        <w:footnoteRef/>
      </w:r>
      <w:smartTag w:uri="http://www.bna.com/sgml2word/cite" w:element="cite.usc">
        <w:smartTagPr>
          <w:attr w:name="ref" w:val="USC\26\453A(c)(3)"/>
        </w:smartTagPr>
        <w:r>
          <w:t>§453A(c)(3)</w:t>
        </w:r>
      </w:smartTag>
      <w:r>
        <w:t xml:space="preserve">. For purposes of determining the deferred tax liability, the amount of gain that is treated as long-term capital gain, when recognized, is taxed at the maximum rate on net capital gain under </w:t>
      </w:r>
      <w:smartTag w:uri="http://www.bna.com/sgml2word/cite" w:element="cite.usc">
        <w:smartTagPr>
          <w:attr w:name="ref" w:val="USC\26\1(h)"/>
        </w:smartTagPr>
        <w:r>
          <w:t>§1(h)</w:t>
        </w:r>
      </w:smartTag>
      <w:r>
        <w:t xml:space="preserve">. </w:t>
      </w:r>
      <w:smartTag w:uri="http://www.bna.com/sgml2word/cite" w:element="cite.usc">
        <w:smartTagPr>
          <w:attr w:name="ref" w:val="USC\26\453A(c)(3)"/>
        </w:smartTagPr>
        <w:r>
          <w:t>§453A(c)(3)</w:t>
        </w:r>
      </w:smartTag>
      <w:r>
        <w:t xml:space="preserve"> (flush language). </w:t>
      </w:r>
      <w:smartTag w:uri="http://www.bna.com/sgml2word/cite" w:element="cite.usc">
        <w:smartTagPr>
          <w:attr w:name="ref" w:val="usc\26\132(f)(8)"/>
        </w:smartTagPr>
        <w:r>
          <w:t>§132(f)(8)</w:t>
        </w:r>
      </w:smartTag>
      <w:r>
        <w:t xml:space="preserve">. However, for tax years beginning in 2017 and earlier, the amount of gain that was treated as long-term capital gain, when recognized, was taxed at the maximum rate on net capital gain under </w:t>
      </w:r>
      <w:smartTag w:uri="http://www.bna.com/sgml2word/cite" w:element="cite.usc">
        <w:smartTagPr>
          <w:attr w:name="ref" w:val="USC\26\1(h)"/>
        </w:smartTagPr>
        <w:r>
          <w:t>§1(h)</w:t>
        </w:r>
      </w:smartTag>
      <w:r>
        <w:t xml:space="preserve"> </w:t>
      </w:r>
      <w:r>
        <w:rPr>
          <w:i/>
        </w:rPr>
        <w:t>or</w:t>
      </w:r>
      <w:r>
        <w:t xml:space="preserve"> </w:t>
      </w:r>
      <w:smartTag w:uri="http://www.bna.com/sgml2word/cite" w:element="cite.usc">
        <w:smartTagPr>
          <w:attr w:name="ref" w:val="2016\USC\26\1201"/>
        </w:smartTagPr>
        <w:r>
          <w:t>former §1201</w:t>
        </w:r>
      </w:smartTag>
      <w:r>
        <w:t xml:space="preserve"> (whichever was appropriate). </w:t>
      </w:r>
      <w:smartTag w:uri="http://www.bna.com/sgml2word/cite" w:element="cite.usc">
        <w:smartTagPr>
          <w:attr w:name="ref" w:val="2016\USC\26\453A(c)(3)"/>
        </w:smartTagPr>
        <w:r>
          <w:t>Pre-2018 §453A(c)(3)</w:t>
        </w:r>
      </w:smartTag>
      <w:r>
        <w:t>.</w:t>
      </w:r>
    </w:p>
  </w:footnote>
  <w:footnote w:id="1176">
    <w:p w14:paraId="64465C09" w14:textId="77777777" w:rsidR="00494B49" w:rsidRDefault="00494B49">
      <w:pPr>
        <w:pStyle w:val="FootnoteText"/>
      </w:pPr>
      <w:r>
        <w:rPr>
          <w:rStyle w:val="FootnoteReference"/>
        </w:rPr>
        <w:footnoteRef/>
      </w:r>
      <w:smartTag w:uri="http://www.bna.com/sgml2word/cite" w:element="cite.usc">
        <w:smartTagPr>
          <w:attr w:name="ref" w:val="USC\26\1297(a)(1)"/>
        </w:smartTagPr>
        <w:r>
          <w:t>§1297(a)(1)</w:t>
        </w:r>
      </w:smartTag>
      <w:r>
        <w:t>.</w:t>
      </w:r>
    </w:p>
  </w:footnote>
  <w:footnote w:id="1177">
    <w:p w14:paraId="7A45BFC6" w14:textId="77777777" w:rsidR="00494B49" w:rsidRDefault="00494B49">
      <w:pPr>
        <w:pStyle w:val="FootnoteText"/>
      </w:pPr>
      <w:r>
        <w:rPr>
          <w:rStyle w:val="FootnoteReference"/>
        </w:rPr>
        <w:footnoteRef/>
      </w:r>
      <w:smartTag w:uri="http://www.bna.com/sgml2word/cite" w:element="cite.usc">
        <w:smartTagPr>
          <w:attr w:name="ref" w:val="USC\26\1297(a)(2)"/>
        </w:smartTagPr>
        <w:r>
          <w:t>§1297(a)(2)</w:t>
        </w:r>
      </w:smartTag>
      <w:r>
        <w:t xml:space="preserve">. Passive income is defined as interest, dividends, rents, royalties and gains from the sale of assets that produce this type of income. For example, cash is generally considered a passive asset. </w:t>
      </w:r>
      <w:smartTag w:uri="http://www.bna.com/sgml2word/cite" w:element="cite.usc">
        <w:smartTagPr>
          <w:attr w:name="ref" w:val="USC\26\1297(a)(2)"/>
        </w:smartTagPr>
        <w:r>
          <w:t>§1297(a)(2)</w:t>
        </w:r>
      </w:smartTag>
      <w:r>
        <w:t>.</w:t>
      </w:r>
    </w:p>
  </w:footnote>
  <w:footnote w:id="1178">
    <w:p w14:paraId="60DB0E75" w14:textId="77777777" w:rsidR="00494B49" w:rsidRDefault="00494B49">
      <w:pPr>
        <w:pStyle w:val="FootnoteText"/>
      </w:pPr>
      <w:r>
        <w:rPr>
          <w:rStyle w:val="FootnoteReference"/>
        </w:rPr>
        <w:footnoteRef/>
      </w:r>
      <w:r>
        <w:t xml:space="preserve">For a detailed discussion of PFICs and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 xml:space="preserve">PFICs </w:t>
      </w:r>
      <w:r>
        <w:t xml:space="preserve">(Foreign Income Series). For a discussion of the taxability of distributions from </w:t>
      </w:r>
      <w:smartTag w:uri="http://www.bna.com/sgml2word/cite" w:element="cite.usc">
        <w:smartTagPr>
          <w:attr w:name="ref" w:val="USC\26\1291"/>
        </w:smartTagPr>
        <w:r>
          <w:t>§1291</w:t>
        </w:r>
      </w:smartTag>
      <w:r>
        <w:t xml:space="preserve"> Funds for NIIT purposes, see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above.</w:t>
      </w:r>
    </w:p>
  </w:footnote>
  <w:footnote w:id="1179">
    <w:p w14:paraId="4EC67E56" w14:textId="77777777" w:rsidR="00494B49" w:rsidRDefault="00494B49">
      <w:pPr>
        <w:pStyle w:val="FootnoteText"/>
      </w:pPr>
      <w:r>
        <w:rPr>
          <w:rStyle w:val="FootnoteReference"/>
        </w:rPr>
        <w:footnoteRef/>
      </w:r>
      <w:smartTag w:uri="http://www.bna.com/sgml2word/cite" w:element="cite.usc">
        <w:smartTagPr>
          <w:attr w:name="ref" w:val="USC\26\1291(b)"/>
        </w:smartTagPr>
        <w:r>
          <w:t>§1291(b)</w:t>
        </w:r>
      </w:smartTag>
      <w:r>
        <w:t>.</w:t>
      </w:r>
    </w:p>
  </w:footnote>
  <w:footnote w:id="1180">
    <w:p w14:paraId="2FE98F4C" w14:textId="77777777" w:rsidR="00494B49" w:rsidRDefault="00494B49">
      <w:pPr>
        <w:pStyle w:val="FootnoteText"/>
      </w:pPr>
      <w:r>
        <w:rPr>
          <w:rStyle w:val="FootnoteReference"/>
        </w:rPr>
        <w:footnoteRef/>
      </w:r>
      <w:smartTag w:uri="http://www.bna.com/sgml2word/cite" w:element="cite.usc">
        <w:smartTagPr>
          <w:attr w:name="ref" w:val="USC\26\1291(a)(1)(C)"/>
        </w:smartTagPr>
        <w:r>
          <w:t>§1291(a)(1)(C)</w:t>
        </w:r>
      </w:smartTag>
      <w:r>
        <w:t xml:space="preserve">. </w:t>
      </w:r>
    </w:p>
  </w:footnote>
  <w:footnote w:id="1181">
    <w:p w14:paraId="2E2B1939" w14:textId="77777777" w:rsidR="00494B49" w:rsidRDefault="00494B49">
      <w:pPr>
        <w:pStyle w:val="FootnoteText"/>
      </w:pPr>
      <w:r>
        <w:rPr>
          <w:rStyle w:val="FootnoteReference"/>
        </w:rPr>
        <w:footnoteRef/>
      </w:r>
      <w:smartTag w:uri="http://www.bna.com/sgml2word/cite" w:element="cite.usc">
        <w:smartTagPr>
          <w:attr w:name="ref" w:val="USC\26\1291(c)(1)"/>
        </w:smartTagPr>
        <w:r>
          <w:t>§1291(c)(1)</w:t>
        </w:r>
      </w:smartTag>
      <w:r>
        <w:t>.</w:t>
      </w:r>
    </w:p>
  </w:footnote>
  <w:footnote w:id="1182">
    <w:p w14:paraId="4673658A" w14:textId="77777777" w:rsidR="00494B49" w:rsidRDefault="00494B49">
      <w:pPr>
        <w:pStyle w:val="FootnoteText"/>
      </w:pPr>
      <w:r>
        <w:rPr>
          <w:rStyle w:val="FootnoteReference"/>
        </w:rPr>
        <w:footnoteRef/>
      </w:r>
      <w:smartTag w:uri="http://www.bna.com/sgml2word/cite" w:element="cite.usc">
        <w:smartTagPr>
          <w:attr w:name="ref" w:val="USC\26\1291(c)(3)"/>
        </w:smartTagPr>
        <w:r>
          <w:t>§1291(c)(3)</w:t>
        </w:r>
      </w:smartTag>
      <w:r>
        <w:t>.</w:t>
      </w:r>
    </w:p>
  </w:footnote>
  <w:footnote w:id="1183">
    <w:p w14:paraId="540B440F" w14:textId="77777777" w:rsidR="00494B49" w:rsidRDefault="00494B49">
      <w:pPr>
        <w:pStyle w:val="FootnoteText"/>
      </w:pPr>
      <w:r>
        <w:rPr>
          <w:rStyle w:val="FootnoteReference"/>
        </w:rPr>
        <w:footnoteRef/>
      </w:r>
      <w:r>
        <w:t xml:space="preserve">A trust is considered “foreign” if the entity fails either the “Court Test” or the “Control Test” in Reg. </w:t>
      </w:r>
      <w:smartTag w:uri="http://www.bna.com/sgml2word/cite" w:element="cite.cfr">
        <w:smartTagPr>
          <w:attr w:name="ref" w:val="cfr\26\301.7701-7(a)(1)"/>
        </w:smartTagPr>
        <w:r>
          <w:t>§301.7701-7(a)(1)</w:t>
        </w:r>
      </w:smartTag>
      <w:r>
        <w:t xml:space="preserve">. Reg. </w:t>
      </w:r>
      <w:smartTag w:uri="http://www.bna.com/sgml2word/cite" w:element="cite.cfr">
        <w:smartTagPr>
          <w:attr w:name="ref" w:val="cfr\26\301.7701-7(a)(2)"/>
        </w:smartTagPr>
        <w:r>
          <w:t>§301.7701-7(a)(2)</w:t>
        </w:r>
      </w:smartTag>
      <w:r>
        <w:t>.</w:t>
      </w:r>
    </w:p>
  </w:footnote>
  <w:footnote w:id="1184">
    <w:p w14:paraId="4F3EE6FD" w14:textId="77777777" w:rsidR="00494B49" w:rsidRDefault="00494B49">
      <w:pPr>
        <w:pStyle w:val="FootnoteText"/>
      </w:pPr>
      <w:r>
        <w:rPr>
          <w:rStyle w:val="FootnoteReference"/>
        </w:rPr>
        <w:footnoteRef/>
      </w:r>
      <w:r>
        <w:t xml:space="preserve">Federal tax law views a grantor and a grantor trust as a single taxpayer, and all tax items of the grantor trust flow to the grantor’s personal income tax return. A grantor is typically a person who both: (1) makes a gratuitous transfer to a trust, and (2) retains certain interests or powers over the trust or trust property. </w:t>
      </w:r>
      <w:r>
        <w:rPr>
          <w:i/>
        </w:rPr>
        <w:t>See generally</w:t>
      </w:r>
      <w:r>
        <w:t xml:space="preserve"> </w:t>
      </w:r>
      <w:smartTag w:uri="http://www.bna.com/sgml2word/cite" w:element="cite.agency.doc">
        <w:smartTagPr>
          <w:attr w:name="ref" w:val="IRS\RevRul\85-13"/>
        </w:smartTagPr>
        <w:r>
          <w:t>Rev. Rul. 85-13</w:t>
        </w:r>
      </w:smartTag>
      <w:r>
        <w:t xml:space="preserve">; Reg. </w:t>
      </w:r>
      <w:smartTag w:uri="http://www.bna.com/sgml2word/cite" w:element="cite.cfr">
        <w:smartTagPr>
          <w:attr w:name="ref" w:val="cfr\26\1.671-2"/>
        </w:smartTagPr>
        <w:r>
          <w:t>§1.671-2</w:t>
        </w:r>
      </w:smartTag>
      <w:r>
        <w:t xml:space="preserve">. In the case of a foreign trust, the U.S. transferor is treated as a grantor irrespective of interests or powers retained if the trust has one or more current or potential U.S. beneficiaries. </w:t>
      </w:r>
      <w:smartTag w:uri="http://www.bna.com/sgml2word/cite" w:element="cite.usc">
        <w:smartTagPr>
          <w:attr w:name="ref" w:val="USC\26\679(a)(1)"/>
        </w:smartTagPr>
        <w:r>
          <w:t>§679(a)(1)</w:t>
        </w:r>
      </w:smartTag>
      <w:r>
        <w:t xml:space="preserve">. For a detailed discussion of the income tax treatment of grantor trusts, see </w:t>
      </w:r>
      <w:smartTag w:uri="http://www.bna.com/sgml2word/cite" w:element="cite.bna.reference">
        <w:smartTagPr>
          <w:attr w:name="bna.id.ref" w:val="TM\819"/>
        </w:smartTagPr>
        <w:r>
          <w:t>819</w:t>
        </w:r>
      </w:smartTag>
      <w:r>
        <w:t xml:space="preserve"> T.M., </w:t>
      </w:r>
      <w:r>
        <w:rPr>
          <w:i/>
        </w:rPr>
        <w:t>Grantor Trusts: Income Taxation Under Subpart E</w:t>
      </w:r>
      <w:r>
        <w:t xml:space="preserve"> (Estates, Gifts, and Trusts Series).</w:t>
      </w:r>
    </w:p>
  </w:footnote>
  <w:footnote w:id="1185">
    <w:p w14:paraId="3B305532" w14:textId="77777777" w:rsidR="00494B49" w:rsidRDefault="00494B49">
      <w:pPr>
        <w:pStyle w:val="FootnoteText"/>
      </w:pPr>
      <w:r>
        <w:rPr>
          <w:rStyle w:val="FootnoteReference"/>
        </w:rPr>
        <w:footnoteRef/>
      </w:r>
      <w:smartTag w:uri="http://www.bna.com/sgml2word/cite" w:element="cite.usc">
        <w:smartTagPr>
          <w:attr w:name="ref" w:val="USC\26\641(b)"/>
        </w:smartTagPr>
        <w:r>
          <w:t>§641(b)</w:t>
        </w:r>
      </w:smartTag>
      <w:r>
        <w:t xml:space="preserve">; </w:t>
      </w:r>
      <w:r>
        <w:rPr>
          <w:i/>
        </w:rPr>
        <w:t>see also</w:t>
      </w:r>
      <w:r>
        <w:t xml:space="preserve"> </w:t>
      </w:r>
      <w:r>
        <w:rPr>
          <w:rStyle w:val="BCasenamefull"/>
        </w:rPr>
        <w:t>B.W. Jones Trust v. Commissioner</w:t>
      </w:r>
      <w:r>
        <w:t xml:space="preserve">, </w:t>
      </w:r>
      <w:smartTag w:uri="http://www.bna.com/sgml2word/cite" w:element="cite.parallel">
        <w:smartTagPr>
          <w:attr w:name="ref" w:val="BTA\46\531"/>
        </w:smartTagPr>
        <w:r>
          <w:t>46 B.T.A. 531</w:t>
        </w:r>
      </w:smartTag>
      <w:r>
        <w:t xml:space="preserve">, 535 (1942), aff'd </w:t>
      </w:r>
      <w:smartTag w:uri="http://www.bna.com/sgml2word/cite" w:element="cite.parallel">
        <w:smartTagPr>
          <w:attr w:name="ref" w:val="F2D\132\914"/>
        </w:smartTagPr>
        <w:r>
          <w:t>132 F.2d 914</w:t>
        </w:r>
      </w:smartTag>
      <w:r>
        <w:t xml:space="preserve"> (1943). Although </w:t>
      </w:r>
      <w:smartTag w:uri="http://www.bna.com/sgml2word/cite" w:element="cite.usc">
        <w:smartTagPr>
          <w:attr w:name="ref" w:val="USC\26\7701(b)"/>
        </w:smartTagPr>
        <w:r>
          <w:t>§7701(b)</w:t>
        </w:r>
      </w:smartTag>
      <w:r>
        <w:t xml:space="preserve"> provides rules for determining when an individual is a nonresident alien, it does not state that a nonresident alien must be an individual. Additionally, if Congress intended to exclude foreign estates and trusts from the definition of nonresident, it knows how to do it. </w:t>
      </w:r>
      <w:r>
        <w:rPr>
          <w:i/>
        </w:rPr>
        <w:t>See, e.g.</w:t>
      </w:r>
      <w:r>
        <w:t xml:space="preserve">, </w:t>
      </w:r>
      <w:smartTag w:uri="http://www.bna.com/sgml2word/cite" w:element="cite.usc">
        <w:smartTagPr>
          <w:attr w:name="ref" w:val="usc\26\958(b)(1)"/>
        </w:smartTagPr>
        <w:r>
          <w:t>§958(b)(1)</w:t>
        </w:r>
      </w:smartTag>
      <w:r>
        <w:t xml:space="preserve"> (referring to “a nonresident alien individual (other than a foreign trust or foreign estate)”).</w:t>
      </w:r>
    </w:p>
  </w:footnote>
  <w:footnote w:id="1186">
    <w:p w14:paraId="48413E79" w14:textId="77777777" w:rsidR="00494B49" w:rsidRDefault="00494B49">
      <w:pPr>
        <w:pStyle w:val="FootnoteText"/>
      </w:pPr>
      <w:r>
        <w:rPr>
          <w:rStyle w:val="FootnoteReference"/>
        </w:rPr>
        <w:footnoteRef/>
      </w:r>
      <w:smartTag w:uri="http://www.bna.com/sgml2word/cite" w:element="cite.usc">
        <w:smartTagPr>
          <w:attr w:name="ref" w:val="USC\26\861"/>
        </w:smartTagPr>
        <w:r>
          <w:t>§861</w:t>
        </w:r>
      </w:smartTag>
      <w:r>
        <w:t xml:space="preserve">, </w:t>
      </w:r>
      <w:smartTag w:uri="http://www.bna.com/sgml2word/cite" w:element="cite.usc">
        <w:smartTagPr>
          <w:attr w:name="ref" w:val="USC\26\871"/>
        </w:smartTagPr>
        <w:r>
          <w:t>§871</w:t>
        </w:r>
      </w:smartTag>
      <w:r>
        <w:t>. Nonbusiness income is generally subject to a 30% withholding tax on gross income, which may be reduced based on an applicable treaty-based return position.</w:t>
      </w:r>
    </w:p>
  </w:footnote>
  <w:footnote w:id="1187">
    <w:p w14:paraId="0A068399" w14:textId="77777777" w:rsidR="00494B49" w:rsidRDefault="00494B49">
      <w:pPr>
        <w:pStyle w:val="FootnoteText"/>
      </w:pPr>
      <w:r>
        <w:rPr>
          <w:rStyle w:val="FootnoteReference"/>
        </w:rPr>
        <w:footnoteRef/>
      </w:r>
      <w:smartTag w:uri="http://www.bna.com/sgml2word/cite" w:element="cite.usc">
        <w:smartTagPr>
          <w:attr w:name="ref" w:val="USC\26\871(b)"/>
        </w:smartTagPr>
        <w:r>
          <w:t>§871(b)</w:t>
        </w:r>
      </w:smartTag>
      <w:r>
        <w:t>. ECI is subject to tax on net income based on graduated rates.</w:t>
      </w:r>
    </w:p>
  </w:footnote>
  <w:footnote w:id="1188">
    <w:p w14:paraId="36F33DAE" w14:textId="77777777" w:rsidR="00494B49" w:rsidRDefault="00494B49">
      <w:pPr>
        <w:pStyle w:val="FootnoteText"/>
      </w:pPr>
      <w:r>
        <w:rPr>
          <w:rStyle w:val="FootnoteReference"/>
        </w:rPr>
        <w:footnoteRef/>
      </w:r>
      <w:smartTag w:uri="http://www.bna.com/sgml2word/cite" w:element="cite.usc">
        <w:smartTagPr>
          <w:attr w:name="ref" w:val="USC\26\662"/>
        </w:smartTagPr>
        <w:r>
          <w:t>§662</w:t>
        </w:r>
      </w:smartTag>
      <w:r>
        <w:t xml:space="preserve">. </w:t>
      </w:r>
      <w:r>
        <w:rPr>
          <w:i/>
        </w:rPr>
        <w:t>See</w:t>
      </w:r>
      <w:r>
        <w:t xml:space="preserve"> </w:t>
      </w:r>
      <w:smartTag w:uri="http://www.bna.com/sgml2word/cite" w:element="cite.usc">
        <w:smartTagPr>
          <w:attr w:name="ref" w:val="USC\26\643(a)"/>
        </w:smartTagPr>
        <w:r>
          <w:t>§643(a)</w:t>
        </w:r>
      </w:smartTag>
      <w:r>
        <w:t xml:space="preserve"> (definition of DNI); </w:t>
      </w:r>
      <w:r>
        <w:rPr>
          <w:i/>
        </w:rPr>
        <w:t>see also</w:t>
      </w:r>
      <w:r>
        <w:t xml:space="preserve"> Reg. </w:t>
      </w:r>
      <w:smartTag w:uri="http://www.bna.com/sgml2word/cite" w:element="cite.cfr">
        <w:smartTagPr>
          <w:attr w:name="ref" w:val="cfr\26\1.662(b)-1"/>
        </w:smartTagPr>
        <w:r>
          <w:t>§1.662(b)-1</w:t>
        </w:r>
      </w:smartTag>
      <w:r>
        <w:t xml:space="preserve"> (exemption to proportionate allocation of DNI). Note that DNI is calculated differently for a foreign nongrantor trust than for a U.S. nongrantor trust (e.g., allocation of capital gains to income).</w:t>
      </w:r>
    </w:p>
  </w:footnote>
  <w:footnote w:id="1189">
    <w:p w14:paraId="2C91FF6C" w14:textId="77777777" w:rsidR="00494B49" w:rsidRDefault="00494B49">
      <w:pPr>
        <w:pStyle w:val="FootnoteText"/>
      </w:pPr>
      <w:r>
        <w:rPr>
          <w:rStyle w:val="FootnoteReference"/>
        </w:rPr>
        <w:footnoteRef/>
      </w:r>
      <w:smartTag w:uri="http://www.bna.com/sgml2word/cite" w:element="cite.usc">
        <w:smartTagPr>
          <w:attr w:name="ref" w:val="USC\26\665(b)"/>
        </w:smartTagPr>
        <w:r>
          <w:t>§665(b)</w:t>
        </w:r>
      </w:smartTag>
      <w:r>
        <w:t xml:space="preserve">. For a detailed discussion of the treatment of distributions from foreign trusts, including the calculation of the interest charge, see </w:t>
      </w:r>
      <w:smartTag w:uri="http://www.bna.com/sgml2word/cite" w:element="cite.bna.reference">
        <w:smartTagPr>
          <w:attr w:name="bna.id.ref" w:val="TM\854"/>
        </w:smartTagPr>
        <w:r>
          <w:t>854 T.M.</w:t>
        </w:r>
      </w:smartTag>
      <w:r>
        <w:t xml:space="preserve">, </w:t>
      </w:r>
      <w:r>
        <w:rPr>
          <w:i/>
        </w:rPr>
        <w:t>U.S. Taxation of Foreign Estates, Trusts and Beneficiaries</w:t>
      </w:r>
      <w:r>
        <w:t xml:space="preserve"> (Estates, Gifts, and Trusts Series), and </w:t>
      </w:r>
      <w:smartTag w:uri="http://www.bna.com/sgml2word/cite" w:element="cite.bna.reference">
        <w:smartTagPr>
          <w:attr w:name="bna.id.ref" w:val="TM\856"/>
        </w:smartTagPr>
        <w:r>
          <w:t>856 T.M.</w:t>
        </w:r>
      </w:smartTag>
      <w:r>
        <w:t xml:space="preserve">, </w:t>
      </w:r>
      <w:r>
        <w:rPr>
          <w:i/>
        </w:rPr>
        <w:t>Subchapter J — Throwback Rules</w:t>
      </w:r>
      <w:r>
        <w:t xml:space="preserve"> (Estates, Gifts, and Trusts Series). </w:t>
      </w:r>
    </w:p>
  </w:footnote>
  <w:footnote w:id="1190">
    <w:p w14:paraId="7800A973" w14:textId="77777777" w:rsidR="00494B49" w:rsidRDefault="00494B49">
      <w:pPr>
        <w:pStyle w:val="FootnoteText"/>
      </w:pPr>
      <w:r>
        <w:rPr>
          <w:rStyle w:val="FootnoteReference"/>
        </w:rPr>
        <w:footnoteRef/>
      </w:r>
      <w:r>
        <w:t>The rate imposed is the compounded floating rate applicable to the underpayment of tax. This is computed based on an averaging method — UNI is retroactively deemed distributed in each year of income accumulation.</w:t>
      </w:r>
    </w:p>
  </w:footnote>
  <w:footnote w:id="1191">
    <w:p w14:paraId="4C718B1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663(b)"/>
        </w:smartTagPr>
        <w:r>
          <w:t>§663(b)</w:t>
        </w:r>
      </w:smartTag>
      <w:r>
        <w:t xml:space="preserve">. </w:t>
      </w:r>
    </w:p>
  </w:footnote>
  <w:footnote w:id="1192">
    <w:p w14:paraId="3AF234B2" w14:textId="77777777" w:rsidR="00494B49" w:rsidRDefault="00494B49">
      <w:pPr>
        <w:pStyle w:val="FootnoteText"/>
      </w:pPr>
      <w:r>
        <w:rPr>
          <w:rStyle w:val="FootnoteReference"/>
        </w:rPr>
        <w:footnoteRef/>
      </w:r>
      <w:smartTag w:uri="http://www.bna.com/sgml2word/cite" w:element="cite.usc">
        <w:smartTagPr>
          <w:attr w:name="ref" w:val="USC\26\667(a)"/>
        </w:smartTagPr>
        <w:r>
          <w:t>§667(a)</w:t>
        </w:r>
      </w:smartTag>
      <w:r>
        <w:t xml:space="preserve">. The partial tax imposed by </w:t>
      </w:r>
      <w:smartTag w:uri="http://www.bna.com/sgml2word/cite" w:element="cite.usc">
        <w:smartTagPr>
          <w:attr w:name="ref" w:val="USC\26\667(a)(2)"/>
        </w:smartTagPr>
        <w:r>
          <w:t>§667(a)(2)</w:t>
        </w:r>
      </w:smartTag>
      <w:r>
        <w:t xml:space="preserve"> is determined in a three-stage calculation. </w:t>
      </w:r>
      <w:smartTag w:uri="http://www.bna.com/sgml2word/cite" w:element="cite.usc">
        <w:smartTagPr>
          <w:attr w:name="ref" w:val="USC\26\667(b)(1)"/>
        </w:smartTagPr>
        <w:r>
          <w:t>§667(b)(1)</w:t>
        </w:r>
      </w:smartTag>
      <w:r>
        <w:t>.</w:t>
      </w:r>
    </w:p>
  </w:footnote>
  <w:footnote w:id="1193">
    <w:p w14:paraId="78DC58BE" w14:textId="77777777" w:rsidR="00494B49" w:rsidRDefault="00494B49">
      <w:pPr>
        <w:pStyle w:val="FootnoteText"/>
      </w:pPr>
      <w:r>
        <w:rPr>
          <w:rStyle w:val="FootnoteReference"/>
        </w:rPr>
        <w:footnoteRef/>
      </w:r>
      <w:r>
        <w:t xml:space="preserve">See generally </w:t>
      </w:r>
      <w:smartTag w:uri="http://www.bna.com/sgml2word/cite" w:element="cite.usc">
        <w:smartTagPr>
          <w:attr w:name="ref" w:val="USC\26\460(b)(1)"/>
        </w:smartTagPr>
        <w:r>
          <w:t>§460(b)(1)</w:t>
        </w:r>
      </w:smartTag>
      <w:r>
        <w:t xml:space="preserve"> and the regulations thereunder.</w:t>
      </w:r>
    </w:p>
  </w:footnote>
  <w:footnote w:id="1194">
    <w:p w14:paraId="38456730" w14:textId="77777777" w:rsidR="00494B49" w:rsidRDefault="00494B49">
      <w:pPr>
        <w:pStyle w:val="FootnoteText"/>
      </w:pPr>
      <w:r>
        <w:rPr>
          <w:rStyle w:val="FootnoteReference"/>
        </w:rPr>
        <w:footnoteRef/>
      </w:r>
      <w:smartTag w:uri="http://www.bna.com/sgml2word/cite" w:element="cite.usc">
        <w:smartTagPr>
          <w:attr w:name="ref" w:val="USC\26\460(b)(2)"/>
        </w:smartTagPr>
        <w:r>
          <w:t>§460(b)(2)</w:t>
        </w:r>
      </w:smartTag>
      <w:r>
        <w:t xml:space="preserve">. For a detailed discussion of long-term contracts under </w:t>
      </w:r>
      <w:smartTag w:uri="http://www.bna.com/sgml2word/cite" w:element="cite.usc">
        <w:smartTagPr>
          <w:attr w:name="ref" w:val="USC\26\460"/>
        </w:smartTagPr>
        <w:r>
          <w:t>§460</w:t>
        </w:r>
      </w:smartTag>
      <w:r>
        <w:t xml:space="preserve">, see </w:t>
      </w:r>
      <w:smartTag w:uri="http://www.bna.com/sgml2word/cite" w:element="cite.bna.reference">
        <w:smartTagPr>
          <w:attr w:name="bna.id.ref" w:val="TM\575"/>
        </w:smartTagPr>
        <w:r>
          <w:t>575 T.M.</w:t>
        </w:r>
      </w:smartTag>
      <w:r>
        <w:t xml:space="preserve">, </w:t>
      </w:r>
      <w:r>
        <w:rPr>
          <w:i/>
        </w:rPr>
        <w:t>Accounting for Long-Term Contracts.</w:t>
      </w:r>
    </w:p>
  </w:footnote>
  <w:footnote w:id="1195">
    <w:p w14:paraId="59946125" w14:textId="77777777" w:rsidR="00494B49" w:rsidRDefault="00494B49">
      <w:pPr>
        <w:pStyle w:val="FootnoteText"/>
      </w:pPr>
      <w:r>
        <w:rPr>
          <w:rStyle w:val="FootnoteReference"/>
        </w:rPr>
        <w:footnoteRef/>
      </w:r>
      <w:smartTag w:uri="http://www.bna.com/sgml2word/cite" w:element="cite.usc">
        <w:smartTagPr>
          <w:attr w:name="ref" w:val="USC\26\460(b)(2)(C)"/>
        </w:smartTagPr>
        <w:r>
          <w:t>§460(b)(2)(C)</w:t>
        </w:r>
      </w:smartTag>
      <w:r>
        <w:t xml:space="preserve">. Under </w:t>
      </w:r>
      <w:smartTag w:uri="http://www.bna.com/sgml2word/cite" w:element="cite.usc">
        <w:smartTagPr>
          <w:attr w:name="ref" w:val="USC\26\460(b)(7)"/>
        </w:smartTagPr>
        <w:r>
          <w:t>§460(b)(7)</w:t>
        </w:r>
      </w:smartTag>
      <w:r>
        <w:t xml:space="preserve">, the amount of interest a taxpayer is required to pay or is entitled to receive under the look-back method is computed by applying the overpayment rate established by </w:t>
      </w:r>
      <w:smartTag w:uri="http://www.bna.com/sgml2word/cite" w:element="cite.usc">
        <w:smartTagPr>
          <w:attr w:name="ref" w:val="USC\26\6621(a)(1)"/>
        </w:smartTagPr>
        <w:r>
          <w:t>§6621(a)(1)</w:t>
        </w:r>
      </w:smartTag>
      <w:r>
        <w:t>, compounded daily, to the difference between the tax liability reported and the tax liability that would have been reported if the taxpayer had reported income on the basis of the actual contract price and the actual contract costs instead of the estimated contract price and costs (the “hypothetical underpayment” or “hypothetical overpayment”).</w:t>
      </w:r>
    </w:p>
  </w:footnote>
  <w:footnote w:id="1196">
    <w:p w14:paraId="2C5FB7F0" w14:textId="77777777" w:rsidR="00494B49" w:rsidRDefault="00494B49">
      <w:pPr>
        <w:pStyle w:val="FootnoteText"/>
      </w:pPr>
      <w:r>
        <w:rPr>
          <w:rStyle w:val="FootnoteReference"/>
        </w:rPr>
        <w:footnoteRef/>
      </w:r>
      <w:r>
        <w:t>For example, if the tax rates in effect during the second year of a two-year contract are lower than tax rates in effect during the first year, and if contract income was accelerated to the first year of the contract because estimated contract costs were lower than actual contract costs, interest is credited to the taxpayer on the hypothetical overpayment of tax for the first year based on the tax rate actually in effect for that year. The taxpayer would not be entitled, however, to a refund representing the amount of tax that would have been saved by applying the lower tax rate in effect for the second tax year to the amount of income accelerated to the first year of the contract.</w:t>
      </w:r>
    </w:p>
  </w:footnote>
  <w:footnote w:id="1197">
    <w:p w14:paraId="6F203073" w14:textId="77777777" w:rsidR="00494B49" w:rsidRDefault="00494B49">
      <w:pPr>
        <w:pStyle w:val="FootnoteText"/>
      </w:pPr>
      <w:r>
        <w:rPr>
          <w:rStyle w:val="FootnoteReference"/>
        </w:rPr>
        <w:footnoteRef/>
      </w:r>
      <w:smartTag w:uri="http://www.bna.com/sgml2word/cite" w:element="cite.usc">
        <w:smartTagPr>
          <w:attr w:name="ref" w:val="USC\26\460(b)(2)(A)"/>
        </w:smartTagPr>
        <w:r>
          <w:t>§460(b)(2)(A)</w:t>
        </w:r>
      </w:smartTag>
      <w:r>
        <w:t xml:space="preserve">; Reg. </w:t>
      </w:r>
      <w:smartTag w:uri="http://www.bna.com/sgml2word/cite" w:element="cite.cfr">
        <w:smartTagPr>
          <w:attr w:name="ref" w:val="cfr\26\1.460-6(c)(2)"/>
        </w:smartTagPr>
        <w:r>
          <w:t>§1.460-6(c)(2)</w:t>
        </w:r>
      </w:smartTag>
      <w:r>
        <w:t>.</w:t>
      </w:r>
    </w:p>
  </w:footnote>
  <w:footnote w:id="1198">
    <w:p w14:paraId="40EFA9CF" w14:textId="77777777" w:rsidR="00494B49" w:rsidRDefault="00494B49">
      <w:pPr>
        <w:pStyle w:val="FootnoteText"/>
      </w:pPr>
      <w:r>
        <w:rPr>
          <w:rStyle w:val="FootnoteReference"/>
        </w:rPr>
        <w:footnoteRef/>
      </w:r>
      <w:smartTag w:uri="http://www.bna.com/sgml2word/cite" w:element="cite.usc">
        <w:smartTagPr>
          <w:attr w:name="ref" w:val="USC\26\460(b)(2)(B)"/>
        </w:smartTagPr>
        <w:r>
          <w:t>§460(b)(2)(B)</w:t>
        </w:r>
      </w:smartTag>
      <w:r>
        <w:t xml:space="preserve">; Reg. </w:t>
      </w:r>
      <w:smartTag w:uri="http://www.bna.com/sgml2word/cite" w:element="cite.cfr">
        <w:smartTagPr>
          <w:attr w:name="ref" w:val="cfr\26\1.460-6(c)(3)"/>
        </w:smartTagPr>
        <w:r>
          <w:t>§1.460-6(c)(3)</w:t>
        </w:r>
      </w:smartTag>
      <w:r>
        <w:t>.</w:t>
      </w:r>
    </w:p>
  </w:footnote>
  <w:footnote w:id="1199">
    <w:p w14:paraId="455231C1" w14:textId="77777777" w:rsidR="00494B49" w:rsidRDefault="00494B49">
      <w:pPr>
        <w:pStyle w:val="FootnoteText"/>
      </w:pPr>
      <w:r>
        <w:rPr>
          <w:rStyle w:val="FootnoteReference"/>
        </w:rPr>
        <w:footnoteRef/>
      </w:r>
      <w:smartTag w:uri="http://www.bna.com/sgml2word/cite" w:element="cite.usc">
        <w:smartTagPr>
          <w:attr w:name="ref" w:val="USC\26\460(b)(2)(C)"/>
        </w:smartTagPr>
        <w:r>
          <w:t>§460(b)(2)(C)</w:t>
        </w:r>
      </w:smartTag>
      <w:r>
        <w:t xml:space="preserve">; Reg. </w:t>
      </w:r>
      <w:smartTag w:uri="http://www.bna.com/sgml2word/cite" w:element="cite.cfr">
        <w:smartTagPr>
          <w:attr w:name="ref" w:val="cfr\26\1.460-6(c)(4)"/>
        </w:smartTagPr>
        <w:r>
          <w:t>§1.460-6(c)(4)</w:t>
        </w:r>
      </w:smartTag>
      <w:r>
        <w:t>.</w:t>
      </w:r>
    </w:p>
  </w:footnote>
  <w:footnote w:id="1200">
    <w:p w14:paraId="7D4BA4DB" w14:textId="77777777" w:rsidR="00494B49" w:rsidRDefault="00494B49">
      <w:pPr>
        <w:pStyle w:val="FootnoteText"/>
      </w:pPr>
      <w:r>
        <w:rPr>
          <w:rStyle w:val="FootnoteReference"/>
        </w:rPr>
        <w:footnoteRef/>
      </w:r>
      <w:smartTag w:uri="http://www.bna.com/sgml2word/cite" w:element="cite.usc">
        <w:smartTagPr>
          <w:attr w:name="ref" w:val="USC\26\460(b)(3)(A)"/>
        </w:smartTagPr>
        <w:r>
          <w:t>§460(b)(3)(A)</w:t>
        </w:r>
      </w:smartTag>
      <w:r>
        <w:t xml:space="preserve">; Reg. </w:t>
      </w:r>
      <w:smartTag w:uri="http://www.bna.com/sgml2word/cite" w:element="cite.cfr">
        <w:smartTagPr>
          <w:attr w:name="ref" w:val="cfr\26\1.460-6(d)"/>
        </w:smartTagPr>
        <w:r>
          <w:t>§1.460-6(d)</w:t>
        </w:r>
      </w:smartTag>
      <w:r>
        <w:t xml:space="preserve">. A taxpayer that either is required to, or elects to, use the simplified marginal impact method generally must apply that method to all of the taxpayer’s completed long-term contracts for which it reports income. If, however, the amount of income originally reported with respect to a long-term contract for any redetermination year exceeds the amount of income reallocated under the look-back method with respect to that contract for that year (i.e., using actual contract price and contract costs) by the lesser of $1 million or 20% of the amount of income reallocated under the look-back method with respect to that contract for that year, the regulations provide that the IRS may require a taxpayer that uses the simplified marginal impact method to apply the look-back method to that contract as if the simplified method did not apply. </w:t>
      </w:r>
      <w:r>
        <w:rPr>
          <w:i/>
        </w:rPr>
        <w:t>See</w:t>
      </w:r>
      <w:r>
        <w:t xml:space="preserve"> Reg. </w:t>
      </w:r>
      <w:smartTag w:uri="http://www.bna.com/sgml2word/cite" w:element="cite.cfr">
        <w:smartTagPr>
          <w:attr w:name="ref" w:val="cfr\26\1.460-6(d)(3)"/>
        </w:smartTagPr>
        <w:r>
          <w:t>§1.460-6(d)(3)</w:t>
        </w:r>
      </w:smartTag>
      <w:r>
        <w:t xml:space="preserve"> (anti-abuse rule).</w:t>
      </w:r>
    </w:p>
  </w:footnote>
  <w:footnote w:id="1201">
    <w:p w14:paraId="5A006D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d)(2)(i)"/>
        </w:smartTagPr>
        <w:r>
          <w:t>§1.460-6(d)(2)(i)</w:t>
        </w:r>
      </w:smartTag>
      <w:r>
        <w:t>.</w:t>
      </w:r>
    </w:p>
  </w:footnote>
  <w:footnote w:id="1202">
    <w:p w14:paraId="5D71EE65"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d)(2)(ii)"/>
        </w:smartTagPr>
        <w:r>
          <w:t>§1.460-6(d)(2)(ii)</w:t>
        </w:r>
      </w:smartTag>
      <w:r>
        <w:t xml:space="preserve"> provides that for purposes of determining hypothetical underpayments or overpayments of tax under the simplified marginal impact method, the applicable regular tax rate is the highest rate of tax in effect for the redetermination year under </w:t>
      </w:r>
      <w:smartTag w:uri="http://www.bna.com/sgml2word/cite" w:element="cite.usc">
        <w:smartTagPr>
          <w:attr w:name="ref" w:val="USC\26\1"/>
        </w:smartTagPr>
        <w:r>
          <w:t>§1</w:t>
        </w:r>
      </w:smartTag>
      <w:r>
        <w:t xml:space="preserve"> in the case of an individual and under </w:t>
      </w:r>
      <w:smartTag w:uri="http://www.bna.com/sgml2word/cite" w:element="cite.usc">
        <w:smartTagPr>
          <w:attr w:name="ref" w:val="usc\26\11"/>
        </w:smartTagPr>
        <w:r>
          <w:t>§11</w:t>
        </w:r>
      </w:smartTag>
      <w:r>
        <w:t xml:space="preserve"> in the case of a corporation. The applicable alternative minimum tax rate, which is used in lieu of the applicable regular tax rate if it produces a greater result, is the rate of tax in effect for the taxpayer under </w:t>
      </w:r>
      <w:smartTag w:uri="http://www.bna.com/sgml2word/cite" w:element="cite.usc">
        <w:smartTagPr>
          <w:attr w:name="ref" w:val="USC\26\55(b)"/>
        </w:smartTagPr>
        <w:r>
          <w:t>§55(b)</w:t>
        </w:r>
      </w:smartTag>
      <w:r>
        <w:t>. The highest rate is determined without regard to the taxpayer’s actual rate bracket and without regard to any additional surtax imposed for the purpose of phasing out multiple tax brackets or exemptions.</w:t>
      </w:r>
    </w:p>
  </w:footnote>
  <w:footnote w:id="1203">
    <w:p w14:paraId="76D37AB2" w14:textId="77777777" w:rsidR="00494B49" w:rsidRDefault="00494B49">
      <w:pPr>
        <w:pStyle w:val="FootnoteText"/>
      </w:pPr>
      <w:r>
        <w:rPr>
          <w:rStyle w:val="FootnoteReference"/>
        </w:rPr>
        <w:footnoteRef/>
      </w:r>
      <w:smartTag w:uri="http://www.bna.com/sgml2word/cite" w:element="cite.usc">
        <w:smartTagPr>
          <w:attr w:name="ref" w:val="USC\26\460(b)(4)(A)(i)"/>
        </w:smartTagPr>
        <w:r>
          <w:t>§460(b)(4)(A)(i)</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§1.460-6(d)(4)(i)(A)</w:t>
        </w:r>
      </w:smartTag>
      <w:r>
        <w:t xml:space="preserve">, </w:t>
      </w:r>
      <w:smartTag w:uri="http://www.bna.com/sgml2word/cite" w:element="cite.cfr">
        <w:smartTagPr>
          <w:attr w:name="ref" w:val="cfr\26\1.460-6(d)(4)(i)(B)"/>
        </w:smartTagPr>
        <w:r>
          <w:t>§1.460-6(d)(4)(i)(B)</w:t>
        </w:r>
      </w:smartTag>
      <w:r>
        <w:t xml:space="preserve">. </w:t>
      </w:r>
      <w:smartTag w:uri="http://www.bna.com/sgml2word/cite" w:element="cite.usc">
        <w:smartTagPr>
          <w:attr w:name="ref" w:val="usc\26\460(b)(4)(C)(iii)"/>
        </w:smartTagPr>
        <w:r>
          <w:t>Section 460(b)(4)(C)(iii)</w:t>
        </w:r>
      </w:smartTag>
      <w:r>
        <w:t xml:space="preserve"> provides that the term “closely held pass-thru entity” means any pass-thru entity if, at any time during any taxable year for which there is income under the contract, 50% or more (by value) of the beneficial interests in such entity are held (directly or indirectly) by or for five or fewer persons. For these purposes the attribution rules of </w:t>
      </w:r>
      <w:smartTag w:uri="http://www.bna.com/sgml2word/cite" w:element="cite.usc">
        <w:smartTagPr>
          <w:attr w:name="ref" w:val="usc\26\1563(e)"/>
        </w:smartTagPr>
        <w:r>
          <w:t>§1563(e)</w:t>
        </w:r>
      </w:smartTag>
      <w:r>
        <w:t xml:space="preserve"> apply.</w:t>
      </w:r>
    </w:p>
  </w:footnote>
  <w:footnote w:id="1204">
    <w:p w14:paraId="2A16EEFC" w14:textId="77777777" w:rsidR="00494B49" w:rsidRDefault="00494B49">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§1.460-6(d)(4)(i)(A)</w:t>
        </w:r>
      </w:smartTag>
      <w:r>
        <w:t>.</w:t>
      </w:r>
    </w:p>
  </w:footnote>
  <w:footnote w:id="1205">
    <w:p w14:paraId="4CDAF7D0" w14:textId="77777777" w:rsidR="00494B49" w:rsidRDefault="00494B49">
      <w:pPr>
        <w:pStyle w:val="FootnoteText"/>
      </w:pPr>
      <w:r>
        <w:rPr>
          <w:rStyle w:val="FootnoteReference"/>
        </w:rPr>
        <w:footnoteRef/>
      </w:r>
      <w:r>
        <w:t xml:space="preserve">A corporate alternative minimum tax (AMT) applies for taxable years beginning after December 31, 2022. </w:t>
      </w:r>
      <w:smartTag w:uri="http://www.bna.com/sgml2word/cite" w:element="cite.usc">
        <w:smartTagPr>
          <w:attr w:name="ref" w:val="usc\26\55(b)(2)"/>
        </w:smartTagPr>
        <w:r>
          <w:t>§55(b)(2)</w:t>
        </w:r>
      </w:smartTag>
      <w:r>
        <w:t xml:space="preserve"> and </w:t>
      </w:r>
      <w:smartTag w:uri="http://www.bna.com/sgml2word/cite" w:element="cite.usc">
        <w:smartTagPr>
          <w:attr w:name="ref" w:val="usc\26\56A"/>
        </w:smartTagPr>
        <w:r>
          <w:t>§56A</w:t>
        </w:r>
      </w:smartTag>
      <w:r>
        <w:t xml:space="preserve">, as added by the Inflation Reduction Act, </w:t>
      </w:r>
      <w:smartTag w:uri="http://www.bna.com/sgml2word/cite" w:element="cite.pl">
        <w:smartTagPr>
          <w:attr w:name="ref" w:val="PL\117-169\10101"/>
        </w:smartTagPr>
        <w:r>
          <w:t>Pub. L. No. 117-169, §10101</w:t>
        </w:r>
      </w:smartTag>
      <w:r>
        <w:t xml:space="preserve">. For a discussion of corporate AMT, see </w:t>
      </w:r>
      <w:smartTag w:uri="http://www.bna.com/sgml2word/cite" w:element="cite.bna.reference">
        <w:smartTagPr>
          <w:attr w:name="bna.id.ref" w:val="TM\752"/>
        </w:smartTagPr>
        <w:r>
          <w:t>752 T.M.</w:t>
        </w:r>
      </w:smartTag>
      <w:r>
        <w:t xml:space="preserve">, </w:t>
      </w:r>
      <w:r>
        <w:rPr>
          <w:i/>
        </w:rPr>
        <w:t>Corporate Alternative Minimum Tax</w:t>
      </w:r>
      <w:r>
        <w:t>.</w:t>
      </w:r>
    </w:p>
  </w:footnote>
  <w:footnote w:id="1206">
    <w:p w14:paraId="0761BE3B" w14:textId="77777777" w:rsidR="00494B49" w:rsidRDefault="00494B49">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
        </w:smartTagPr>
        <w:r>
          <w:t>§460(b)(4)(C)(i)(I)</w:t>
        </w:r>
      </w:smartTag>
      <w:r>
        <w:t xml:space="preserve">; Reg. </w:t>
      </w:r>
      <w:smartTag w:uri="http://www.bna.com/sgml2word/cite" w:element="cite.cfr">
        <w:smartTagPr>
          <w:attr w:name="ref" w:val="cfr\26\1.460-6(d)(4)(i)(A)"/>
        </w:smartTagPr>
        <w:r>
          <w:t>§1.460-6(d)(4)(i)(A)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07">
    <w:p w14:paraId="4BCBA4D7"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
        </w:smartTagPr>
        <w:r>
          <w:t>§1.460-6(c)</w:t>
        </w:r>
      </w:smartTag>
      <w:r>
        <w:t>.</w:t>
      </w:r>
    </w:p>
  </w:footnote>
  <w:footnote w:id="1208">
    <w:p w14:paraId="5E7FA9EA"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3)(vi)"/>
        </w:smartTagPr>
        <w:r>
          <w:t>§1.460-6(c)(3)(vi)</w:t>
        </w:r>
      </w:smartTag>
      <w:r>
        <w:t>.</w:t>
      </w:r>
    </w:p>
  </w:footnote>
  <w:footnote w:id="1209">
    <w:p w14:paraId="62A65FBB"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3)(vi)"/>
        </w:smartTagPr>
        <w:r>
          <w:t>§1.460-6(c)(3)(vi)</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 For example, if the taxpayer did not pay alternative minimum tax, but would have paid alternative minimum tax for that year if actual rather than estimated contract price and costs had been used in determining contract income for the year, the amount of any hypothetical overpayment or underpayment of tax must be determined by comparing the hypothetical total tax liability (including hypothetical alternative minimum tax liability) with the actual tax liability for that year. </w:t>
      </w:r>
      <w:r>
        <w:rPr>
          <w:i/>
        </w:rPr>
        <w:t>See</w:t>
      </w:r>
      <w:r>
        <w:t xml:space="preserve"> Reg. </w:t>
      </w:r>
      <w:smartTag w:uri="http://www.bna.com/sgml2word/cite" w:element="cite.cfr">
        <w:smartTagPr>
          <w:attr w:name="ref" w:val="cfr\26\1.460-6(c)(1)(i)"/>
        </w:smartTagPr>
        <w:r>
          <w:t>§1.460-6(c)(1)(i)</w:t>
        </w:r>
      </w:smartTag>
      <w:r>
        <w:t>.</w:t>
      </w:r>
    </w:p>
  </w:footnote>
  <w:footnote w:id="1210">
    <w:p w14:paraId="23B36E17" w14:textId="77777777" w:rsidR="00494B49" w:rsidRDefault="00494B49">
      <w:pPr>
        <w:pStyle w:val="FootnoteText"/>
      </w:pPr>
      <w:r>
        <w:rPr>
          <w:rStyle w:val="FootnoteReference"/>
        </w:rPr>
        <w:footnoteRef/>
      </w:r>
      <w:r>
        <w:t>The alternative argument would be that the phrase “additions to tax” was intended to only cover “additions to the tax” contained in Subchapter A of Chapter 68 of Title 26 (</w:t>
      </w:r>
      <w:smartTag w:uri="http://www.bna.com/sgml2word/cite" w:element="cite.usc">
        <w:smartTagPr>
          <w:attr w:name="ref" w:val="USC\26\6651"/>
        </w:smartTagPr>
        <w:r>
          <w:t>§6651</w:t>
        </w:r>
      </w:smartTag>
      <w:r>
        <w:t>–</w:t>
      </w:r>
      <w:smartTag w:uri="http://www.bna.com/sgml2word/cite" w:element="cite.usc">
        <w:smartTagPr>
          <w:attr w:name="ref" w:val="USC\26\6665"/>
        </w:smartTagPr>
        <w:r>
          <w:t>§6665</w:t>
        </w:r>
      </w:smartTag>
      <w:r>
        <w:t xml:space="preserve">) and, therefore, only the taxes imposed by Chapter 1 (regular tax, AMT, and BEAT) are covered by Reg. </w:t>
      </w:r>
      <w:smartTag w:uri="http://www.bna.com/sgml2word/cite" w:element="cite.cfr">
        <w:smartTagPr>
          <w:attr w:name="ref" w:val="cfr\26\1.460-6(c)(3)(vi)"/>
        </w:smartTagPr>
        <w:r>
          <w:t>§1.460-6(c)(3)(vi)</w:t>
        </w:r>
      </w:smartTag>
      <w:r>
        <w:t xml:space="preserve">. </w:t>
      </w:r>
    </w:p>
  </w:footnote>
  <w:footnote w:id="1211">
    <w:p w14:paraId="35932413" w14:textId="77777777" w:rsidR="00494B49" w:rsidRDefault="00494B49">
      <w:pPr>
        <w:pStyle w:val="FootnoteText"/>
      </w:pPr>
      <w:r>
        <w:rPr>
          <w:rStyle w:val="FootnoteReference"/>
        </w:rPr>
        <w:footnoteRef/>
      </w:r>
      <w:hyperlink r:id="rId20" w:history="1">
        <w:r>
          <w:rPr>
            <w:rStyle w:val="Hyperlink"/>
          </w:rPr>
          <w:t>Instructions for Form 8697</w:t>
        </w:r>
      </w:hyperlink>
      <w:r>
        <w:t>.</w:t>
      </w:r>
    </w:p>
  </w:footnote>
  <w:footnote w:id="1212">
    <w:p w14:paraId="68DBBDD3" w14:textId="77777777" w:rsidR="00494B49" w:rsidRDefault="00494B49">
      <w:pPr>
        <w:pStyle w:val="FootnoteText"/>
      </w:pPr>
      <w:r>
        <w:rPr>
          <w:rStyle w:val="FootnoteReference"/>
        </w:rPr>
        <w:footnoteRef/>
      </w:r>
      <w:r>
        <w:t xml:space="preserve">Although it is not clear, it is reasonable to conclude that any increase or decrease in passive activity gross income due to the recalculation imposed by the long-term contract method would also increase or decrease (1) the taxpayer’s basis in the partnership or S corporation for purposes of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respectively; (2) the taxpayer’s amount at risk under </w:t>
      </w:r>
      <w:smartTag w:uri="http://www.bna.com/sgml2word/cite" w:element="cite.usc">
        <w:smartTagPr>
          <w:attr w:name="ref" w:val="USC\26\465"/>
        </w:smartTagPr>
        <w:r>
          <w:t>§465</w:t>
        </w:r>
      </w:smartTag>
      <w:r>
        <w:t xml:space="preserve">; and (3) the amount of passive loss allowed (or disallowed and carried forward). In this instance, any increase in passive income may produce additional passive losses that would be allowed to offset the income increase for regular tax and NIIT purposes in the manner illustrated in the examples found in Reg. </w:t>
      </w:r>
      <w:smartTag w:uri="http://www.bna.com/sgml2word/cite" w:element="cite.cfr">
        <w:smartTagPr>
          <w:attr w:name="ref" w:val="cfr\26\1.1411-4(f)(2)(v)"/>
        </w:smartTagPr>
        <w:r>
          <w:t>§1.1411-4(f)(2)(v)</w:t>
        </w:r>
      </w:smartTag>
      <w:r>
        <w:t xml:space="preserve">. </w:t>
      </w:r>
    </w:p>
  </w:footnote>
  <w:footnote w:id="1213">
    <w:p w14:paraId="510E2816" w14:textId="77777777" w:rsidR="00494B49" w:rsidRDefault="00494B49">
      <w:pPr>
        <w:pStyle w:val="FootnoteText"/>
      </w:pPr>
      <w:r>
        <w:rPr>
          <w:rStyle w:val="FootnoteReference"/>
        </w:rPr>
        <w:footnoteRef/>
      </w:r>
      <w:r>
        <w:t xml:space="preserve">Intuitively, this is a computational necessity because the passthrough entity, in many cases, will not have the necessary information to fully recalculate its individual partner’s tax returns (by, for example, recalculating any medical expense deduction that may be increased or decreased due to a change in AGI). It also follows that a recomputation under the simplified marginal impact method would not change the individual’s passive losses allowed or disallowed, or MAGI. </w:t>
      </w:r>
    </w:p>
  </w:footnote>
  <w:footnote w:id="1214">
    <w:p w14:paraId="2724A5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
        </w:smartTagPr>
        <w:r>
          <w:t>§1.460-6(f)(2)(i)</w:t>
        </w:r>
      </w:smartTag>
      <w:r>
        <w:t>.</w:t>
      </w:r>
    </w:p>
  </w:footnote>
  <w:footnote w:id="1215">
    <w:p w14:paraId="43DD452F"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6">
    <w:p w14:paraId="1AB3E4E8"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7">
    <w:p w14:paraId="0261610A" w14:textId="77777777" w:rsidR="00494B49" w:rsidRDefault="00494B49">
      <w:pPr>
        <w:pStyle w:val="FootnoteText"/>
      </w:pPr>
      <w:r>
        <w:rPr>
          <w:rStyle w:val="FootnoteReference"/>
        </w:rPr>
        <w:footnoteRef/>
      </w:r>
      <w:r>
        <w:t xml:space="preserve">For a detailed discussion of the income forecast method of depreciation, see </w:t>
      </w:r>
      <w:smartTag w:uri="http://www.bna.com/sgml2word/cite" w:element="cite.bna.reference">
        <w:smartTagPr>
          <w:attr w:name="bna.id.ref" w:val="TM\530"/>
        </w:smartTagPr>
        <w:r>
          <w:t>530</w:t>
        </w:r>
      </w:smartTag>
      <w:r>
        <w:t xml:space="preserve"> T.M., </w:t>
      </w:r>
      <w:r>
        <w:rPr>
          <w:i/>
        </w:rPr>
        <w:t>Depreciation: General Concepts; Non-ACRS Rules</w:t>
      </w:r>
      <w:r>
        <w:t xml:space="preserve">, and </w:t>
      </w:r>
      <w:smartTag w:uri="http://www.bna.com/sgml2word/cite" w:element="cite.bna.reference">
        <w:smartTagPr>
          <w:attr w:name="bna.id.ref" w:val="TM\599"/>
        </w:smartTagPr>
        <w:r>
          <w:t>599</w:t>
        </w:r>
      </w:smartTag>
      <w:r>
        <w:t xml:space="preserve"> T.M., </w:t>
      </w:r>
      <w:r>
        <w:rPr>
          <w:i/>
        </w:rPr>
        <w:t>The Taxation of Filmed Entertainment Content Production &amp; Distribution</w:t>
      </w:r>
      <w:r>
        <w:t>.</w:t>
      </w:r>
    </w:p>
  </w:footnote>
  <w:footnote w:id="1218">
    <w:p w14:paraId="6CD47E6B" w14:textId="77777777" w:rsidR="00494B49" w:rsidRDefault="00494B49">
      <w:pPr>
        <w:pStyle w:val="FootnoteText"/>
      </w:pPr>
      <w:r>
        <w:rPr>
          <w:rStyle w:val="FootnoteReference"/>
        </w:rPr>
        <w:footnoteRef/>
      </w:r>
      <w:smartTag w:uri="http://www.bna.com/sgml2word/cite" w:element="cite.usc">
        <w:smartTagPr>
          <w:attr w:name="ref" w:val="USC\26\167(g)(2)"/>
        </w:smartTagPr>
        <w:r>
          <w:t>§167(g)(2)</w:t>
        </w:r>
      </w:smartTag>
      <w:r>
        <w:t xml:space="preserve">. </w:t>
      </w:r>
    </w:p>
  </w:footnote>
  <w:footnote w:id="1219">
    <w:p w14:paraId="2F02BB25" w14:textId="77777777" w:rsidR="00494B49" w:rsidRDefault="00494B49">
      <w:pPr>
        <w:pStyle w:val="FootnoteText"/>
      </w:pPr>
      <w:r>
        <w:rPr>
          <w:rStyle w:val="FootnoteReference"/>
        </w:rPr>
        <w:footnoteRef/>
      </w:r>
      <w:r>
        <w:t xml:space="preserve">The overpayment rate of </w:t>
      </w:r>
      <w:smartTag w:uri="http://www.bna.com/sgml2word/cite" w:element="cite.usc">
        <w:smartTagPr>
          <w:attr w:name="ref" w:val="USC\26\6621"/>
        </w:smartTagPr>
        <w:r>
          <w:t>§6621</w:t>
        </w:r>
      </w:smartTag>
      <w:r>
        <w:t xml:space="preserve"> is incorporated by the reference in </w:t>
      </w:r>
      <w:smartTag w:uri="http://www.bna.com/sgml2word/cite" w:element="cite.usc">
        <w:smartTagPr>
          <w:attr w:name="ref" w:val="USC\26\167(g)(2)(C)"/>
        </w:smartTagPr>
        <w:r>
          <w:t>§167(g)(2)(C)</w:t>
        </w:r>
      </w:smartTag>
      <w:r>
        <w:t xml:space="preserve"> to </w:t>
      </w:r>
      <w:smartTag w:uri="http://www.bna.com/sgml2word/cite" w:element="cite.usc">
        <w:smartTagPr>
          <w:attr w:name="ref" w:val="USC\26\460(b)(7)"/>
        </w:smartTagPr>
        <w:r>
          <w:t>§460(b)(7)</w:t>
        </w:r>
      </w:smartTag>
      <w:r>
        <w:t xml:space="preserve">, which refers to </w:t>
      </w:r>
      <w:smartTag w:uri="http://www.bna.com/sgml2word/cite" w:element="cite.usc">
        <w:smartTagPr>
          <w:attr w:name="ref" w:val="USC\26\6621"/>
        </w:smartTagPr>
        <w:r>
          <w:t>§6621</w:t>
        </w:r>
      </w:smartTag>
      <w:r>
        <w:t>.</w:t>
      </w:r>
    </w:p>
  </w:footnote>
  <w:footnote w:id="1220">
    <w:p w14:paraId="16D256FB" w14:textId="77777777" w:rsidR="00494B49" w:rsidRDefault="00494B49">
      <w:pPr>
        <w:pStyle w:val="FootnoteText"/>
      </w:pPr>
      <w:r>
        <w:rPr>
          <w:rStyle w:val="FootnoteReference"/>
        </w:rPr>
        <w:footnoteRef/>
      </w:r>
      <w:r>
        <w:t xml:space="preserve">H.R. Conf. Rep. No. 737, 104th Cong., 2d Sess. 299, at n.53 (1996). </w:t>
      </w:r>
    </w:p>
  </w:footnote>
  <w:footnote w:id="1221">
    <w:p w14:paraId="1E5F9B2D" w14:textId="77777777" w:rsidR="00494B49" w:rsidRDefault="00494B49">
      <w:pPr>
        <w:pStyle w:val="FootnoteText"/>
      </w:pPr>
      <w:r>
        <w:rPr>
          <w:rStyle w:val="FootnoteReference"/>
        </w:rPr>
        <w:footnoteRef/>
      </w:r>
      <w:smartTag w:uri="http://www.bna.com/sgml2word/cite" w:element="cite.agency.doc">
        <w:smartTagPr>
          <w:attr w:name="ref" w:val="irs\nprm\REG-103823-99"/>
        </w:smartTagPr>
        <w:r>
          <w:t>REG-103823-99</w:t>
        </w:r>
      </w:smartTag>
      <w:r>
        <w:t xml:space="preserve">, </w:t>
      </w:r>
      <w:smartTag w:uri="http://www.bna.com/sgml2word/cite" w:element="cite.fr">
        <w:smartTagPr>
          <w:attr w:name="ref" w:val="FR\67\38025"/>
        </w:smartTagPr>
        <w:r>
          <w:t>67 Fed. Reg. 38,025</w:t>
        </w:r>
      </w:smartTag>
      <w:r>
        <w:t xml:space="preserve"> (May 31, 2002).</w:t>
      </w:r>
    </w:p>
  </w:footnote>
  <w:footnote w:id="1222">
    <w:p w14:paraId="54D0C578" w14:textId="77777777" w:rsidR="00494B49" w:rsidRDefault="00494B49">
      <w:pPr>
        <w:pStyle w:val="FootnoteText"/>
      </w:pPr>
      <w:r>
        <w:rPr>
          <w:rStyle w:val="FootnoteReference"/>
        </w:rPr>
        <w:footnoteRef/>
      </w:r>
      <w:r>
        <w:t xml:space="preserve">Pass-through entities that are not closely held must use a simplified method to compute their hypothetical overpayment or underpayment for each prior year in which allowances for depreciation were claimed for income forecast property subject to the look-back method. Under the simplified method, pass-through entities apply a set rate (i.e., the highest rate applicable under </w:t>
      </w:r>
      <w:smartTag w:uri="http://www.bna.com/sgml2word/cite" w:element="cite.usc">
        <w:smartTagPr>
          <w:attr w:name="ref" w:val="USC\26\1"/>
        </w:smartTagPr>
        <w:r>
          <w:t>§1</w:t>
        </w:r>
      </w:smartTag>
      <w:r>
        <w:t xml:space="preserve">, </w:t>
      </w:r>
      <w:smartTag w:uri="http://www.bna.com/sgml2word/cite" w:element="cite.usc">
        <w:smartTagPr>
          <w:attr w:name="ref" w:val="usc\26\11"/>
        </w:smartTagPr>
        <w:r>
          <w:t>§11</w:t>
        </w:r>
      </w:smartTag>
      <w:r>
        <w:t xml:space="preserve">, or </w:t>
      </w:r>
      <w:smartTag w:uri="http://www.bna.com/sgml2word/cite" w:element="cite.usc">
        <w:smartTagPr>
          <w:attr w:name="ref" w:val="USC\26\55(b)"/>
        </w:smartTagPr>
        <w:r>
          <w:t>§55(b)</w:t>
        </w:r>
      </w:smartTag>
      <w:r>
        <w:t xml:space="preserve"> (see </w:t>
      </w:r>
      <w:smartTag w:uri="http://www.bna.com/sgml2word/cite" w:element="cite.bna.reference">
        <w:smartTagPr>
          <w:attr w:name="ref" w:val="tm\511.X.B.5.a"/>
        </w:smartTagPr>
        <w:r>
          <w:t>X.B.5.a.</w:t>
        </w:r>
      </w:smartTag>
      <w:r>
        <w:t xml:space="preserve">, above), depending on the entity's ownership) to the net changes in depreciation allowances for each year. </w:t>
      </w:r>
      <w:r>
        <w:rPr>
          <w:i/>
        </w:rPr>
        <w:t>See</w:t>
      </w:r>
      <w:r>
        <w:t xml:space="preserve"> Reg. </w:t>
      </w:r>
      <w:smartTag w:uri="http://www.bna.com/sgml2word/cite" w:element="cite.cfr">
        <w:smartTagPr>
          <w:attr w:name="ref" w:val="cfr\26\1.460-6(d)(4)(i)(A)"/>
        </w:smartTagPr>
        <w:r>
          <w:t>§1.460-6(d)(4)(i)(A)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23">
    <w:p w14:paraId="6834684E" w14:textId="77777777" w:rsidR="00494B49" w:rsidRDefault="00494B49">
      <w:pPr>
        <w:pStyle w:val="FootnoteText"/>
      </w:pPr>
      <w:r>
        <w:rPr>
          <w:rStyle w:val="FootnoteReference"/>
        </w:rPr>
        <w:footnoteRef/>
      </w:r>
      <w:r>
        <w:t xml:space="preserve">The analysis of Prop. Reg. </w:t>
      </w:r>
      <w:smartTag w:uri="http://www.bna.com/sgml2word/cite" w:element="cite.cfr">
        <w:smartTagPr>
          <w:attr w:name="ref" w:val="prule\cfr\26\1.167(n)-6(d)(2)(i)"/>
        </w:smartTagPr>
        <w:r>
          <w:t>§1.167(n)-6(d)(2)(i)</w:t>
        </w:r>
      </w:smartTag>
      <w:r>
        <w:t xml:space="preserve"> pertaining to a recalculation of self-employment tax may be substantially similar to the analysis related to the NIIT. Therefore, if a taxpayer concludes that Prop. Reg. </w:t>
      </w:r>
      <w:smartTag w:uri="http://www.bna.com/sgml2word/cite" w:element="cite.cfr">
        <w:smartTagPr>
          <w:attr w:name="ref" w:val="prule\cfr\26\1.167(n)-6(d)(2)(i)"/>
        </w:smartTagPr>
        <w:r>
          <w:t>§1.167(n)-6(d)(2)(i)</w:t>
        </w:r>
      </w:smartTag>
      <w:r>
        <w:t xml:space="preserve"> requires a recomputation of both the self-employment tax and NIIT, any increase in self-employment tax would limit, or possibly even fully negate, any increase in NIIT liability due to </w:t>
      </w:r>
      <w:smartTag w:uri="http://www.bna.com/sgml2word/cite" w:element="cite.usc">
        <w:smartTagPr>
          <w:attr w:name="ref" w:val="USC\26\1411(c)(6)"/>
        </w:smartTagPr>
        <w:r>
          <w:t>§1411(c)(6)</w:t>
        </w:r>
      </w:smartTag>
      <w:r>
        <w:t xml:space="preserve">. The addition of the self-employment tax variant is somewhat unique to the look-back under </w:t>
      </w:r>
      <w:smartTag w:uri="http://www.bna.com/sgml2word/cite" w:element="cite.usc">
        <w:smartTagPr>
          <w:attr w:name="ref" w:val="USC\26\167(g)(2)"/>
        </w:smartTagPr>
        <w:r>
          <w:t>§167(g)(2)</w:t>
        </w:r>
      </w:smartTag>
      <w:r>
        <w:t xml:space="preserve"> and </w:t>
      </w:r>
      <w:smartTag w:uri="http://www.bna.com/sgml2word/cite" w:element="cite.usc">
        <w:smartTagPr>
          <w:attr w:name="ref" w:val="USC\26\460(b)"/>
        </w:smartTagPr>
        <w:r>
          <w:t>§460(b)</w:t>
        </w:r>
      </w:smartTag>
      <w:r>
        <w:t xml:space="preserve"> because the other deferred interest regimes discussed in this part appear to involve the recalculation of tax limited exclusively to those arising under Chapter 1. </w:t>
      </w:r>
    </w:p>
  </w:footnote>
  <w:footnote w:id="1224">
    <w:p w14:paraId="3D925EC3" w14:textId="77777777" w:rsidR="00494B49" w:rsidRDefault="00494B49">
      <w:pPr>
        <w:pStyle w:val="FootnoteText"/>
      </w:pPr>
      <w:r>
        <w:rPr>
          <w:rStyle w:val="FootnoteReference"/>
        </w:rPr>
        <w:footnoteRef/>
      </w:r>
      <w:r>
        <w:t xml:space="preserve">For this purpose, a pass-through entity is a partnership, S corporation, estate, or trust. Prop. Reg. </w:t>
      </w:r>
      <w:smartTag w:uri="http://www.bna.com/sgml2word/cite" w:element="cite.cfr">
        <w:smartTagPr>
          <w:attr w:name="ref" w:val="prule\cfr\26\1.167(n)-6(d)(4)(i)"/>
        </w:smartTagPr>
        <w:r>
          <w:t>§1.167(n)-6(d)(4)(i)</w:t>
        </w:r>
      </w:smartTag>
      <w:r>
        <w:t xml:space="preserve">. A closely held pass-through entity is a pass-through entity in which five or fewer persons hold (directly or indirectly), at any time during any year for which allowances for depreciation are recomputed, 50% or more (by value) of the beneficial interests. Prop. Reg. </w:t>
      </w:r>
      <w:smartTag w:uri="http://www.bna.com/sgml2word/cite" w:element="cite.cfr">
        <w:smartTagPr>
          <w:attr w:name="ref" w:val="prule\cfr\26\1.167(n)-6(d)(4)(ii)"/>
        </w:smartTagPr>
        <w:r>
          <w:t>§1.167(n)-6(d)(4)(ii)</w:t>
        </w:r>
      </w:smartTag>
      <w:r>
        <w:t>.</w:t>
      </w:r>
    </w:p>
  </w:footnote>
  <w:footnote w:id="1225">
    <w:p w14:paraId="334A444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d)(3)(iv)"/>
        </w:smartTagPr>
        <w:r>
          <w:t>§1.167(n)-6(d)(3)(iv)</w:t>
        </w:r>
      </w:smartTag>
      <w:r>
        <w:t xml:space="preserve">. </w:t>
      </w:r>
    </w:p>
  </w:footnote>
  <w:footnote w:id="1226">
    <w:p w14:paraId="432AC8D6" w14:textId="77777777" w:rsidR="00494B49" w:rsidRDefault="00494B49">
      <w:pPr>
        <w:pStyle w:val="FootnoteText"/>
      </w:pPr>
      <w:r>
        <w:rPr>
          <w:rStyle w:val="FootnoteReference"/>
        </w:rPr>
        <w:footnoteRef/>
      </w:r>
      <w:r>
        <w:t xml:space="preserve">This is because the pass-through entity does not have access to the items of adjustment and tax preference that go into the calculation of alternative minimum taxable income. </w:t>
      </w:r>
      <w:r>
        <w:rPr>
          <w:i/>
        </w:rPr>
        <w:t>See</w:t>
      </w:r>
      <w:r>
        <w:t xml:space="preserve"> </w:t>
      </w:r>
      <w:smartTag w:uri="http://www.bna.com/sgml2word/cite" w:element="cite.usc">
        <w:smartTagPr>
          <w:attr w:name="ref" w:val="USC\26\56(b)(2)"/>
        </w:smartTagPr>
        <w:r>
          <w:t>§56(b)(2)</w:t>
        </w:r>
      </w:smartTag>
      <w:r>
        <w:t>.</w:t>
      </w:r>
    </w:p>
  </w:footnote>
  <w:footnote w:id="1227">
    <w:p w14:paraId="5B67A08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interest received under the look-back method is treated as taxable interest income for all purposes and is not treated as a reduction in tax liability. Furthermore, Prop. Reg. </w:t>
      </w:r>
      <w:smartTag w:uri="http://www.bna.com/sgml2word/cite" w:element="cite.cfr">
        <w:smartTagPr>
          <w:attr w:name="ref" w:val="prule\cfr\26\1.167(n)-6(g)(3)"/>
        </w:smartTagPr>
        <w:r>
          <w:t>§1.167(n)-6(g)(3)</w:t>
        </w:r>
      </w:smartTag>
      <w:r>
        <w:t xml:space="preserve"> provides that “[f]or purposes of determining taxable income under Subtitle A of the Internal Revenue Code, any amount refunded to the taxpayer as a result of the application of the look-back method is includible in gross income in accordance with the taxpayer’s method of accounting for interest income.”</w:t>
      </w:r>
    </w:p>
  </w:footnote>
  <w:footnote w:id="1228">
    <w:p w14:paraId="3186D66E" w14:textId="77777777" w:rsidR="00494B49" w:rsidRDefault="00494B49">
      <w:pPr>
        <w:pStyle w:val="FootnoteText"/>
      </w:pPr>
      <w:r>
        <w:rPr>
          <w:rStyle w:val="FootnoteReference"/>
        </w:rPr>
        <w:footnoteRef/>
      </w:r>
      <w:r>
        <w:t xml:space="preserve">It is extremely unlikely that any interest associated with a </w:t>
      </w:r>
      <w:smartTag w:uri="http://www.bna.com/sgml2word/cite" w:element="cite.usc">
        <w:smartTagPr>
          <w:attr w:name="ref" w:val="USC\26\167(g)(2)"/>
        </w:smartTagPr>
        <w:r>
          <w:t>§167(g)(2)</w:t>
        </w:r>
      </w:smartTag>
      <w:r>
        <w:t xml:space="preserve"> look-back calculation could be deemed to be derived in the ordinary course of a trade of business under Reg. </w:t>
      </w:r>
      <w:smartTag w:uri="http://www.bna.com/sgml2word/cite" w:element="cite.cfr">
        <w:smartTagPr>
          <w:attr w:name="ref" w:val="cfr\26\1.1411-4(b)"/>
        </w:smartTagPr>
        <w:r>
          <w:t>§1.1411-4(b)</w:t>
        </w:r>
      </w:smartTag>
      <w:r>
        <w:t xml:space="preserve">. Furthermore, the interest would almost certainly not fit any exception to the working capital rule under Reg. </w:t>
      </w:r>
      <w:smartTag w:uri="http://www.bna.com/sgml2word/cite" w:element="cite.cfr">
        <w:smartTagPr>
          <w:attr w:name="ref" w:val="cfr\26\1.1411-6(a)"/>
        </w:smartTagPr>
        <w:r>
          <w:t>§1.1411-6(a)</w:t>
        </w:r>
      </w:smartTag>
      <w:r>
        <w:t xml:space="preserve">, which cross-references Reg. </w:t>
      </w:r>
      <w:smartTag w:uri="http://www.bna.com/sgml2word/cite" w:element="cite.cfr">
        <w:smartTagPr>
          <w:attr w:name="ref" w:val="cfr\26\1.469-2T(c)(3)(ii)"/>
        </w:smartTagPr>
        <w:r>
          <w:t>§1.469-2T(c)(3)(ii)</w:t>
        </w:r>
      </w:smartTag>
      <w:r>
        <w:t xml:space="preserve">. </w:t>
      </w:r>
    </w:p>
  </w:footnote>
  <w:footnote w:id="1229">
    <w:p w14:paraId="1CDCFCF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look-back interest to be paid is treated as interest arising from an underpayment of tax under Subtitle A of the Internal Revenue Code, even though it is treated as an income tax liability for penalty purposes. Thus, look-back interest required to be paid by an individual, or by a passthrough entity on behalf of an individual owner (or beneficiary) under the simplified method, is personal interest and, therefore is not deductible in accordance with </w:t>
      </w:r>
      <w:smartTag w:uri="http://www.bna.com/sgml2word/cite" w:element="cite.cfr">
        <w:smartTagPr>
          <w:attr w:name="ref" w:val="CFR\26\1.163-9T(b)(2)"/>
        </w:smartTagPr>
        <w:r>
          <w:t>Treas. Reg. §1.163-9T(b)(2)</w:t>
        </w:r>
      </w:smartTag>
      <w:r>
        <w:t>.</w:t>
      </w:r>
    </w:p>
  </w:footnote>
  <w:footnote w:id="1230">
    <w:p w14:paraId="64E0B896" w14:textId="77777777" w:rsidR="00494B49" w:rsidRDefault="00494B49">
      <w:pPr>
        <w:pStyle w:val="FootnoteText"/>
      </w:pPr>
      <w:r>
        <w:rPr>
          <w:rStyle w:val="FootnoteReference"/>
        </w:rPr>
        <w:footnoteRef/>
      </w:r>
      <w:r>
        <w:t xml:space="preserve">For a list of all U.S. income tax treaties in force, see IRS, </w:t>
      </w:r>
      <w:hyperlink r:id="rId21" w:history="1">
        <w:r>
          <w:rPr>
            <w:rStyle w:val="Hyperlink"/>
            <w:i/>
          </w:rPr>
          <w:t>United States Income Tax Treaties – A to Z</w:t>
        </w:r>
      </w:hyperlink>
      <w:r>
        <w:t>.</w:t>
      </w:r>
    </w:p>
  </w:footnote>
  <w:footnote w:id="1231">
    <w:p w14:paraId="1C16492E" w14:textId="77777777" w:rsidR="00494B49" w:rsidRDefault="00494B49">
      <w:pPr>
        <w:pStyle w:val="FootnoteText"/>
      </w:pPr>
      <w:r>
        <w:rPr>
          <w:rStyle w:val="FootnoteReference"/>
        </w:rPr>
        <w:footnoteRef/>
      </w:r>
      <w:r>
        <w:t xml:space="preserve">Generally, the requirements to report treaty-based return positions are found in </w:t>
      </w:r>
      <w:smartTag w:uri="http://www.bna.com/sgml2word/cite" w:element="cite.usc">
        <w:smartTagPr>
          <w:attr w:name="ref" w:val="USC\26\6114"/>
        </w:smartTagPr>
        <w:r>
          <w:t>§6114</w:t>
        </w:r>
      </w:smartTag>
      <w:r>
        <w:t xml:space="preserve"> and Reg. </w:t>
      </w:r>
      <w:smartTag w:uri="http://www.bna.com/sgml2word/cite" w:element="cite.cfr">
        <w:smartTagPr>
          <w:attr w:name="ref" w:val="cfr\26\301.6114-1"/>
        </w:smartTagPr>
        <w:r>
          <w:t>§301.6114-1</w:t>
        </w:r>
      </w:smartTag>
      <w:r>
        <w:t xml:space="preserve">. </w:t>
      </w:r>
    </w:p>
  </w:footnote>
  <w:footnote w:id="1232">
    <w:p w14:paraId="1E0238C3" w14:textId="77777777" w:rsidR="00494B49" w:rsidRDefault="00494B49">
      <w:pPr>
        <w:pStyle w:val="FootnoteText"/>
      </w:pPr>
      <w:r>
        <w:rPr>
          <w:rStyle w:val="FootnoteReference"/>
        </w:rPr>
        <w:footnoteRef/>
      </w:r>
      <w:r>
        <w:t>For an example, see former Reg. §301.6114-1T(a)(3)</w:t>
      </w:r>
      <w:r>
        <w:rPr>
          <w:i/>
        </w:rPr>
        <w:t xml:space="preserve"> Ex.</w:t>
      </w:r>
      <w:r>
        <w:t xml:space="preserve"> 3, </w:t>
      </w:r>
      <w:smartTag w:uri="http://www.bna.com/sgml2word/cite" w:element="cite.fr">
        <w:smartTagPr>
          <w:attr w:name="ref" w:val="FR\54\37451"/>
        </w:smartTagPr>
        <w:r>
          <w:t>54 Fed. Reg. 37,451</w:t>
        </w:r>
      </w:smartTag>
      <w:r>
        <w:t xml:space="preserve"> (Sept. 11, 1989). For purposes of claiming a foreign tax credit against the tax imposed by </w:t>
      </w:r>
      <w:smartTag w:uri="http://www.bna.com/sgml2word/cite" w:element="cite.usc">
        <w:smartTagPr>
          <w:attr w:name="ref" w:val="USC\26\1411"/>
        </w:smartTagPr>
        <w:r>
          <w:t>§1411</w:t>
        </w:r>
      </w:smartTag>
      <w:r>
        <w:t xml:space="preserve"> based on a treaty, a </w:t>
      </w:r>
      <w:smartTag w:uri="http://www.bna.com/sgml2word/cite" w:element="cite.fed.form">
        <w:smartTagPr>
          <w:attr w:name="ref" w:val="irs\form8833"/>
        </w:smartTagPr>
        <w:r>
          <w:t>Form 8833</w:t>
        </w:r>
      </w:smartTag>
      <w:r>
        <w:t xml:space="preserve"> would be required under Reg. </w:t>
      </w:r>
      <w:smartTag w:uri="http://www.bna.com/sgml2word/cite" w:element="cite.cfr">
        <w:smartTagPr>
          <w:attr w:name="ref" w:val="cfr\26\301.6114-1(b)(7)"/>
        </w:smartTagPr>
        <w:r>
          <w:t>§301.6114-1(b)(7)</w:t>
        </w:r>
      </w:smartTag>
      <w:r>
        <w:t xml:space="preserve">. </w:t>
      </w:r>
    </w:p>
  </w:footnote>
  <w:footnote w:id="1233">
    <w:p w14:paraId="56485C84" w14:textId="77777777" w:rsidR="00494B49" w:rsidRDefault="00494B49">
      <w:pPr>
        <w:pStyle w:val="FootnoteText"/>
      </w:pPr>
      <w:r>
        <w:rPr>
          <w:rStyle w:val="FootnoteReference"/>
        </w:rPr>
        <w:footnoteRef/>
      </w:r>
      <w:r>
        <w:t xml:space="preserve">Preamble, 2013 Final Regulations,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1234">
    <w:p w14:paraId="31121F54" w14:textId="77777777" w:rsidR="00494B49" w:rsidRDefault="00494B49">
      <w:pPr>
        <w:pStyle w:val="FootnoteText"/>
      </w:pPr>
      <w:r>
        <w:rPr>
          <w:rStyle w:val="FootnoteReference"/>
        </w:rPr>
        <w:footnoteRef/>
      </w:r>
      <w:r>
        <w:t xml:space="preserve">Paul Hocking, Jeffrey Gould &amp; John Harvard, </w:t>
      </w:r>
      <w:r>
        <w:rPr>
          <w:i/>
        </w:rPr>
        <w:t>Foreign Tax Credit Offset Against NIIT: IRS Position on Treaties Clearly Open to Challenge</w:t>
      </w:r>
      <w:r>
        <w:t xml:space="preserve">, 01 Bloomberg BNA Daily Tax Report J-1 (Jan. 2, 2014). </w:t>
      </w:r>
    </w:p>
  </w:footnote>
  <w:footnote w:id="1235">
    <w:p w14:paraId="1F489828" w14:textId="77777777" w:rsidR="00494B49" w:rsidRDefault="00494B49">
      <w:pPr>
        <w:pStyle w:val="FootnoteText"/>
      </w:pPr>
      <w:r>
        <w:rPr>
          <w:rStyle w:val="FootnoteReference"/>
        </w:rPr>
        <w:footnoteRef/>
      </w:r>
      <w:r>
        <w:t xml:space="preserve">Thomas S. Bissell, </w:t>
      </w:r>
      <w:r>
        <w:rPr>
          <w:i/>
        </w:rPr>
        <w:t>Code-Treaty Conflicts Where Congress Is Silent; The §4985 Anti-Inversion Excise Tax and the §1411 Net Investment Income Tax</w:t>
      </w:r>
      <w:r>
        <w:t>, 46 Tax Mgmt. Int'l J. 94 (Bloomberg BNA Feb. 10, 2017).</w:t>
      </w:r>
    </w:p>
  </w:footnote>
  <w:footnote w:id="1236">
    <w:p w14:paraId="3F020AAD" w14:textId="77777777" w:rsidR="00494B49" w:rsidRDefault="00494B49">
      <w:pPr>
        <w:pStyle w:val="FootnoteText"/>
      </w:pPr>
      <w:r>
        <w:rPr>
          <w:rStyle w:val="FootnoteReference"/>
        </w:rPr>
        <w:footnoteRef/>
      </w:r>
      <w:r>
        <w:t xml:space="preserve">Although neither Reg. </w:t>
      </w:r>
      <w:smartTag w:uri="http://www.bna.com/sgml2word/cite" w:element="cite.cfr">
        <w:smartTagPr>
          <w:attr w:name="ref" w:val="cfr\26\1.6662-4(f)"/>
        </w:smartTagPr>
        <w:r>
          <w:t>§1.6662-4(f)</w:t>
        </w:r>
      </w:smartTag>
      <w:r>
        <w:t xml:space="preserve"> nor the instructions to </w:t>
      </w:r>
      <w:smartTag w:uri="http://www.bna.com/sgml2word/cite" w:element="cite.fed.form">
        <w:smartTagPr>
          <w:attr w:name="ref" w:val="irs\form8572-R"/>
        </w:smartTagPr>
        <w:r>
          <w:t>Form 8572-R</w:t>
        </w:r>
      </w:smartTag>
      <w:r>
        <w:t xml:space="preserve"> provide that treaty-based return positions disclosed on </w:t>
      </w:r>
      <w:smartTag w:uri="http://www.bna.com/sgml2word/cite" w:element="cite.fed.form">
        <w:smartTagPr>
          <w:attr w:name="ref" w:val="irs\form8833"/>
        </w:smartTagPr>
        <w:r>
          <w:t>Form 8833</w:t>
        </w:r>
      </w:smartTag>
      <w:r>
        <w:t xml:space="preserve"> are an exception from filing </w:t>
      </w:r>
      <w:smartTag w:uri="http://www.bna.com/sgml2word/cite" w:element="cite.fed.form">
        <w:smartTagPr>
          <w:attr w:name="ref" w:val="irs\form8572-R"/>
        </w:smartTagPr>
        <w:r>
          <w:t>Form 8572-R</w:t>
        </w:r>
      </w:smartTag>
      <w:r>
        <w:t xml:space="preserve">, it may be prudent to file </w:t>
      </w:r>
      <w:smartTag w:uri="http://www.bna.com/sgml2word/cite" w:element="cite.fed.form">
        <w:smartTagPr>
          <w:attr w:name="ref" w:val="irs\form8572-R"/>
        </w:smartTagPr>
        <w:r>
          <w:t>Form 8572-R</w:t>
        </w:r>
      </w:smartTag>
      <w:r>
        <w:t xml:space="preserve"> as well. The alternative argument against filing a </w:t>
      </w:r>
      <w:smartTag w:uri="http://www.bna.com/sgml2word/cite" w:element="cite.fed.form">
        <w:smartTagPr>
          <w:attr w:name="ref" w:val="irs\form8572-R"/>
        </w:smartTagPr>
        <w:r>
          <w:t>Form 8572-R</w:t>
        </w:r>
      </w:smartTag>
      <w:r>
        <w:t xml:space="preserve"> is that the treaty overrides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and thus the return position is not contrary to Reg. </w:t>
      </w:r>
      <w:smartTag w:uri="http://www.bna.com/sgml2word/cite" w:element="cite.cfr">
        <w:smartTagPr>
          <w:attr w:name="ref" w:val="cfr\26\1.1411-1(e)"/>
        </w:smartTagPr>
        <w:r>
          <w:t>§1.1411-1(e)</w:t>
        </w:r>
      </w:smartTag>
      <w:r>
        <w:t>.</w:t>
      </w:r>
    </w:p>
  </w:footnote>
  <w:footnote w:id="1237">
    <w:p w14:paraId="4C606803" w14:textId="77777777" w:rsidR="00494B49" w:rsidRDefault="00494B49">
      <w:pPr>
        <w:pStyle w:val="FootnoteText"/>
      </w:pPr>
      <w:r>
        <w:rPr>
          <w:rStyle w:val="FootnoteReference"/>
        </w:rPr>
        <w:footnoteRef/>
      </w:r>
      <w:hyperlink r:id="rId22" w:history="1">
        <w:r>
          <w:rPr>
            <w:rStyle w:val="Hyperlink"/>
            <w:i/>
          </w:rPr>
          <w:t>Treasury Releases Select Draft Provisions for Next U.S. Model Income Tax Treaty</w:t>
        </w:r>
        <w:r>
          <w:rPr>
            <w:rStyle w:val="Hyperlink"/>
          </w:rPr>
          <w:t xml:space="preserve"> (May 20, 2015)</w:t>
        </w:r>
      </w:hyperlink>
      <w:r>
        <w:t>. The 2016 U.S. Model Income Tax Treaty is available on the Bloomberg Tax website (International tab).</w:t>
      </w:r>
    </w:p>
  </w:footnote>
  <w:footnote w:id="1238">
    <w:p w14:paraId="29831AC6" w14:textId="77777777" w:rsidR="00494B49" w:rsidRDefault="00494B49">
      <w:pPr>
        <w:pStyle w:val="FootnoteText"/>
      </w:pPr>
      <w:r>
        <w:rPr>
          <w:rStyle w:val="FootnoteReference"/>
        </w:rPr>
        <w:footnoteRef/>
      </w:r>
      <w:r>
        <w:t xml:space="preserve">For example, compare the language in the </w:t>
      </w:r>
      <w:hyperlink r:id="rId23" w:history="1">
        <w:r>
          <w:rPr>
            <w:rStyle w:val="Hyperlink"/>
            <w:i/>
          </w:rPr>
          <w:t>Convention between the United States and the Republic of Poland for the Avoidance of Double Taxation and the Prevention of Fiscal Evasion with Respect to Taxes on Income</w:t>
        </w:r>
      </w:hyperlink>
      <w:r>
        <w:t xml:space="preserve"> with the language in the </w:t>
      </w:r>
      <w:hyperlink r:id="rId24" w:history="1">
        <w:r>
          <w:rPr>
            <w:rStyle w:val="Hyperlink"/>
            <w:i/>
          </w:rPr>
          <w:t>United States Model Income Tax Convention</w:t>
        </w:r>
      </w:hyperlink>
      <w:r>
        <w:t xml:space="preserve"> (2016) (“2016 U.S. Model Treaty”), which is also available on the Bloomberg Tax website (International tab).</w:t>
      </w:r>
    </w:p>
  </w:footnote>
  <w:footnote w:id="1239">
    <w:p w14:paraId="25A6F60C" w14:textId="77777777" w:rsidR="00494B49" w:rsidRDefault="00494B49">
      <w:pPr>
        <w:pStyle w:val="FootnoteText"/>
      </w:pPr>
      <w:r>
        <w:rPr>
          <w:rStyle w:val="FootnoteReference"/>
        </w:rPr>
        <w:footnoteRef/>
      </w:r>
      <w:r>
        <w:t xml:space="preserve">Compare, for example, the language in the </w:t>
      </w:r>
      <w:hyperlink r:id="rId25" w:history="1">
        <w:r>
          <w:rPr>
            <w:rStyle w:val="Hyperlink"/>
          </w:rPr>
          <w:t>2006 U.S. Model Treaty Technical Explanation</w:t>
        </w:r>
      </w:hyperlink>
      <w:r>
        <w:t xml:space="preserve"> with the technical explanation that accompanied the </w:t>
      </w:r>
      <w:hyperlink r:id="rId26" w:history="1">
        <w:r>
          <w:rPr>
            <w:rStyle w:val="Hyperlink"/>
            <w:i/>
          </w:rPr>
          <w:t>Convention between the United States and the Republic of Poland for the Avoidance of Double Taxation and the Prevention of Fiscal Evasion with Respect to Taxes on Income</w:t>
        </w:r>
        <w:r>
          <w:rPr>
            <w:rStyle w:val="Hyperlink"/>
          </w:rPr>
          <w:t xml:space="preserve"> (2016)</w:t>
        </w:r>
      </w:hyperlink>
      <w:r>
        <w:t>. The 2016 U.S. Model Treaty was not accompanied by a technical explanation.</w:t>
      </w:r>
    </w:p>
  </w:footnote>
  <w:footnote w:id="1240">
    <w:p w14:paraId="1139F537" w14:textId="77777777" w:rsidR="00494B49" w:rsidRDefault="00494B49">
      <w:pPr>
        <w:pStyle w:val="FootnoteText"/>
      </w:pPr>
      <w:r>
        <w:rPr>
          <w:rStyle w:val="FootnoteReference"/>
        </w:rPr>
        <w:footnoteRef/>
      </w:r>
      <w:r>
        <w:t xml:space="preserve">The U.S. Model Treaty, based on the OECD model, covers taxes on total income, or on elements of income, and includes tax on gains derived from the alienation of property. It does not apply to social security charges, or any other charges for which there is a direct connection between the levy and individual benefits. Nor does it apply to property taxes, except with respect to Article 24 (Non-Discrimination). </w:t>
      </w:r>
      <w:r>
        <w:rPr>
          <w:i/>
        </w:rPr>
        <w:t>See</w:t>
      </w:r>
      <w:r>
        <w:t xml:space="preserve"> 2006 U.S. Model Treaty Technical Explanation, art. 2. </w:t>
      </w:r>
    </w:p>
  </w:footnote>
  <w:footnote w:id="1241">
    <w:p w14:paraId="77810410" w14:textId="77777777" w:rsidR="00494B49" w:rsidRDefault="00494B49">
      <w:pPr>
        <w:pStyle w:val="FootnoteText"/>
      </w:pPr>
      <w:r>
        <w:rPr>
          <w:rStyle w:val="FootnoteReference"/>
        </w:rPr>
        <w:footnoteRef/>
      </w:r>
      <w:r>
        <w:t>As noted above, the 2016 U.S. Model Treaty was not accompanied by a technical explanation.</w:t>
      </w:r>
    </w:p>
  </w:footnote>
  <w:footnote w:id="1242">
    <w:p w14:paraId="2B85C5C9" w14:textId="77777777" w:rsidR="00494B49" w:rsidRDefault="00494B49">
      <w:pPr>
        <w:pStyle w:val="FootnoteText"/>
      </w:pPr>
      <w:r>
        <w:rPr>
          <w:rStyle w:val="FootnoteReference"/>
        </w:rPr>
        <w:footnoteRef/>
      </w:r>
      <w:r>
        <w:rPr>
          <w:i/>
        </w:rPr>
        <w:t>See</w:t>
      </w:r>
      <w:r>
        <w:t xml:space="preserve"> 2006 U.S. Model Treaty Technical Explanation, art. 2(3)(b).</w:t>
      </w:r>
    </w:p>
  </w:footnote>
  <w:footnote w:id="1243">
    <w:p w14:paraId="4601801E" w14:textId="77777777" w:rsidR="00494B49" w:rsidRDefault="00494B49">
      <w:pPr>
        <w:pStyle w:val="FootnoteText"/>
      </w:pPr>
      <w:r>
        <w:rPr>
          <w:rStyle w:val="FootnoteReference"/>
        </w:rPr>
        <w:footnoteRef/>
      </w:r>
      <w:r>
        <w:t xml:space="preserve">2016 U.S. Model Treaty, art. 23(2)(a); 2006 U.S. Model Treaty, art.23(2)(a). </w:t>
      </w:r>
    </w:p>
  </w:footnote>
  <w:footnote w:id="1244">
    <w:p w14:paraId="429CDF68" w14:textId="77777777" w:rsidR="00494B49" w:rsidRDefault="00494B49">
      <w:pPr>
        <w:pStyle w:val="FootnoteText"/>
      </w:pPr>
      <w:r>
        <w:rPr>
          <w:rStyle w:val="FootnoteReference"/>
        </w:rPr>
        <w:footnoteRef/>
      </w:r>
      <w:r>
        <w:t>2006 U.S. Model Treaty Technical Explanation.</w:t>
      </w:r>
    </w:p>
  </w:footnote>
  <w:footnote w:id="1245">
    <w:p w14:paraId="173370D3" w14:textId="77777777" w:rsidR="00494B49" w:rsidRDefault="00494B49">
      <w:pPr>
        <w:pStyle w:val="FootnoteText"/>
      </w:pPr>
      <w:r>
        <w:rPr>
          <w:rStyle w:val="FootnoteReference"/>
        </w:rPr>
        <w:footnoteRef/>
      </w:r>
      <w:r>
        <w:t>2016 U.S. Model Treaty, art. 24.</w:t>
      </w:r>
    </w:p>
  </w:footnote>
  <w:footnote w:id="1246">
    <w:p w14:paraId="2B7C128A" w14:textId="77777777" w:rsidR="00494B49" w:rsidRDefault="00494B49">
      <w:pPr>
        <w:pStyle w:val="FootnoteText"/>
      </w:pPr>
      <w:r>
        <w:rPr>
          <w:rStyle w:val="FootnoteReference"/>
        </w:rPr>
        <w:footnoteRef/>
      </w:r>
      <w:r>
        <w:rPr>
          <w:i/>
        </w:rPr>
        <w:t>See</w:t>
      </w:r>
      <w:r>
        <w:t xml:space="preserve"> 2006 U.S. Model Treaty Technical Explanation, art. 24.</w:t>
      </w:r>
    </w:p>
  </w:footnote>
  <w:footnote w:id="1247">
    <w:p w14:paraId="51E00156" w14:textId="77777777" w:rsidR="00494B49" w:rsidRDefault="00494B49">
      <w:pPr>
        <w:pStyle w:val="FootnoteText"/>
      </w:pPr>
      <w:r>
        <w:rPr>
          <w:rStyle w:val="FootnoteReference"/>
        </w:rPr>
        <w:footnoteRef/>
      </w:r>
      <w:r>
        <w:rPr>
          <w:i/>
        </w:rPr>
        <w:t>See</w:t>
      </w:r>
      <w:r>
        <w:t xml:space="preserve"> 2006 U.S. Model Treaty Technical Explanation, art. 24(1). </w:t>
      </w:r>
    </w:p>
  </w:footnote>
  <w:footnote w:id="1248">
    <w:p w14:paraId="19A02BD8" w14:textId="77777777" w:rsidR="00494B49" w:rsidRDefault="00494B49">
      <w:pPr>
        <w:pStyle w:val="FootnoteText"/>
      </w:pPr>
      <w:r>
        <w:rPr>
          <w:rStyle w:val="FootnoteReference"/>
        </w:rPr>
        <w:footnoteRef/>
      </w:r>
      <w:r>
        <w:rPr>
          <w:i/>
        </w:rPr>
        <w:t>See</w:t>
      </w:r>
      <w:r>
        <w:t xml:space="preserve"> 2006 U.S. Model Treaty Technical Explanation, art. 24.</w:t>
      </w:r>
    </w:p>
  </w:footnote>
  <w:footnote w:id="1249">
    <w:p w14:paraId="30BEAAA7" w14:textId="77777777" w:rsidR="00494B49" w:rsidRDefault="00494B49">
      <w:pPr>
        <w:pStyle w:val="FootnoteText"/>
      </w:pPr>
      <w:r>
        <w:rPr>
          <w:rStyle w:val="FootnoteReference"/>
        </w:rPr>
        <w:footnoteRef/>
      </w:r>
      <w:r>
        <w:t xml:space="preserve">Internal Revenue Code, as amended through December 31, 1953. </w:t>
      </w:r>
    </w:p>
  </w:footnote>
  <w:footnote w:id="1250">
    <w:p w14:paraId="1DA59074" w14:textId="77777777" w:rsidR="00494B49" w:rsidRDefault="00494B49">
      <w:pPr>
        <w:pStyle w:val="FootnoteText"/>
      </w:pPr>
      <w:r>
        <w:rPr>
          <w:rStyle w:val="FootnoteReference"/>
        </w:rPr>
        <w:footnoteRef/>
      </w:r>
      <w:r>
        <w:t>Convention Between the United States of America and the Kingdom of Greece for the Avoidance of Double Taxation and the Prevention of Fiscal Evasion with Respect to Taxes on Income (Entered into force on December 30, 1953), art. XIV(2).</w:t>
      </w:r>
    </w:p>
  </w:footnote>
  <w:footnote w:id="1251">
    <w:p w14:paraId="73A36610" w14:textId="77777777" w:rsidR="00494B49" w:rsidRDefault="00494B49">
      <w:pPr>
        <w:pStyle w:val="FootnoteText"/>
      </w:pPr>
      <w:r>
        <w:rPr>
          <w:rStyle w:val="FootnoteReference"/>
        </w:rPr>
        <w:footnoteRef/>
      </w:r>
      <w:smartTag w:uri="http://www.bna.com/sgml2word/cite" w:element="cite.usc">
        <w:smartTagPr>
          <w:attr w:name="ref" w:val="USC\26\131(a)(1)"/>
        </w:smartTagPr>
        <w:r>
          <w:t>§131(a)(1)</w:t>
        </w:r>
      </w:smartTag>
      <w:r>
        <w:t xml:space="preserve"> (1939).</w:t>
      </w:r>
    </w:p>
  </w:footnote>
  <w:footnote w:id="1252">
    <w:p w14:paraId="5E8F6F4B" w14:textId="77777777" w:rsidR="00494B49" w:rsidRDefault="00494B49">
      <w:pPr>
        <w:pStyle w:val="FootnoteText"/>
      </w:pPr>
      <w:r>
        <w:rPr>
          <w:rStyle w:val="FootnoteReference"/>
        </w:rPr>
        <w:footnoteRef/>
      </w:r>
      <w:smartTag w:uri="http://www.bna.com/sgml2word/cite" w:element="cite.usc">
        <w:smartTagPr>
          <w:attr w:name="ref" w:val="USC\26\131(a)(3)"/>
        </w:smartTagPr>
        <w:r>
          <w:t>§131(a)(3)</w:t>
        </w:r>
      </w:smartTag>
      <w:r>
        <w:t xml:space="preserve"> (1939).</w:t>
      </w:r>
    </w:p>
  </w:footnote>
  <w:footnote w:id="1253">
    <w:p w14:paraId="3FAD7746" w14:textId="77777777" w:rsidR="00494B49" w:rsidRDefault="00494B49">
      <w:pPr>
        <w:pStyle w:val="FootnoteText"/>
      </w:pPr>
      <w:r>
        <w:rPr>
          <w:rStyle w:val="FootnoteReference"/>
        </w:rPr>
        <w:footnoteRef/>
      </w:r>
      <w:smartTag w:uri="http://www.bna.com/sgml2word/cite" w:element="cite.usc">
        <w:smartTagPr>
          <w:attr w:name="ref" w:val="USC\26\131(a)"/>
        </w:smartTagPr>
        <w:r>
          <w:t>§131(a)</w:t>
        </w:r>
      </w:smartTag>
      <w:r>
        <w:t xml:space="preserve"> (1939).</w:t>
      </w:r>
    </w:p>
  </w:footnote>
  <w:footnote w:id="1254">
    <w:p w14:paraId="7CC588E6" w14:textId="77777777" w:rsidR="00494B49" w:rsidRDefault="00494B49">
      <w:pPr>
        <w:pStyle w:val="FootnoteText"/>
      </w:pPr>
      <w:r>
        <w:rPr>
          <w:rStyle w:val="FootnoteReference"/>
        </w:rPr>
        <w:footnoteRef/>
      </w:r>
      <w:r>
        <w:t>As a complementary issue, would two Form 1116s be required — one for regular income tax, and one for the NIIT that uses the Greek taxes on the rental income in excess of the amount allowed for regular tax? Or would the two systems be combined?</w:t>
      </w:r>
    </w:p>
  </w:footnote>
  <w:footnote w:id="1255">
    <w:p w14:paraId="4121E2E7" w14:textId="77777777" w:rsidR="00494B49" w:rsidRDefault="00494B49">
      <w:pPr>
        <w:pStyle w:val="FootnoteText"/>
      </w:pPr>
      <w:r>
        <w:rPr>
          <w:rStyle w:val="FootnoteReference"/>
        </w:rPr>
        <w:footnoteRef/>
      </w:r>
      <w:smartTag w:uri="http://www.bna.com/sgml2word/cite" w:element="cite.usc">
        <w:smartTagPr>
          <w:attr w:name="ref" w:val="USC\26\861(a)(1)"/>
        </w:smartTagPr>
        <w:r>
          <w:t>§861(a)(1)</w:t>
        </w:r>
      </w:smartTag>
      <w:r>
        <w:t xml:space="preserve">, </w:t>
      </w:r>
      <w:smartTag w:uri="http://www.bna.com/sgml2word/cite" w:element="cite.usc">
        <w:smartTagPr>
          <w:attr w:name="ref" w:val="USC\26\862(a)(1)"/>
        </w:smartTagPr>
        <w:r>
          <w:t>§862(a)(1)</w:t>
        </w:r>
      </w:smartTag>
      <w:r>
        <w:t>.</w:t>
      </w:r>
    </w:p>
  </w:footnote>
  <w:footnote w:id="1256">
    <w:p w14:paraId="4C0AA1CB" w14:textId="77777777" w:rsidR="00494B49" w:rsidRDefault="00494B49">
      <w:pPr>
        <w:pStyle w:val="FootnoteText"/>
      </w:pPr>
      <w:r>
        <w:rPr>
          <w:rStyle w:val="FootnoteReference"/>
        </w:rPr>
        <w:footnoteRef/>
      </w:r>
      <w:smartTag w:uri="http://www.bna.com/sgml2word/cite" w:element="cite.usc">
        <w:smartTagPr>
          <w:attr w:name="ref" w:val="USC\26\861(a)(2)"/>
        </w:smartTagPr>
        <w:r>
          <w:t>§861(a)(2)</w:t>
        </w:r>
      </w:smartTag>
      <w:r>
        <w:t xml:space="preserve">, </w:t>
      </w:r>
      <w:smartTag w:uri="http://www.bna.com/sgml2word/cite" w:element="cite.usc">
        <w:smartTagPr>
          <w:attr w:name="ref" w:val="USC\26\862(a)(2)"/>
        </w:smartTagPr>
        <w:r>
          <w:t>§862(a)(2)</w:t>
        </w:r>
      </w:smartTag>
      <w:r>
        <w:t>.</w:t>
      </w:r>
    </w:p>
  </w:footnote>
  <w:footnote w:id="1257">
    <w:p w14:paraId="4EEDB579" w14:textId="77777777" w:rsidR="00494B49" w:rsidRDefault="00494B49">
      <w:pPr>
        <w:pStyle w:val="FootnoteText"/>
      </w:pPr>
      <w:r>
        <w:rPr>
          <w:rStyle w:val="FootnoteReference"/>
        </w:rPr>
        <w:footnoteRef/>
      </w:r>
      <w:smartTag w:uri="http://www.bna.com/sgml2word/cite" w:element="cite.usc">
        <w:smartTagPr>
          <w:attr w:name="ref" w:val="USC\26\861(a)(4)"/>
        </w:smartTagPr>
        <w:r>
          <w:t>§861(a)(4)</w:t>
        </w:r>
      </w:smartTag>
      <w:r>
        <w:t xml:space="preserve">, </w:t>
      </w:r>
      <w:smartTag w:uri="http://www.bna.com/sgml2word/cite" w:element="cite.usc">
        <w:smartTagPr>
          <w:attr w:name="ref" w:val="USC\26\862(a)(4)"/>
        </w:smartTagPr>
        <w:r>
          <w:t>§862(a)(4)</w:t>
        </w:r>
      </w:smartTag>
      <w:r>
        <w:t>.</w:t>
      </w:r>
    </w:p>
  </w:footnote>
  <w:footnote w:id="1258">
    <w:p w14:paraId="1057BCCD" w14:textId="77777777" w:rsidR="00494B49" w:rsidRDefault="00494B49">
      <w:pPr>
        <w:pStyle w:val="FootnoteText"/>
      </w:pPr>
      <w:r>
        <w:rPr>
          <w:rStyle w:val="FootnoteReference"/>
        </w:rPr>
        <w:footnoteRef/>
      </w:r>
      <w:smartTag w:uri="http://www.bna.com/sgml2word/cite" w:element="cite.usc">
        <w:smartTagPr>
          <w:attr w:name="ref" w:val="USC\26\861(a)(3)"/>
        </w:smartTagPr>
        <w:r>
          <w:t>§861(a)(3)</w:t>
        </w:r>
      </w:smartTag>
      <w:r>
        <w:t xml:space="preserve">, </w:t>
      </w:r>
      <w:smartTag w:uri="http://www.bna.com/sgml2word/cite" w:element="cite.usc">
        <w:smartTagPr>
          <w:attr w:name="ref" w:val="USC\26\862(a)(3)"/>
        </w:smartTagPr>
        <w:r>
          <w:t>§862(a)(3)</w:t>
        </w:r>
      </w:smartTag>
      <w:r>
        <w:t>.</w:t>
      </w:r>
    </w:p>
  </w:footnote>
  <w:footnote w:id="1259">
    <w:p w14:paraId="10F2AFC9" w14:textId="77777777" w:rsidR="00494B49" w:rsidRDefault="00494B49">
      <w:pPr>
        <w:pStyle w:val="FootnoteText"/>
      </w:pPr>
      <w:r>
        <w:rPr>
          <w:rStyle w:val="FootnoteReference"/>
        </w:rPr>
        <w:footnoteRef/>
      </w:r>
      <w:r>
        <w:t>Each of these examples assumes that the taxpayer’s foreign taxes paid are greater than the taxpayer’s effective U.S. income tax rate such that the taxpayer has excess foreign tax credits.</w:t>
      </w:r>
    </w:p>
  </w:footnote>
  <w:footnote w:id="1260">
    <w:p w14:paraId="494E650C" w14:textId="77777777" w:rsidR="00494B49" w:rsidRDefault="00494B49">
      <w:pPr>
        <w:pStyle w:val="FootnoteText"/>
      </w:pPr>
      <w:r>
        <w:rPr>
          <w:rStyle w:val="FootnoteReference"/>
        </w:rPr>
        <w:footnoteRef/>
      </w:r>
      <w:r>
        <w:t>$17,000 is the lesser of (a) net investment income ($17,000) or (b) MAGI over $200,000 ($227,000 – $200,000 = $27,000).</w:t>
      </w:r>
    </w:p>
  </w:footnote>
  <w:footnote w:id="1261">
    <w:p w14:paraId="5F874B95" w14:textId="77777777" w:rsidR="00494B49" w:rsidRDefault="00494B49">
      <w:pPr>
        <w:pStyle w:val="FootnoteText"/>
      </w:pPr>
      <w:r>
        <w:rPr>
          <w:rStyle w:val="FootnoteReference"/>
        </w:rPr>
        <w:footnoteRef/>
      </w:r>
      <w:r>
        <w:t>$12,000 Greek rental income out of a total $17,000 net investment income.</w:t>
      </w:r>
    </w:p>
  </w:footnote>
  <w:footnote w:id="1262">
    <w:p w14:paraId="646B853E" w14:textId="77777777" w:rsidR="00494B49" w:rsidRDefault="00494B49">
      <w:pPr>
        <w:pStyle w:val="FootnoteText"/>
      </w:pPr>
      <w:r>
        <w:rPr>
          <w:rStyle w:val="FootnoteReference"/>
        </w:rPr>
        <w:footnoteRef/>
      </w:r>
      <w:r>
        <w:t>$7,000 is the lesser of (a) net investment income ($207,000) or (b) MAGI over $200,000 ($207,000 – $200,000 = $7,000).</w:t>
      </w:r>
    </w:p>
  </w:footnote>
  <w:footnote w:id="1263">
    <w:p w14:paraId="0BE38DDE" w14:textId="77777777" w:rsidR="00494B49" w:rsidRDefault="00494B49">
      <w:pPr>
        <w:pStyle w:val="FootnoteText"/>
      </w:pPr>
      <w:r>
        <w:rPr>
          <w:rStyle w:val="FootnoteReference"/>
        </w:rPr>
        <w:footnoteRef/>
      </w:r>
      <w:r>
        <w:t>$7,000 is the lesser of (a) net investment income ($17,000) or (b) MAGI over $200,000 ($207,000 – $200,000 = $7,000).</w:t>
      </w:r>
    </w:p>
  </w:footnote>
  <w:footnote w:id="1264">
    <w:p w14:paraId="33C6382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c)(1)(B)"/>
        </w:smartTagPr>
        <w:r>
          <w:t>§1411(c)(1)(B)</w:t>
        </w:r>
      </w:smartTag>
      <w:r>
        <w:t>.</w:t>
      </w:r>
    </w:p>
  </w:footnote>
  <w:footnote w:id="1265">
    <w:p w14:paraId="56659E2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a)(1)(A)"/>
        </w:smartTagPr>
        <w:r>
          <w:t>§1411(a)(1)(A)</w:t>
        </w:r>
      </w:smartTag>
      <w:r>
        <w:t>.</w:t>
      </w:r>
    </w:p>
  </w:footnote>
  <w:footnote w:id="1266">
    <w:p w14:paraId="1370A0B9" w14:textId="77777777" w:rsidR="00494B49" w:rsidRDefault="00494B49">
      <w:pPr>
        <w:pStyle w:val="FootnoteText"/>
      </w:pPr>
      <w:r>
        <w:rPr>
          <w:rStyle w:val="FootnoteReference"/>
        </w:rPr>
        <w:footnoteRef/>
      </w:r>
      <w:r>
        <w:t xml:space="preserve">On </w:t>
      </w:r>
      <w:smartTag w:uri="http://www.bna.com/sgml2word/cite" w:element="cite.fed.form">
        <w:smartTagPr>
          <w:attr w:name="ref" w:val="irs\form1041"/>
        </w:smartTagPr>
        <w:r>
          <w:t>Form 1041</w:t>
        </w:r>
      </w:smartTag>
      <w:r>
        <w:t>, foreign tax credits and the NIIT are reported on Schedule G.</w:t>
      </w:r>
    </w:p>
  </w:footnote>
  <w:footnote w:id="1267">
    <w:p w14:paraId="62D2A449" w14:textId="77777777" w:rsidR="00494B49" w:rsidRDefault="00494B49">
      <w:pPr>
        <w:pStyle w:val="FootnoteText"/>
      </w:pPr>
      <w:r>
        <w:rPr>
          <w:rStyle w:val="FootnoteReference"/>
        </w:rPr>
        <w:footnoteRef/>
      </w:r>
      <w:r>
        <w:t xml:space="preserve">This example references the 2018 version of </w:t>
      </w:r>
      <w:hyperlink r:id="rId27" w:history="1">
        <w:r>
          <w:rPr>
            <w:rStyle w:val="Hyperlink"/>
          </w:rPr>
          <w:t>Form 1040</w:t>
        </w:r>
      </w:hyperlink>
      <w:r>
        <w:t>, Schedule 2, Schedule 3, and Schedule 4.</w:t>
      </w:r>
    </w:p>
  </w:footnote>
  <w:footnote w:id="1268">
    <w:p w14:paraId="45F55E82" w14:textId="77777777" w:rsidR="00494B49" w:rsidRDefault="00494B49">
      <w:pPr>
        <w:pStyle w:val="FootnoteText"/>
      </w:pPr>
      <w:r>
        <w:rPr>
          <w:rStyle w:val="FootnoteReference"/>
        </w:rPr>
        <w:footnoteRef/>
      </w:r>
      <w:smartTag w:uri="http://www.bna.com/sgml2word/cite" w:element="cite.parallel">
        <w:smartTagPr>
          <w:attr w:name="ref" w:val="TC\157\No4"/>
        </w:smartTagPr>
        <w:r>
          <w:t>157 T.C. 49</w:t>
        </w:r>
      </w:smartTag>
      <w:r>
        <w:t xml:space="preserve"> (2021).</w:t>
      </w:r>
    </w:p>
  </w:footnote>
  <w:footnote w:id="1269">
    <w:p w14:paraId="713780D5" w14:textId="77777777" w:rsidR="00494B49" w:rsidRDefault="00494B49">
      <w:pPr>
        <w:pStyle w:val="FootnoteText"/>
      </w:pPr>
      <w:r>
        <w:rPr>
          <w:rStyle w:val="FootnoteReference"/>
        </w:rPr>
        <w:footnoteRef/>
      </w:r>
      <w:r>
        <w:t>She did not transfer the $11,540 NIIT shown on Form 8960, Line 17, to Form 1040, Line 60.</w:t>
      </w:r>
    </w:p>
  </w:footnote>
  <w:footnote w:id="1270">
    <w:p w14:paraId="795662E3" w14:textId="77777777" w:rsidR="00494B49" w:rsidRDefault="00494B49">
      <w:pPr>
        <w:pStyle w:val="FootnoteText"/>
      </w:pPr>
      <w:r>
        <w:rPr>
          <w:rStyle w:val="FootnoteReference"/>
        </w:rPr>
        <w:footnoteRef/>
      </w:r>
      <w:smartTag w:uri="http://www.bna.com/sgml2word/cite" w:element="cite.parallel">
        <w:smartTagPr>
          <w:attr w:name="ref" w:val="TC\85\376"/>
        </w:smartTagPr>
        <w:r>
          <w:t>85 T.C. 376</w:t>
        </w:r>
      </w:smartTag>
      <w:r>
        <w:t xml:space="preserve"> (1985).</w:t>
      </w:r>
    </w:p>
  </w:footnote>
  <w:footnote w:id="1271">
    <w:p w14:paraId="021C93E2" w14:textId="77777777" w:rsidR="00494B49" w:rsidRDefault="00494B49">
      <w:pPr>
        <w:pStyle w:val="FootnoteText"/>
      </w:pPr>
      <w:r>
        <w:rPr>
          <w:rStyle w:val="FootnoteReference"/>
        </w:rPr>
        <w:footnoteRef/>
      </w:r>
      <w:r>
        <w:t>168 Fed. Cl. 263 (Fed. Cl. 2023).</w:t>
      </w:r>
    </w:p>
  </w:footnote>
  <w:footnote w:id="1272">
    <w:p w14:paraId="1D61EA7E" w14:textId="77777777" w:rsidR="00494B49" w:rsidRDefault="00494B49">
      <w:pPr>
        <w:pStyle w:val="FootnoteText"/>
      </w:pPr>
      <w:r>
        <w:rPr>
          <w:rStyle w:val="FootnoteReference"/>
        </w:rPr>
        <w:footnoteRef/>
      </w:r>
      <w:r>
        <w:t xml:space="preserve">Like the Court of Federal Claims, the Tax Court concluded in </w:t>
      </w:r>
      <w:smartTag w:uri="http://www.bna.com/sgml2word/cite" w:element="cite.parallel">
        <w:smartTagPr>
          <w:attr w:name="ref" w:val="TC\157\No4"/>
        </w:smartTagPr>
        <w:r>
          <w:rPr>
            <w:i/>
          </w:rPr>
          <w:t>Toulouse v. Commissioner</w:t>
        </w:r>
      </w:smartTag>
      <w:r>
        <w:t xml:space="preserve"> that Article 24(2)(a) of the Treaty and Article 23(2)(a) of the U.S.-Italy income tax treaty do not permit U.S. citizens living abroad to use FTCs to offset </w:t>
      </w:r>
      <w:smartTag w:uri="http://www.bna.com/sgml2word/cite" w:element="cite.usc">
        <w:smartTagPr>
          <w:attr w:name="ref" w:val="USC\26\1411"/>
        </w:smartTagPr>
        <w:r>
          <w:t>§1411</w:t>
        </w:r>
      </w:smartTag>
      <w:r>
        <w:t xml:space="preserve"> NIIT. The Tax Court rejected Toulouse's contention that the Code "is silent as to whether there is a FTC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Toulouse did not consider application of Article 24(2)(b) of the Treaty (or any other provision) because the petitioner did not argue that she was entitled to relief under that provision. Accordingly, Christensen remains consistent with </w:t>
      </w:r>
      <w:r>
        <w:rPr>
          <w:i/>
        </w:rPr>
        <w:t>Toulouse</w:t>
      </w:r>
      <w:r>
        <w:t>.</w:t>
      </w:r>
    </w:p>
  </w:footnote>
  <w:footnote w:id="1273">
    <w:p w14:paraId="506DAFC1" w14:textId="77777777" w:rsidR="00494B49" w:rsidRDefault="00494B49">
      <w:pPr>
        <w:pStyle w:val="FootnoteText"/>
      </w:pPr>
      <w:r>
        <w:rPr>
          <w:rStyle w:val="FootnoteReference"/>
        </w:rPr>
        <w:footnoteRef/>
      </w:r>
      <w:r>
        <w:t>The opinion notes that the Christensens did not attempt to apply the three-bite rule in its entirety to claim a credit against their U.S. Chapter 1 income tax for French income tax that may have applied to certain amounts of their U.S.-source income (taking into account the first bite by the U.S.), or to re-source that U.S.-source income as needed to utilize the credit for French income tax under the three-bite rule. Accordingly, the application of Article 24(2)(b) in this case appears to be a standalone application of the provision outside of the entire three-bite rule.</w:t>
      </w:r>
    </w:p>
  </w:footnote>
  <w:footnote w:id="1274">
    <w:p w14:paraId="1AFC50A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1275">
    <w:p w14:paraId="5CAE48A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ECI.</w:t>
      </w:r>
    </w:p>
  </w:footnote>
  <w:footnote w:id="1276">
    <w:p w14:paraId="25269E9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FDAP.</w:t>
      </w:r>
    </w:p>
  </w:footnote>
  <w:footnote w:id="1277">
    <w:p w14:paraId="559ED1DC" w14:textId="77777777" w:rsidR="00494B49" w:rsidRDefault="00494B49">
      <w:pPr>
        <w:pStyle w:val="FootnoteText"/>
      </w:pPr>
      <w:r>
        <w:rPr>
          <w:rStyle w:val="FootnoteReference"/>
        </w:rPr>
        <w:footnoteRef/>
      </w:r>
      <w:r>
        <w:t xml:space="preserve">The NIIT should be reported on a Form </w:t>
      </w:r>
      <w:smartTag w:uri="http://www.bna.com/sgml2word/cite" w:element="cite.fed.form">
        <w:smartTagPr>
          <w:attr w:name="ref" w:val="irs\form1040-NR"/>
        </w:smartTagPr>
        <w:r>
          <w:t>1040-NR</w:t>
        </w:r>
      </w:smartTag>
      <w:r>
        <w:t xml:space="preserve"> in only one case, that is, when a dual resident individual terminates residence during the year and is required to file a </w:t>
      </w:r>
      <w:smartTag w:uri="http://www.bna.com/sgml2word/cite" w:element="cite.fed.form">
        <w:smartTagPr>
          <w:attr w:name="ref" w:val="irs\form1040-NR"/>
        </w:smartTagPr>
        <w:r>
          <w:t>Form 1040-NR</w:t>
        </w:r>
      </w:smartTag>
      <w:r>
        <w:t xml:space="preserve"> in his final year where the period of residency includes the NIIT. </w:t>
      </w:r>
      <w:r>
        <w:rPr>
          <w:i/>
        </w:rPr>
        <w:t>See</w:t>
      </w:r>
      <w:r>
        <w:t xml:space="preserve"> </w:t>
      </w:r>
      <w:hyperlink r:id="rId28" w:history="1">
        <w:r>
          <w:rPr>
            <w:rStyle w:val="Hyperlink"/>
          </w:rPr>
          <w:t>Instructions for Form 1040-NR</w:t>
        </w:r>
      </w:hyperlink>
      <w:r>
        <w:t xml:space="preserve">, </w:t>
      </w:r>
      <w:r>
        <w:rPr>
          <w:i/>
        </w:rPr>
        <w:t>U.S. Nonresident Alien Income Tax Return</w:t>
      </w:r>
      <w:r>
        <w:t>.</w:t>
      </w:r>
    </w:p>
  </w:footnote>
  <w:footnote w:id="1278">
    <w:p w14:paraId="48E5B7F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1279">
    <w:p w14:paraId="2FCE7C4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w:t>
      </w:r>
    </w:p>
  </w:footnote>
  <w:footnote w:id="1280">
    <w:p w14:paraId="1F82A6EE" w14:textId="77777777" w:rsidR="00494B49" w:rsidRDefault="00494B49">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281">
    <w:p w14:paraId="724ACAF4" w14:textId="77777777" w:rsidR="00494B49" w:rsidRDefault="00494B49">
      <w:pPr>
        <w:pStyle w:val="FootnoteText"/>
      </w:pPr>
      <w:r>
        <w:rPr>
          <w:rStyle w:val="FootnoteReference"/>
        </w:rPr>
        <w:footnoteRef/>
      </w:r>
      <w:r>
        <w:t>United States Model Income Tax Convention (2016), art. 4 — Resident.</w:t>
      </w:r>
    </w:p>
  </w:footnote>
  <w:footnote w:id="1282">
    <w:p w14:paraId="3A58F252"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943"/>
        </w:smartTagPr>
        <w:r>
          <w:t>943 T.M.</w:t>
        </w:r>
      </w:smartTag>
      <w:r>
        <w:t xml:space="preserve">, </w:t>
      </w:r>
      <w:r>
        <w:rPr>
          <w:i/>
        </w:rPr>
        <w:t>U.S. Income Tax Treaties — Provisions Relating Only to Individuals</w:t>
      </w:r>
      <w:r>
        <w:t xml:space="preserve"> (Foreign Income Series), for a detailed analysis of the residency treaty tiebreaker rules.</w:t>
      </w:r>
    </w:p>
  </w:footnote>
  <w:footnote w:id="1283">
    <w:p w14:paraId="0154FB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1284">
    <w:p w14:paraId="342FCB3C" w14:textId="77777777" w:rsidR="00494B49" w:rsidRDefault="00494B49">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1285">
    <w:p w14:paraId="2894886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1286">
    <w:p w14:paraId="6541A0F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The one exception to the general rule pertains to excess distributions from </w:t>
      </w:r>
      <w:smartTag w:uri="http://www.bna.com/sgml2word/cite" w:element="cite.usc">
        <w:smartTagPr>
          <w:attr w:name="ref" w:val="USC\26\1291"/>
        </w:smartTagPr>
        <w:r>
          <w:t>§1291</w:t>
        </w:r>
      </w:smartTag>
      <w:r>
        <w:t xml:space="preserve"> Funds and distributions from Controlled Foreign Corporations and Qualified Electing Funds that are not covered by a Reg. </w:t>
      </w:r>
      <w:smartTag w:uri="http://www.bna.com/sgml2word/cite" w:element="cite.cfr">
        <w:smartTagPr>
          <w:attr w:name="ref" w:val="cfr\26\1.1411-10(g)"/>
        </w:smartTagPr>
        <w:r>
          <w:t>§1.1411-10(g)</w:t>
        </w:r>
      </w:smartTag>
      <w:r>
        <w:t xml:space="preserve"> election. </w:t>
      </w:r>
    </w:p>
  </w:footnote>
  <w:footnote w:id="1287">
    <w:p w14:paraId="21C8CEC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§1.1411-1(d)(4)(i)</w:t>
        </w:r>
      </w:smartTag>
      <w:r>
        <w:t xml:space="preserve"> (reference to gain excluded by </w:t>
      </w:r>
      <w:smartTag w:uri="http://www.bna.com/sgml2word/cite" w:element="cite.usc">
        <w:smartTagPr>
          <w:attr w:name="ref" w:val="USC\26\121"/>
        </w:smartTagPr>
        <w:r>
          <w:t>§121</w:t>
        </w:r>
      </w:smartTag>
      <w:r>
        <w:t>).</w:t>
      </w:r>
    </w:p>
  </w:footnote>
  <w:footnote w:id="1288">
    <w:p w14:paraId="2FB17C84" w14:textId="77777777" w:rsidR="00494B49" w:rsidRDefault="00494B49">
      <w:pPr>
        <w:pStyle w:val="FootnoteText"/>
      </w:pPr>
      <w:r>
        <w:rPr>
          <w:rStyle w:val="FootnoteReference"/>
        </w:rPr>
        <w:footnoteRef/>
      </w:r>
      <w:r>
        <w:rPr>
          <w:i/>
        </w:rPr>
        <w:t>See</w:t>
      </w:r>
      <w:r>
        <w:t xml:space="preserve"> United States Model Income Tax Convention (2016) (“2016 U.S. Model Treaty”), art. 1(4). </w:t>
      </w:r>
    </w:p>
  </w:footnote>
  <w:footnote w:id="1289">
    <w:p w14:paraId="47028DB9" w14:textId="77777777" w:rsidR="00494B49" w:rsidRDefault="00494B49">
      <w:pPr>
        <w:pStyle w:val="FootnoteText"/>
      </w:pPr>
      <w:r>
        <w:rPr>
          <w:rStyle w:val="FootnoteReference"/>
        </w:rPr>
        <w:footnoteRef/>
      </w:r>
      <w:r>
        <w:t>2016 U.S. Model Treaty, art. 1(5); art. 17(1)(b).</w:t>
      </w:r>
    </w:p>
  </w:footnote>
  <w:footnote w:id="1290">
    <w:p w14:paraId="4803CDC5"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§1.1411-1(d)(4)(i)</w:t>
        </w:r>
      </w:smartTag>
      <w:r>
        <w:t xml:space="preserve"> (income excluded from gross income).</w:t>
      </w:r>
    </w:p>
  </w:footnote>
  <w:footnote w:id="1291">
    <w:p w14:paraId="54F9D70E" w14:textId="77777777" w:rsidR="00494B49" w:rsidRDefault="00494B49">
      <w:pPr>
        <w:pStyle w:val="FootnoteText"/>
      </w:pPr>
      <w:r>
        <w:rPr>
          <w:rStyle w:val="FootnoteReference"/>
        </w:rPr>
        <w:footnoteRef/>
      </w:r>
      <w:r>
        <w:t>This proposition may be academic. The author is not aware of any treaty provision that would apply to an individual and that specifically disallows deductions.</w:t>
      </w:r>
    </w:p>
  </w:footnote>
  <w:footnote w:id="1292">
    <w:p w14:paraId="0FBC21C9" w14:textId="77777777" w:rsidR="00494B49" w:rsidRDefault="00494B49">
      <w:pPr>
        <w:pStyle w:val="FootnoteText"/>
      </w:pPr>
      <w:r>
        <w:rPr>
          <w:rStyle w:val="FootnoteReference"/>
        </w:rPr>
        <w:footnoteRef/>
      </w:r>
      <w:r>
        <w:t xml:space="preserve">According to the blog </w:t>
      </w:r>
      <w:hyperlink r:id="rId29" w:history="1">
        <w:r>
          <w:rPr>
            <w:rStyle w:val="Hyperlink"/>
            <w:i/>
          </w:rPr>
          <w:t>Lost in Sant Cugat</w:t>
        </w:r>
      </w:hyperlink>
      <w:r>
        <w:t xml:space="preserve">, posted April 14, 2015, a Canadian taxpayer took the position that the NIIT did not apply under the U.S.-Canada Totalization Agreement. On initial assessment, the IRS denied this position. However, the taxpayer protested the denial and was relieved of imposition of the NIIT. The blog post notes that a number of returns claiming that the NIIT did not apply based on a Totalization Agreement “have been accepted — some have ‘slid’ through, and others have been denied, and were the subject of protest letters.” </w:t>
      </w:r>
    </w:p>
  </w:footnote>
  <w:footnote w:id="1293">
    <w:p w14:paraId="3F68CC80"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3121(h)"/>
        </w:smartTagPr>
        <w:r>
          <w:t>§3121(h)</w:t>
        </w:r>
      </w:smartTag>
      <w:r>
        <w:t xml:space="preserve">. </w:t>
      </w:r>
      <w:r>
        <w:rPr>
          <w:i/>
        </w:rPr>
        <w:t>See</w:t>
      </w:r>
      <w:r>
        <w:t xml:space="preserve"> </w:t>
      </w:r>
      <w:r>
        <w:rPr>
          <w:rStyle w:val="BCasenamefull"/>
        </w:rPr>
        <w:t>DAF Charters, LLC v. Commissioner</w:t>
      </w:r>
      <w:r>
        <w:t xml:space="preserve">, </w:t>
      </w:r>
      <w:smartTag w:uri="http://www.bna.com/sgml2word/cite" w:element="cite.parallel">
        <w:smartTagPr>
          <w:attr w:name="ref" w:val="TC\152\250"/>
        </w:smartTagPr>
        <w:r>
          <w:t>152 T.C. 250</w:t>
        </w:r>
      </w:smartTag>
      <w:r>
        <w:t xml:space="preserve"> (2019) (Florida limited liability company treated as a corporation for employment tax purposes was American employer under </w:t>
      </w:r>
      <w:smartTag w:uri="http://www.bna.com/sgml2word/cite" w:element="cite.usc">
        <w:smartTagPr>
          <w:attr w:name="ref" w:val="USC\26\3121(b)"/>
        </w:smartTagPr>
        <w:r>
          <w:t>§3121(h)</w:t>
        </w:r>
      </w:smartTag>
      <w:r>
        <w:t>).</w:t>
      </w:r>
    </w:p>
  </w:footnote>
  <w:footnote w:id="1294">
    <w:p w14:paraId="327A11FC" w14:textId="77777777" w:rsidR="00494B49" w:rsidRDefault="00494B49">
      <w:pPr>
        <w:pStyle w:val="FootnoteText"/>
      </w:pPr>
      <w:r>
        <w:rPr>
          <w:rStyle w:val="FootnoteReference"/>
        </w:rPr>
        <w:footnoteRef/>
      </w:r>
      <w:smartTag w:uri="http://www.bna.com/sgml2word/cite" w:element="cite.usc">
        <w:smartTagPr>
          <w:attr w:name="ref" w:val="USC\26\3121(b)"/>
        </w:smartTagPr>
        <w:r>
          <w:t>§3121(b)</w:t>
        </w:r>
      </w:smartTag>
      <w:r>
        <w:t>.</w:t>
      </w:r>
    </w:p>
  </w:footnote>
  <w:footnote w:id="1295">
    <w:p w14:paraId="1010AEF7" w14:textId="77777777" w:rsidR="00494B49" w:rsidRDefault="00494B49">
      <w:pPr>
        <w:pStyle w:val="FootnoteText"/>
      </w:pPr>
      <w:r>
        <w:rPr>
          <w:rStyle w:val="FootnoteReference"/>
        </w:rPr>
        <w:footnoteRef/>
      </w:r>
      <w:r>
        <w:t xml:space="preserve">Under </w:t>
      </w:r>
      <w:smartTag w:uri="http://www.bna.com/sgml2word/cite" w:element="cite.pl">
        <w:smartTagPr>
          <w:attr w:name="ref" w:val="PL\95-216\317(a)"/>
        </w:smartTagPr>
        <w:r>
          <w:t>Pub. L. No. 95-216, §317(a)</w:t>
        </w:r>
      </w:smartTag>
      <w:r>
        <w:t>, the President was given authority to enter into agreements establishing totalization arrangements between the social security system established by Title II of the Social Security Act and the social security system of any foreign country.</w:t>
      </w:r>
    </w:p>
  </w:footnote>
  <w:footnote w:id="1296">
    <w:p w14:paraId="6B14F8F8" w14:textId="77777777" w:rsidR="00494B49" w:rsidRDefault="00494B49">
      <w:pPr>
        <w:pStyle w:val="FootnoteText"/>
      </w:pPr>
      <w:r>
        <w:rPr>
          <w:rStyle w:val="FootnoteReference"/>
        </w:rPr>
        <w:footnoteRef/>
      </w:r>
      <w:smartTag w:uri="http://www.bna.com/sgml2word/cite" w:element="cite.pl">
        <w:smartTagPr>
          <w:attr w:name="ref" w:val="PL\95-216\317(c)(2)(B)"/>
        </w:smartTagPr>
        <w:r>
          <w:t>Pub. L. No. 95-216, §317(c)(2)(B)</w:t>
        </w:r>
      </w:smartTag>
      <w:r>
        <w:t>.</w:t>
      </w:r>
    </w:p>
  </w:footnote>
  <w:footnote w:id="1297">
    <w:p w14:paraId="1EA027A0" w14:textId="77777777" w:rsidR="00494B49" w:rsidRDefault="00494B49">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1401(c)"/>
        </w:smartTagPr>
        <w:r>
          <w:t>§1401(c)</w:t>
        </w:r>
      </w:smartTag>
      <w:r>
        <w:t>.</w:t>
      </w:r>
    </w:p>
  </w:footnote>
  <w:footnote w:id="1298">
    <w:p w14:paraId="011CDD66" w14:textId="77777777" w:rsidR="00494B49" w:rsidRDefault="00494B49">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3101"/>
        </w:smartTagPr>
        <w:r>
          <w:t>§3101</w:t>
        </w:r>
      </w:smartTag>
      <w:r>
        <w:t xml:space="preserve"> and </w:t>
      </w:r>
      <w:smartTag w:uri="http://www.bna.com/sgml2word/cite" w:element="cite.usc">
        <w:smartTagPr>
          <w:attr w:name="ref" w:val="USC\26\3111"/>
        </w:smartTagPr>
        <w:r>
          <w:t>§3111</w:t>
        </w:r>
      </w:smartTag>
      <w:r>
        <w:t>.</w:t>
      </w:r>
    </w:p>
  </w:footnote>
  <w:footnote w:id="1299">
    <w:p w14:paraId="4B665557" w14:textId="77777777" w:rsidR="00494B49" w:rsidRDefault="00494B49">
      <w:pPr>
        <w:pStyle w:val="FootnoteText"/>
      </w:pPr>
      <w:r>
        <w:rPr>
          <w:rStyle w:val="FootnoteReference"/>
        </w:rPr>
        <w:footnoteRef/>
      </w:r>
      <w:smartTag w:uri="http://www.bna.com/sgml2word/cite" w:element="cite.pl">
        <w:smartTagPr>
          <w:attr w:name="ref" w:val="PL\95-216\317(a)"/>
        </w:smartTagPr>
        <w:r>
          <w:t>Pub. L. No. 95-216, §317(a)</w:t>
        </w:r>
      </w:smartTag>
      <w:r>
        <w:t>.</w:t>
      </w:r>
    </w:p>
  </w:footnote>
  <w:footnote w:id="1300">
    <w:p w14:paraId="2FE4C8CB" w14:textId="77777777" w:rsidR="00494B49" w:rsidRDefault="00494B49">
      <w:pPr>
        <w:pStyle w:val="FootnoteText"/>
      </w:pPr>
      <w:r>
        <w:rPr>
          <w:rStyle w:val="FootnoteReference"/>
        </w:rPr>
        <w:footnoteRef/>
      </w:r>
      <w:r>
        <w:rPr>
          <w:i/>
        </w:rPr>
        <w:t>Compare</w:t>
      </w:r>
      <w:r>
        <w:t xml:space="preserve"> </w:t>
      </w:r>
      <w:smartTag w:uri="http://www.bna.com/sgml2word/cite" w:element="cite.usc">
        <w:smartTagPr>
          <w:attr w:name="ref" w:val="USC\26\1411"/>
        </w:smartTagPr>
        <w:r>
          <w:t>§1411</w:t>
        </w:r>
      </w:smartTag>
      <w:r>
        <w:t xml:space="preserve"> (entire statutory text) </w:t>
      </w:r>
      <w:r>
        <w:rPr>
          <w:i/>
        </w:rPr>
        <w:t>with</w:t>
      </w:r>
      <w:r>
        <w:t xml:space="preserve"> </w:t>
      </w:r>
      <w:smartTag w:uri="http://www.bna.com/sgml2word/cite" w:element="cite.usc">
        <w:smartTagPr>
          <w:attr w:name="ref" w:val="USC\26\1401(c)"/>
        </w:smartTagPr>
        <w:r>
          <w:t>§1401(c)</w:t>
        </w:r>
      </w:smartTag>
      <w:r>
        <w:t xml:space="preserve"> (self-employment taxes) and </w:t>
      </w:r>
      <w:smartTag w:uri="http://www.bna.com/sgml2word/cite" w:element="cite.usc">
        <w:smartTagPr>
          <w:attr w:name="ref" w:val="USC\26\3101(c)"/>
        </w:smartTagPr>
        <w:r>
          <w:t>§3101(c)</w:t>
        </w:r>
      </w:smartTag>
      <w:r>
        <w:t xml:space="preserve">, </w:t>
      </w:r>
      <w:smartTag w:uri="http://www.bna.com/sgml2word/cite" w:element="cite.usc">
        <w:smartTagPr>
          <w:attr w:name="ref" w:val="USC\26\3111(c)"/>
        </w:smartTagPr>
        <w:r>
          <w:t>§3111(c)</w:t>
        </w:r>
      </w:smartTag>
      <w:r>
        <w:t xml:space="preserve"> (Social Security and Medicare taxes imposed on the employee and employer). </w:t>
      </w:r>
    </w:p>
  </w:footnote>
  <w:footnote w:id="1301">
    <w:p w14:paraId="76F7DF0C" w14:textId="77777777" w:rsidR="00494B49" w:rsidRDefault="00494B49">
      <w:pPr>
        <w:pStyle w:val="FootnoteText"/>
      </w:pPr>
      <w:r>
        <w:rPr>
          <w:rStyle w:val="FootnoteReference"/>
        </w:rPr>
        <w:footnoteRef/>
      </w:r>
      <w:r>
        <w:rPr>
          <w:i/>
        </w:rPr>
        <w:t>But see</w:t>
      </w:r>
      <w:r>
        <w:t xml:space="preserve"> </w:t>
      </w:r>
      <w:r>
        <w:rPr>
          <w:i/>
        </w:rPr>
        <w:t>Kim v. United States</w:t>
      </w:r>
      <w:r>
        <w:t xml:space="preserve">, No. 5:22-cv-00691-SPG-SP, </w:t>
      </w:r>
      <w:smartTag w:uri="http://www.bna.com/sgml2word/cite" w:element="cite.parallel">
        <w:smartTagPr>
          <w:attr w:name="ref" w:val="BL\2023\104791"/>
        </w:smartTagPr>
        <w:r>
          <w:t>2023 BL 104791</w:t>
        </w:r>
      </w:smartTag>
      <w:r>
        <w:t xml:space="preserve"> (C.D. Cal. Mar. 28, 2023) (denying government's motion to dismiss because the argument Chapter 2A "supplements" Chapters 2 and 21 of the Code by expanding the scope of taxable income for Medicare funding is plausible).</w:t>
      </w:r>
    </w:p>
  </w:footnote>
  <w:footnote w:id="1302">
    <w:p w14:paraId="1E34BE41" w14:textId="77777777" w:rsidR="00494B49" w:rsidRDefault="00494B49">
      <w:pPr>
        <w:pStyle w:val="FootnoteText"/>
      </w:pPr>
      <w:r>
        <w:rPr>
          <w:rStyle w:val="FootnoteReference"/>
        </w:rPr>
        <w:footnoteRef/>
      </w:r>
      <w:smartTag w:uri="http://www.bna.com/sgml2word/cite" w:element="cite.usc">
        <w:smartTagPr>
          <w:attr w:name="ref" w:val="USC\26\1401(c)"/>
        </w:smartTagPr>
        <w:r>
          <w:t>Section 1401(c)</w:t>
        </w:r>
      </w:smartTag>
      <w:r>
        <w:t xml:space="preserve"> states, “[d]uring any period in which there is in effect an agreement entered into pursuant to section </w:t>
      </w:r>
      <w:smartTag w:uri="http://www.bna.com/sgml2word/cite" w:element="cite.pl">
        <w:smartTagPr>
          <w:attr w:name="ref" w:val="SSA\233"/>
        </w:smartTagPr>
        <w:r>
          <w:t>233</w:t>
        </w:r>
      </w:smartTag>
      <w:r>
        <w:t xml:space="preserve"> of the Social Security Act with any foreign country, the self-employment income of an individual shall be exempt from the taxes imposed by this section to the extent that such self-employment income is subject under such agreement exclusively to the laws applicable to the social security system of such foreign country.”</w:t>
      </w:r>
    </w:p>
  </w:footnote>
  <w:footnote w:id="1303">
    <w:p w14:paraId="687396DB" w14:textId="77777777" w:rsidR="00494B49" w:rsidRDefault="00494B49">
      <w:pPr>
        <w:pStyle w:val="FootnoteText"/>
      </w:pPr>
      <w:r>
        <w:rPr>
          <w:rStyle w:val="FootnoteReference"/>
        </w:rPr>
        <w:footnoteRef/>
      </w:r>
      <w:r>
        <w:t xml:space="preserve">Staff of the Joint Comm. on Tax’n, </w:t>
      </w:r>
      <w:r>
        <w:rPr>
          <w:i/>
        </w:rPr>
        <w:t>General Explanation of Tax Legislation Enacted in the 111th Congress</w:t>
      </w:r>
      <w:r>
        <w:t xml:space="preserve">, at 364 (JCS-2-11) (Mar. 24, 2011); </w:t>
      </w:r>
      <w:r>
        <w:rPr>
          <w:i/>
        </w:rPr>
        <w:t>see also</w:t>
      </w:r>
      <w:r>
        <w:t xml:space="preserve"> Staff of the Jt. Comm. on Tax’n, </w:t>
      </w:r>
      <w:r>
        <w:rPr>
          <w:i/>
        </w:rPr>
        <w:t>Description of the Social Security Tax Base</w:t>
      </w:r>
      <w:r>
        <w:t xml:space="preserve">, at 24 (JCX-36-11) (June 21, 2011). </w:t>
      </w:r>
    </w:p>
  </w:footnote>
  <w:footnote w:id="1304">
    <w:p w14:paraId="356F4832" w14:textId="77777777" w:rsidR="00494B49" w:rsidRDefault="00494B49">
      <w:pPr>
        <w:pStyle w:val="FootnoteText"/>
      </w:pPr>
      <w:r>
        <w:rPr>
          <w:rStyle w:val="FootnoteReference"/>
        </w:rPr>
        <w:footnoteRef/>
      </w:r>
      <w:smartTag w:uri="http://www.bna.com/sgml2word/cite" w:element="cite.pl">
        <w:smartTagPr>
          <w:attr w:name="ref" w:val="PL\111-148"/>
        </w:smartTagPr>
        <w:r>
          <w:t>Pub. L. No. 111-148</w:t>
        </w:r>
      </w:smartTag>
      <w:r>
        <w:t xml:space="preserve">, </w:t>
      </w:r>
      <w:smartTag w:uri="http://www.bna.com/sgml2word/cite" w:element="cite.pl">
        <w:smartTagPr>
          <w:attr w:name="ref" w:val="STAT\110\2033"/>
        </w:smartTagPr>
        <w:r>
          <w:t>110 Stat. 2033</w:t>
        </w:r>
      </w:smartTag>
      <w:r>
        <w:t xml:space="preserve"> (2010).</w:t>
      </w:r>
    </w:p>
  </w:footnote>
  <w:footnote w:id="1305">
    <w:p w14:paraId="09316A94" w14:textId="77777777" w:rsidR="00494B49" w:rsidRDefault="00494B49">
      <w:pPr>
        <w:pStyle w:val="FootnoteText"/>
      </w:pPr>
      <w:r>
        <w:rPr>
          <w:rStyle w:val="FootnoteReference"/>
        </w:rPr>
        <w:footnoteRef/>
      </w:r>
      <w:r>
        <w:rPr>
          <w:rStyle w:val="BCasenamefull"/>
        </w:rPr>
        <w:t>Pennhurst State Sch. &amp; Hosp. v. Halderman</w:t>
      </w:r>
      <w:r>
        <w:t xml:space="preserve">, </w:t>
      </w:r>
      <w:smartTag w:uri="http://www.bna.com/sgml2word/cite" w:element="cite.parallel">
        <w:smartTagPr>
          <w:attr w:name="ref" w:val="US\451\1"/>
        </w:smartTagPr>
        <w:r>
          <w:t>451 U.S. 1</w:t>
        </w:r>
      </w:smartTag>
      <w:r>
        <w:t xml:space="preserve">, n. 14 (1981) (citing </w:t>
      </w:r>
      <w:r>
        <w:rPr>
          <w:rStyle w:val="BCasenamefull"/>
        </w:rPr>
        <w:t>United States v. Or. &amp; Calif. R.R.</w:t>
      </w:r>
      <w:r>
        <w:t xml:space="preserve">, </w:t>
      </w:r>
      <w:smartTag w:uri="http://www.bna.com/sgml2word/cite" w:element="cite.parallel">
        <w:smartTagPr>
          <w:attr w:name="ref" w:val="US\164\526"/>
        </w:smartTagPr>
        <w:r>
          <w:t>164 U.S. 526</w:t>
        </w:r>
      </w:smartTag>
      <w:r>
        <w:t xml:space="preserve">, 541 (1896); </w:t>
      </w:r>
      <w:r>
        <w:rPr>
          <w:rStyle w:val="BCasenamefull"/>
        </w:rPr>
        <w:t>Cornell v. Coyne</w:t>
      </w:r>
      <w:r>
        <w:t xml:space="preserve">, </w:t>
      </w:r>
      <w:smartTag w:uri="http://www.bna.com/sgml2word/cite" w:element="cite.parallel">
        <w:smartTagPr>
          <w:attr w:name="ref" w:val="US\192\418"/>
        </w:smartTagPr>
        <w:r>
          <w:t>192 U.S. 418</w:t>
        </w:r>
      </w:smartTag>
      <w:r>
        <w:t xml:space="preserve">, 430 (1904).. </w:t>
      </w:r>
      <w:r>
        <w:rPr>
          <w:i/>
        </w:rPr>
        <w:t>See</w:t>
      </w:r>
      <w:r>
        <w:t xml:space="preserve"> </w:t>
      </w:r>
      <w:r>
        <w:rPr>
          <w:rStyle w:val="BCasenamefull"/>
        </w:rPr>
        <w:t>United States v. Fisher</w:t>
      </w:r>
      <w:r>
        <w:t xml:space="preserve">, 2 Cranch 358, </w:t>
      </w:r>
      <w:smartTag w:uri="http://www.bna.com/sgml2word/cite" w:element="cite.parallel">
        <w:smartTagPr>
          <w:attr w:name="ref" w:val="US\6\386"/>
        </w:smartTagPr>
        <w:r>
          <w:t>6 U.S. 386</w:t>
        </w:r>
      </w:smartTag>
      <w:r>
        <w:t xml:space="preserve"> (1805); </w:t>
      </w:r>
      <w:r>
        <w:rPr>
          <w:rStyle w:val="BCasenamefull"/>
        </w:rPr>
        <w:t xml:space="preserve">Yazoo &amp; Miss. Valley R.R. v. Thomas, </w:t>
      </w:r>
      <w:smartTag w:uri="http://www.bna.com/sgml2word/cite" w:element="cite.parallel">
        <w:smartTagPr>
          <w:attr w:name="ref" w:val="US\132\174"/>
        </w:smartTagPr>
        <w:r>
          <w:t>132 U.S. 174</w:t>
        </w:r>
      </w:smartTag>
      <w:r>
        <w:t>, 188 (1889)).</w:t>
      </w:r>
    </w:p>
  </w:footnote>
  <w:footnote w:id="1306">
    <w:p w14:paraId="47D25D06" w14:textId="77777777" w:rsidR="00494B49" w:rsidRDefault="00494B49">
      <w:pPr>
        <w:pStyle w:val="FootnoteText"/>
      </w:pPr>
      <w:r>
        <w:rPr>
          <w:rStyle w:val="FootnoteReference"/>
        </w:rPr>
        <w:footnoteRef/>
      </w:r>
      <w:r>
        <w:rPr>
          <w:rStyle w:val="BCasenamefull"/>
        </w:rPr>
        <w:t>INS v. Natl. Ctr. for Immigrants’ Rights, Inc</w:t>
      </w:r>
      <w:r>
        <w:t xml:space="preserve">., </w:t>
      </w:r>
      <w:smartTag w:uri="http://www.bna.com/sgml2word/cite" w:element="cite.parallel">
        <w:smartTagPr>
          <w:attr w:name="ref" w:val="US\502\183"/>
        </w:smartTagPr>
        <w:r>
          <w:t>502 U.S. 183</w:t>
        </w:r>
      </w:smartTag>
      <w:r>
        <w:t xml:space="preserve">, 189 (1991) (citing </w:t>
      </w:r>
      <w:r>
        <w:rPr>
          <w:rStyle w:val="BCasenamefull"/>
        </w:rPr>
        <w:t>Mead Corp. v. Tilley</w:t>
      </w:r>
      <w:r>
        <w:t xml:space="preserve">, </w:t>
      </w:r>
      <w:smartTag w:uri="http://www.bna.com/sgml2word/cite" w:element="cite.parallel">
        <w:smartTagPr>
          <w:attr w:name="ref" w:val="US\490\714"/>
        </w:smartTagPr>
        <w:r>
          <w:t>490 U.S. 714</w:t>
        </w:r>
      </w:smartTag>
      <w:r>
        <w:t xml:space="preserve">, 723 (1989); </w:t>
      </w:r>
      <w:r>
        <w:rPr>
          <w:rStyle w:val="BCasenamefull"/>
        </w:rPr>
        <w:t>FTC v. Mandel Bros., Inc.</w:t>
      </w:r>
      <w:r>
        <w:t xml:space="preserve">, </w:t>
      </w:r>
      <w:smartTag w:uri="http://www.bna.com/sgml2word/cite" w:element="cite.parallel">
        <w:smartTagPr>
          <w:attr w:name="ref" w:val="US\359\385"/>
        </w:smartTagPr>
        <w:r>
          <w:t>359 U.S. 385</w:t>
        </w:r>
      </w:smartTag>
      <w:r>
        <w:t>, 388–389 (1959)).</w:t>
      </w:r>
    </w:p>
  </w:footnote>
  <w:footnote w:id="1307">
    <w:p w14:paraId="6C477DED" w14:textId="77777777" w:rsidR="00494B49" w:rsidRDefault="00494B49">
      <w:pPr>
        <w:pStyle w:val="FootnoteText"/>
      </w:pPr>
      <w:r>
        <w:rPr>
          <w:rStyle w:val="FootnoteReference"/>
        </w:rPr>
        <w:footnoteRef/>
      </w:r>
      <w:r>
        <w:t>2 Cranch 358 (1805).</w:t>
      </w:r>
    </w:p>
  </w:footnote>
  <w:footnote w:id="1308">
    <w:p w14:paraId="0DB6E9A2" w14:textId="77777777" w:rsidR="00494B49" w:rsidRDefault="00494B49">
      <w:pPr>
        <w:pStyle w:val="FootnoteText"/>
      </w:pPr>
      <w:r>
        <w:rPr>
          <w:rStyle w:val="FootnoteReference"/>
        </w:rPr>
        <w:footnoteRef/>
      </w:r>
      <w:r>
        <w:t>2 Cranch 358, 386 (1805).</w:t>
      </w:r>
    </w:p>
  </w:footnote>
  <w:footnote w:id="1309">
    <w:p w14:paraId="3D2D9B22" w14:textId="77777777" w:rsidR="00494B49" w:rsidRDefault="00494B49">
      <w:pPr>
        <w:pStyle w:val="FootnoteText"/>
      </w:pPr>
      <w:r>
        <w:rPr>
          <w:rStyle w:val="FootnoteReference"/>
        </w:rPr>
        <w:footnoteRef/>
      </w:r>
      <w:r>
        <w:rPr>
          <w:rStyle w:val="BCasenamefull"/>
        </w:rPr>
        <w:t>Brotherhood of R.R. Trainmen v. Baltimore &amp; Ohio R.R.</w:t>
      </w:r>
      <w:r>
        <w:t xml:space="preserve">, </w:t>
      </w:r>
      <w:smartTag w:uri="http://www.bna.com/sgml2word/cite" w:element="cite.parallel">
        <w:smartTagPr>
          <w:attr w:name="ref" w:val="US\331\519"/>
        </w:smartTagPr>
        <w:r>
          <w:t>331 U.S. 519</w:t>
        </w:r>
      </w:smartTag>
      <w:r>
        <w:t>, 528 (1947).</w:t>
      </w:r>
    </w:p>
  </w:footnote>
  <w:footnote w:id="1310">
    <w:p w14:paraId="19A5326F" w14:textId="77777777" w:rsidR="00494B49" w:rsidRDefault="00494B49">
      <w:pPr>
        <w:pStyle w:val="FootnoteText"/>
      </w:pPr>
      <w:r>
        <w:rPr>
          <w:rStyle w:val="FootnoteReference"/>
        </w:rPr>
        <w:footnoteRef/>
      </w:r>
      <w:r>
        <w:rPr>
          <w:i/>
        </w:rPr>
        <w:t>Id.</w:t>
      </w:r>
      <w:r>
        <w:t xml:space="preserve"> at 529. </w:t>
      </w:r>
      <w:r>
        <w:rPr>
          <w:i/>
        </w:rPr>
        <w:t>See</w:t>
      </w:r>
      <w:r>
        <w:t xml:space="preserve"> Dorsey, Tobias, </w:t>
      </w:r>
      <w:r>
        <w:rPr>
          <w:i/>
        </w:rPr>
        <w:t>Statutory Construction and Interpretation: General Principles and Recent Trends; Statutory and Legislative Drafting Conventions; Drafting Federal Grants Statutes; and Tracking Current Federal Legislation and Regulations</w:t>
      </w:r>
      <w:r>
        <w:t>, TheCapitol.Net (2010).</w:t>
      </w:r>
    </w:p>
  </w:footnote>
  <w:footnote w:id="1311">
    <w:p w14:paraId="718C7FF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above, for summary of </w:t>
      </w:r>
      <w:r>
        <w:rPr>
          <w:rStyle w:val="BCasenamefull"/>
        </w:rPr>
        <w:t>Toulouse v. Commissioner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3"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784282">
    <w:abstractNumId w:val="30"/>
  </w:num>
  <w:num w:numId="2" w16cid:durableId="305667918">
    <w:abstractNumId w:val="27"/>
  </w:num>
  <w:num w:numId="3" w16cid:durableId="335351227">
    <w:abstractNumId w:val="2"/>
  </w:num>
  <w:num w:numId="4" w16cid:durableId="217253836">
    <w:abstractNumId w:val="6"/>
  </w:num>
  <w:num w:numId="5" w16cid:durableId="1615870072">
    <w:abstractNumId w:val="7"/>
  </w:num>
  <w:num w:numId="6" w16cid:durableId="1586957234">
    <w:abstractNumId w:val="5"/>
  </w:num>
  <w:num w:numId="7" w16cid:durableId="81530196">
    <w:abstractNumId w:val="15"/>
  </w:num>
  <w:num w:numId="8" w16cid:durableId="956254991">
    <w:abstractNumId w:val="28"/>
  </w:num>
  <w:num w:numId="9" w16cid:durableId="586497754">
    <w:abstractNumId w:val="21"/>
  </w:num>
  <w:num w:numId="10" w16cid:durableId="1656762167">
    <w:abstractNumId w:val="0"/>
  </w:num>
  <w:num w:numId="11" w16cid:durableId="1970087569">
    <w:abstractNumId w:val="8"/>
  </w:num>
  <w:num w:numId="12" w16cid:durableId="1592009689">
    <w:abstractNumId w:val="3"/>
  </w:num>
  <w:num w:numId="13" w16cid:durableId="1342046615">
    <w:abstractNumId w:val="26"/>
  </w:num>
  <w:num w:numId="14" w16cid:durableId="1355156428">
    <w:abstractNumId w:val="24"/>
  </w:num>
  <w:num w:numId="15" w16cid:durableId="478887605">
    <w:abstractNumId w:val="23"/>
  </w:num>
  <w:num w:numId="16" w16cid:durableId="636371921">
    <w:abstractNumId w:val="9"/>
  </w:num>
  <w:num w:numId="17" w16cid:durableId="1910536842">
    <w:abstractNumId w:val="29"/>
  </w:num>
  <w:num w:numId="18" w16cid:durableId="1638415382">
    <w:abstractNumId w:val="10"/>
  </w:num>
  <w:num w:numId="19" w16cid:durableId="2111847420">
    <w:abstractNumId w:val="18"/>
  </w:num>
  <w:num w:numId="20" w16cid:durableId="12390572">
    <w:abstractNumId w:val="12"/>
  </w:num>
  <w:num w:numId="21" w16cid:durableId="74131392">
    <w:abstractNumId w:val="14"/>
  </w:num>
  <w:num w:numId="22" w16cid:durableId="2019118662">
    <w:abstractNumId w:val="19"/>
  </w:num>
  <w:num w:numId="23" w16cid:durableId="2002927911">
    <w:abstractNumId w:val="20"/>
  </w:num>
  <w:num w:numId="24" w16cid:durableId="618535713">
    <w:abstractNumId w:val="11"/>
  </w:num>
  <w:num w:numId="25" w16cid:durableId="2090271624">
    <w:abstractNumId w:val="17"/>
  </w:num>
  <w:num w:numId="26" w16cid:durableId="1769035274">
    <w:abstractNumId w:val="22"/>
  </w:num>
  <w:num w:numId="27" w16cid:durableId="1620333639">
    <w:abstractNumId w:val="4"/>
  </w:num>
  <w:num w:numId="28" w16cid:durableId="929506922">
    <w:abstractNumId w:val="25"/>
  </w:num>
  <w:num w:numId="29" w16cid:durableId="2062438898">
    <w:abstractNumId w:val="1"/>
  </w:num>
  <w:num w:numId="30" w16cid:durableId="782269113">
    <w:abstractNumId w:val="16"/>
  </w:num>
  <w:num w:numId="31" w16cid:durableId="14469994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49"/>
    <w:rsid w:val="00047D78"/>
    <w:rsid w:val="00223A8D"/>
    <w:rsid w:val="00236EB9"/>
    <w:rsid w:val="002637DE"/>
    <w:rsid w:val="00331182"/>
    <w:rsid w:val="00494B49"/>
    <w:rsid w:val="004C0E04"/>
    <w:rsid w:val="004D4741"/>
    <w:rsid w:val="004D5B60"/>
    <w:rsid w:val="004F1258"/>
    <w:rsid w:val="00574256"/>
    <w:rsid w:val="00786C45"/>
    <w:rsid w:val="00887B4F"/>
    <w:rsid w:val="008A0B88"/>
    <w:rsid w:val="00921A9C"/>
    <w:rsid w:val="00965E39"/>
    <w:rsid w:val="009C5066"/>
    <w:rsid w:val="00A23CA4"/>
    <w:rsid w:val="00B017CA"/>
    <w:rsid w:val="00B275F0"/>
    <w:rsid w:val="00B5099F"/>
    <w:rsid w:val="00CD12AC"/>
    <w:rsid w:val="00D13D21"/>
    <w:rsid w:val="00D71071"/>
    <w:rsid w:val="00E51513"/>
    <w:rsid w:val="00EB4363"/>
    <w:rsid w:val="00F04F34"/>
    <w:rsid w:val="00F1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parallel"/>
  <w:smartTagType w:namespaceuri="http://www.bna.com/sgml2word/cite" w:name="cite.fr"/>
  <w:smartTagType w:namespaceuri="http://www.bna.com/sgml2word/cite" w:name="sticky1"/>
  <w:smartTagType w:namespaceuri="http://www.bna.com/sgml2word/cite" w:name="sticky.note"/>
  <w:smartTagType w:namespaceuri="http://www.bna.com/sgml2word/cite" w:name="cite.fed.form"/>
  <w:smartTagType w:namespaceuri="http://www.bna.com/sgml2word/cite" w:name="cite.agency.doc"/>
  <w:smartTagType w:namespaceuri="http://www.bna.com/sgml2word/cite" w:name="cite.cfr"/>
  <w:smartTagType w:namespaceuri="http://www.bna.com/sgml2word/cite" w:name="cite.bna.reference"/>
  <w:smartTagType w:namespaceuri="http://www.bna.com/sgml2word/cite" w:name="cite.usc"/>
  <w:smartTagType w:namespaceuri="http://www.bna.com/sgml2word/cite" w:name="cite.pl"/>
  <w:shapeDefaults>
    <o:shapedefaults v:ext="edit" spidmax="2050"/>
    <o:shapelayout v:ext="edit">
      <o:idmap v:ext="edit" data="2"/>
    </o:shapelayout>
  </w:shapeDefaults>
  <w:decimalSymbol w:val="."/>
  <w:listSeparator w:val=","/>
  <w14:docId w14:val="7B48B565"/>
  <w15:chartTrackingRefBased/>
  <w15:docId w15:val="{AFAF87E8-19D0-4964-B669-DB736009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9"/>
    <w:qFormat/>
    <w:rsid w:val="00494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iPriority w:val="9"/>
    <w:semiHidden/>
    <w:unhideWhenUsed/>
    <w:qFormat/>
    <w:rsid w:val="00494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iPriority w:val="9"/>
    <w:semiHidden/>
    <w:unhideWhenUsed/>
    <w:qFormat/>
    <w:rsid w:val="00494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iPriority w:val="9"/>
    <w:semiHidden/>
    <w:unhideWhenUsed/>
    <w:qFormat/>
    <w:rsid w:val="00494B49"/>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iPriority w:val="9"/>
    <w:semiHidden/>
    <w:unhideWhenUsed/>
    <w:qFormat/>
    <w:rsid w:val="00494B49"/>
    <w:pPr>
      <w:keepNext/>
      <w:keepLines/>
      <w:spacing w:before="80" w:after="40"/>
      <w:outlineLvl w:val="4"/>
    </w:pPr>
    <w:rPr>
      <w:rFonts w:eastAsiaTheme="majorEastAsia" w:cstheme="majorBidi"/>
      <w:color w:val="0F4761" w:themeColor="accent1" w:themeShade="BF"/>
    </w:rPr>
  </w:style>
  <w:style w:type="paragraph" w:styleId="Heading6">
    <w:name w:val="heading 6"/>
    <w:aliases w:val="h6"/>
    <w:basedOn w:val="Normal"/>
    <w:next w:val="Normal"/>
    <w:link w:val="Heading6Char"/>
    <w:uiPriority w:val="9"/>
    <w:semiHidden/>
    <w:unhideWhenUsed/>
    <w:qFormat/>
    <w:rsid w:val="00494B49"/>
    <w:pPr>
      <w:keepNext/>
      <w:keepLines/>
      <w:spacing w:before="40" w:after="0"/>
      <w:outlineLvl w:val="5"/>
    </w:pPr>
    <w:rPr>
      <w:rFonts w:eastAsiaTheme="majorEastAsia" w:cstheme="majorBidi"/>
      <w:i/>
      <w:iCs/>
      <w:color w:val="595959" w:themeColor="text1" w:themeTint="A6"/>
    </w:rPr>
  </w:style>
  <w:style w:type="paragraph" w:styleId="Heading7">
    <w:name w:val="heading 7"/>
    <w:aliases w:val="h7"/>
    <w:basedOn w:val="Normal"/>
    <w:next w:val="Normal"/>
    <w:link w:val="Heading7Char"/>
    <w:uiPriority w:val="9"/>
    <w:semiHidden/>
    <w:unhideWhenUsed/>
    <w:qFormat/>
    <w:rsid w:val="00494B49"/>
    <w:pPr>
      <w:keepNext/>
      <w:keepLines/>
      <w:spacing w:before="40" w:after="0"/>
      <w:outlineLvl w:val="6"/>
    </w:pPr>
    <w:rPr>
      <w:rFonts w:eastAsiaTheme="majorEastAsia" w:cstheme="majorBidi"/>
      <w:color w:val="595959" w:themeColor="text1" w:themeTint="A6"/>
    </w:rPr>
  </w:style>
  <w:style w:type="paragraph" w:styleId="Heading8">
    <w:name w:val="heading 8"/>
    <w:aliases w:val="h8"/>
    <w:basedOn w:val="Normal"/>
    <w:next w:val="Normal"/>
    <w:link w:val="Heading8Char"/>
    <w:uiPriority w:val="9"/>
    <w:semiHidden/>
    <w:unhideWhenUsed/>
    <w:qFormat/>
    <w:rsid w:val="00494B49"/>
    <w:pPr>
      <w:keepNext/>
      <w:keepLines/>
      <w:spacing w:after="0"/>
      <w:outlineLvl w:val="7"/>
    </w:pPr>
    <w:rPr>
      <w:rFonts w:eastAsiaTheme="majorEastAsia" w:cstheme="majorBidi"/>
      <w:i/>
      <w:iCs/>
      <w:color w:val="272727" w:themeColor="text1" w:themeTint="D8"/>
    </w:rPr>
  </w:style>
  <w:style w:type="paragraph" w:styleId="Heading9">
    <w:name w:val="heading 9"/>
    <w:aliases w:val="h9"/>
    <w:basedOn w:val="Normal"/>
    <w:next w:val="Normal"/>
    <w:link w:val="Heading9Char"/>
    <w:uiPriority w:val="9"/>
    <w:semiHidden/>
    <w:unhideWhenUsed/>
    <w:qFormat/>
    <w:rsid w:val="00494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94B4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
    <w:basedOn w:val="DefaultParagraphFont"/>
    <w:link w:val="Heading2"/>
    <w:uiPriority w:val="9"/>
    <w:semiHidden/>
    <w:rsid w:val="00494B4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
    <w:basedOn w:val="DefaultParagraphFont"/>
    <w:link w:val="Heading3"/>
    <w:uiPriority w:val="9"/>
    <w:semiHidden/>
    <w:rsid w:val="00494B49"/>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uiPriority w:val="9"/>
    <w:semiHidden/>
    <w:rsid w:val="00494B49"/>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uiPriority w:val="9"/>
    <w:semiHidden/>
    <w:rsid w:val="00494B49"/>
    <w:rPr>
      <w:rFonts w:eastAsiaTheme="majorEastAsia" w:cstheme="majorBidi"/>
      <w:color w:val="0F4761" w:themeColor="accent1" w:themeShade="BF"/>
    </w:rPr>
  </w:style>
  <w:style w:type="character" w:customStyle="1" w:styleId="Heading6Char">
    <w:name w:val="Heading 6 Char"/>
    <w:aliases w:val="h6 Char"/>
    <w:basedOn w:val="DefaultParagraphFont"/>
    <w:link w:val="Heading6"/>
    <w:uiPriority w:val="9"/>
    <w:semiHidden/>
    <w:rsid w:val="00494B49"/>
    <w:rPr>
      <w:rFonts w:eastAsiaTheme="majorEastAsia" w:cstheme="majorBidi"/>
      <w:i/>
      <w:iCs/>
      <w:color w:val="595959" w:themeColor="text1" w:themeTint="A6"/>
    </w:rPr>
  </w:style>
  <w:style w:type="character" w:customStyle="1" w:styleId="Heading7Char">
    <w:name w:val="Heading 7 Char"/>
    <w:aliases w:val="h7 Char"/>
    <w:basedOn w:val="DefaultParagraphFont"/>
    <w:link w:val="Heading7"/>
    <w:uiPriority w:val="9"/>
    <w:semiHidden/>
    <w:rsid w:val="00494B49"/>
    <w:rPr>
      <w:rFonts w:eastAsiaTheme="majorEastAsia" w:cstheme="majorBidi"/>
      <w:color w:val="595959" w:themeColor="text1" w:themeTint="A6"/>
    </w:rPr>
  </w:style>
  <w:style w:type="character" w:customStyle="1" w:styleId="Heading8Char">
    <w:name w:val="Heading 8 Char"/>
    <w:aliases w:val="h8 Char"/>
    <w:basedOn w:val="DefaultParagraphFont"/>
    <w:link w:val="Heading8"/>
    <w:uiPriority w:val="9"/>
    <w:semiHidden/>
    <w:rsid w:val="00494B49"/>
    <w:rPr>
      <w:rFonts w:eastAsiaTheme="majorEastAsia" w:cstheme="majorBidi"/>
      <w:i/>
      <w:iCs/>
      <w:color w:val="272727" w:themeColor="text1" w:themeTint="D8"/>
    </w:rPr>
  </w:style>
  <w:style w:type="character" w:customStyle="1" w:styleId="Heading9Char">
    <w:name w:val="Heading 9 Char"/>
    <w:aliases w:val="h9 Char"/>
    <w:basedOn w:val="DefaultParagraphFont"/>
    <w:link w:val="Heading9"/>
    <w:uiPriority w:val="9"/>
    <w:semiHidden/>
    <w:rsid w:val="00494B49"/>
    <w:rPr>
      <w:rFonts w:eastAsiaTheme="majorEastAsia" w:cstheme="majorBidi"/>
      <w:color w:val="272727" w:themeColor="text1" w:themeTint="D8"/>
    </w:rPr>
  </w:style>
  <w:style w:type="paragraph" w:styleId="Title">
    <w:name w:val="Title"/>
    <w:basedOn w:val="Normal"/>
    <w:next w:val="Normal"/>
    <w:link w:val="TitleChar"/>
    <w:uiPriority w:val="10"/>
    <w:qFormat/>
    <w:rsid w:val="00494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B49"/>
    <w:pPr>
      <w:spacing w:before="160"/>
      <w:jc w:val="center"/>
    </w:pPr>
    <w:rPr>
      <w:i/>
      <w:iCs/>
      <w:color w:val="404040" w:themeColor="text1" w:themeTint="BF"/>
    </w:rPr>
  </w:style>
  <w:style w:type="character" w:customStyle="1" w:styleId="QuoteChar">
    <w:name w:val="Quote Char"/>
    <w:basedOn w:val="DefaultParagraphFont"/>
    <w:link w:val="Quote"/>
    <w:uiPriority w:val="29"/>
    <w:rsid w:val="00494B49"/>
    <w:rPr>
      <w:i/>
      <w:iCs/>
      <w:color w:val="404040" w:themeColor="text1" w:themeTint="BF"/>
    </w:rPr>
  </w:style>
  <w:style w:type="paragraph" w:styleId="ListParagraph">
    <w:name w:val="List Paragraph"/>
    <w:basedOn w:val="Normal"/>
    <w:uiPriority w:val="34"/>
    <w:qFormat/>
    <w:rsid w:val="00494B49"/>
    <w:pPr>
      <w:ind w:left="720"/>
      <w:contextualSpacing/>
    </w:pPr>
  </w:style>
  <w:style w:type="character" w:styleId="IntenseEmphasis">
    <w:name w:val="Intense Emphasis"/>
    <w:basedOn w:val="DefaultParagraphFont"/>
    <w:uiPriority w:val="21"/>
    <w:qFormat/>
    <w:rsid w:val="00494B49"/>
    <w:rPr>
      <w:i/>
      <w:iCs/>
      <w:color w:val="0F4761" w:themeColor="accent1" w:themeShade="BF"/>
    </w:rPr>
  </w:style>
  <w:style w:type="paragraph" w:styleId="IntenseQuote">
    <w:name w:val="Intense Quote"/>
    <w:basedOn w:val="Normal"/>
    <w:next w:val="Normal"/>
    <w:link w:val="IntenseQuoteChar"/>
    <w:uiPriority w:val="30"/>
    <w:qFormat/>
    <w:rsid w:val="00494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B49"/>
    <w:rPr>
      <w:i/>
      <w:iCs/>
      <w:color w:val="0F4761" w:themeColor="accent1" w:themeShade="BF"/>
    </w:rPr>
  </w:style>
  <w:style w:type="character" w:styleId="IntenseReference">
    <w:name w:val="Intense Reference"/>
    <w:basedOn w:val="DefaultParagraphFont"/>
    <w:uiPriority w:val="32"/>
    <w:qFormat/>
    <w:rsid w:val="00494B49"/>
    <w:rPr>
      <w:b/>
      <w:bCs/>
      <w:smallCaps/>
      <w:color w:val="0F4761" w:themeColor="accent1" w:themeShade="BF"/>
      <w:spacing w:val="5"/>
    </w:rPr>
  </w:style>
  <w:style w:type="paragraph" w:customStyle="1" w:styleId="sp">
    <w:name w:val="sp"/>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ortfoliotitle">
    <w:name w:val="portfolio_title"/>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8"/>
      <w:szCs w:val="28"/>
    </w:rPr>
  </w:style>
  <w:style w:type="paragraph" w:customStyle="1" w:styleId="namedachapter">
    <w:name w:val="name_da_chapte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000000"/>
      <w:kern w:val="0"/>
      <w:sz w:val="28"/>
      <w:szCs w:val="28"/>
    </w:rPr>
  </w:style>
  <w:style w:type="paragraph" w:customStyle="1" w:styleId="outsideauthor">
    <w:name w:val="outside_autho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kern w:val="0"/>
      <w:sz w:val="20"/>
      <w:szCs w:val="20"/>
    </w:rPr>
  </w:style>
  <w:style w:type="paragraph" w:customStyle="1" w:styleId="organization">
    <w:name w:val="organization"/>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ection">
    <w:name w:val="section"/>
    <w:uiPriority w:val="99"/>
    <w:rsid w:val="00494B49"/>
    <w:pPr>
      <w:widowControl w:val="0"/>
      <w:autoSpaceDE w:val="0"/>
      <w:autoSpaceDN w:val="0"/>
      <w:adjustRightInd w:val="0"/>
      <w:spacing w:after="0" w:line="240" w:lineRule="auto"/>
      <w:jc w:val="right"/>
    </w:pPr>
    <w:rPr>
      <w:rFonts w:ascii="Times New Roman" w:eastAsiaTheme="minorEastAsia" w:hAnsi="Times New Roman" w:cs="Times New Roman"/>
      <w:b/>
      <w:bCs/>
      <w:color w:val="0000FF"/>
      <w:kern w:val="0"/>
      <w:sz w:val="36"/>
      <w:szCs w:val="36"/>
    </w:rPr>
  </w:style>
  <w:style w:type="paragraph" w:customStyle="1" w:styleId="subsection">
    <w:name w:val="subsection"/>
    <w:uiPriority w:val="99"/>
    <w:rsid w:val="00494B49"/>
    <w:pPr>
      <w:widowControl w:val="0"/>
      <w:autoSpaceDE w:val="0"/>
      <w:autoSpaceDN w:val="0"/>
      <w:adjustRightInd w:val="0"/>
      <w:spacing w:after="0" w:line="240" w:lineRule="auto"/>
      <w:jc w:val="right"/>
    </w:pPr>
    <w:rPr>
      <w:rFonts w:ascii="Times New Roman" w:eastAsiaTheme="minorEastAsia" w:hAnsi="Times New Roman" w:cs="Times New Roman"/>
      <w:b/>
      <w:bCs/>
      <w:kern w:val="0"/>
      <w:sz w:val="28"/>
      <w:szCs w:val="28"/>
    </w:rPr>
  </w:style>
  <w:style w:type="paragraph" w:customStyle="1" w:styleId="p">
    <w:name w:val="p"/>
    <w:uiPriority w:val="99"/>
    <w:rsid w:val="00494B49"/>
    <w:pPr>
      <w:widowControl w:val="0"/>
      <w:autoSpaceDE w:val="0"/>
      <w:autoSpaceDN w:val="0"/>
      <w:adjustRightInd w:val="0"/>
      <w:spacing w:before="100" w:after="0" w:line="240" w:lineRule="auto"/>
      <w:ind w:firstLine="150"/>
    </w:pPr>
    <w:rPr>
      <w:rFonts w:ascii="Times New Roman" w:eastAsiaTheme="minorEastAsia" w:hAnsi="Times New Roman" w:cs="Times New Roman"/>
      <w:kern w:val="0"/>
      <w:sz w:val="20"/>
      <w:szCs w:val="20"/>
    </w:rPr>
  </w:style>
  <w:style w:type="paragraph" w:customStyle="1" w:styleId="bioinfo">
    <w:name w:val="bio_info"/>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DS">
    <w:name w:val="PDS"/>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2"/>
      <w:szCs w:val="22"/>
    </w:rPr>
  </w:style>
  <w:style w:type="paragraph" w:customStyle="1" w:styleId="chapter">
    <w:name w:val="chapte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kern w:val="0"/>
      <w:sz w:val="30"/>
      <w:szCs w:val="30"/>
    </w:rPr>
  </w:style>
  <w:style w:type="paragraph" w:customStyle="1" w:styleId="level">
    <w:name w:val="level"/>
    <w:uiPriority w:val="99"/>
    <w:rsid w:val="00494B49"/>
    <w:pPr>
      <w:widowControl w:val="0"/>
      <w:autoSpaceDE w:val="0"/>
      <w:autoSpaceDN w:val="0"/>
      <w:adjustRightInd w:val="0"/>
      <w:spacing w:after="0" w:line="300" w:lineRule="atLeast"/>
    </w:pPr>
    <w:rPr>
      <w:rFonts w:ascii="Times New Roman" w:eastAsiaTheme="minorEastAsia" w:hAnsi="Times New Roman" w:cs="Times New Roman"/>
      <w:b/>
      <w:bCs/>
      <w:kern w:val="0"/>
      <w:sz w:val="20"/>
      <w:szCs w:val="20"/>
    </w:rPr>
  </w:style>
  <w:style w:type="paragraph" w:customStyle="1" w:styleId="example">
    <w:name w:val="example"/>
    <w:uiPriority w:val="99"/>
    <w:rsid w:val="00494B49"/>
    <w:pPr>
      <w:widowControl w:val="0"/>
      <w:autoSpaceDE w:val="0"/>
      <w:autoSpaceDN w:val="0"/>
      <w:adjustRightInd w:val="0"/>
      <w:spacing w:after="0" w:line="240" w:lineRule="auto"/>
    </w:pPr>
    <w:rPr>
      <w:rFonts w:ascii="Times New Roman" w:eastAsiaTheme="minorEastAsia" w:hAnsi="Times New Roman" w:cs="Times New Roman"/>
      <w:i/>
      <w:iCs/>
      <w:color w:val="0000FF"/>
      <w:kern w:val="0"/>
      <w:sz w:val="20"/>
      <w:szCs w:val="20"/>
    </w:rPr>
  </w:style>
  <w:style w:type="paragraph" w:customStyle="1" w:styleId="note">
    <w:name w:val="note"/>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istitem">
    <w:name w:val="list.item"/>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workingpapers">
    <w:name w:val="working_papers"/>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styleId="Bibliography">
    <w:name w:val="Bibliography"/>
    <w:basedOn w:val="Normal"/>
    <w:next w:val="Normal"/>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ubhead">
    <w:name w:val="sub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2"/>
      <w:szCs w:val="22"/>
    </w:rPr>
  </w:style>
  <w:style w:type="paragraph" w:customStyle="1" w:styleId="document">
    <w:name w:val="document"/>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versioninfo">
    <w:name w:val="versioninfo"/>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ongquote">
    <w:name w:val="long_quote"/>
    <w:uiPriority w:val="99"/>
    <w:rsid w:val="00494B49"/>
    <w:pPr>
      <w:widowControl w:val="0"/>
      <w:autoSpaceDE w:val="0"/>
      <w:autoSpaceDN w:val="0"/>
      <w:adjustRightInd w:val="0"/>
      <w:spacing w:after="0" w:line="240" w:lineRule="auto"/>
      <w:ind w:left="250" w:firstLine="300"/>
    </w:pPr>
    <w:rPr>
      <w:rFonts w:ascii="Times New Roman" w:eastAsiaTheme="minorEastAsia" w:hAnsi="Times New Roman" w:cs="Times New Roman"/>
      <w:kern w:val="0"/>
      <w:sz w:val="18"/>
      <w:szCs w:val="18"/>
    </w:rPr>
  </w:style>
  <w:style w:type="paragraph" w:customStyle="1" w:styleId="head">
    <w:name w:val="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image">
    <w:name w:val="image"/>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descriptor">
    <w:name w:val="descriptor"/>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author">
    <w:name w:val="author"/>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head">
    <w:name w:val="s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1">
    <w:name w:val="subhead1"/>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0"/>
      <w:szCs w:val="20"/>
    </w:rPr>
  </w:style>
  <w:style w:type="paragraph" w:customStyle="1" w:styleId="subhead2">
    <w:name w:val="subhead2"/>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3">
    <w:name w:val="subhead3"/>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4">
    <w:name w:val="subhead4"/>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5">
    <w:name w:val="subhead5"/>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i/>
      <w:iCs/>
      <w:kern w:val="0"/>
      <w:sz w:val="20"/>
      <w:szCs w:val="20"/>
    </w:rPr>
  </w:style>
  <w:style w:type="paragraph" w:customStyle="1" w:styleId="subhead6">
    <w:name w:val="subhead6"/>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kern w:val="0"/>
      <w:sz w:val="20"/>
      <w:szCs w:val="20"/>
    </w:rPr>
  </w:style>
  <w:style w:type="paragraph" w:customStyle="1" w:styleId="subhead7">
    <w:name w:val="subhead7"/>
    <w:uiPriority w:val="99"/>
    <w:rsid w:val="00494B49"/>
    <w:pPr>
      <w:widowControl w:val="0"/>
      <w:autoSpaceDE w:val="0"/>
      <w:autoSpaceDN w:val="0"/>
      <w:adjustRightInd w:val="0"/>
      <w:spacing w:after="0" w:line="240" w:lineRule="auto"/>
      <w:ind w:firstLine="240"/>
      <w:jc w:val="center"/>
    </w:pPr>
    <w:rPr>
      <w:rFonts w:ascii="Times New Roman" w:eastAsiaTheme="minorEastAsia" w:hAnsi="Times New Roman" w:cs="Times New Roman"/>
      <w:i/>
      <w:iCs/>
      <w:kern w:val="0"/>
      <w:sz w:val="20"/>
      <w:szCs w:val="20"/>
    </w:rPr>
  </w:style>
  <w:style w:type="paragraph" w:customStyle="1" w:styleId="subhead8">
    <w:name w:val="subhead8"/>
    <w:uiPriority w:val="99"/>
    <w:rsid w:val="00494B49"/>
    <w:pPr>
      <w:widowControl w:val="0"/>
      <w:autoSpaceDE w:val="0"/>
      <w:autoSpaceDN w:val="0"/>
      <w:adjustRightInd w:val="0"/>
      <w:spacing w:after="0" w:line="240" w:lineRule="auto"/>
      <w:ind w:firstLine="240"/>
      <w:jc w:val="center"/>
    </w:pPr>
    <w:rPr>
      <w:rFonts w:ascii="Times New Roman" w:eastAsiaTheme="minorEastAsia" w:hAnsi="Times New Roman" w:cs="Times New Roman"/>
      <w:b/>
      <w:bCs/>
      <w:kern w:val="0"/>
    </w:rPr>
  </w:style>
  <w:style w:type="paragraph" w:customStyle="1" w:styleId="footnotepara">
    <w:name w:val="footnote_para"/>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character" w:styleId="FootnoteReference">
    <w:name w:val="footnote reference"/>
    <w:basedOn w:val="DefaultParagraphFont"/>
    <w:uiPriority w:val="99"/>
    <w:semiHidden/>
    <w:unhideWhenUsed/>
    <w:rsid w:val="00494B49"/>
    <w:rPr>
      <w:vertAlign w:val="superscript"/>
    </w:rPr>
  </w:style>
  <w:style w:type="paragraph" w:styleId="Header">
    <w:name w:val="header"/>
    <w:basedOn w:val="Normal"/>
    <w:link w:val="HeaderChar"/>
    <w:uiPriority w:val="99"/>
    <w:unhideWhenUsed/>
    <w:qFormat/>
    <w:rsid w:val="00494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49"/>
  </w:style>
  <w:style w:type="paragraph" w:styleId="Footer">
    <w:name w:val="footer"/>
    <w:basedOn w:val="Normal"/>
    <w:link w:val="FooterChar"/>
    <w:uiPriority w:val="99"/>
    <w:unhideWhenUsed/>
    <w:rsid w:val="00494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49"/>
  </w:style>
  <w:style w:type="paragraph" w:styleId="FootnoteText">
    <w:name w:val="footnote text"/>
    <w:basedOn w:val="Normal"/>
    <w:link w:val="FootnoteTextChar"/>
    <w:uiPriority w:val="99"/>
    <w:rsid w:val="00494B49"/>
    <w:pPr>
      <w:spacing w:before="60" w:after="60" w:line="240" w:lineRule="auto"/>
      <w:ind w:firstLine="720"/>
      <w:contextualSpacing/>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494B49"/>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494B49"/>
    <w:rPr>
      <w:color w:val="0000FF"/>
      <w:u w:val="single"/>
    </w:rPr>
  </w:style>
  <w:style w:type="paragraph" w:customStyle="1" w:styleId="BChapterName">
    <w:name w:val="BChapter_Name"/>
    <w:basedOn w:val="Normal"/>
    <w:link w:val="BChapterNameChar"/>
    <w:qFormat/>
    <w:rsid w:val="00494B49"/>
    <w:pPr>
      <w:spacing w:before="240" w:after="120" w:line="240" w:lineRule="auto"/>
      <w:jc w:val="center"/>
      <w:outlineLvl w:val="0"/>
    </w:pPr>
    <w:rPr>
      <w:rFonts w:ascii="Times New Roman" w:hAnsi="Times New Roman" w:cs="Times New Roman"/>
      <w:b/>
      <w:kern w:val="24"/>
      <w:sz w:val="28"/>
      <w:szCs w:val="28"/>
      <w:lang w:bidi="en-US"/>
      <w14:ligatures w14:val="none"/>
    </w:rPr>
  </w:style>
  <w:style w:type="character" w:customStyle="1" w:styleId="BChapterNameChar">
    <w:name w:val="BChapter_Name Char"/>
    <w:basedOn w:val="DefaultParagraphFont"/>
    <w:link w:val="BChapterName"/>
    <w:rsid w:val="00494B49"/>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494B49"/>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494B49"/>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494B49"/>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494B49"/>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494B49"/>
    <w:pPr>
      <w:ind w:left="1080" w:right="720"/>
    </w:pPr>
  </w:style>
  <w:style w:type="character" w:customStyle="1" w:styleId="BQuotelongChar">
    <w:name w:val="BQuote_long Char"/>
    <w:basedOn w:val="BNormalChar"/>
    <w:link w:val="BQuotelong"/>
    <w:rsid w:val="00494B49"/>
    <w:rPr>
      <w:rFonts w:ascii="Times New Roman" w:eastAsia="Times New Roman" w:hAnsi="Times New Roman" w:cs="Times New Roman"/>
      <w:kern w:val="0"/>
      <w14:ligatures w14:val="none"/>
    </w:rPr>
  </w:style>
  <w:style w:type="paragraph" w:customStyle="1" w:styleId="BHead2">
    <w:name w:val="BHead2"/>
    <w:next w:val="BNormal"/>
    <w:link w:val="BHead2Char"/>
    <w:qFormat/>
    <w:rsid w:val="00494B49"/>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494B49"/>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494B49"/>
    <w:pPr>
      <w:numPr>
        <w:numId w:val="1"/>
      </w:numPr>
      <w:spacing w:after="0" w:line="240" w:lineRule="auto"/>
      <w:ind w:left="1080"/>
      <w:contextualSpacing/>
    </w:pPr>
    <w:rPr>
      <w:rFonts w:ascii="Times New Roman" w:eastAsia="Times New Roman" w:hAnsi="Times New Roman" w:cs="Times New Roman"/>
      <w:kern w:val="0"/>
      <w14:ligatures w14:val="none"/>
    </w:rPr>
  </w:style>
  <w:style w:type="character" w:customStyle="1" w:styleId="BListitembulChar">
    <w:name w:val="BList_item_bul Char"/>
    <w:basedOn w:val="DefaultParagraphFont"/>
    <w:link w:val="BListitembul"/>
    <w:rsid w:val="00494B49"/>
    <w:rPr>
      <w:rFonts w:ascii="Times New Roman" w:eastAsia="Times New Roman" w:hAnsi="Times New Roman" w:cs="Times New Roman"/>
      <w:kern w:val="0"/>
      <w14:ligatures w14:val="none"/>
    </w:rPr>
  </w:style>
  <w:style w:type="paragraph" w:customStyle="1" w:styleId="BHead3">
    <w:name w:val="BHead3"/>
    <w:next w:val="BNormal"/>
    <w:link w:val="BHead3Char"/>
    <w:qFormat/>
    <w:rsid w:val="00494B49"/>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494B49"/>
    <w:rPr>
      <w:rFonts w:ascii="Times New Roman" w:eastAsiaTheme="majorEastAsia" w:hAnsi="Times New Roman" w:cstheme="majorBidi"/>
      <w:bCs/>
      <w:i/>
      <w:kern w:val="0"/>
      <w:lang w:eastAsia="zh-CN"/>
      <w14:ligatures w14:val="none"/>
    </w:rPr>
  </w:style>
  <w:style w:type="table" w:styleId="TableGrid">
    <w:name w:val="Table Grid"/>
    <w:basedOn w:val="TableNormal"/>
    <w:uiPriority w:val="59"/>
    <w:rsid w:val="00494B49"/>
    <w:pPr>
      <w:spacing w:after="0" w:line="240" w:lineRule="auto"/>
    </w:pPr>
    <w:rPr>
      <w:rFonts w:eastAsiaTheme="minorEastAsia"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roductionNote">
    <w:name w:val="BProductionNote"/>
    <w:basedOn w:val="BNormal"/>
    <w:link w:val="BProductionNoteChar"/>
    <w:rsid w:val="00494B49"/>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494B49"/>
    <w:rPr>
      <w:rFonts w:ascii="Times New Roman Bold" w:eastAsia="Times New Roman" w:hAnsi="Times New Roman Bold" w:cs="Times New Roman"/>
      <w:b/>
      <w:color w:val="FF0000"/>
      <w:kern w:val="0"/>
      <w:shd w:val="clear" w:color="auto" w:fill="FFFF00"/>
      <w14:ligatures w14:val="none"/>
    </w:rPr>
  </w:style>
  <w:style w:type="paragraph" w:customStyle="1" w:styleId="BListitemorig">
    <w:name w:val="BList_item_orig"/>
    <w:basedOn w:val="BNormal"/>
    <w:qFormat/>
    <w:rsid w:val="00494B49"/>
    <w:pPr>
      <w:ind w:left="1080" w:hanging="360"/>
    </w:pPr>
    <w:rPr>
      <w:szCs w:val="22"/>
    </w:rPr>
  </w:style>
  <w:style w:type="paragraph" w:customStyle="1" w:styleId="BListitemnum">
    <w:name w:val="BList_item_num"/>
    <w:basedOn w:val="BListitembul"/>
    <w:link w:val="BListitemnumChar"/>
    <w:qFormat/>
    <w:rsid w:val="00494B49"/>
    <w:pPr>
      <w:numPr>
        <w:numId w:val="2"/>
      </w:numPr>
      <w:ind w:left="1080"/>
    </w:pPr>
  </w:style>
  <w:style w:type="character" w:customStyle="1" w:styleId="BCasenamefull">
    <w:name w:val="BCasename_full"/>
    <w:uiPriority w:val="1"/>
    <w:qFormat/>
    <w:rsid w:val="00494B49"/>
    <w:rPr>
      <w:rFonts w:eastAsia="Times New Roman"/>
      <w:i/>
      <w:color w:val="00B050"/>
      <w:kern w:val="0"/>
      <w:lang w:bidi="ar-SA"/>
    </w:rPr>
  </w:style>
  <w:style w:type="paragraph" w:customStyle="1" w:styleId="BHead4">
    <w:name w:val="BHead4"/>
    <w:next w:val="BNormal"/>
    <w:link w:val="BHead4Char"/>
    <w:qFormat/>
    <w:rsid w:val="00494B49"/>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494B49"/>
    <w:rPr>
      <w:rFonts w:ascii="Times New Roman" w:eastAsiaTheme="majorEastAsia" w:hAnsi="Times New Roman" w:cstheme="majorBidi"/>
      <w:bCs/>
      <w:i/>
      <w:iCs/>
      <w:kern w:val="0"/>
      <w14:ligatures w14:val="none"/>
    </w:rPr>
  </w:style>
  <w:style w:type="paragraph" w:styleId="MacroText">
    <w:name w:val="macro"/>
    <w:link w:val="MacroTextChar"/>
    <w:uiPriority w:val="99"/>
    <w:semiHidden/>
    <w:unhideWhenUsed/>
    <w:rsid w:val="00494B49"/>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494B49"/>
    <w:rPr>
      <w:rFonts w:ascii="Courier New" w:hAnsi="Courier New" w:cs="Courier New"/>
      <w:kern w:val="24"/>
      <w:sz w:val="20"/>
      <w:szCs w:val="20"/>
      <w:lang w:bidi="en-US"/>
      <w14:ligatures w14:val="none"/>
    </w:rPr>
  </w:style>
  <w:style w:type="paragraph" w:styleId="NoSpacing">
    <w:name w:val="No Spacing"/>
    <w:uiPriority w:val="1"/>
    <w:qFormat/>
    <w:rsid w:val="00494B49"/>
    <w:pPr>
      <w:spacing w:before="240" w:after="0" w:line="240" w:lineRule="auto"/>
    </w:pPr>
    <w:rPr>
      <w:rFonts w:ascii="Times New Roman" w:hAnsi="Times New Roman" w:cs="Times New Roman"/>
      <w:kern w:val="24"/>
      <w:lang w:bidi="en-US"/>
      <w14:ligatures w14:val="none"/>
    </w:rPr>
  </w:style>
  <w:style w:type="paragraph" w:styleId="NormalIndent">
    <w:name w:val="Normal Indent"/>
    <w:basedOn w:val="Normal"/>
    <w:uiPriority w:val="99"/>
    <w:semiHidden/>
    <w:unhideWhenUsed/>
    <w:rsid w:val="00494B49"/>
    <w:pPr>
      <w:spacing w:before="240" w:after="120" w:line="240" w:lineRule="auto"/>
      <w:ind w:left="720"/>
    </w:pPr>
    <w:rPr>
      <w:rFonts w:ascii="Times New Roman" w:hAnsi="Times New Roman" w:cs="Times New Roman"/>
      <w:kern w:val="24"/>
      <w:lang w:bidi="en-US"/>
      <w14:ligatures w14:val="none"/>
    </w:rPr>
  </w:style>
  <w:style w:type="table" w:styleId="TableList1">
    <w:name w:val="Table List 1"/>
    <w:basedOn w:val="TableNormal"/>
    <w:uiPriority w:val="99"/>
    <w:rsid w:val="00494B49"/>
    <w:pPr>
      <w:spacing w:before="240" w:after="0" w:line="240" w:lineRule="auto"/>
    </w:pPr>
    <w:rPr>
      <w:rFonts w:ascii="Times New Roman"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494B49"/>
    <w:pPr>
      <w:spacing w:before="240" w:after="0" w:line="240" w:lineRule="auto"/>
    </w:pPr>
    <w:rPr>
      <w:rFonts w:ascii="Times New Roman" w:hAnsi="Times New Roman" w:cs="Times New Roman"/>
      <w:kern w:val="24"/>
      <w:lang w:bidi="en-US"/>
      <w14:ligatures w14:val="none"/>
    </w:rPr>
  </w:style>
  <w:style w:type="paragraph" w:styleId="BodyText">
    <w:name w:val="Body Text"/>
    <w:aliases w:val="BT,Body Text (Text of Statute),bt"/>
    <w:basedOn w:val="Normal"/>
    <w:link w:val="BodyTextChar"/>
    <w:semiHidden/>
    <w:rsid w:val="00494B49"/>
    <w:pPr>
      <w:spacing w:before="240" w:after="120" w:line="240" w:lineRule="auto"/>
    </w:pPr>
    <w:rPr>
      <w:rFonts w:ascii="Times New Roman" w:eastAsia="Times New Roman" w:hAnsi="Times New Roman" w:cs="Times New Roman"/>
      <w:kern w:val="24"/>
      <w14:ligatures w14:val="none"/>
    </w:rPr>
  </w:style>
  <w:style w:type="character" w:customStyle="1" w:styleId="BodyTextChar">
    <w:name w:val="Body Text Char"/>
    <w:aliases w:val="BT Char,Body Text (Text of Statute) Char,bt Char"/>
    <w:basedOn w:val="DefaultParagraphFont"/>
    <w:link w:val="BodyText"/>
    <w:semiHidden/>
    <w:rsid w:val="00494B49"/>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494B49"/>
    <w:rPr>
      <w:sz w:val="16"/>
      <w:szCs w:val="16"/>
    </w:rPr>
  </w:style>
  <w:style w:type="paragraph" w:styleId="CommentText">
    <w:name w:val="annotation text"/>
    <w:basedOn w:val="Normal"/>
    <w:link w:val="CommentTextChar"/>
    <w:uiPriority w:val="99"/>
    <w:semiHidden/>
    <w:rsid w:val="00494B49"/>
    <w:pPr>
      <w:spacing w:before="240" w:after="0" w:line="240" w:lineRule="auto"/>
    </w:pPr>
    <w:rPr>
      <w:rFonts w:ascii="Times New Roman" w:eastAsia="Times New Roman" w:hAnsi="Times New Roman" w:cs="Times New Roman"/>
      <w:kern w:val="24"/>
      <w:sz w:val="20"/>
      <w:szCs w:val="20"/>
      <w14:ligatures w14:val="none"/>
    </w:rPr>
  </w:style>
  <w:style w:type="character" w:customStyle="1" w:styleId="CommentTextChar">
    <w:name w:val="Comment Text Char"/>
    <w:basedOn w:val="DefaultParagraphFont"/>
    <w:link w:val="CommentText"/>
    <w:uiPriority w:val="99"/>
    <w:semiHidden/>
    <w:rsid w:val="00494B49"/>
    <w:rPr>
      <w:rFonts w:ascii="Times New Roman" w:eastAsia="Times New Roman" w:hAnsi="Times New Roman" w:cs="Times New Roman"/>
      <w:kern w:val="24"/>
      <w:sz w:val="20"/>
      <w:szCs w:val="20"/>
      <w14:ligatures w14:val="none"/>
    </w:rPr>
  </w:style>
  <w:style w:type="paragraph" w:styleId="BalloonText">
    <w:name w:val="Balloon Text"/>
    <w:basedOn w:val="Normal"/>
    <w:link w:val="BalloonTextChar"/>
    <w:uiPriority w:val="99"/>
    <w:semiHidden/>
    <w:rsid w:val="00494B49"/>
    <w:pPr>
      <w:spacing w:before="240" w:after="0" w:line="240" w:lineRule="auto"/>
    </w:pPr>
    <w:rPr>
      <w:rFonts w:ascii="Tahoma" w:hAnsi="Tahoma" w:cs="Tahoma"/>
      <w:kern w:val="24"/>
      <w:sz w:val="16"/>
      <w:szCs w:val="16"/>
      <w:lang w:bidi="en-US"/>
      <w14:ligatures w14:val="none"/>
    </w:rPr>
  </w:style>
  <w:style w:type="character" w:customStyle="1" w:styleId="BalloonTextChar">
    <w:name w:val="Balloon Text Char"/>
    <w:basedOn w:val="DefaultParagraphFont"/>
    <w:link w:val="BalloonText"/>
    <w:uiPriority w:val="99"/>
    <w:semiHidden/>
    <w:rsid w:val="00494B49"/>
    <w:rPr>
      <w:rFonts w:ascii="Tahoma" w:hAnsi="Tahoma" w:cs="Tahoma"/>
      <w:kern w:val="24"/>
      <w:sz w:val="16"/>
      <w:szCs w:val="16"/>
      <w:lang w:bidi="en-US"/>
      <w14:ligatures w14:val="none"/>
    </w:rPr>
  </w:style>
  <w:style w:type="character" w:customStyle="1" w:styleId="PListitemChar">
    <w:name w:val="PList_item Char"/>
    <w:basedOn w:val="DefaultParagraphFont"/>
    <w:semiHidden/>
    <w:rsid w:val="00494B49"/>
  </w:style>
  <w:style w:type="paragraph" w:customStyle="1" w:styleId="BCommentpara">
    <w:name w:val="BComment_para"/>
    <w:basedOn w:val="Normal"/>
    <w:next w:val="BNormal"/>
    <w:link w:val="BCommentparaChar"/>
    <w:qFormat/>
    <w:rsid w:val="00494B49"/>
    <w:pPr>
      <w:spacing w:before="100" w:beforeAutospacing="1" w:after="120" w:line="240" w:lineRule="auto"/>
      <w:ind w:left="720"/>
    </w:pPr>
    <w:rPr>
      <w:rFonts w:ascii="Times New Roman" w:hAnsi="Times New Roman" w:cs="Times New Roman"/>
      <w:kern w:val="24"/>
      <w:lang w:bidi="en-US"/>
      <w14:ligatures w14:val="none"/>
    </w:rPr>
  </w:style>
  <w:style w:type="character" w:customStyle="1" w:styleId="BCommentparaChar">
    <w:name w:val="BComment_para Char"/>
    <w:basedOn w:val="DefaultParagraphFont"/>
    <w:link w:val="BCommentpara"/>
    <w:rsid w:val="00494B49"/>
    <w:rPr>
      <w:rFonts w:ascii="Times New Roman" w:hAnsi="Times New Roman" w:cs="Times New Roman"/>
      <w:kern w:val="24"/>
      <w:lang w:bidi="en-US"/>
      <w14:ligatures w14:val="none"/>
    </w:rPr>
  </w:style>
  <w:style w:type="character" w:customStyle="1" w:styleId="BCommenthead">
    <w:name w:val="BComment_head"/>
    <w:basedOn w:val="DefaultParagraphFont"/>
    <w:uiPriority w:val="1"/>
    <w:qFormat/>
    <w:rsid w:val="00494B49"/>
    <w:rPr>
      <w:b/>
    </w:rPr>
  </w:style>
  <w:style w:type="paragraph" w:customStyle="1" w:styleId="BExamplepara">
    <w:name w:val="BExample_para"/>
    <w:basedOn w:val="Normal"/>
    <w:next w:val="BNormal"/>
    <w:link w:val="BExampleparaChar"/>
    <w:qFormat/>
    <w:rsid w:val="00494B49"/>
    <w:pPr>
      <w:spacing w:before="240" w:after="120" w:line="240" w:lineRule="auto"/>
      <w:ind w:left="720"/>
      <w:jc w:val="both"/>
    </w:pPr>
    <w:rPr>
      <w:rFonts w:ascii="Times New Roman" w:hAnsi="Times New Roman" w:cs="Times New Roman"/>
      <w:kern w:val="24"/>
      <w:lang w:bidi="en-US"/>
      <w14:ligatures w14:val="none"/>
    </w:rPr>
  </w:style>
  <w:style w:type="character" w:customStyle="1" w:styleId="BExampleparaChar">
    <w:name w:val="BExample_para Char"/>
    <w:basedOn w:val="DefaultParagraphFont"/>
    <w:link w:val="BExamplepara"/>
    <w:rsid w:val="00494B49"/>
    <w:rPr>
      <w:rFonts w:ascii="Times New Roman" w:hAnsi="Times New Roman" w:cs="Times New Roman"/>
      <w:kern w:val="24"/>
      <w:lang w:bidi="en-US"/>
      <w14:ligatures w14:val="none"/>
    </w:rPr>
  </w:style>
  <w:style w:type="character" w:customStyle="1" w:styleId="BExamplehead">
    <w:name w:val="BExample_head"/>
    <w:basedOn w:val="BExampleparaChar"/>
    <w:uiPriority w:val="1"/>
    <w:qFormat/>
    <w:rsid w:val="00494B49"/>
    <w:rPr>
      <w:rFonts w:ascii="Times New Roman" w:eastAsia="Times New Roman" w:hAnsi="Times New Roman" w:cs="Times New Roman"/>
      <w:b/>
      <w:kern w:val="0"/>
      <w:lang w:bidi="ar-SA"/>
      <w14:ligatures w14:val="none"/>
    </w:rPr>
  </w:style>
  <w:style w:type="character" w:customStyle="1" w:styleId="BListitemnumChar">
    <w:name w:val="BList_item_num Char"/>
    <w:basedOn w:val="BListitembulChar"/>
    <w:link w:val="BListitemnum"/>
    <w:rsid w:val="00494B49"/>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494B49"/>
    <w:rPr>
      <w:rFonts w:eastAsia="Times New Roman"/>
      <w:i/>
      <w:color w:val="00B050"/>
      <w:kern w:val="0"/>
      <w:lang w:bidi="ar-SA"/>
    </w:rPr>
  </w:style>
  <w:style w:type="paragraph" w:customStyle="1" w:styleId="BHead5">
    <w:name w:val="BHead5"/>
    <w:next w:val="BNormal"/>
    <w:link w:val="BHead5Char"/>
    <w:qFormat/>
    <w:rsid w:val="00494B49"/>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494B49"/>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494B49"/>
    <w:rPr>
      <w:rFonts w:ascii="Times New Roman" w:eastAsia="Times New Roman" w:hAnsi="Times New Roman" w:cs="Times New Roman"/>
      <w:color w:val="0070C0"/>
      <w:kern w:val="0"/>
      <w:lang w:bidi="ar-SA"/>
      <w14:ligatures w14:val="none"/>
    </w:rPr>
  </w:style>
  <w:style w:type="character" w:customStyle="1" w:styleId="BURL">
    <w:name w:val="BURL"/>
    <w:basedOn w:val="DefaultParagraphFont"/>
    <w:uiPriority w:val="1"/>
    <w:qFormat/>
    <w:rsid w:val="00494B49"/>
    <w:rPr>
      <w:color w:val="000000" w:themeColor="text1"/>
      <w:u w:val="wave" w:color="0F4761" w:themeColor="accent1" w:themeShade="BF"/>
    </w:rPr>
  </w:style>
  <w:style w:type="paragraph" w:customStyle="1" w:styleId="BObservpara">
    <w:name w:val="BObserv_para"/>
    <w:basedOn w:val="BExamplepara"/>
    <w:link w:val="BObservparaChar"/>
    <w:rsid w:val="00494B49"/>
  </w:style>
  <w:style w:type="character" w:customStyle="1" w:styleId="BObservparaChar">
    <w:name w:val="BObserv_para Char"/>
    <w:basedOn w:val="BExampleparaChar"/>
    <w:link w:val="BObservpara"/>
    <w:rsid w:val="00494B49"/>
    <w:rPr>
      <w:rFonts w:ascii="Times New Roman" w:hAnsi="Times New Roman" w:cs="Times New Roman"/>
      <w:kern w:val="24"/>
      <w:lang w:bidi="en-US"/>
      <w14:ligatures w14:val="none"/>
    </w:rPr>
  </w:style>
  <w:style w:type="paragraph" w:customStyle="1" w:styleId="BCaseExpara">
    <w:name w:val="BCase_Ex_para"/>
    <w:basedOn w:val="BQuotelong"/>
    <w:qFormat/>
    <w:rsid w:val="00494B49"/>
  </w:style>
  <w:style w:type="character" w:customStyle="1" w:styleId="BCaseExhead">
    <w:name w:val="BCase_Ex_head"/>
    <w:basedOn w:val="DefaultParagraphFont"/>
    <w:uiPriority w:val="1"/>
    <w:qFormat/>
    <w:rsid w:val="00494B49"/>
    <w:rPr>
      <w:b/>
      <w:bCs/>
    </w:rPr>
  </w:style>
  <w:style w:type="paragraph" w:customStyle="1" w:styleId="BPracTippara">
    <w:name w:val="BPrac_Tip_para"/>
    <w:basedOn w:val="BCaseExpara"/>
    <w:rsid w:val="00494B49"/>
  </w:style>
  <w:style w:type="character" w:customStyle="1" w:styleId="BPracTiphead">
    <w:name w:val="BPrac_Tip_head"/>
    <w:basedOn w:val="DefaultParagraphFont"/>
    <w:uiPriority w:val="1"/>
    <w:rsid w:val="00494B49"/>
    <w:rPr>
      <w:b/>
    </w:rPr>
  </w:style>
  <w:style w:type="character" w:styleId="PlaceholderText">
    <w:name w:val="Placeholder Text"/>
    <w:basedOn w:val="DefaultParagraphFont"/>
    <w:uiPriority w:val="99"/>
    <w:semiHidden/>
    <w:rsid w:val="00494B49"/>
    <w:rPr>
      <w:color w:val="808080"/>
    </w:rPr>
  </w:style>
  <w:style w:type="paragraph" w:customStyle="1" w:styleId="BHiddenText">
    <w:name w:val="BHiddenText"/>
    <w:basedOn w:val="Normal"/>
    <w:link w:val="BHiddenTextChar"/>
    <w:unhideWhenUsed/>
    <w:qFormat/>
    <w:rsid w:val="00494B49"/>
    <w:pPr>
      <w:tabs>
        <w:tab w:val="left" w:pos="0"/>
      </w:tabs>
      <w:autoSpaceDE w:val="0"/>
      <w:autoSpaceDN w:val="0"/>
      <w:adjustRightInd w:val="0"/>
      <w:spacing w:before="240" w:after="120" w:line="240" w:lineRule="auto"/>
    </w:pPr>
    <w:rPr>
      <w:rFonts w:ascii="Courier New"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494B49"/>
    <w:rPr>
      <w:rFonts w:ascii="Courier New"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494B49"/>
    <w:pPr>
      <w:spacing w:before="240" w:after="0" w:line="240" w:lineRule="auto"/>
    </w:pPr>
    <w:rPr>
      <w:rFonts w:ascii="Tahoma" w:hAnsi="Tahoma" w:cs="Tahoma"/>
      <w:kern w:val="24"/>
      <w:sz w:val="16"/>
      <w:szCs w:val="16"/>
      <w:lang w:bidi="en-US"/>
      <w14:ligatures w14:val="none"/>
    </w:rPr>
  </w:style>
  <w:style w:type="character" w:customStyle="1" w:styleId="DocumentMapChar">
    <w:name w:val="Document Map Char"/>
    <w:basedOn w:val="DefaultParagraphFont"/>
    <w:link w:val="DocumentMap"/>
    <w:uiPriority w:val="99"/>
    <w:semiHidden/>
    <w:rsid w:val="00494B49"/>
    <w:rPr>
      <w:rFonts w:ascii="Tahoma" w:hAnsi="Tahoma" w:cs="Tahoma"/>
      <w:kern w:val="24"/>
      <w:sz w:val="16"/>
      <w:szCs w:val="16"/>
      <w:lang w:bidi="en-US"/>
      <w14:ligatures w14:val="none"/>
    </w:rPr>
  </w:style>
  <w:style w:type="character" w:customStyle="1" w:styleId="BNotehead">
    <w:name w:val="BNote_head"/>
    <w:basedOn w:val="DefaultParagraphFont"/>
    <w:uiPriority w:val="1"/>
    <w:qFormat/>
    <w:rsid w:val="00494B49"/>
  </w:style>
  <w:style w:type="table" w:customStyle="1" w:styleId="LightList-Accent11">
    <w:name w:val="Light List - Accent 11"/>
    <w:basedOn w:val="TableNormal"/>
    <w:uiPriority w:val="61"/>
    <w:rsid w:val="00494B49"/>
    <w:pPr>
      <w:spacing w:before="240"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494B49"/>
    <w:pPr>
      <w:spacing w:before="240"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494B49"/>
    <w:pPr>
      <w:spacing w:before="0"/>
    </w:pPr>
  </w:style>
  <w:style w:type="character" w:customStyle="1" w:styleId="BNoteparaChar">
    <w:name w:val="BNote_para Char"/>
    <w:basedOn w:val="BObservparaChar"/>
    <w:link w:val="BNotepara"/>
    <w:rsid w:val="00494B49"/>
    <w:rPr>
      <w:rFonts w:ascii="Times New Roman" w:hAnsi="Times New Roman" w:cs="Times New Roman"/>
      <w:kern w:val="24"/>
      <w:lang w:bidi="en-US"/>
      <w14:ligatures w14:val="none"/>
    </w:rPr>
  </w:style>
  <w:style w:type="character" w:customStyle="1" w:styleId="BObservhead">
    <w:name w:val="BObserv_head"/>
    <w:basedOn w:val="DefaultParagraphFont"/>
    <w:uiPriority w:val="1"/>
    <w:qFormat/>
    <w:rsid w:val="00494B49"/>
    <w:rPr>
      <w:b/>
    </w:rPr>
  </w:style>
  <w:style w:type="paragraph" w:customStyle="1" w:styleId="BUnitStart">
    <w:name w:val="BUnitStart"/>
    <w:basedOn w:val="BNormal"/>
    <w:link w:val="BUnitStartChar"/>
    <w:unhideWhenUsed/>
    <w:qFormat/>
    <w:rsid w:val="00494B49"/>
    <w:rPr>
      <w:rFonts w:ascii="Courier New" w:hAnsi="Courier New"/>
      <w:vanish/>
      <w:sz w:val="20"/>
    </w:rPr>
  </w:style>
  <w:style w:type="character" w:customStyle="1" w:styleId="BUnitStartChar">
    <w:name w:val="BUnitStart Char"/>
    <w:basedOn w:val="BNormalChar"/>
    <w:link w:val="BUnitStart"/>
    <w:rsid w:val="00494B49"/>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494B49"/>
    <w:pPr>
      <w:spacing w:before="240" w:after="120" w:line="240" w:lineRule="auto"/>
      <w:jc w:val="center"/>
    </w:pPr>
    <w:rPr>
      <w:rFonts w:ascii="Times New Roman" w:hAnsi="Times New Roman" w:cs="Times New Roman"/>
      <w:b/>
      <w:kern w:val="24"/>
      <w:lang w:bidi="en-US"/>
      <w14:ligatures w14:val="none"/>
    </w:rPr>
  </w:style>
  <w:style w:type="character" w:customStyle="1" w:styleId="BHeadtableChar">
    <w:name w:val="BHead_table Char"/>
    <w:basedOn w:val="DefaultParagraphFont"/>
    <w:link w:val="BHeadtable"/>
    <w:rsid w:val="00494B49"/>
    <w:rPr>
      <w:rFonts w:ascii="Times New Roman" w:hAnsi="Times New Roman" w:cs="Times New Roman"/>
      <w:b/>
      <w:kern w:val="24"/>
      <w:lang w:bidi="en-US"/>
      <w14:ligatures w14:val="none"/>
    </w:rPr>
  </w:style>
  <w:style w:type="paragraph" w:customStyle="1" w:styleId="BNormaltable">
    <w:name w:val="BNormal_table"/>
    <w:basedOn w:val="BNormal"/>
    <w:link w:val="BNormaltableChar"/>
    <w:qFormat/>
    <w:rsid w:val="00494B49"/>
    <w:pPr>
      <w:spacing w:before="0"/>
    </w:pPr>
    <w:rPr>
      <w:sz w:val="20"/>
      <w:szCs w:val="20"/>
    </w:rPr>
  </w:style>
  <w:style w:type="character" w:customStyle="1" w:styleId="BNormaltableChar">
    <w:name w:val="BNormal_table Char"/>
    <w:basedOn w:val="BNormalChar"/>
    <w:link w:val="BNormaltable"/>
    <w:rsid w:val="00494B49"/>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494B49"/>
    <w:rPr>
      <w:b/>
    </w:rPr>
  </w:style>
  <w:style w:type="character" w:customStyle="1" w:styleId="BNormaltableboldChar">
    <w:name w:val="BNormal_table_bold Char"/>
    <w:basedOn w:val="BNormaltableChar"/>
    <w:link w:val="BNormaltablebold"/>
    <w:rsid w:val="00494B49"/>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494B49"/>
    <w:rPr>
      <w:b/>
      <w:color w:val="800080"/>
      <w:position w:val="6"/>
      <w:sz w:val="20"/>
    </w:rPr>
  </w:style>
  <w:style w:type="paragraph" w:styleId="TOC1">
    <w:name w:val="toc 1"/>
    <w:basedOn w:val="Normal"/>
    <w:next w:val="Normal"/>
    <w:autoRedefine/>
    <w:uiPriority w:val="39"/>
    <w:semiHidden/>
    <w:rsid w:val="00494B49"/>
    <w:pPr>
      <w:spacing w:after="0" w:line="240" w:lineRule="auto"/>
      <w:ind w:right="720"/>
    </w:pPr>
    <w:rPr>
      <w:rFonts w:ascii="Times New Roman" w:hAnsi="Times New Roman" w:cs="Times New Roman"/>
      <w:kern w:val="0"/>
      <w14:ligatures w14:val="none"/>
    </w:rPr>
  </w:style>
  <w:style w:type="paragraph" w:styleId="EnvelopeAddress">
    <w:name w:val="envelope address"/>
    <w:basedOn w:val="Normal"/>
    <w:uiPriority w:val="99"/>
    <w:semiHidden/>
    <w:unhideWhenUsed/>
    <w:rsid w:val="00494B49"/>
    <w:pPr>
      <w:framePr w:w="7920" w:h="1980" w:hRule="exact" w:hSpace="180" w:wrap="auto" w:hAnchor="page" w:xAlign="center" w:yAlign="bottom"/>
      <w:spacing w:after="0" w:line="240" w:lineRule="auto"/>
      <w:ind w:left="2880"/>
    </w:pPr>
    <w:rPr>
      <w:rFonts w:ascii="Times New Roman" w:eastAsiaTheme="majorEastAsia" w:hAnsi="Times New Roman" w:cstheme="majorBidi"/>
      <w:kern w:val="0"/>
      <w14:ligatures w14:val="none"/>
    </w:rPr>
  </w:style>
  <w:style w:type="paragraph" w:styleId="Index1">
    <w:name w:val="index 1"/>
    <w:basedOn w:val="Normal"/>
    <w:next w:val="Normal"/>
    <w:autoRedefine/>
    <w:uiPriority w:val="99"/>
    <w:semiHidden/>
    <w:unhideWhenUsed/>
    <w:rsid w:val="00494B49"/>
    <w:pPr>
      <w:spacing w:after="0" w:line="240" w:lineRule="auto"/>
      <w:ind w:left="240" w:hanging="240"/>
    </w:pPr>
    <w:rPr>
      <w:rFonts w:ascii="Times New Roman" w:hAnsi="Times New Roman"/>
      <w:kern w:val="0"/>
      <w14:ligatures w14:val="none"/>
    </w:rPr>
  </w:style>
  <w:style w:type="character" w:customStyle="1" w:styleId="MessageHeaderChar">
    <w:name w:val="Message Header Char"/>
    <w:basedOn w:val="DefaultParagraphFont"/>
    <w:link w:val="MessageHeader"/>
    <w:uiPriority w:val="99"/>
    <w:semiHidden/>
    <w:rsid w:val="00494B49"/>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494B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kern w:val="0"/>
    </w:rPr>
  </w:style>
  <w:style w:type="character" w:customStyle="1" w:styleId="MessageHeaderChar1">
    <w:name w:val="Message Header Char1"/>
    <w:basedOn w:val="DefaultParagraphFont"/>
    <w:uiPriority w:val="99"/>
    <w:semiHidden/>
    <w:rsid w:val="00494B49"/>
    <w:rPr>
      <w:rFonts w:asciiTheme="majorHAnsi" w:eastAsiaTheme="majorEastAsia" w:hAnsiTheme="majorHAnsi" w:cstheme="majorBidi"/>
      <w:shd w:val="pct20" w:color="auto" w:fill="auto"/>
    </w:rPr>
  </w:style>
  <w:style w:type="paragraph" w:customStyle="1" w:styleId="TOCPage">
    <w:name w:val="TOC Page"/>
    <w:basedOn w:val="Normal"/>
    <w:next w:val="TOC1"/>
    <w:link w:val="TOCPageChar"/>
    <w:semiHidden/>
    <w:rsid w:val="00494B49"/>
    <w:pPr>
      <w:spacing w:before="240" w:after="0" w:line="240" w:lineRule="auto"/>
      <w:jc w:val="right"/>
    </w:pPr>
    <w:rPr>
      <w:rFonts w:ascii="Times New Roman" w:hAnsi="Times New Roman"/>
      <w:kern w:val="0"/>
      <w:sz w:val="20"/>
      <w:u w:val="single"/>
      <w14:ligatures w14:val="none"/>
    </w:rPr>
  </w:style>
  <w:style w:type="character" w:customStyle="1" w:styleId="TOCPageChar">
    <w:name w:val="TOC Page Char"/>
    <w:basedOn w:val="DefaultParagraphFont"/>
    <w:link w:val="TOCPage"/>
    <w:semiHidden/>
    <w:rsid w:val="00494B49"/>
    <w:rPr>
      <w:rFonts w:ascii="Times New Roman"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494B49"/>
    <w:rPr>
      <w:kern w:val="0"/>
      <w:sz w:val="20"/>
      <w:szCs w:val="20"/>
    </w:rPr>
  </w:style>
  <w:style w:type="paragraph" w:styleId="EndnoteText">
    <w:name w:val="endnote text"/>
    <w:basedOn w:val="Normal"/>
    <w:link w:val="EndnoteTextChar"/>
    <w:uiPriority w:val="99"/>
    <w:semiHidden/>
    <w:rsid w:val="00494B49"/>
    <w:pPr>
      <w:spacing w:after="0" w:line="240" w:lineRule="auto"/>
    </w:pPr>
    <w:rPr>
      <w:kern w:val="0"/>
      <w:sz w:val="20"/>
      <w:szCs w:val="20"/>
    </w:rPr>
  </w:style>
  <w:style w:type="character" w:customStyle="1" w:styleId="EndnoteTextChar1">
    <w:name w:val="Endnote Text Char1"/>
    <w:basedOn w:val="DefaultParagraphFont"/>
    <w:uiPriority w:val="99"/>
    <w:semiHidden/>
    <w:rsid w:val="00494B49"/>
    <w:rPr>
      <w:sz w:val="20"/>
      <w:szCs w:val="20"/>
    </w:rPr>
  </w:style>
  <w:style w:type="paragraph" w:styleId="List">
    <w:name w:val="List"/>
    <w:basedOn w:val="Normal"/>
    <w:uiPriority w:val="99"/>
    <w:semiHidden/>
    <w:unhideWhenUsed/>
    <w:rsid w:val="00494B49"/>
    <w:pPr>
      <w:spacing w:after="0" w:line="240" w:lineRule="auto"/>
      <w:ind w:left="360" w:hanging="360"/>
      <w:contextualSpacing/>
    </w:pPr>
    <w:rPr>
      <w:rFonts w:ascii="Times New Roman" w:hAnsi="Times New Roman"/>
      <w:kern w:val="0"/>
      <w14:ligatures w14:val="none"/>
    </w:rPr>
  </w:style>
  <w:style w:type="character" w:customStyle="1" w:styleId="ClosingChar">
    <w:name w:val="Closing Char"/>
    <w:basedOn w:val="DefaultParagraphFont"/>
    <w:link w:val="Closing"/>
    <w:uiPriority w:val="99"/>
    <w:semiHidden/>
    <w:rsid w:val="00494B49"/>
    <w:rPr>
      <w:kern w:val="0"/>
    </w:rPr>
  </w:style>
  <w:style w:type="paragraph" w:styleId="Closing">
    <w:name w:val="Closing"/>
    <w:basedOn w:val="Normal"/>
    <w:link w:val="ClosingChar"/>
    <w:uiPriority w:val="99"/>
    <w:semiHidden/>
    <w:unhideWhenUsed/>
    <w:rsid w:val="00494B49"/>
    <w:pPr>
      <w:spacing w:after="0" w:line="240" w:lineRule="auto"/>
      <w:ind w:left="4320"/>
    </w:pPr>
    <w:rPr>
      <w:kern w:val="0"/>
    </w:rPr>
  </w:style>
  <w:style w:type="character" w:customStyle="1" w:styleId="ClosingChar1">
    <w:name w:val="Closing Char1"/>
    <w:basedOn w:val="DefaultParagraphFont"/>
    <w:uiPriority w:val="99"/>
    <w:semiHidden/>
    <w:rsid w:val="00494B49"/>
  </w:style>
  <w:style w:type="character" w:customStyle="1" w:styleId="BodyTextIndentChar">
    <w:name w:val="Body Text Indent Char"/>
    <w:basedOn w:val="DefaultParagraphFont"/>
    <w:link w:val="BodyTextIndent"/>
    <w:semiHidden/>
    <w:rsid w:val="00494B49"/>
    <w:rPr>
      <w:kern w:val="0"/>
    </w:rPr>
  </w:style>
  <w:style w:type="paragraph" w:styleId="BodyTextIndent">
    <w:name w:val="Body Text Indent"/>
    <w:basedOn w:val="Normal"/>
    <w:link w:val="BodyTextIndentChar"/>
    <w:semiHidden/>
    <w:rsid w:val="00494B49"/>
    <w:pPr>
      <w:spacing w:after="120" w:line="240" w:lineRule="auto"/>
      <w:ind w:left="360"/>
    </w:pPr>
    <w:rPr>
      <w:kern w:val="0"/>
    </w:rPr>
  </w:style>
  <w:style w:type="character" w:customStyle="1" w:styleId="BodyTextIndentChar1">
    <w:name w:val="Body Text Indent Char1"/>
    <w:basedOn w:val="DefaultParagraphFont"/>
    <w:uiPriority w:val="99"/>
    <w:semiHidden/>
    <w:rsid w:val="00494B49"/>
  </w:style>
  <w:style w:type="character" w:customStyle="1" w:styleId="SalutationChar">
    <w:name w:val="Salutation Char"/>
    <w:basedOn w:val="DefaultParagraphFont"/>
    <w:link w:val="Salutation"/>
    <w:uiPriority w:val="99"/>
    <w:semiHidden/>
    <w:rsid w:val="00494B49"/>
    <w:rPr>
      <w:kern w:val="0"/>
    </w:rPr>
  </w:style>
  <w:style w:type="paragraph" w:styleId="Salutation">
    <w:name w:val="Salutation"/>
    <w:basedOn w:val="Normal"/>
    <w:next w:val="Normal"/>
    <w:link w:val="SalutationChar"/>
    <w:uiPriority w:val="99"/>
    <w:semiHidden/>
    <w:unhideWhenUsed/>
    <w:rsid w:val="00494B49"/>
    <w:pPr>
      <w:spacing w:after="0" w:line="240" w:lineRule="auto"/>
    </w:pPr>
    <w:rPr>
      <w:kern w:val="0"/>
    </w:rPr>
  </w:style>
  <w:style w:type="character" w:customStyle="1" w:styleId="SalutationChar1">
    <w:name w:val="Salutation Char1"/>
    <w:basedOn w:val="DefaultParagraphFont"/>
    <w:uiPriority w:val="99"/>
    <w:semiHidden/>
    <w:rsid w:val="00494B49"/>
  </w:style>
  <w:style w:type="character" w:customStyle="1" w:styleId="DateChar">
    <w:name w:val="Date Char"/>
    <w:basedOn w:val="DefaultParagraphFont"/>
    <w:link w:val="Date"/>
    <w:uiPriority w:val="99"/>
    <w:semiHidden/>
    <w:rsid w:val="00494B49"/>
    <w:rPr>
      <w:kern w:val="0"/>
    </w:rPr>
  </w:style>
  <w:style w:type="paragraph" w:styleId="Date">
    <w:name w:val="Date"/>
    <w:basedOn w:val="Normal"/>
    <w:next w:val="Normal"/>
    <w:link w:val="DateChar"/>
    <w:uiPriority w:val="99"/>
    <w:semiHidden/>
    <w:unhideWhenUsed/>
    <w:rsid w:val="00494B49"/>
    <w:pPr>
      <w:spacing w:after="0" w:line="240" w:lineRule="auto"/>
    </w:pPr>
    <w:rPr>
      <w:kern w:val="0"/>
    </w:rPr>
  </w:style>
  <w:style w:type="character" w:customStyle="1" w:styleId="DateChar1">
    <w:name w:val="Date Char1"/>
    <w:basedOn w:val="DefaultParagraphFont"/>
    <w:uiPriority w:val="99"/>
    <w:semiHidden/>
    <w:rsid w:val="00494B49"/>
  </w:style>
  <w:style w:type="character" w:customStyle="1" w:styleId="BodyTextFirstIndentChar">
    <w:name w:val="Body Text First Indent Char"/>
    <w:aliases w:val="Text of Statute Char"/>
    <w:basedOn w:val="BodyTextChar"/>
    <w:link w:val="BodyTextFirstIndent"/>
    <w:semiHidden/>
    <w:rsid w:val="00494B49"/>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494B49"/>
    <w:pPr>
      <w:spacing w:before="0" w:after="0"/>
      <w:ind w:firstLine="360"/>
    </w:pPr>
  </w:style>
  <w:style w:type="character" w:customStyle="1" w:styleId="BodyTextFirstIndentChar1">
    <w:name w:val="Body Text First Indent Char1"/>
    <w:basedOn w:val="BodyTextChar"/>
    <w:uiPriority w:val="99"/>
    <w:semiHidden/>
    <w:rsid w:val="00494B49"/>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494B49"/>
    <w:rPr>
      <w:kern w:val="0"/>
    </w:rPr>
  </w:style>
  <w:style w:type="paragraph" w:styleId="BodyTextFirstIndent2">
    <w:name w:val="Body Text First Indent 2"/>
    <w:basedOn w:val="BodyTextIndent"/>
    <w:link w:val="BodyTextFirstIndent2Char"/>
    <w:uiPriority w:val="99"/>
    <w:semiHidden/>
    <w:unhideWhenUsed/>
    <w:rsid w:val="00494B49"/>
    <w:pPr>
      <w:spacing w:after="0"/>
      <w:ind w:firstLine="360"/>
    </w:pPr>
  </w:style>
  <w:style w:type="character" w:customStyle="1" w:styleId="BodyTextFirstIndent2Char1">
    <w:name w:val="Body Text First Indent 2 Char1"/>
    <w:basedOn w:val="BodyTextIndentChar1"/>
    <w:uiPriority w:val="99"/>
    <w:semiHidden/>
    <w:rsid w:val="00494B49"/>
  </w:style>
  <w:style w:type="character" w:customStyle="1" w:styleId="NoteHeadingChar">
    <w:name w:val="Note Heading Char"/>
    <w:basedOn w:val="DefaultParagraphFont"/>
    <w:link w:val="NoteHeading"/>
    <w:uiPriority w:val="99"/>
    <w:semiHidden/>
    <w:rsid w:val="00494B49"/>
    <w:rPr>
      <w:kern w:val="0"/>
    </w:rPr>
  </w:style>
  <w:style w:type="paragraph" w:styleId="NoteHeading">
    <w:name w:val="Note Heading"/>
    <w:basedOn w:val="Normal"/>
    <w:next w:val="Normal"/>
    <w:link w:val="NoteHeadingChar"/>
    <w:uiPriority w:val="99"/>
    <w:semiHidden/>
    <w:unhideWhenUsed/>
    <w:rsid w:val="00494B49"/>
    <w:pPr>
      <w:spacing w:after="0" w:line="240" w:lineRule="auto"/>
    </w:pPr>
    <w:rPr>
      <w:kern w:val="0"/>
    </w:rPr>
  </w:style>
  <w:style w:type="character" w:customStyle="1" w:styleId="NoteHeadingChar1">
    <w:name w:val="Note Heading Char1"/>
    <w:basedOn w:val="DefaultParagraphFont"/>
    <w:uiPriority w:val="99"/>
    <w:semiHidden/>
    <w:rsid w:val="00494B49"/>
  </w:style>
  <w:style w:type="character" w:customStyle="1" w:styleId="BodyText2Char">
    <w:name w:val="Body Text 2 Char"/>
    <w:basedOn w:val="DefaultParagraphFont"/>
    <w:link w:val="BodyText2"/>
    <w:uiPriority w:val="99"/>
    <w:semiHidden/>
    <w:rsid w:val="00494B49"/>
    <w:rPr>
      <w:kern w:val="0"/>
    </w:rPr>
  </w:style>
  <w:style w:type="paragraph" w:styleId="BodyText2">
    <w:name w:val="Body Text 2"/>
    <w:basedOn w:val="Normal"/>
    <w:link w:val="BodyText2Char"/>
    <w:uiPriority w:val="99"/>
    <w:semiHidden/>
    <w:unhideWhenUsed/>
    <w:rsid w:val="00494B49"/>
    <w:pPr>
      <w:spacing w:after="120" w:line="480" w:lineRule="auto"/>
    </w:pPr>
    <w:rPr>
      <w:kern w:val="0"/>
    </w:rPr>
  </w:style>
  <w:style w:type="character" w:customStyle="1" w:styleId="BodyText2Char1">
    <w:name w:val="Body Text 2 Char1"/>
    <w:basedOn w:val="DefaultParagraphFont"/>
    <w:uiPriority w:val="99"/>
    <w:semiHidden/>
    <w:rsid w:val="00494B49"/>
  </w:style>
  <w:style w:type="character" w:customStyle="1" w:styleId="BodyText3Char">
    <w:name w:val="Body Text 3 Char"/>
    <w:basedOn w:val="DefaultParagraphFont"/>
    <w:link w:val="BodyText3"/>
    <w:uiPriority w:val="99"/>
    <w:semiHidden/>
    <w:rsid w:val="00494B49"/>
    <w:rPr>
      <w:kern w:val="0"/>
      <w:sz w:val="16"/>
      <w:szCs w:val="16"/>
    </w:rPr>
  </w:style>
  <w:style w:type="paragraph" w:styleId="BodyText3">
    <w:name w:val="Body Text 3"/>
    <w:basedOn w:val="Normal"/>
    <w:link w:val="BodyText3Char"/>
    <w:uiPriority w:val="99"/>
    <w:semiHidden/>
    <w:unhideWhenUsed/>
    <w:rsid w:val="00494B49"/>
    <w:pPr>
      <w:spacing w:after="120" w:line="240" w:lineRule="auto"/>
    </w:pPr>
    <w:rPr>
      <w:kern w:val="0"/>
      <w:sz w:val="16"/>
      <w:szCs w:val="16"/>
    </w:rPr>
  </w:style>
  <w:style w:type="character" w:customStyle="1" w:styleId="BodyText3Char1">
    <w:name w:val="Body Text 3 Char1"/>
    <w:basedOn w:val="DefaultParagraphFont"/>
    <w:uiPriority w:val="99"/>
    <w:semiHidden/>
    <w:rsid w:val="00494B49"/>
    <w:rPr>
      <w:sz w:val="16"/>
      <w:szCs w:val="16"/>
    </w:rPr>
  </w:style>
  <w:style w:type="character" w:customStyle="1" w:styleId="BodyTextIndent2Char">
    <w:name w:val="Body Text Indent 2 Char"/>
    <w:basedOn w:val="DefaultParagraphFont"/>
    <w:link w:val="BodyTextIndent2"/>
    <w:uiPriority w:val="99"/>
    <w:semiHidden/>
    <w:rsid w:val="00494B49"/>
    <w:rPr>
      <w:kern w:val="0"/>
    </w:rPr>
  </w:style>
  <w:style w:type="paragraph" w:styleId="BodyTextIndent2">
    <w:name w:val="Body Text Indent 2"/>
    <w:basedOn w:val="Normal"/>
    <w:link w:val="BodyTextIndent2Char"/>
    <w:uiPriority w:val="99"/>
    <w:semiHidden/>
    <w:unhideWhenUsed/>
    <w:rsid w:val="00494B49"/>
    <w:pPr>
      <w:spacing w:after="120" w:line="480" w:lineRule="auto"/>
      <w:ind w:left="360"/>
    </w:pPr>
    <w:rPr>
      <w:kern w:val="0"/>
    </w:rPr>
  </w:style>
  <w:style w:type="character" w:customStyle="1" w:styleId="BodyTextIndent2Char1">
    <w:name w:val="Body Text Indent 2 Char1"/>
    <w:basedOn w:val="DefaultParagraphFont"/>
    <w:uiPriority w:val="99"/>
    <w:semiHidden/>
    <w:rsid w:val="00494B49"/>
  </w:style>
  <w:style w:type="character" w:customStyle="1" w:styleId="BodyTextIndent3Char">
    <w:name w:val="Body Text Indent 3 Char"/>
    <w:basedOn w:val="DefaultParagraphFont"/>
    <w:link w:val="BodyTextIndent3"/>
    <w:uiPriority w:val="99"/>
    <w:semiHidden/>
    <w:rsid w:val="00494B49"/>
    <w:rPr>
      <w:kern w:val="0"/>
      <w:sz w:val="16"/>
      <w:szCs w:val="16"/>
    </w:rPr>
  </w:style>
  <w:style w:type="paragraph" w:styleId="BodyTextIndent3">
    <w:name w:val="Body Text Indent 3"/>
    <w:basedOn w:val="Normal"/>
    <w:link w:val="BodyTextIndent3Char"/>
    <w:uiPriority w:val="99"/>
    <w:semiHidden/>
    <w:unhideWhenUsed/>
    <w:rsid w:val="00494B49"/>
    <w:pPr>
      <w:spacing w:after="120" w:line="240" w:lineRule="auto"/>
      <w:ind w:left="360"/>
    </w:pPr>
    <w:rPr>
      <w:kern w:val="0"/>
      <w:sz w:val="16"/>
      <w:szCs w:val="16"/>
    </w:rPr>
  </w:style>
  <w:style w:type="character" w:customStyle="1" w:styleId="BodyTextIndent3Char1">
    <w:name w:val="Body Text Indent 3 Char1"/>
    <w:basedOn w:val="DefaultParagraphFont"/>
    <w:uiPriority w:val="99"/>
    <w:semiHidden/>
    <w:rsid w:val="00494B49"/>
    <w:rPr>
      <w:sz w:val="16"/>
      <w:szCs w:val="16"/>
    </w:rPr>
  </w:style>
  <w:style w:type="character" w:customStyle="1" w:styleId="PlainTextChar">
    <w:name w:val="Plain Text Char"/>
    <w:basedOn w:val="DefaultParagraphFont"/>
    <w:link w:val="PlainText"/>
    <w:uiPriority w:val="99"/>
    <w:semiHidden/>
    <w:rsid w:val="00494B49"/>
    <w:rPr>
      <w:rFonts w:ascii="Consolas" w:hAnsi="Consolas"/>
      <w:kern w:val="0"/>
      <w:sz w:val="21"/>
      <w:szCs w:val="21"/>
    </w:rPr>
  </w:style>
  <w:style w:type="paragraph" w:styleId="PlainText">
    <w:name w:val="Plain Text"/>
    <w:basedOn w:val="Normal"/>
    <w:link w:val="PlainTextChar"/>
    <w:uiPriority w:val="99"/>
    <w:semiHidden/>
    <w:rsid w:val="00494B49"/>
    <w:pPr>
      <w:spacing w:after="0" w:line="240" w:lineRule="auto"/>
    </w:pPr>
    <w:rPr>
      <w:rFonts w:ascii="Consolas" w:hAnsi="Consolas"/>
      <w:kern w:val="0"/>
      <w:sz w:val="21"/>
      <w:szCs w:val="21"/>
    </w:rPr>
  </w:style>
  <w:style w:type="character" w:customStyle="1" w:styleId="PlainTextChar1">
    <w:name w:val="Plain Text Char1"/>
    <w:basedOn w:val="DefaultParagraphFont"/>
    <w:uiPriority w:val="99"/>
    <w:semiHidden/>
    <w:rsid w:val="00494B49"/>
    <w:rPr>
      <w:rFonts w:ascii="Consolas" w:hAnsi="Consolas"/>
      <w:sz w:val="21"/>
      <w:szCs w:val="21"/>
    </w:rPr>
  </w:style>
  <w:style w:type="character" w:customStyle="1" w:styleId="E-mailSignatureChar">
    <w:name w:val="E-mail Signature Char"/>
    <w:basedOn w:val="DefaultParagraphFont"/>
    <w:link w:val="E-mailSignature"/>
    <w:uiPriority w:val="99"/>
    <w:semiHidden/>
    <w:rsid w:val="00494B49"/>
    <w:rPr>
      <w:kern w:val="0"/>
    </w:rPr>
  </w:style>
  <w:style w:type="paragraph" w:styleId="E-mailSignature">
    <w:name w:val="E-mail Signature"/>
    <w:basedOn w:val="Normal"/>
    <w:link w:val="E-mailSignatureChar"/>
    <w:uiPriority w:val="99"/>
    <w:semiHidden/>
    <w:unhideWhenUsed/>
    <w:rsid w:val="00494B49"/>
    <w:pPr>
      <w:spacing w:after="0" w:line="240" w:lineRule="auto"/>
    </w:pPr>
    <w:rPr>
      <w:kern w:val="0"/>
    </w:rPr>
  </w:style>
  <w:style w:type="character" w:customStyle="1" w:styleId="E-mailSignatureChar1">
    <w:name w:val="E-mail Signature Char1"/>
    <w:basedOn w:val="DefaultParagraphFont"/>
    <w:uiPriority w:val="99"/>
    <w:semiHidden/>
    <w:rsid w:val="00494B49"/>
  </w:style>
  <w:style w:type="paragraph" w:styleId="NormalWeb">
    <w:name w:val="Normal (Web)"/>
    <w:basedOn w:val="Normal"/>
    <w:semiHidden/>
    <w:rsid w:val="00494B49"/>
    <w:pPr>
      <w:spacing w:after="0" w:line="240" w:lineRule="auto"/>
    </w:pPr>
    <w:rPr>
      <w:rFonts w:ascii="Times New Roman" w:hAnsi="Times New Roman" w:cs="Times New Roman"/>
      <w:kern w:val="0"/>
      <w14:ligatures w14:val="none"/>
    </w:rPr>
  </w:style>
  <w:style w:type="character" w:customStyle="1" w:styleId="HTMLAddressChar">
    <w:name w:val="HTML Address Char"/>
    <w:basedOn w:val="DefaultParagraphFont"/>
    <w:link w:val="HTMLAddress"/>
    <w:uiPriority w:val="99"/>
    <w:semiHidden/>
    <w:rsid w:val="00494B49"/>
    <w:rPr>
      <w:i/>
      <w:iCs/>
      <w:kern w:val="0"/>
    </w:rPr>
  </w:style>
  <w:style w:type="paragraph" w:styleId="HTMLAddress">
    <w:name w:val="HTML Address"/>
    <w:basedOn w:val="Normal"/>
    <w:link w:val="HTMLAddressChar"/>
    <w:uiPriority w:val="99"/>
    <w:semiHidden/>
    <w:unhideWhenUsed/>
    <w:rsid w:val="00494B49"/>
    <w:pPr>
      <w:spacing w:after="0" w:line="240" w:lineRule="auto"/>
    </w:pPr>
    <w:rPr>
      <w:i/>
      <w:iCs/>
      <w:kern w:val="0"/>
    </w:rPr>
  </w:style>
  <w:style w:type="character" w:customStyle="1" w:styleId="HTMLAddressChar1">
    <w:name w:val="HTML Address Char1"/>
    <w:basedOn w:val="DefaultParagraphFont"/>
    <w:uiPriority w:val="99"/>
    <w:semiHidden/>
    <w:rsid w:val="00494B49"/>
    <w:rPr>
      <w:i/>
      <w:iCs/>
    </w:rPr>
  </w:style>
  <w:style w:type="character" w:customStyle="1" w:styleId="HTMLPreformattedChar">
    <w:name w:val="HTML Preformatted Char"/>
    <w:basedOn w:val="DefaultParagraphFont"/>
    <w:link w:val="HTMLPreformatted"/>
    <w:uiPriority w:val="99"/>
    <w:semiHidden/>
    <w:rsid w:val="00494B49"/>
    <w:rPr>
      <w:rFonts w:ascii="Consolas" w:hAnsi="Consolas"/>
      <w:kern w:val="0"/>
      <w:sz w:val="20"/>
      <w:szCs w:val="20"/>
    </w:rPr>
  </w:style>
  <w:style w:type="paragraph" w:styleId="HTMLPreformatted">
    <w:name w:val="HTML Preformatted"/>
    <w:basedOn w:val="Normal"/>
    <w:link w:val="HTMLPreformattedChar"/>
    <w:uiPriority w:val="99"/>
    <w:semiHidden/>
    <w:unhideWhenUsed/>
    <w:rsid w:val="00494B49"/>
    <w:pPr>
      <w:spacing w:after="0" w:line="240" w:lineRule="auto"/>
    </w:pPr>
    <w:rPr>
      <w:rFonts w:ascii="Consolas" w:hAnsi="Consolas"/>
      <w:kern w:val="0"/>
      <w:sz w:val="20"/>
      <w:szCs w:val="20"/>
    </w:rPr>
  </w:style>
  <w:style w:type="character" w:customStyle="1" w:styleId="HTMLPreformattedChar1">
    <w:name w:val="HTML Preformatted Char1"/>
    <w:basedOn w:val="DefaultParagraphFont"/>
    <w:uiPriority w:val="99"/>
    <w:semiHidden/>
    <w:rsid w:val="00494B49"/>
    <w:rPr>
      <w:rFonts w:ascii="Consolas" w:hAnsi="Consolas"/>
      <w:sz w:val="20"/>
      <w:szCs w:val="20"/>
    </w:rPr>
  </w:style>
  <w:style w:type="character" w:customStyle="1" w:styleId="CommentSubjectChar">
    <w:name w:val="Comment Subject Char"/>
    <w:basedOn w:val="CommentTextChar"/>
    <w:link w:val="CommentSubject"/>
    <w:uiPriority w:val="99"/>
    <w:semiHidden/>
    <w:rsid w:val="00494B49"/>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uiPriority w:val="99"/>
    <w:semiHidden/>
    <w:rsid w:val="00494B49"/>
    <w:pPr>
      <w:spacing w:before="0"/>
    </w:pPr>
  </w:style>
  <w:style w:type="character" w:customStyle="1" w:styleId="CommentSubjectChar1">
    <w:name w:val="Comment Subject Char1"/>
    <w:basedOn w:val="CommentTextChar"/>
    <w:uiPriority w:val="99"/>
    <w:semiHidden/>
    <w:rsid w:val="00494B49"/>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494B49"/>
    <w:rPr>
      <w:b/>
      <w:bCs/>
      <w:smallCaps/>
      <w:spacing w:val="5"/>
    </w:rPr>
  </w:style>
  <w:style w:type="paragraph" w:customStyle="1" w:styleId="Initials">
    <w:name w:val="Initials"/>
    <w:basedOn w:val="Normal"/>
    <w:uiPriority w:val="99"/>
    <w:semiHidden/>
    <w:rsid w:val="00494B49"/>
    <w:pPr>
      <w:spacing w:before="240" w:after="0" w:line="240" w:lineRule="auto"/>
      <w:contextualSpacing/>
    </w:pPr>
    <w:rPr>
      <w:rFonts w:ascii="Times New Roman" w:eastAsia="Times New Roman" w:hAnsi="Times New Roman" w:cs="Times New Roman"/>
      <w:kern w:val="0"/>
      <w14:ligatures w14:val="none"/>
    </w:rPr>
  </w:style>
  <w:style w:type="character" w:customStyle="1" w:styleId="emphi1">
    <w:name w:val="emphi1"/>
    <w:basedOn w:val="DefaultParagraphFont"/>
    <w:semiHidden/>
    <w:rsid w:val="00494B49"/>
    <w:rPr>
      <w:i/>
      <w:iCs/>
    </w:rPr>
  </w:style>
  <w:style w:type="character" w:customStyle="1" w:styleId="emph-i">
    <w:name w:val="emph-i"/>
    <w:basedOn w:val="DefaultParagraphFont"/>
    <w:semiHidden/>
    <w:rsid w:val="00494B49"/>
    <w:rPr>
      <w:i/>
      <w:iCs/>
    </w:rPr>
  </w:style>
  <w:style w:type="paragraph" w:customStyle="1" w:styleId="BLevel1">
    <w:name w:val="BLevel1"/>
    <w:basedOn w:val="BNormal"/>
    <w:link w:val="BLevel1Char"/>
    <w:qFormat/>
    <w:rsid w:val="00494B49"/>
    <w:pPr>
      <w:outlineLvl w:val="0"/>
    </w:pPr>
    <w:rPr>
      <w:b/>
    </w:rPr>
  </w:style>
  <w:style w:type="character" w:customStyle="1" w:styleId="BLevel1Char">
    <w:name w:val="BLevel1 Char"/>
    <w:basedOn w:val="BNormalChar"/>
    <w:link w:val="BLevel1"/>
    <w:rsid w:val="00494B49"/>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494B49"/>
    <w:pPr>
      <w:ind w:left="720"/>
      <w:outlineLvl w:val="1"/>
    </w:pPr>
  </w:style>
  <w:style w:type="character" w:customStyle="1" w:styleId="BLevel2Char">
    <w:name w:val="BLevel2 Char"/>
    <w:basedOn w:val="BNormalChar"/>
    <w:link w:val="BLevel2"/>
    <w:rsid w:val="00494B49"/>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494B49"/>
    <w:pPr>
      <w:ind w:left="1440"/>
      <w:outlineLvl w:val="2"/>
    </w:pPr>
  </w:style>
  <w:style w:type="character" w:customStyle="1" w:styleId="BLevel3Char">
    <w:name w:val="BLevel3 Char"/>
    <w:basedOn w:val="BNormalChar"/>
    <w:link w:val="BLevel3"/>
    <w:rsid w:val="00494B49"/>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494B49"/>
    <w:pPr>
      <w:ind w:left="2160"/>
      <w:outlineLvl w:val="3"/>
    </w:pPr>
  </w:style>
  <w:style w:type="character" w:customStyle="1" w:styleId="BLevel4Char">
    <w:name w:val="BLevel4 Char"/>
    <w:basedOn w:val="BNormalChar"/>
    <w:link w:val="BLevel4"/>
    <w:rsid w:val="00494B49"/>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494B49"/>
    <w:pPr>
      <w:ind w:left="2880"/>
      <w:outlineLvl w:val="4"/>
    </w:pPr>
  </w:style>
  <w:style w:type="character" w:customStyle="1" w:styleId="BLevel5Char">
    <w:name w:val="BLevel5 Char"/>
    <w:basedOn w:val="BNormalChar"/>
    <w:link w:val="BLevel5"/>
    <w:rsid w:val="00494B49"/>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494B49"/>
    <w:pPr>
      <w:ind w:left="3600"/>
      <w:outlineLvl w:val="5"/>
    </w:pPr>
  </w:style>
  <w:style w:type="character" w:customStyle="1" w:styleId="BLevel6Char">
    <w:name w:val="BLevel6 Char"/>
    <w:basedOn w:val="DefaultParagraphFont"/>
    <w:link w:val="BLevel6"/>
    <w:rsid w:val="00494B49"/>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494B49"/>
    <w:pPr>
      <w:spacing w:before="240" w:after="100" w:line="240" w:lineRule="auto"/>
      <w:ind w:left="240"/>
    </w:pPr>
    <w:rPr>
      <w:rFonts w:ascii="Times New Roman" w:hAnsi="Times New Roman" w:cs="Times New Roman"/>
      <w:kern w:val="24"/>
      <w:lang w:bidi="en-US"/>
      <w14:ligatures w14:val="none"/>
    </w:rPr>
  </w:style>
  <w:style w:type="paragraph" w:styleId="TOC3">
    <w:name w:val="toc 3"/>
    <w:basedOn w:val="Normal"/>
    <w:next w:val="Normal"/>
    <w:autoRedefine/>
    <w:semiHidden/>
    <w:qFormat/>
    <w:rsid w:val="00494B49"/>
    <w:pPr>
      <w:spacing w:before="240" w:after="100" w:line="240" w:lineRule="auto"/>
      <w:ind w:left="480"/>
    </w:pPr>
    <w:rPr>
      <w:rFonts w:ascii="Times New Roman" w:hAnsi="Times New Roman" w:cs="Times New Roman"/>
      <w:kern w:val="24"/>
      <w:lang w:bidi="en-US"/>
      <w14:ligatures w14:val="none"/>
    </w:rPr>
  </w:style>
  <w:style w:type="paragraph" w:styleId="TOC4">
    <w:name w:val="toc 4"/>
    <w:basedOn w:val="Normal"/>
    <w:next w:val="Normal"/>
    <w:autoRedefine/>
    <w:uiPriority w:val="39"/>
    <w:semiHidden/>
    <w:rsid w:val="00494B49"/>
    <w:pPr>
      <w:spacing w:before="240" w:after="100" w:line="240" w:lineRule="auto"/>
      <w:ind w:left="720"/>
    </w:pPr>
    <w:rPr>
      <w:rFonts w:ascii="Times New Roman" w:hAnsi="Times New Roman" w:cs="Times New Roman"/>
      <w:kern w:val="24"/>
      <w:lang w:bidi="en-US"/>
      <w14:ligatures w14:val="none"/>
    </w:rPr>
  </w:style>
  <w:style w:type="paragraph" w:customStyle="1" w:styleId="Style1">
    <w:name w:val="Style1"/>
    <w:basedOn w:val="Normal"/>
    <w:semiHidden/>
    <w:qFormat/>
    <w:rsid w:val="00494B49"/>
    <w:pPr>
      <w:spacing w:after="0" w:line="240" w:lineRule="auto"/>
      <w:jc w:val="both"/>
    </w:pPr>
    <w:rPr>
      <w:rFonts w:ascii="Times New Roman" w:eastAsia="Calibri" w:hAnsi="Times New Roman" w:cs="Times New Roman"/>
      <w:bCs/>
      <w:kern w:val="0"/>
      <w:lang w:eastAsia="da-DK"/>
      <w14:ligatures w14:val="none"/>
    </w:rPr>
  </w:style>
  <w:style w:type="character" w:customStyle="1" w:styleId="BCautionhead">
    <w:name w:val="BCaution_head"/>
    <w:basedOn w:val="BCommenthead"/>
    <w:uiPriority w:val="1"/>
    <w:qFormat/>
    <w:rsid w:val="00494B49"/>
    <w:rPr>
      <w:b/>
    </w:rPr>
  </w:style>
  <w:style w:type="paragraph" w:customStyle="1" w:styleId="BCautionpara">
    <w:name w:val="BCaution_para"/>
    <w:basedOn w:val="BCommentpara"/>
    <w:link w:val="BCautionparaChar"/>
    <w:qFormat/>
    <w:rsid w:val="00494B49"/>
  </w:style>
  <w:style w:type="character" w:customStyle="1" w:styleId="BCautionparaChar">
    <w:name w:val="BCaution_para Char"/>
    <w:basedOn w:val="BCommentparaChar"/>
    <w:link w:val="BCautionpara"/>
    <w:rsid w:val="00494B49"/>
    <w:rPr>
      <w:rFonts w:ascii="Times New Roman" w:hAnsi="Times New Roman" w:cs="Times New Roman"/>
      <w:kern w:val="24"/>
      <w:lang w:bidi="en-US"/>
      <w14:ligatures w14:val="none"/>
    </w:rPr>
  </w:style>
  <w:style w:type="paragraph" w:customStyle="1" w:styleId="Default">
    <w:name w:val="Default"/>
    <w:semiHidden/>
    <w:rsid w:val="00494B49"/>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apple-converted-space">
    <w:name w:val="apple-converted-space"/>
    <w:basedOn w:val="DefaultParagraphFont"/>
    <w:semiHidden/>
    <w:rsid w:val="00494B49"/>
    <w:rPr>
      <w:rFonts w:cs="Times New Roman"/>
    </w:rPr>
  </w:style>
  <w:style w:type="paragraph" w:customStyle="1" w:styleId="rvps2">
    <w:name w:val="rvps2"/>
    <w:basedOn w:val="Normal"/>
    <w:semiHidden/>
    <w:rsid w:val="00494B49"/>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FollowedHyperlink">
    <w:name w:val="FollowedHyperlink"/>
    <w:basedOn w:val="DefaultParagraphFont"/>
    <w:uiPriority w:val="99"/>
    <w:semiHidden/>
    <w:unhideWhenUsed/>
    <w:rsid w:val="00494B49"/>
    <w:rPr>
      <w:rFonts w:cs="Times New Roman"/>
      <w:color w:val="96607D" w:themeColor="followedHyperlink"/>
      <w:u w:val="single"/>
    </w:rPr>
  </w:style>
  <w:style w:type="character" w:styleId="Strong">
    <w:name w:val="Strong"/>
    <w:basedOn w:val="DefaultParagraphFont"/>
    <w:uiPriority w:val="22"/>
    <w:qFormat/>
    <w:rsid w:val="00494B49"/>
    <w:rPr>
      <w:rFonts w:cs="Times New Roman"/>
      <w:b/>
      <w:bCs/>
    </w:rPr>
  </w:style>
  <w:style w:type="paragraph" w:customStyle="1" w:styleId="c2">
    <w:name w:val="c2"/>
    <w:basedOn w:val="Normal"/>
    <w:semiHidden/>
    <w:rsid w:val="00494B49"/>
    <w:pPr>
      <w:spacing w:before="100" w:beforeAutospacing="1" w:after="100" w:afterAutospacing="1" w:line="240" w:lineRule="auto"/>
    </w:pPr>
    <w:rPr>
      <w:rFonts w:ascii="Times New Roman" w:eastAsiaTheme="minorEastAsia" w:hAnsi="Times New Roman" w:cs="Times New Roman"/>
      <w:kern w:val="0"/>
      <w:lang w:val="cs-CZ" w:eastAsia="cs-CZ"/>
      <w14:ligatures w14:val="none"/>
    </w:rPr>
  </w:style>
  <w:style w:type="paragraph" w:customStyle="1" w:styleId="hp">
    <w:name w:val="hp"/>
    <w:basedOn w:val="Normal"/>
    <w:semiHidden/>
    <w:rsid w:val="00494B49"/>
    <w:pPr>
      <w:spacing w:before="100" w:beforeAutospacing="1" w:after="100" w:afterAutospacing="1" w:line="240" w:lineRule="auto"/>
    </w:pPr>
    <w:rPr>
      <w:rFonts w:ascii="Times New Roman" w:eastAsiaTheme="minorEastAsia" w:hAnsi="Times New Roman" w:cs="Times New Roman"/>
      <w:kern w:val="0"/>
      <w:lang w:val="cs-CZ" w:eastAsia="cs-CZ"/>
      <w14:ligatures w14:val="none"/>
    </w:rPr>
  </w:style>
  <w:style w:type="paragraph" w:customStyle="1" w:styleId="Body">
    <w:name w:val="Body"/>
    <w:semiHidden/>
    <w:rsid w:val="00494B49"/>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eastAsiaTheme="minorEastAsia"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494B49"/>
    <w:rPr>
      <w:sz w:val="22"/>
      <w:szCs w:val="22"/>
    </w:rPr>
  </w:style>
  <w:style w:type="table" w:styleId="ColorfulGrid-Accent1">
    <w:name w:val="Colorful Grid Accent 1"/>
    <w:basedOn w:val="TableNormal"/>
    <w:link w:val="ColorfulGrid-Accent1Char"/>
    <w:uiPriority w:val="29"/>
    <w:semiHidden/>
    <w:unhideWhenUsed/>
    <w:rsid w:val="00494B49"/>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494B49"/>
    <w:pPr>
      <w:ind w:left="720"/>
    </w:pPr>
    <w:rPr>
      <w:sz w:val="20"/>
      <w:szCs w:val="20"/>
    </w:rPr>
  </w:style>
  <w:style w:type="paragraph" w:customStyle="1" w:styleId="BSourceExtractHead">
    <w:name w:val="BSourceExtract_Head"/>
    <w:basedOn w:val="BSourceExtract"/>
    <w:rsid w:val="00494B49"/>
    <w:rPr>
      <w:b/>
    </w:rPr>
  </w:style>
  <w:style w:type="paragraph" w:customStyle="1" w:styleId="HBNORMAL">
    <w:name w:val="HBNORMAL"/>
    <w:aliases w:val="NL"/>
    <w:semiHidden/>
    <w:rsid w:val="00494B49"/>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494B49"/>
    <w:rPr>
      <w:rFonts w:ascii="Verdana" w:hAnsi="Verdana"/>
      <w:color w:val="0000FF"/>
      <w:sz w:val="24"/>
      <w:vertAlign w:val="superscript"/>
    </w:rPr>
  </w:style>
  <w:style w:type="paragraph" w:styleId="ListBullet">
    <w:name w:val="List Bullet"/>
    <w:basedOn w:val="Normal"/>
    <w:semiHidden/>
    <w:rsid w:val="00494B49"/>
    <w:pPr>
      <w:widowControl w:val="0"/>
      <w:numPr>
        <w:numId w:val="3"/>
      </w:numPr>
      <w:spacing w:after="120" w:line="300" w:lineRule="atLeast"/>
      <w:ind w:right="360"/>
      <w:jc w:val="both"/>
    </w:pPr>
    <w:rPr>
      <w:rFonts w:ascii="Verdana" w:eastAsia="Times New Roman" w:hAnsi="Verdana" w:cs="Times New Roman"/>
      <w:kern w:val="0"/>
      <w14:ligatures w14:val="none"/>
    </w:rPr>
  </w:style>
  <w:style w:type="paragraph" w:styleId="ListBullet2">
    <w:name w:val="List Bullet 2"/>
    <w:basedOn w:val="ListBullet"/>
    <w:semiHidden/>
    <w:rsid w:val="00494B49"/>
    <w:pPr>
      <w:numPr>
        <w:ilvl w:val="1"/>
      </w:numPr>
      <w:ind w:right="0"/>
    </w:pPr>
  </w:style>
  <w:style w:type="character" w:customStyle="1" w:styleId="Level1TopicChar">
    <w:name w:val="Level 1 Topic Char"/>
    <w:basedOn w:val="DefaultParagraphFont"/>
    <w:link w:val="Level1Topic"/>
    <w:semiHidden/>
    <w:rsid w:val="00494B49"/>
    <w:rPr>
      <w:rFonts w:ascii="Arial" w:hAnsi="Arial" w:cs="Arial"/>
      <w:b/>
      <w:bCs/>
      <w:sz w:val="36"/>
      <w:szCs w:val="36"/>
    </w:rPr>
  </w:style>
  <w:style w:type="character" w:customStyle="1" w:styleId="LawNoteTitleChar">
    <w:name w:val="LawNote Title Char"/>
    <w:basedOn w:val="DefaultParagraphFont"/>
    <w:link w:val="LawNoteTitle"/>
    <w:semiHidden/>
    <w:rsid w:val="00494B49"/>
    <w:rPr>
      <w:rFonts w:ascii="Arial" w:hAnsi="Arial" w:cs="Arial"/>
      <w:b/>
      <w:color w:val="3C71A5"/>
      <w:sz w:val="32"/>
      <w:szCs w:val="32"/>
    </w:rPr>
  </w:style>
  <w:style w:type="character" w:styleId="PageNumber">
    <w:name w:val="page number"/>
    <w:basedOn w:val="DefaultParagraphFont"/>
    <w:semiHidden/>
    <w:rsid w:val="00494B49"/>
  </w:style>
  <w:style w:type="paragraph" w:customStyle="1" w:styleId="CitationNote">
    <w:name w:val="CitationNote"/>
    <w:basedOn w:val="Heading2"/>
    <w:semiHidden/>
    <w:rsid w:val="00494B49"/>
    <w:pPr>
      <w:spacing w:before="200" w:after="0" w:line="240" w:lineRule="auto"/>
    </w:pPr>
    <w:rPr>
      <w:rFonts w:ascii="Times New Roman" w:hAnsi="Times New Roman" w:cs="Times New Roman"/>
      <w:b/>
      <w:bCs/>
      <w:color w:val="77206D" w:themeColor="accent5" w:themeShade="BF"/>
      <w:kern w:val="24"/>
      <w:sz w:val="24"/>
      <w:szCs w:val="26"/>
      <w14:ligatures w14:val="none"/>
    </w:rPr>
  </w:style>
  <w:style w:type="paragraph" w:customStyle="1" w:styleId="BCitationNote">
    <w:name w:val="BCitationNote"/>
    <w:rsid w:val="00494B49"/>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494B49"/>
    <w:pPr>
      <w:tabs>
        <w:tab w:val="clear" w:pos="4680"/>
        <w:tab w:val="clear" w:pos="9360"/>
      </w:tabs>
    </w:pPr>
    <w:rPr>
      <w:rFonts w:ascii="Times New Roman" w:eastAsia="Times New Roman" w:hAnsi="Times New Roman" w:cs="Times New Roman"/>
      <w:kern w:val="0"/>
      <w:sz w:val="16"/>
      <w:szCs w:val="20"/>
      <w14:ligatures w14:val="none"/>
    </w:rPr>
  </w:style>
  <w:style w:type="paragraph" w:customStyle="1" w:styleId="Heading">
    <w:name w:val="Heading"/>
    <w:basedOn w:val="Normal"/>
    <w:semiHidden/>
    <w:rsid w:val="00494B49"/>
    <w:pPr>
      <w:spacing w:after="240" w:line="240" w:lineRule="auto"/>
    </w:pPr>
    <w:rPr>
      <w:rFonts w:ascii="Times New Roman" w:eastAsia="Times New Roman" w:hAnsi="Times New Roman" w:cs="Times New Roman"/>
      <w:kern w:val="0"/>
      <w:szCs w:val="20"/>
      <w14:ligatures w14:val="none"/>
    </w:rPr>
  </w:style>
  <w:style w:type="paragraph" w:customStyle="1" w:styleId="heading1notoc">
    <w:name w:val="heading 1 (no toc)"/>
    <w:basedOn w:val="Heading1"/>
    <w:next w:val="Normal"/>
    <w:link w:val="heading1notocChar"/>
    <w:semiHidden/>
    <w:rsid w:val="00494B49"/>
    <w:pPr>
      <w:keepNext w:val="0"/>
      <w:keepLines w:val="0"/>
      <w:spacing w:before="0" w:after="240" w:line="240" w:lineRule="auto"/>
      <w:outlineLvl w:val="9"/>
    </w:pPr>
    <w:rPr>
      <w:rFonts w:ascii="Times New Roman" w:eastAsia="Times New Roman" w:hAnsi="Times New Roman" w:cs="Times New Roman"/>
      <w:kern w:val="0"/>
      <w:szCs w:val="20"/>
      <w14:ligatures w14:val="none"/>
    </w:rPr>
  </w:style>
  <w:style w:type="paragraph" w:customStyle="1" w:styleId="heading2notoc">
    <w:name w:val="heading 2 (no toc)"/>
    <w:basedOn w:val="Heading2"/>
    <w:next w:val="Normal"/>
    <w:semiHidden/>
    <w:rsid w:val="00494B49"/>
    <w:pPr>
      <w:keepNext w:val="0"/>
      <w:keepLines w:val="0"/>
      <w:spacing w:before="0" w:after="240" w:line="240" w:lineRule="auto"/>
      <w:outlineLvl w:val="9"/>
    </w:pPr>
    <w:rPr>
      <w:rFonts w:ascii="Times New Roman" w:eastAsia="Times New Roman" w:hAnsi="Times New Roman" w:cs="Times New Roman"/>
      <w:color w:val="auto"/>
      <w:kern w:val="0"/>
      <w:sz w:val="24"/>
      <w:szCs w:val="20"/>
      <w14:ligatures w14:val="none"/>
    </w:rPr>
  </w:style>
  <w:style w:type="paragraph" w:customStyle="1" w:styleId="heading3notoc">
    <w:name w:val="heading 3 (no toc)"/>
    <w:basedOn w:val="Heading3"/>
    <w:next w:val="Normal"/>
    <w:semiHidden/>
    <w:rsid w:val="00494B49"/>
    <w:pPr>
      <w:keepNext w:val="0"/>
      <w:keepLines w:val="0"/>
      <w:spacing w:before="0" w:after="240" w:line="240" w:lineRule="auto"/>
      <w:outlineLvl w:val="9"/>
    </w:pPr>
    <w:rPr>
      <w:rFonts w:ascii="Times New Roman" w:eastAsia="Times New Roman" w:hAnsi="Times New Roman" w:cs="Times New Roman"/>
      <w:color w:val="auto"/>
      <w:kern w:val="0"/>
      <w:sz w:val="24"/>
      <w:szCs w:val="20"/>
      <w14:ligatures w14:val="none"/>
    </w:rPr>
  </w:style>
  <w:style w:type="paragraph" w:customStyle="1" w:styleId="heading4notoc">
    <w:name w:val="heading 4 (no toc)"/>
    <w:basedOn w:val="Heading4"/>
    <w:next w:val="Normal"/>
    <w:semiHidden/>
    <w:rsid w:val="00494B49"/>
    <w:pPr>
      <w:keepNext w:val="0"/>
      <w:keepLines w:val="0"/>
      <w:spacing w:before="0" w:after="240" w:line="240" w:lineRule="auto"/>
      <w:outlineLvl w:val="9"/>
    </w:pPr>
    <w:rPr>
      <w:rFonts w:ascii="Times New Roman" w:eastAsia="Times New Roman" w:hAnsi="Times New Roman" w:cs="Times New Roman"/>
      <w:i w:val="0"/>
      <w:iCs w:val="0"/>
      <w:color w:val="auto"/>
      <w:kern w:val="0"/>
      <w:szCs w:val="20"/>
      <w14:ligatures w14:val="none"/>
    </w:rPr>
  </w:style>
  <w:style w:type="paragraph" w:customStyle="1" w:styleId="heading5notoc">
    <w:name w:val="heading 5 (no toc)"/>
    <w:basedOn w:val="Heading5"/>
    <w:next w:val="Normal"/>
    <w:semiHidden/>
    <w:rsid w:val="00494B49"/>
    <w:pPr>
      <w:keepNext w:val="0"/>
      <w:keepLines w:val="0"/>
      <w:spacing w:before="0" w:after="240" w:line="240" w:lineRule="auto"/>
      <w:outlineLvl w:val="9"/>
    </w:pPr>
    <w:rPr>
      <w:rFonts w:ascii="Times New Roman" w:eastAsia="Times New Roman" w:hAnsi="Times New Roman" w:cs="Times New Roman"/>
      <w:color w:val="auto"/>
      <w:kern w:val="0"/>
      <w:szCs w:val="20"/>
      <w14:ligatures w14:val="none"/>
    </w:rPr>
  </w:style>
  <w:style w:type="paragraph" w:customStyle="1" w:styleId="Quote1">
    <w:name w:val="Quote1"/>
    <w:aliases w:val="q"/>
    <w:basedOn w:val="Normal"/>
    <w:next w:val="QuoteContinued"/>
    <w:semiHidden/>
    <w:rsid w:val="00494B49"/>
    <w:pPr>
      <w:spacing w:before="240" w:after="0" w:line="240" w:lineRule="auto"/>
      <w:ind w:left="1440" w:right="1440"/>
    </w:pPr>
    <w:rPr>
      <w:rFonts w:ascii="Times New Roman" w:eastAsia="Times New Roman" w:hAnsi="Times New Roman" w:cs="Times New Roman"/>
      <w:kern w:val="0"/>
      <w:szCs w:val="20"/>
      <w14:ligatures w14:val="none"/>
    </w:rPr>
  </w:style>
  <w:style w:type="paragraph" w:customStyle="1" w:styleId="QuoteDoubleSpace">
    <w:name w:val="Quote DoubleSpace"/>
    <w:aliases w:val="qd"/>
    <w:basedOn w:val="Quote1"/>
    <w:next w:val="Normal"/>
    <w:semiHidden/>
    <w:rsid w:val="00494B49"/>
    <w:pPr>
      <w:spacing w:line="480" w:lineRule="auto"/>
    </w:pPr>
  </w:style>
  <w:style w:type="paragraph" w:customStyle="1" w:styleId="QuoteContinued">
    <w:name w:val="Quote Continued"/>
    <w:basedOn w:val="BodyText"/>
    <w:next w:val="BodyText"/>
    <w:semiHidden/>
    <w:rsid w:val="00494B49"/>
    <w:pPr>
      <w:spacing w:before="0" w:after="240"/>
    </w:pPr>
    <w:rPr>
      <w:kern w:val="0"/>
      <w:szCs w:val="20"/>
    </w:rPr>
  </w:style>
  <w:style w:type="character" w:customStyle="1" w:styleId="ptext-1">
    <w:name w:val="ptext-1"/>
    <w:basedOn w:val="DefaultParagraphFont"/>
    <w:semiHidden/>
    <w:rsid w:val="00494B49"/>
  </w:style>
  <w:style w:type="character" w:customStyle="1" w:styleId="ptext-2">
    <w:name w:val="ptext-2"/>
    <w:basedOn w:val="DefaultParagraphFont"/>
    <w:semiHidden/>
    <w:rsid w:val="00494B49"/>
  </w:style>
  <w:style w:type="character" w:customStyle="1" w:styleId="enumbell">
    <w:name w:val="enumbell"/>
    <w:semiHidden/>
    <w:rsid w:val="00494B49"/>
    <w:rPr>
      <w:b/>
      <w:bCs/>
    </w:rPr>
  </w:style>
  <w:style w:type="paragraph" w:customStyle="1" w:styleId="TableHeading1">
    <w:name w:val="Table Heading 1"/>
    <w:basedOn w:val="Normal"/>
    <w:semiHidden/>
    <w:qFormat/>
    <w:rsid w:val="00494B49"/>
    <w:pPr>
      <w:shd w:val="clear" w:color="auto" w:fill="FFFFFF" w:themeFill="background1"/>
      <w:spacing w:before="120" w:after="120" w:line="240" w:lineRule="auto"/>
    </w:pPr>
    <w:rPr>
      <w:rFonts w:ascii="Arial" w:eastAsia="Times New Roman" w:hAnsi="Arial" w:cs="Times New Roman"/>
      <w:b/>
      <w:color w:val="262626" w:themeColor="text1" w:themeTint="D9"/>
      <w:kern w:val="0"/>
      <w:sz w:val="32"/>
      <w:szCs w:val="22"/>
      <w14:ligatures w14:val="none"/>
    </w:rPr>
  </w:style>
  <w:style w:type="paragraph" w:customStyle="1" w:styleId="AuthorByline">
    <w:name w:val="Author Byline"/>
    <w:basedOn w:val="Normal"/>
    <w:next w:val="Normal"/>
    <w:semiHidden/>
    <w:qFormat/>
    <w:rsid w:val="00494B49"/>
    <w:pPr>
      <w:spacing w:before="120" w:after="120" w:line="360" w:lineRule="auto"/>
      <w:jc w:val="both"/>
    </w:pPr>
    <w:rPr>
      <w:rFonts w:ascii="Verdana" w:eastAsia="Times New Roman" w:hAnsi="Verdana" w:cs="Arial"/>
      <w:kern w:val="0"/>
      <w:sz w:val="22"/>
      <w14:ligatures w14:val="none"/>
    </w:rPr>
  </w:style>
  <w:style w:type="paragraph" w:customStyle="1" w:styleId="DocumentTitle">
    <w:name w:val="Document Title"/>
    <w:basedOn w:val="Normal"/>
    <w:next w:val="ArticleText"/>
    <w:link w:val="DocumentTitleChar"/>
    <w:semiHidden/>
    <w:qFormat/>
    <w:rsid w:val="00494B49"/>
    <w:pPr>
      <w:spacing w:before="100" w:after="120" w:line="240" w:lineRule="auto"/>
    </w:pPr>
    <w:rPr>
      <w:rFonts w:ascii="Arial" w:eastAsia="Times New Roman" w:hAnsi="Arial" w:cs="Times New Roman"/>
      <w:kern w:val="0"/>
      <w:sz w:val="28"/>
      <w:szCs w:val="28"/>
      <w14:ligatures w14:val="none"/>
    </w:rPr>
  </w:style>
  <w:style w:type="paragraph" w:customStyle="1" w:styleId="PrimaryHeading">
    <w:name w:val="Primary Heading"/>
    <w:basedOn w:val="Normal"/>
    <w:next w:val="Normal"/>
    <w:semiHidden/>
    <w:qFormat/>
    <w:rsid w:val="00494B49"/>
    <w:pPr>
      <w:spacing w:before="240" w:after="0" w:line="240" w:lineRule="auto"/>
    </w:pPr>
    <w:rPr>
      <w:rFonts w:ascii="Arial" w:eastAsia="Times New Roman" w:hAnsi="Arial" w:cs="Arial"/>
      <w:b/>
      <w:kern w:val="0"/>
      <w:sz w:val="36"/>
      <w:szCs w:val="36"/>
      <w14:ligatures w14:val="none"/>
    </w:rPr>
  </w:style>
  <w:style w:type="paragraph" w:customStyle="1" w:styleId="SecondaryHeading">
    <w:name w:val="Secondary Heading"/>
    <w:basedOn w:val="Normal"/>
    <w:next w:val="Normal"/>
    <w:semiHidden/>
    <w:qFormat/>
    <w:rsid w:val="00494B49"/>
    <w:pPr>
      <w:shd w:val="clear" w:color="auto" w:fill="171717" w:themeFill="background2" w:themeFillShade="1A"/>
      <w:spacing w:after="120" w:line="240" w:lineRule="auto"/>
    </w:pPr>
    <w:rPr>
      <w:rFonts w:ascii="Arial" w:eastAsia="Times New Roman" w:hAnsi="Arial" w:cs="Arial"/>
      <w:b/>
      <w:color w:val="83CAEB" w:themeColor="accent1" w:themeTint="66"/>
      <w:kern w:val="0"/>
      <w:sz w:val="28"/>
      <w:szCs w:val="32"/>
      <w14:ligatures w14:val="none"/>
    </w:rPr>
  </w:style>
  <w:style w:type="paragraph" w:customStyle="1" w:styleId="ArticleText">
    <w:name w:val="Article Text"/>
    <w:basedOn w:val="Normal"/>
    <w:semiHidden/>
    <w:qFormat/>
    <w:rsid w:val="00494B49"/>
    <w:pPr>
      <w:spacing w:before="120" w:after="120" w:line="240" w:lineRule="auto"/>
      <w:jc w:val="both"/>
    </w:pPr>
    <w:rPr>
      <w:rFonts w:ascii="Arial" w:eastAsia="Times New Roman" w:hAnsi="Arial" w:cs="Times New Roman"/>
      <w:kern w:val="0"/>
      <w:sz w:val="20"/>
      <w14:ligatures w14:val="none"/>
    </w:rPr>
  </w:style>
  <w:style w:type="paragraph" w:customStyle="1" w:styleId="ArticleHeading1">
    <w:name w:val="Article Heading 1"/>
    <w:basedOn w:val="Heading1"/>
    <w:next w:val="Normal"/>
    <w:link w:val="ArticleHeading1Char"/>
    <w:semiHidden/>
    <w:qFormat/>
    <w:rsid w:val="00494B49"/>
    <w:pPr>
      <w:keepNext w:val="0"/>
      <w:keepLines w:val="0"/>
      <w:spacing w:before="120" w:after="120" w:line="240" w:lineRule="auto"/>
    </w:pPr>
    <w:rPr>
      <w:rFonts w:ascii="Arial" w:hAnsi="Arial"/>
      <w:color w:val="4EA72E" w:themeColor="accent6"/>
      <w:kern w:val="0"/>
      <w:sz w:val="28"/>
      <w:szCs w:val="28"/>
      <w14:ligatures w14:val="none"/>
    </w:rPr>
  </w:style>
  <w:style w:type="paragraph" w:customStyle="1" w:styleId="ArticleHeading2">
    <w:name w:val="Article Heading 2"/>
    <w:basedOn w:val="Heading2"/>
    <w:next w:val="ArticleText"/>
    <w:link w:val="ArticleHeading2Char"/>
    <w:semiHidden/>
    <w:qFormat/>
    <w:rsid w:val="00494B49"/>
    <w:pPr>
      <w:keepNext w:val="0"/>
      <w:keepLines w:val="0"/>
      <w:spacing w:before="120" w:after="120" w:line="240" w:lineRule="auto"/>
      <w:ind w:left="720"/>
    </w:pPr>
    <w:rPr>
      <w:rFonts w:ascii="Verdana" w:eastAsia="Times New Roman" w:hAnsi="Verdana"/>
      <w:color w:val="4EA72E" w:themeColor="accent6"/>
      <w:kern w:val="0"/>
      <w:szCs w:val="26"/>
      <w14:ligatures w14:val="none"/>
    </w:rPr>
  </w:style>
  <w:style w:type="character" w:customStyle="1" w:styleId="DocumentTitleChar">
    <w:name w:val="Document Title Char"/>
    <w:basedOn w:val="DefaultParagraphFont"/>
    <w:link w:val="DocumentTitle"/>
    <w:semiHidden/>
    <w:rsid w:val="00494B49"/>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494B49"/>
    <w:rPr>
      <w:rFonts w:ascii="Arial" w:eastAsiaTheme="majorEastAsia" w:hAnsi="Arial" w:cstheme="majorBidi"/>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494B49"/>
    <w:rPr>
      <w:rFonts w:ascii="Verdana" w:eastAsia="Times New Roman" w:hAnsi="Verdana" w:cstheme="majorBidi"/>
      <w:color w:val="4EA72E" w:themeColor="accent6"/>
      <w:kern w:val="0"/>
      <w:sz w:val="32"/>
      <w:szCs w:val="26"/>
      <w14:ligatures w14:val="none"/>
    </w:rPr>
  </w:style>
  <w:style w:type="paragraph" w:customStyle="1" w:styleId="PublishDate">
    <w:name w:val="Publish Date"/>
    <w:basedOn w:val="Normal"/>
    <w:semiHidden/>
    <w:qFormat/>
    <w:rsid w:val="00494B49"/>
    <w:pPr>
      <w:spacing w:before="120" w:after="120" w:line="240" w:lineRule="auto"/>
      <w:jc w:val="right"/>
    </w:pPr>
    <w:rPr>
      <w:rFonts w:ascii="Verdana" w:hAnsi="Verdana" w:cs="Times New Roman"/>
      <w:kern w:val="0"/>
      <w:sz w:val="20"/>
      <w14:ligatures w14:val="none"/>
    </w:rPr>
  </w:style>
  <w:style w:type="paragraph" w:customStyle="1" w:styleId="ArticleHeading3">
    <w:name w:val="Article Heading 3"/>
    <w:basedOn w:val="ArticleHeading2"/>
    <w:next w:val="ArticleText"/>
    <w:semiHidden/>
    <w:qFormat/>
    <w:rsid w:val="00494B49"/>
    <w:pPr>
      <w:ind w:left="1440"/>
    </w:pPr>
    <w:rPr>
      <w:i/>
    </w:rPr>
  </w:style>
  <w:style w:type="paragraph" w:customStyle="1" w:styleId="TableSubheading1">
    <w:name w:val="Table Subheading 1"/>
    <w:basedOn w:val="ArticleText"/>
    <w:semiHidden/>
    <w:qFormat/>
    <w:rsid w:val="00494B49"/>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494B49"/>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494B49"/>
    <w:pPr>
      <w:spacing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494B49"/>
    <w:pPr>
      <w:spacing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494B49"/>
    <w:pPr>
      <w:numPr>
        <w:numId w:val="11"/>
      </w:numPr>
      <w:tabs>
        <w:tab w:val="clear" w:pos="720"/>
      </w:tabs>
      <w:spacing w:after="120" w:line="240" w:lineRule="auto"/>
      <w:ind w:left="0"/>
      <w:jc w:val="both"/>
    </w:pPr>
    <w:rPr>
      <w:rFonts w:ascii="Arial" w:eastAsia="Times New Roman" w:hAnsi="Arial" w:cs="Times New Roman"/>
      <w:kern w:val="0"/>
      <w:sz w:val="16"/>
      <w14:ligatures w14:val="none"/>
    </w:rPr>
  </w:style>
  <w:style w:type="character" w:customStyle="1" w:styleId="EndTextChar">
    <w:name w:val="EndText Char"/>
    <w:link w:val="EndText"/>
    <w:semiHidden/>
    <w:rsid w:val="00494B49"/>
    <w:rPr>
      <w:rFonts w:ascii="Arial" w:eastAsia="Times New Roman" w:hAnsi="Arial" w:cs="Times New Roman"/>
      <w:kern w:val="0"/>
      <w:sz w:val="16"/>
      <w14:ligatures w14:val="none"/>
    </w:rPr>
  </w:style>
  <w:style w:type="paragraph" w:customStyle="1" w:styleId="bbnode">
    <w:name w:val="bbnode"/>
    <w:basedOn w:val="BNormal"/>
    <w:qFormat/>
    <w:rsid w:val="00494B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494B49"/>
    <w:rPr>
      <w:color w:val="275317" w:themeColor="accent6" w:themeShade="80"/>
    </w:rPr>
  </w:style>
  <w:style w:type="paragraph" w:customStyle="1" w:styleId="bblsID">
    <w:name w:val="bblsID"/>
    <w:basedOn w:val="bbreporter"/>
    <w:qFormat/>
    <w:rsid w:val="00494B49"/>
    <w:rPr>
      <w:color w:val="0070C0"/>
      <w:szCs w:val="22"/>
    </w:rPr>
  </w:style>
  <w:style w:type="paragraph" w:customStyle="1" w:styleId="bbslug">
    <w:name w:val="bbslug"/>
    <w:basedOn w:val="bbnode"/>
    <w:rsid w:val="00494B49"/>
    <w:rPr>
      <w:b/>
      <w:i/>
      <w:color w:val="FF0000"/>
    </w:rPr>
  </w:style>
  <w:style w:type="character" w:customStyle="1" w:styleId="bblink-bbcitation">
    <w:name w:val="bblink-bbcitation"/>
    <w:basedOn w:val="DefaultParagraphFont"/>
    <w:uiPriority w:val="1"/>
    <w:qFormat/>
    <w:rsid w:val="00494B49"/>
    <w:rPr>
      <w:color w:val="7030A0"/>
    </w:rPr>
  </w:style>
  <w:style w:type="paragraph" w:customStyle="1" w:styleId="BGeographicName">
    <w:name w:val="BGeographicName"/>
    <w:basedOn w:val="Normal"/>
    <w:link w:val="BGeographicNameChar"/>
    <w:qFormat/>
    <w:rsid w:val="00494B49"/>
    <w:pPr>
      <w:spacing w:before="240" w:after="120" w:line="240" w:lineRule="auto"/>
    </w:pPr>
    <w:rPr>
      <w:rFonts w:ascii="Times New Roman" w:eastAsia="Times New Roman" w:hAnsi="Times New Roman" w:cs="Times New Roman"/>
      <w:color w:val="006600"/>
      <w:kern w:val="24"/>
      <w:lang w:bidi="en-US"/>
      <w14:ligatures w14:val="none"/>
    </w:rPr>
  </w:style>
  <w:style w:type="character" w:customStyle="1" w:styleId="BGeographicNameChar">
    <w:name w:val="BGeographicName Char"/>
    <w:basedOn w:val="BNormalChar"/>
    <w:link w:val="BGeographicName"/>
    <w:rsid w:val="00494B49"/>
    <w:rPr>
      <w:rFonts w:ascii="Times New Roman" w:eastAsia="Times New Roman" w:hAnsi="Times New Roman" w:cs="Times New Roman"/>
      <w:color w:val="006600"/>
      <w:kern w:val="24"/>
      <w:lang w:bidi="en-US"/>
      <w14:ligatures w14:val="none"/>
    </w:rPr>
  </w:style>
  <w:style w:type="character" w:customStyle="1" w:styleId="BContentControl">
    <w:name w:val="BContent_Control"/>
    <w:basedOn w:val="DefaultParagraphFont"/>
    <w:uiPriority w:val="1"/>
    <w:rsid w:val="00494B49"/>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494B49"/>
    <w:rPr>
      <w:rFonts w:ascii="Times New Roman" w:eastAsia="Times New Roman" w:hAnsi="Times New Roman" w:cs="Times New Roman"/>
      <w:color w:val="0F4761" w:themeColor="accent1" w:themeShade="BF"/>
      <w:kern w:val="0"/>
      <w:sz w:val="40"/>
      <w:szCs w:val="20"/>
      <w14:ligatures w14:val="none"/>
    </w:rPr>
  </w:style>
  <w:style w:type="paragraph" w:customStyle="1" w:styleId="BDocStart">
    <w:name w:val="BDoc_Start"/>
    <w:next w:val="BNormal"/>
    <w:link w:val="BDocStartChar"/>
    <w:rsid w:val="00494B49"/>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494B49"/>
    <w:rPr>
      <w:rFonts w:ascii="Times New Roman" w:eastAsiaTheme="majorEastAsia" w:hAnsi="Times New Roman" w:cstheme="majorBidi"/>
      <w:bCs/>
      <w:color w:val="156082" w:themeColor="accent1"/>
      <w:kern w:val="24"/>
      <w:sz w:val="28"/>
      <w:szCs w:val="28"/>
      <w14:ligatures w14:val="none"/>
    </w:rPr>
  </w:style>
  <w:style w:type="paragraph" w:customStyle="1" w:styleId="BAuthor">
    <w:name w:val="BAuthor"/>
    <w:basedOn w:val="BNormal"/>
    <w:link w:val="BAuthorChar"/>
    <w:rsid w:val="00494B49"/>
    <w:rPr>
      <w:color w:val="BF4E14" w:themeColor="accent2" w:themeShade="BF"/>
      <w:sz w:val="20"/>
      <w:szCs w:val="20"/>
    </w:rPr>
  </w:style>
  <w:style w:type="character" w:customStyle="1" w:styleId="BAuthorChar">
    <w:name w:val="BAuthor Char"/>
    <w:basedOn w:val="BNormalChar"/>
    <w:link w:val="BAuthor"/>
    <w:rsid w:val="00494B49"/>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494B49"/>
    <w:rPr>
      <w:color w:val="000000" w:themeColor="text1"/>
    </w:rPr>
  </w:style>
  <w:style w:type="paragraph" w:customStyle="1" w:styleId="BBox">
    <w:name w:val="BBox"/>
    <w:basedOn w:val="BOutsideauthorinfo"/>
    <w:next w:val="BNormal"/>
    <w:link w:val="BBoxChar"/>
    <w:semiHidden/>
    <w:rsid w:val="00494B49"/>
  </w:style>
  <w:style w:type="paragraph" w:customStyle="1" w:styleId="BHeadline">
    <w:name w:val="BHeadline"/>
    <w:basedOn w:val="Normal"/>
    <w:next w:val="BNormal"/>
    <w:rsid w:val="00494B49"/>
    <w:pPr>
      <w:spacing w:before="240" w:after="120" w:line="240" w:lineRule="auto"/>
    </w:pPr>
    <w:rPr>
      <w:rFonts w:ascii="Times New Roman" w:hAnsi="Times New Roman" w:cs="Times New Roman"/>
      <w:b/>
      <w:color w:val="0A2F41" w:themeColor="accent1" w:themeShade="80"/>
      <w:kern w:val="24"/>
      <w:sz w:val="28"/>
      <w:szCs w:val="28"/>
      <w:lang w:bidi="en-US"/>
      <w14:ligatures w14:val="none"/>
    </w:rPr>
  </w:style>
  <w:style w:type="paragraph" w:customStyle="1" w:styleId="BOrganization">
    <w:name w:val="BOrganization"/>
    <w:basedOn w:val="BNormal"/>
    <w:rsid w:val="00494B49"/>
    <w:rPr>
      <w:color w:val="BF4E14" w:themeColor="accent2" w:themeShade="BF"/>
      <w:sz w:val="20"/>
    </w:rPr>
  </w:style>
  <w:style w:type="paragraph" w:customStyle="1" w:styleId="BEditorsintro">
    <w:name w:val="BEditors_intro"/>
    <w:basedOn w:val="Normal"/>
    <w:next w:val="BNormal"/>
    <w:semiHidden/>
    <w:rsid w:val="00494B49"/>
    <w:pPr>
      <w:spacing w:before="120" w:after="0" w:line="240" w:lineRule="auto"/>
    </w:pPr>
    <w:rPr>
      <w:rFonts w:eastAsia="Times New Roman" w:cs="Times New Roman"/>
      <w:b/>
      <w:color w:val="FFFFFF" w:themeColor="background1"/>
      <w:kern w:val="0"/>
      <w:sz w:val="16"/>
      <w:szCs w:val="16"/>
      <w:lang w:val="en-GB" w:eastAsia="en-GB"/>
      <w14:ligatures w14:val="none"/>
    </w:rPr>
  </w:style>
  <w:style w:type="character" w:customStyle="1" w:styleId="BBoxChar">
    <w:name w:val="BBox Char"/>
    <w:basedOn w:val="BQuotelongChar"/>
    <w:link w:val="BBox"/>
    <w:semiHidden/>
    <w:rsid w:val="00494B49"/>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494B49"/>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494B49"/>
    <w:pPr>
      <w:spacing w:before="120" w:after="0" w:line="240" w:lineRule="auto"/>
    </w:pPr>
    <w:rPr>
      <w:rFonts w:eastAsia="Times New Roman" w:cs="Times New Roman"/>
      <w:b/>
      <w:color w:val="000000" w:themeColor="text1"/>
      <w:kern w:val="0"/>
      <w:sz w:val="16"/>
      <w:szCs w:val="16"/>
      <w:lang w:val="en-GB" w:eastAsia="en-GB"/>
      <w14:ligatures w14:val="none"/>
    </w:rPr>
  </w:style>
  <w:style w:type="paragraph" w:styleId="TOCHeading">
    <w:name w:val="TOC Heading"/>
    <w:basedOn w:val="Heading1"/>
    <w:next w:val="Normal"/>
    <w:uiPriority w:val="39"/>
    <w:semiHidden/>
    <w:unhideWhenUsed/>
    <w:qFormat/>
    <w:rsid w:val="00494B49"/>
    <w:pPr>
      <w:spacing w:before="480" w:after="0" w:line="276" w:lineRule="auto"/>
      <w:outlineLvl w:val="9"/>
    </w:pPr>
    <w:rPr>
      <w:rFonts w:ascii="Cambria" w:eastAsia="MS Gothic" w:hAnsi="Cambria" w:cs="Times New Roman"/>
      <w:b/>
      <w:bCs/>
      <w:color w:val="365F91"/>
      <w:kern w:val="0"/>
      <w:sz w:val="28"/>
      <w:szCs w:val="28"/>
      <w:lang w:eastAsia="ja-JP"/>
      <w14:ligatures w14:val="none"/>
    </w:rPr>
  </w:style>
  <w:style w:type="character" w:customStyle="1" w:styleId="ssnonpaginatedrptr">
    <w:name w:val="ss_nonpaginatedrptr"/>
    <w:semiHidden/>
    <w:rsid w:val="00494B49"/>
  </w:style>
  <w:style w:type="character" w:customStyle="1" w:styleId="st">
    <w:name w:val="st"/>
    <w:semiHidden/>
    <w:rsid w:val="00494B49"/>
  </w:style>
  <w:style w:type="character" w:customStyle="1" w:styleId="BPlanpointhead">
    <w:name w:val="BPlan_point_head"/>
    <w:basedOn w:val="BCommenthead"/>
    <w:uiPriority w:val="1"/>
    <w:rsid w:val="00494B49"/>
    <w:rPr>
      <w:b/>
      <w:iCs/>
      <w:color w:val="0E2841" w:themeColor="text2"/>
    </w:rPr>
  </w:style>
  <w:style w:type="paragraph" w:customStyle="1" w:styleId="BPlanpointpara">
    <w:name w:val="BPlan_point_para"/>
    <w:basedOn w:val="BCommentpara"/>
    <w:rsid w:val="00494B49"/>
    <w:rPr>
      <w:color w:val="0A1D30" w:themeColor="text2" w:themeShade="BF"/>
    </w:rPr>
  </w:style>
  <w:style w:type="paragraph" w:customStyle="1" w:styleId="BRelatedTo">
    <w:name w:val="BRelatedTo"/>
    <w:basedOn w:val="BNormal"/>
    <w:next w:val="BNormal"/>
    <w:rsid w:val="00494B49"/>
    <w:rPr>
      <w:color w:val="156082" w:themeColor="accent1"/>
      <w:sz w:val="16"/>
    </w:rPr>
  </w:style>
  <w:style w:type="paragraph" w:customStyle="1" w:styleId="BHead6">
    <w:name w:val="BHead6"/>
    <w:next w:val="BNormal"/>
    <w:link w:val="BHead6Char"/>
    <w:rsid w:val="00494B49"/>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494B49"/>
    <w:rPr>
      <w:rFonts w:ascii="Times New Roman" w:eastAsia="Times New Roman" w:hAnsi="Times New Roman" w:cs="Times New Roman"/>
      <w:i/>
      <w:kern w:val="0"/>
      <w14:ligatures w14:val="none"/>
    </w:rPr>
  </w:style>
  <w:style w:type="paragraph" w:customStyle="1" w:styleId="BHead7">
    <w:name w:val="BHead7"/>
    <w:next w:val="BNormal"/>
    <w:link w:val="BHead7Char"/>
    <w:rsid w:val="00494B49"/>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494B49"/>
    <w:rPr>
      <w:rFonts w:ascii="Times New Roman" w:eastAsia="Times New Roman" w:hAnsi="Times New Roman" w:cs="Times New Roman"/>
      <w:kern w:val="0"/>
      <w14:ligatures w14:val="none"/>
    </w:rPr>
  </w:style>
  <w:style w:type="paragraph" w:customStyle="1" w:styleId="BHead8">
    <w:name w:val="BHead8"/>
    <w:next w:val="BNormal"/>
    <w:link w:val="BHead8Char"/>
    <w:rsid w:val="00494B49"/>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494B49"/>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494B49"/>
    <w:rPr>
      <w:b/>
      <w:color w:val="77206D" w:themeColor="accent5" w:themeShade="BF"/>
    </w:rPr>
  </w:style>
  <w:style w:type="character" w:customStyle="1" w:styleId="BBNAidChar">
    <w:name w:val="BBNA_id Char"/>
    <w:basedOn w:val="BNormalChar"/>
    <w:link w:val="BBNAid"/>
    <w:rsid w:val="00494B49"/>
    <w:rPr>
      <w:rFonts w:ascii="Times New Roman" w:eastAsia="Times New Roman" w:hAnsi="Times New Roman" w:cs="Times New Roman"/>
      <w:b/>
      <w:color w:val="77206D" w:themeColor="accent5" w:themeShade="BF"/>
      <w:kern w:val="0"/>
      <w14:ligatures w14:val="none"/>
    </w:rPr>
  </w:style>
  <w:style w:type="character" w:customStyle="1" w:styleId="bbDocID">
    <w:name w:val="bbDocID"/>
    <w:basedOn w:val="DefaultParagraphFont"/>
    <w:uiPriority w:val="1"/>
    <w:rsid w:val="00494B49"/>
    <w:rPr>
      <w:color w:val="FF99FF"/>
    </w:rPr>
  </w:style>
  <w:style w:type="paragraph" w:customStyle="1" w:styleId="BVerbatimmarkup">
    <w:name w:val="BVerbatim_markup"/>
    <w:basedOn w:val="BRelatedTo"/>
    <w:next w:val="BNormal"/>
    <w:link w:val="BVerbatimmarkupChar"/>
    <w:qFormat/>
    <w:rsid w:val="00494B49"/>
    <w:rPr>
      <w:color w:val="FF0000"/>
      <w:sz w:val="24"/>
    </w:rPr>
  </w:style>
  <w:style w:type="character" w:customStyle="1" w:styleId="BVerbatimmarkupChar">
    <w:name w:val="BVerbatim_markup Char"/>
    <w:basedOn w:val="DefaultParagraphFont"/>
    <w:link w:val="BVerbatimmarkup"/>
    <w:rsid w:val="00494B49"/>
    <w:rPr>
      <w:rFonts w:ascii="Times New Roman" w:eastAsia="Times New Roman" w:hAnsi="Times New Roman" w:cs="Times New Roman"/>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i8960.pdf" TargetMode="External"/><Relationship Id="rId13" Type="http://schemas.openxmlformats.org/officeDocument/2006/relationships/hyperlink" Target="https://www.irs.gov/pub/irs-pdf/i8960.pdf" TargetMode="External"/><Relationship Id="rId18" Type="http://schemas.openxmlformats.org/officeDocument/2006/relationships/hyperlink" Target="http://www.irs.gov/pub/irs-prior/i8960--2013.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rs.gov/pub/irs-pdf/i8960.pdf" TargetMode="External"/><Relationship Id="rId7" Type="http://schemas.openxmlformats.org/officeDocument/2006/relationships/hyperlink" Target="https://www.irs.gov/pub/irs-pdf/i8960.pdf" TargetMode="External"/><Relationship Id="rId12" Type="http://schemas.openxmlformats.org/officeDocument/2006/relationships/hyperlink" Target="https://www.irs.gov/pub/irs-pdf/i8960.pdf" TargetMode="External"/><Relationship Id="rId17" Type="http://schemas.openxmlformats.org/officeDocument/2006/relationships/hyperlink" Target="https://www.irs.gov/pub/irs-pdf/i8960.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rs.gov/pub/irs-pdf/i8960.pdf" TargetMode="External"/><Relationship Id="rId20" Type="http://schemas.openxmlformats.org/officeDocument/2006/relationships/hyperlink" Target="https://www.irs.gov/pub/irs-pdf/i896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pub/irs-prior/i8960--2013.pdf" TargetMode="External"/><Relationship Id="rId24" Type="http://schemas.openxmlformats.org/officeDocument/2006/relationships/hyperlink" Target="https://www.irs.gov/pub/irs-pdf/i8960.pdf" TargetMode="External"/><Relationship Id="rId5" Type="http://schemas.openxmlformats.org/officeDocument/2006/relationships/footnotes" Target="footnotes.xml"/><Relationship Id="rId15" Type="http://schemas.openxmlformats.org/officeDocument/2006/relationships/hyperlink" Target="https://www.irs.gov/pub/irs-pdf/i461.pdf" TargetMode="External"/><Relationship Id="rId23" Type="http://schemas.openxmlformats.org/officeDocument/2006/relationships/hyperlink" Target="https://www.irs.gov/pub/irs-pdf/i3520.pdf" TargetMode="External"/><Relationship Id="rId10" Type="http://schemas.openxmlformats.org/officeDocument/2006/relationships/hyperlink" Target="https://www.irs.gov/pub/irs-pdf/i8960.pdf" TargetMode="External"/><Relationship Id="rId19" Type="http://schemas.openxmlformats.org/officeDocument/2006/relationships/hyperlink" Target="http://www.irs.gov/pub/irs-prior/i8960--2014.pdf" TargetMode="External"/><Relationship Id="rId4" Type="http://schemas.openxmlformats.org/officeDocument/2006/relationships/webSettings" Target="webSettings.xml"/><Relationship Id="rId9" Type="http://schemas.openxmlformats.org/officeDocument/2006/relationships/hyperlink" Target="https://www.irs.gov/pub/irs-pdf/i8960.pdf" TargetMode="External"/><Relationship Id="rId14" Type="http://schemas.openxmlformats.org/officeDocument/2006/relationships/hyperlink" Target="https://www.irs.gov/pub/irs-pdf/i8960.pdf" TargetMode="External"/><Relationship Id="rId22" Type="http://schemas.openxmlformats.org/officeDocument/2006/relationships/hyperlink" Target="https://www.bloomberglaw.com/product/tax/document/25053281320"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rs.gov/pub/irs-pdf/i8960.pdf" TargetMode="External"/><Relationship Id="rId13" Type="http://schemas.openxmlformats.org/officeDocument/2006/relationships/hyperlink" Target="http://www.irs.gov/pub/irs-pdf/f8960.pdf" TargetMode="External"/><Relationship Id="rId18" Type="http://schemas.openxmlformats.org/officeDocument/2006/relationships/hyperlink" Target="https://www.bloomberglaw.com/product/tax/document/28906609704" TargetMode="External"/><Relationship Id="rId26" Type="http://schemas.openxmlformats.org/officeDocument/2006/relationships/hyperlink" Target="https://home.treasury.gov/system/files/131/Treaty-Poland-2-13-2013.pdf" TargetMode="External"/><Relationship Id="rId3" Type="http://schemas.openxmlformats.org/officeDocument/2006/relationships/hyperlink" Target="https://www.bloomberglaw.com/product/tax/document/XEFQ7V1S000000?criteria_id=d5bab0ef8954c3830352b2134d25c94c&amp;navCriteriaId=f4920fdbc4874679f25a3de398c771b2&amp;searchGuid=f42249ad-3f1c-47d4-9e89-ec958628d2ec&amp;search32=3Mc7zlbDVPJ265KvY-HdQQ==Sv387AYmrykoMz2ghkZ69t93Ttk5qk3mpXUZzHIaZV22TNQI7QLMUAVPWP8QqgRbX7tOaPHeEuwq2s03MLGR38lygzTlMMhQgQyQjuVLPP3h7nPjEQlMqHOEQ8KjWWd-bYi2_HaXEQc3koluTavmJVrRZINCum2sA40PcatSnn9gs-TXmycZwvoSzEeh0MkJnSHen3uYKOHYmuyFW8As6fQ23H6qkD5tU8dB9zO0LWs=" TargetMode="External"/><Relationship Id="rId21" Type="http://schemas.openxmlformats.org/officeDocument/2006/relationships/hyperlink" Target="https://www.irs.gov/businesses/international-businesses/united-states-income-tax-treaties-a-to-z" TargetMode="External"/><Relationship Id="rId7" Type="http://schemas.openxmlformats.org/officeDocument/2006/relationships/hyperlink" Target="https://www.irs.gov/pub/irs-pdf/i8960.pdf" TargetMode="External"/><Relationship Id="rId12" Type="http://schemas.openxmlformats.org/officeDocument/2006/relationships/hyperlink" Target="https://www.irs.gov/pub/irs-pdf/i8960.pdf" TargetMode="External"/><Relationship Id="rId17" Type="http://schemas.openxmlformats.org/officeDocument/2006/relationships/hyperlink" Target="https://www.irs.gov/pub/irs-pdf/i8960.pdf" TargetMode="External"/><Relationship Id="rId25" Type="http://schemas.openxmlformats.org/officeDocument/2006/relationships/hyperlink" Target="http://www.irs.gov/pub/irs-trty/temod006.pdf" TargetMode="External"/><Relationship Id="rId2" Type="http://schemas.openxmlformats.org/officeDocument/2006/relationships/hyperlink" Target="https://www.irs.gov/pub/irs-pdf/i8960.pdf" TargetMode="External"/><Relationship Id="rId16" Type="http://schemas.openxmlformats.org/officeDocument/2006/relationships/hyperlink" Target="http://www.irs.gov/pub/irs-prior/i8960--2013.pdf" TargetMode="External"/><Relationship Id="rId20" Type="http://schemas.openxmlformats.org/officeDocument/2006/relationships/hyperlink" Target="http://www.irs.gov/pub/irs-pdf/i8697.pdf" TargetMode="External"/><Relationship Id="rId29" Type="http://schemas.openxmlformats.org/officeDocument/2006/relationships/hyperlink" Target="http://lostinsantcugat.blogspot.com/" TargetMode="External"/><Relationship Id="rId1" Type="http://schemas.openxmlformats.org/officeDocument/2006/relationships/hyperlink" Target="https://www.irs.gov/uac/Newsroom/Net-Investment-Income-Tax-FAQs" TargetMode="External"/><Relationship Id="rId6" Type="http://schemas.openxmlformats.org/officeDocument/2006/relationships/hyperlink" Target="https://www.irs.gov/pub/irs-pdf/i8960.pdf" TargetMode="External"/><Relationship Id="rId11" Type="http://schemas.openxmlformats.org/officeDocument/2006/relationships/hyperlink" Target="https://www.bloomberglaw.com/product/tax/document/25291470376" TargetMode="External"/><Relationship Id="rId24" Type="http://schemas.openxmlformats.org/officeDocument/2006/relationships/hyperlink" Target="https://home.treasury.gov/system/files/131/Treaty-US-Model-2016_1.pdf" TargetMode="External"/><Relationship Id="rId5" Type="http://schemas.openxmlformats.org/officeDocument/2006/relationships/hyperlink" Target="https://www.irs.gov/pub/irs-pdf/i8960.pdf" TargetMode="External"/><Relationship Id="rId15" Type="http://schemas.openxmlformats.org/officeDocument/2006/relationships/hyperlink" Target="https://www.irs.gov/pub/irs-pdf/i8960.pdf" TargetMode="External"/><Relationship Id="rId23" Type="http://schemas.openxmlformats.org/officeDocument/2006/relationships/hyperlink" Target="https://home.treasury.gov/system/files/131/Treaty-Poland-2-13-2013.pdf" TargetMode="External"/><Relationship Id="rId28" Type="http://schemas.openxmlformats.org/officeDocument/2006/relationships/hyperlink" Target="https://www.irs.gov/pub/irs-pdf/i1040nr.pdf" TargetMode="External"/><Relationship Id="rId10" Type="http://schemas.openxmlformats.org/officeDocument/2006/relationships/hyperlink" Target="https://www.irs.gov/pub/irs-pdf/i8960.pdf" TargetMode="External"/><Relationship Id="rId19" Type="http://schemas.openxmlformats.org/officeDocument/2006/relationships/hyperlink" Target="https://www.irs.gov/pub/irs-pdf/i8960.pdf" TargetMode="External"/><Relationship Id="rId4" Type="http://schemas.openxmlformats.org/officeDocument/2006/relationships/hyperlink" Target="https://www.irs.gov/pub/irs-pdf/i8960.pdf" TargetMode="External"/><Relationship Id="rId9" Type="http://schemas.openxmlformats.org/officeDocument/2006/relationships/hyperlink" Target="http://www.irs.gov/pub/irs-prior/i8960--2013.pdf" TargetMode="External"/><Relationship Id="rId14" Type="http://schemas.openxmlformats.org/officeDocument/2006/relationships/hyperlink" Target="https://www.irs.gov/pub/irs-pdf/i1040gi.pdf" TargetMode="External"/><Relationship Id="rId22" Type="http://schemas.openxmlformats.org/officeDocument/2006/relationships/hyperlink" Target="https://home.treasury.gov/news/press-releases/jl10057" TargetMode="External"/><Relationship Id="rId27" Type="http://schemas.openxmlformats.org/officeDocument/2006/relationships/hyperlink" Target="http://www.bloomberglaw.com/product/tax/toc_view_menu/2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341</Pages>
  <Words>134257</Words>
  <Characters>765271</Characters>
  <Application>Microsoft Office Word</Application>
  <DocSecurity>0</DocSecurity>
  <Lines>6377</Lines>
  <Paragraphs>1795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Magtaas, Joseph</dc:creator>
  <cp:keywords/>
  <dc:description/>
  <cp:lastModifiedBy>Cruz, Ricky</cp:lastModifiedBy>
  <cp:revision>3</cp:revision>
  <dcterms:created xsi:type="dcterms:W3CDTF">2024-10-30T15:54:00Z</dcterms:created>
  <dcterms:modified xsi:type="dcterms:W3CDTF">2024-10-30T22:20:00Z</dcterms:modified>
</cp:coreProperties>
</file>