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ECD9" w14:textId="77777777" w:rsidR="006F355C" w:rsidRPr="006F355C" w:rsidRDefault="00000000" w:rsidP="00DB33A4">
      <w:pPr>
        <w:pStyle w:val="BDocStart"/>
      </w:pPr>
      <w:sdt>
        <w:sdtPr>
          <w:tag w:val="unit.start.head"/>
          <w:id w:val="-1162457697"/>
          <w:lock w:val="sdtLocked"/>
          <w:placeholder>
            <w:docPart w:val="309C5AB7FEFE4B94B6740C6100AF4054"/>
          </w:placeholder>
          <w15:appearance w15:val="hidden"/>
        </w:sdtPr>
        <w:sdtContent>
          <w:proofErr w:type="spellStart"/>
          <w:r w:rsidR="00DB33A4">
            <w:t>Unit.Start</w:t>
          </w:r>
          <w:proofErr w:type="spellEnd"/>
        </w:sdtContent>
      </w:sdt>
    </w:p>
    <w:sdt>
      <w:sdtPr>
        <w:rPr>
          <w:rStyle w:val="BContentControl"/>
        </w:rPr>
        <w:alias w:val="unit.start"/>
        <w:tag w:val="Unit1"/>
        <w:id w:val="-47962121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5CA55DFE" w14:textId="77777777" w:rsidR="006F355C" w:rsidRPr="006F355C" w:rsidRDefault="00000000" w:rsidP="00DB33A4">
          <w:pPr>
            <w:pStyle w:val="BNormal"/>
          </w:pPr>
          <w:sdt>
            <w:sdtPr>
              <w:rPr>
                <w:rStyle w:val="BContentControl"/>
              </w:rPr>
              <w:alias w:val="acct.code"/>
              <w:tag w:val="acct.code"/>
              <w:id w:val="1075791087"/>
              <w:lock w:val="sdtLocked"/>
              <w:placeholder>
                <w:docPart w:val="4EA63C2B205145448D85372223C47863"/>
              </w:placeholder>
              <w:dataBinding w:prefixMappings="xmlns:ns0='http://www.bna.com/gateway/unit.start' " w:xpath="/ns0:document[1]/ns0:unit.start[1]/@acct.code" w:storeItemID="{B04FCA99-13B0-422B-ADC9-9491644FA79D}"/>
              <w15:appearance w15:val="tags"/>
              <w:text/>
            </w:sdtPr>
            <w:sdtContent>
              <w:r w:rsidR="00DB33A4">
                <w:rPr>
                  <w:rStyle w:val="BContentControl"/>
                </w:rPr>
                <w:t>EMP2M20</w:t>
              </w:r>
            </w:sdtContent>
          </w:sdt>
          <w:sdt>
            <w:sdtPr>
              <w:rPr>
                <w:rStyle w:val="BContentControl"/>
              </w:rPr>
              <w:alias w:val="bna.id.prefix"/>
              <w:tag w:val="bna.id.prefix"/>
              <w:id w:val="-1218894868"/>
              <w:lock w:val="sdtLocked"/>
              <w:placeholder>
                <w:docPart w:val="C36029EED1734677BD56C5CAC5EB27DF"/>
              </w:placeholder>
              <w:dataBinding w:prefixMappings="xmlns:ns0='http://www.bna.com/gateway/unit.start' " w:xpath="/ns0:document[1]/ns0:unit.start[1]/@bna.id.prefix" w:storeItemID="{B04FCA99-13B0-422B-ADC9-9491644FA79D}"/>
              <w15:appearance w15:val="tags"/>
              <w:text/>
            </w:sdtPr>
            <w:sdtContent>
              <w:r w:rsidR="00DB33A4">
                <w:rPr>
                  <w:rStyle w:val="BContentControl"/>
                </w:rPr>
                <w:t>12</w:t>
              </w:r>
            </w:sdtContent>
          </w:sdt>
          <w:r w:rsidR="00DB33A4" w:rsidRPr="00DB33A4">
            <w:rPr>
              <w:rStyle w:val="BContentControl"/>
            </w:rPr>
            <w:t xml:space="preserve"> </w:t>
          </w:r>
          <w:sdt>
            <w:sdtPr>
              <w:rPr>
                <w:rStyle w:val="BContentControl"/>
              </w:rPr>
              <w:alias w:val="class.code*"/>
              <w:tag w:val="class.code"/>
              <w:id w:val="-1283883542"/>
              <w:lock w:val="sdtLocked"/>
              <w:placeholder>
                <w:docPart w:val="8DACDD43ABE842CA8A29848D8D341C05"/>
              </w:placeholder>
              <w:dataBinding w:prefixMappings="xmlns:ns0='http://www.bna.com/gateway/unit.start' " w:xpath="/ns0:document[1]/ns0:unit.start[1]/@class.code" w:storeItemID="{B04FCA99-13B0-422B-ADC9-9491644FA79D}"/>
              <w15:appearance w15:val="tags"/>
              <w:text/>
            </w:sdtPr>
            <w:sdtContent>
              <w:r w:rsidR="00DB33A4">
                <w:rPr>
                  <w:rStyle w:val="BContentControl"/>
                </w:rPr>
                <w:t>A</w:t>
              </w:r>
            </w:sdtContent>
          </w:sdt>
          <w:r w:rsidR="00DB33A4" w:rsidRPr="00DB33A4">
            <w:rPr>
              <w:rStyle w:val="BContentControl"/>
            </w:rPr>
            <w:t xml:space="preserve"> </w:t>
          </w:r>
          <w:sdt>
            <w:sdtPr>
              <w:rPr>
                <w:rStyle w:val="BContentControl"/>
              </w:rPr>
              <w:alias w:val="class.name*"/>
              <w:tag w:val="class.name"/>
              <w:id w:val="-1532869871"/>
              <w:lock w:val="sdtLocked"/>
              <w:placeholder>
                <w:docPart w:val="02B66DFCA3354ED3A707F9F6BD3B17DD"/>
              </w:placeholder>
              <w:dataBinding w:prefixMappings="xmlns:ns0='http://www.bna.com/gateway/unit.start' " w:xpath="/ns0:document[1]/ns0:unit.start[1]/@class.name" w:storeItemID="{B04FCA99-13B0-422B-ADC9-9491644FA79D}"/>
              <w15:appearance w15:val="tags"/>
              <w:text/>
            </w:sdtPr>
            <w:sdtContent>
              <w:r w:rsidR="00DB33A4">
                <w:rPr>
                  <w:rStyle w:val="BContentControl"/>
                </w:rPr>
                <w:t>Book Body</w:t>
              </w:r>
            </w:sdtContent>
          </w:sdt>
          <w:r w:rsidR="00DB33A4" w:rsidRPr="00DB33A4">
            <w:rPr>
              <w:rStyle w:val="BContentControl"/>
            </w:rPr>
            <w:t xml:space="preserve"> </w:t>
          </w:r>
          <w:sdt>
            <w:sdtPr>
              <w:rPr>
                <w:rStyle w:val="BContentControl"/>
              </w:rPr>
              <w:alias w:val="copyright.owner"/>
              <w:tag w:val="copyright.owner"/>
              <w:id w:val="-2102249240"/>
              <w:lock w:val="sdtLocked"/>
              <w:placeholder>
                <w:docPart w:val="749D6D18C8CE4725BD72D3DA2A57001B"/>
              </w:placeholder>
              <w:dataBinding w:prefixMappings="xmlns:ns0='http://www.bna.com/gateway/unit.start' " w:xpath="/ns0:document[1]/ns0:unit.start[1]/@copyright.owner" w:storeItemID="{B04FCA99-13B0-422B-ADC9-9491644FA79D}"/>
              <w15:appearance w15:val="tags"/>
              <w:text/>
            </w:sdt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date"/>
              <w:tag w:val="date"/>
              <w:id w:val="154887362"/>
              <w:lock w:val="sdtLocked"/>
              <w:placeholder>
                <w:docPart w:val="EE3870E60F9C40AE802A4228416692B1"/>
              </w:placeholder>
              <w:dataBinding w:prefixMappings="xmlns:ns0='http://www.bna.com/gateway/unit.start' " w:xpath="/ns0:document[1]/ns0:unit.start[1]/@date" w:storeItemID="{B04FCA99-13B0-422B-ADC9-9491644FA79D}"/>
              <w15:appearance w15:val="tags"/>
              <w:text/>
            </w:sdtPr>
            <w:sdtContent>
              <w:r w:rsidR="00DB33A4">
                <w:rPr>
                  <w:rStyle w:val="BContentControl"/>
                </w:rPr>
                <w:t>2025-09-10</w:t>
              </w:r>
            </w:sdtContent>
          </w:sdt>
          <w:r w:rsidR="00DB33A4" w:rsidRPr="00DB33A4">
            <w:rPr>
              <w:rStyle w:val="BContentControl"/>
            </w:rPr>
            <w:t xml:space="preserve"> </w:t>
          </w:r>
          <w:sdt>
            <w:sdtPr>
              <w:rPr>
                <w:rStyle w:val="BContentControl"/>
              </w:rPr>
              <w:alias w:val="folio"/>
              <w:tag w:val="folio"/>
              <w:id w:val="-200704475"/>
              <w:lock w:val="sdtLocked"/>
              <w:placeholder>
                <w:docPart w:val="A52DF99EF42D43B3B59A50F2A8832934"/>
              </w:placeholder>
              <w:dataBinding w:prefixMappings="xmlns:ns0='http://www.bna.com/gateway/unit.start' " w:xpath="/ns0:document[1]/ns0:unit.start[1]/@folio" w:storeItemID="{B04FCA99-13B0-422B-ADC9-9491644FA79D}"/>
              <w15:appearance w15:val="tags"/>
              <w:text/>
            </w:sdtPr>
            <w:sdtContent>
              <w:r w:rsidR="00DB33A4">
                <w:rPr>
                  <w:rStyle w:val="BContentControl"/>
                </w:rPr>
                <w:t>351</w:t>
              </w:r>
            </w:sdtContent>
          </w:sdt>
          <w:r w:rsidR="00DB33A4" w:rsidRPr="00DB33A4">
            <w:rPr>
              <w:rStyle w:val="BContentControl"/>
            </w:rPr>
            <w:t xml:space="preserve"> </w:t>
          </w:r>
          <w:sdt>
            <w:sdtPr>
              <w:rPr>
                <w:rStyle w:val="BContentControl"/>
              </w:rPr>
              <w:alias w:val="part.name"/>
              <w:tag w:val="part.name"/>
              <w:id w:val="-1967492702"/>
              <w:lock w:val="sdtLocked"/>
              <w:placeholder>
                <w:docPart w:val="679AF983F3E44882B1A9ECE960A0F949"/>
              </w:placeholder>
              <w:dataBinding w:prefixMappings="xmlns:ns0='http://www.bna.com/gateway/unit.start' " w:xpath="/ns0:document[1]/ns0:unit.start[1]/@part.name" w:storeItemID="{B04FCA99-13B0-422B-ADC9-9491644FA79D}"/>
              <w15:appearance w15:val="tags"/>
              <w:text/>
            </w:sdt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part.num"/>
              <w:tag w:val="part.num"/>
              <w:id w:val="1438718741"/>
              <w:lock w:val="sdtLocked"/>
              <w:placeholder>
                <w:docPart w:val="D6C230F3F95B45019295B6DEAB10CB5C"/>
              </w:placeholder>
              <w:dataBinding w:prefixMappings="xmlns:ns0='http://www.bna.com/gateway/unit.start' " w:xpath="/ns0:document[1]/ns0:unit.start[1]/@part.num" w:storeItemID="{B04FCA99-13B0-422B-ADC9-9491644FA79D}"/>
              <w15:appearance w15:val="tags"/>
              <w:text/>
            </w:sdt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subpart.name"/>
              <w:tag w:val="subpart.name"/>
              <w:id w:val="-1889103798"/>
              <w:lock w:val="sdtLocked"/>
              <w:placeholder>
                <w:docPart w:val="19DB320DD3464BE4AC5B5A2E97C28014"/>
              </w:placeholder>
              <w:dataBinding w:prefixMappings="xmlns:ns0='http://www.bna.com/gateway/unit.start' " w:xpath="/ns0:document[1]/ns0:unit.start[1]/@subpart.name" w:storeItemID="{B04FCA99-13B0-422B-ADC9-9491644FA79D}"/>
              <w15:appearance w15:val="tags"/>
              <w:text/>
            </w:sdt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pdm.name"/>
              <w:tag w:val="pdm.name"/>
              <w:id w:val="-488714020"/>
              <w:lock w:val="sdtLocked"/>
              <w:placeholder>
                <w:docPart w:val="02628051CC8D4435A16F80E14CD41EC0"/>
              </w:placeholder>
              <w:dataBinding w:prefixMappings="xmlns:ns0='http://www.bna.com/gateway/unit.start' " w:xpath="/ns0:document[1]/ns0:unit.start[1]/@pdm.name" w:storeItemID="{B04FCA99-13B0-422B-ADC9-9491644FA79D}"/>
              <w15:appearance w15:val="tags"/>
              <w:text/>
            </w:sdtPr>
            <w:sdtContent>
              <w:r w:rsidR="00DB33A4">
                <w:rPr>
                  <w:rStyle w:val="BContentControl"/>
                </w:rPr>
                <w:t>Hawaii</w:t>
              </w:r>
            </w:sdtContent>
          </w:sdt>
          <w:r w:rsidR="00DB33A4" w:rsidRPr="00DB33A4">
            <w:rPr>
              <w:rStyle w:val="BContentControl"/>
            </w:rPr>
            <w:t xml:space="preserve"> </w:t>
          </w:r>
          <w:sdt>
            <w:sdtPr>
              <w:rPr>
                <w:rStyle w:val="BContentControl"/>
              </w:rPr>
              <w:alias w:val="publication.name"/>
              <w:tag w:val="publication.name"/>
              <w:id w:val="1885439989"/>
              <w:lock w:val="sdtLocked"/>
              <w:placeholder>
                <w:docPart w:val="A7070FD3607947CABF5317A5CF9DB20F"/>
              </w:placeholder>
              <w:dataBinding w:prefixMappings="xmlns:ns0='http://www.bna.com/gateway/unit.start' " w:xpath="/ns0:document[1]/ns0:unit.start[1]/@publication.name" w:storeItemID="{B04FCA99-13B0-422B-ADC9-9491644FA79D}"/>
              <w15:appearance w15:val="tags"/>
              <w:text/>
            </w:sdtPr>
            <w:sdtContent>
              <w:r w:rsidR="00DB33A4">
                <w:rPr>
                  <w:rStyle w:val="BContentControl"/>
                </w:rPr>
                <w:t>Employment at Will A State-by-State Survey</w:t>
              </w:r>
            </w:sdtContent>
          </w:sdt>
          <w:r w:rsidR="00DB33A4" w:rsidRPr="00DB33A4">
            <w:rPr>
              <w:rStyle w:val="BContentControl"/>
            </w:rPr>
            <w:t xml:space="preserve"> </w:t>
          </w:r>
          <w:sdt>
            <w:sdtPr>
              <w:rPr>
                <w:rStyle w:val="BContentControl"/>
              </w:rPr>
              <w:alias w:val="service.code*"/>
              <w:tag w:val="mUnit1"/>
              <w:id w:val="-560173600"/>
              <w:lock w:val="sdtLocked"/>
              <w:placeholder>
                <w:docPart w:val="CDA566C00E194F07B517862A2D34B434"/>
              </w:placeholder>
              <w:dataBinding w:prefixMappings="xmlns:ns0='http://www.bna.com/gateway/unit.start' " w:xpath="/ns0:document[1]/ns0:unit.start[1]/@service.code" w:storeItemID="{B04FCA99-13B0-422B-ADC9-9491644FA79D}"/>
              <w15:appearance w15:val="tags"/>
              <w:dropDownList w:lastValue="emp-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400-book" w:value="hlbs24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Content>
              <w:r w:rsidR="00DB33A4">
                <w:rPr>
                  <w:rStyle w:val="BContentControl"/>
                </w:rPr>
                <w:t>emp-book</w:t>
              </w:r>
            </w:sdtContent>
          </w:sdt>
          <w:r w:rsidR="00DB33A4" w:rsidRPr="00DB33A4">
            <w:rPr>
              <w:rStyle w:val="BContentControl"/>
            </w:rPr>
            <w:t xml:space="preserve"> </w:t>
          </w:r>
          <w:sdt>
            <w:sdtPr>
              <w:rPr>
                <w:rStyle w:val="BContentControl"/>
              </w:rPr>
              <w:alias w:val="supplement"/>
              <w:tag w:val="supplement"/>
              <w:id w:val="-1073733848"/>
              <w:lock w:val="sdtLocked"/>
              <w:placeholder>
                <w:docPart w:val="48FF0A09361E4A8DB477C010A5FD512B"/>
              </w:placeholder>
              <w:dataBinding w:prefixMappings="xmlns:ns0='http://www.bna.com/gateway/unit.start' " w:xpath="/ns0:document[1]/ns0:unit.start[1]/@supplement" w:storeItemID="{B04FCA99-13B0-422B-ADC9-9491644FA79D}"/>
              <w15:appearance w15:val="tags"/>
              <w:text/>
            </w:sdtPr>
            <w:sdtContent>
              <w:r w:rsidR="00DB33A4">
                <w:rPr>
                  <w:rStyle w:val="BContentControl"/>
                </w:rPr>
                <w:t>0</w:t>
              </w:r>
            </w:sdtContent>
          </w:sdt>
          <w:r w:rsidR="00DB33A4" w:rsidRPr="00DB33A4">
            <w:rPr>
              <w:rStyle w:val="BContentControl"/>
            </w:rPr>
            <w:t xml:space="preserve"> </w:t>
          </w:r>
          <w:sdt>
            <w:sdtPr>
              <w:rPr>
                <w:rStyle w:val="BContentControl"/>
              </w:rPr>
              <w:alias w:val="unit.code"/>
              <w:tag w:val="unit.code"/>
              <w:id w:val="-1834136938"/>
              <w:lock w:val="sdtLocked"/>
              <w:placeholder>
                <w:docPart w:val="7290FE3F71704003850675618486C532"/>
              </w:placeholder>
              <w:dataBinding w:prefixMappings="xmlns:ns0='http://www.bna.com/gateway/unit.start' " w:xpath="/ns0:document[1]/ns0:unit.start[1]/@unit.code" w:storeItemID="{B04FCA99-13B0-422B-ADC9-9491644FA79D}"/>
              <w15:appearance w15:val="tags"/>
              <w:text/>
            </w:sdtPr>
            <w:sdtContent>
              <w:r w:rsidR="00DB33A4">
                <w:rPr>
                  <w:rStyle w:val="BContentControl"/>
                </w:rPr>
                <w:t>main0012</w:t>
              </w:r>
            </w:sdtContent>
          </w:sdt>
          <w:r w:rsidR="00DB33A4" w:rsidRPr="00DB33A4">
            <w:rPr>
              <w:rStyle w:val="BContentControl"/>
            </w:rPr>
            <w:t xml:space="preserve"> </w:t>
          </w:r>
          <w:sdt>
            <w:sdtPr>
              <w:rPr>
                <w:rStyle w:val="BContentControl"/>
              </w:rPr>
              <w:alias w:val="unit.name*"/>
              <w:tag w:val="unit.name"/>
              <w:id w:val="2057045450"/>
              <w:lock w:val="sdtLocked"/>
              <w:placeholder>
                <w:docPart w:val="032EF0F1B63F4B88A10E164313FEEAF1"/>
              </w:placeholder>
              <w:dataBinding w:prefixMappings="xmlns:ns0='http://www.bna.com/gateway/unit.start' " w:xpath="/ns0:document[1]/ns0:unit.start[1]/@unit.name" w:storeItemID="{B04FCA99-13B0-422B-ADC9-9491644FA79D}"/>
              <w15:appearance w15:val="tags"/>
              <w:text/>
            </w:sdtPr>
            <w:sdtContent>
              <w:r w:rsidR="00DB33A4">
                <w:rPr>
                  <w:rStyle w:val="BContentControl"/>
                </w:rPr>
                <w:t>Hawaii</w:t>
              </w:r>
            </w:sdtContent>
          </w:sdt>
          <w:r w:rsidR="00DB33A4" w:rsidRPr="00DB33A4">
            <w:rPr>
              <w:rStyle w:val="BContentControl"/>
            </w:rPr>
            <w:t xml:space="preserve"> </w:t>
          </w:r>
          <w:sdt>
            <w:sdtPr>
              <w:rPr>
                <w:rStyle w:val="BContentControl"/>
              </w:rPr>
              <w:alias w:val="volume.num"/>
              <w:tag w:val="volume.num"/>
              <w:id w:val="-225605097"/>
              <w:lock w:val="sdtLocked"/>
              <w:placeholder>
                <w:docPart w:val="84E993DC653B46E581494A7B74127F3B"/>
              </w:placeholder>
              <w:dataBinding w:prefixMappings="xmlns:ns0='http://www.bna.com/gateway/unit.start' " w:xpath="/ns0:document[1]/ns0:unit.start[1]/@volume.num" w:storeItemID="{B04FCA99-13B0-422B-ADC9-9491644FA79D}"/>
              <w15:appearance w15:val="tags"/>
              <w:text/>
            </w:sdtPr>
            <w:sdtContent>
              <w:r w:rsidR="00DB33A4">
                <w:rPr>
                  <w:rStyle w:val="BContentControl"/>
                </w:rPr>
                <w:t>1</w:t>
              </w:r>
            </w:sdtContent>
          </w:sdt>
        </w:p>
        <w:bookmarkEnd w:id="0" w:displacedByCustomXml="next"/>
      </w:sdtContent>
    </w:sdt>
    <w:p w14:paraId="2A0C3E82" w14:textId="77777777" w:rsidR="006F355C" w:rsidRPr="006F355C" w:rsidRDefault="00000000" w:rsidP="00DB33A4">
      <w:pPr>
        <w:pStyle w:val="BDocStart"/>
      </w:pPr>
      <w:sdt>
        <w:sdtPr>
          <w:tag w:val="DocStart"/>
          <w:id w:val="2006015455"/>
          <w:lock w:val="sdtLocked"/>
          <w:placeholder>
            <w:docPart w:val="C65117270C174559857F5A8AB7C5C147"/>
          </w:placeholder>
          <w15:appearance w15:val="hidden"/>
        </w:sdtPr>
        <w:sdtContent>
          <w:r w:rsidR="00DB33A4">
            <w:t>Document</w:t>
          </w:r>
        </w:sdtContent>
      </w:sdt>
    </w:p>
    <w:p w14:paraId="0004E5D4" w14:textId="77777777" w:rsidR="00743819" w:rsidRDefault="00EC7962" w:rsidP="00743819">
      <w:pPr>
        <w:pStyle w:val="BChapterName"/>
      </w:pPr>
      <w:r w:rsidRPr="00C50860">
        <w:t>Hawaii</w:t>
      </w:r>
    </w:p>
    <w:p w14:paraId="0D3E07D9" w14:textId="6273EB01" w:rsidR="006F355C" w:rsidRPr="006F355C" w:rsidRDefault="00743819" w:rsidP="00743819">
      <w:pPr>
        <w:pStyle w:val="BNormal"/>
      </w:pPr>
      <w:hyperlink r:id="rId13" w:history="1">
        <w:r w:rsidRPr="00D27BEA">
          <w:rPr>
            <w:rStyle w:val="Hyperlink"/>
            <w:smallCaps/>
          </w:rPr>
          <w:t>Kenneth M. Nakasone</w:t>
        </w:r>
      </w:hyperlink>
      <w:r w:rsidR="00BA6871">
        <w:br/>
      </w:r>
      <w:r w:rsidR="00EC7962" w:rsidRPr="00C50860">
        <w:t>Kobayashi, Sugita &amp; Goda LLP</w:t>
      </w:r>
    </w:p>
    <w:p w14:paraId="78D477C2" w14:textId="77777777" w:rsidR="006F355C" w:rsidRPr="002B7D29" w:rsidRDefault="00EC7962" w:rsidP="00451144">
      <w:pPr>
        <w:pStyle w:val="BNormal"/>
        <w:rPr>
          <w:b/>
          <w:bCs/>
          <w:i/>
          <w:iCs/>
        </w:rPr>
      </w:pPr>
      <w:r w:rsidRPr="002B7D29">
        <w:rPr>
          <w:b/>
          <w:bCs/>
          <w:i/>
          <w:iCs/>
        </w:rPr>
        <w:t>This chapter is current through December 31, 2024.</w:t>
      </w:r>
    </w:p>
    <w:p w14:paraId="0A31473D" w14:textId="76DBE09C" w:rsidR="006F355C" w:rsidRPr="008910BF" w:rsidRDefault="00EC7962" w:rsidP="0038580B">
      <w:pPr>
        <w:pStyle w:val="BNormal"/>
        <w:rPr>
          <w:b/>
          <w:bCs/>
          <w:u w:val="thick" w:color="000000"/>
        </w:rPr>
      </w:pPr>
      <w:r w:rsidRPr="008910BF">
        <w:rPr>
          <w:b/>
          <w:bCs/>
        </w:rPr>
        <w:t>I</w:t>
      </w:r>
      <w:r w:rsidR="006F355C" w:rsidRPr="008910BF">
        <w:rPr>
          <w:b/>
          <w:bCs/>
        </w:rPr>
        <w:t>. O</w:t>
      </w:r>
      <w:r w:rsidRPr="008910BF">
        <w:rPr>
          <w:b/>
          <w:bCs/>
        </w:rPr>
        <w:t>verview</w:t>
      </w:r>
    </w:p>
    <w:p w14:paraId="67A0D9E8" w14:textId="645E99F8" w:rsidR="006F355C" w:rsidRPr="006F355C" w:rsidRDefault="00EC7962" w:rsidP="00A94D82">
      <w:pPr>
        <w:tabs>
          <w:tab w:val="left" w:pos="660"/>
        </w:tabs>
      </w:pPr>
      <w:r w:rsidRPr="00C50860">
        <w:t>The nearly century-old employment at-will doctrine in Hawaii reflects the redistribution of workplace rights from employers to employees</w:t>
      </w:r>
      <w:r w:rsidR="006F355C" w:rsidRPr="006F355C">
        <w:t>. T</w:t>
      </w:r>
      <w:r w:rsidRPr="00C50860">
        <w:t>raditionally, the common law doctrine provided that an employee who is hired for an indefinite period of time without an employment contract may be terminated at will by the employer without restriction.</w:t>
      </w:r>
      <w:r w:rsidRPr="00C50860">
        <w:rPr>
          <w:rStyle w:val="FootnoteReference"/>
          <w:position w:val="-1"/>
        </w:rPr>
        <w:footnoteReference w:id="1"/>
      </w:r>
      <w:r w:rsidRPr="00C50860">
        <w:t xml:space="preserve"> This meant that an employer could discharge an employee “for good cause, for no cause or even for cause morally wrong[.]”</w:t>
      </w:r>
      <w:r w:rsidRPr="00C50860">
        <w:rPr>
          <w:rStyle w:val="FootnoteReference"/>
          <w:position w:val="-1"/>
        </w:rPr>
        <w:footnoteReference w:id="2"/>
      </w:r>
      <w:r w:rsidRPr="00C50860">
        <w:t xml:space="preserve"> To correct the inequities resulting from the harsh application of the doctrine, the courts</w:t>
      </w:r>
      <w:r w:rsidRPr="00C50860">
        <w:rPr>
          <w:rStyle w:val="FootnoteReference"/>
          <w:position w:val="-1"/>
        </w:rPr>
        <w:footnoteReference w:id="3"/>
      </w:r>
      <w:r w:rsidRPr="00C50860">
        <w:t xml:space="preserve"> and legislature</w:t>
      </w:r>
      <w:r w:rsidRPr="00C50860">
        <w:rPr>
          <w:rStyle w:val="FootnoteReference"/>
          <w:position w:val="-1"/>
        </w:rPr>
        <w:footnoteReference w:id="4"/>
      </w:r>
      <w:r w:rsidRPr="00C50860">
        <w:t xml:space="preserve"> have intervened to create exceptions to the at-will employment doctrine</w:t>
      </w:r>
      <w:r w:rsidR="006F355C" w:rsidRPr="006F355C">
        <w:t>. O</w:t>
      </w:r>
      <w:r w:rsidRPr="00C50860">
        <w:t>ver the years these exceptions have become so numerous that there is very little left of the doctrine.</w:t>
      </w:r>
    </w:p>
    <w:p w14:paraId="1A6D3752" w14:textId="77777777" w:rsidR="006F355C" w:rsidRPr="006F355C" w:rsidRDefault="00EC7962" w:rsidP="00A94D82">
      <w:pPr>
        <w:tabs>
          <w:tab w:val="left" w:pos="660"/>
        </w:tabs>
        <w:rPr>
          <w:rFonts w:cs="NewBaskerville-Italic"/>
          <w:i/>
          <w:iCs/>
        </w:rPr>
      </w:pPr>
      <w:r w:rsidRPr="00C50860">
        <w:t>This chapter will discuss Hawaii law concerning:</w:t>
      </w:r>
    </w:p>
    <w:p w14:paraId="7C23A90E" w14:textId="77777777"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 xml:space="preserve">The at-will employment </w:t>
      </w:r>
      <w:proofErr w:type="gramStart"/>
      <w:r w:rsidRPr="00A04EC2">
        <w:rPr>
          <w:rFonts w:ascii="Times New Roman" w:hAnsi="Times New Roman"/>
        </w:rPr>
        <w:t>doctrine;</w:t>
      </w:r>
      <w:proofErr w:type="gramEnd"/>
    </w:p>
    <w:p w14:paraId="1235430A" w14:textId="65DCD3AB"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The two major exceptions to the at-will employment doctrine</w:t>
      </w:r>
      <w:r w:rsidR="006F355C" w:rsidRPr="00A04EC2">
        <w:rPr>
          <w:rFonts w:ascii="Times New Roman" w:hAnsi="Times New Roman"/>
        </w:rPr>
        <w:t>: p</w:t>
      </w:r>
      <w:r w:rsidRPr="00A04EC2">
        <w:rPr>
          <w:rFonts w:ascii="Times New Roman" w:hAnsi="Times New Roman"/>
        </w:rPr>
        <w:t xml:space="preserve">ublic policy and implied-in-fact contract and the unwillingness of Hawaii courts to accept an implied covenant of good faith and fair </w:t>
      </w:r>
      <w:proofErr w:type="gramStart"/>
      <w:r w:rsidRPr="00A04EC2">
        <w:rPr>
          <w:rFonts w:ascii="Times New Roman" w:hAnsi="Times New Roman"/>
        </w:rPr>
        <w:t>dealing;</w:t>
      </w:r>
      <w:proofErr w:type="gramEnd"/>
    </w:p>
    <w:p w14:paraId="00DE3C62" w14:textId="77777777"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 xml:space="preserve">The burden of </w:t>
      </w:r>
      <w:proofErr w:type="gramStart"/>
      <w:r w:rsidRPr="00A04EC2">
        <w:rPr>
          <w:rFonts w:ascii="Times New Roman" w:hAnsi="Times New Roman"/>
        </w:rPr>
        <w:t>proof;</w:t>
      </w:r>
      <w:proofErr w:type="gramEnd"/>
    </w:p>
    <w:p w14:paraId="0894F463" w14:textId="77777777"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 xml:space="preserve">Damages in a wrongful termination </w:t>
      </w:r>
      <w:proofErr w:type="gramStart"/>
      <w:r w:rsidRPr="00A04EC2">
        <w:rPr>
          <w:rFonts w:ascii="Times New Roman" w:hAnsi="Times New Roman"/>
        </w:rPr>
        <w:t>suit;</w:t>
      </w:r>
      <w:proofErr w:type="gramEnd"/>
    </w:p>
    <w:p w14:paraId="62F5866B" w14:textId="0D874864"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Employment-related torts, including defamation, negligent hiring, retention and supervision, and negligent and intentional infliction of emotional distress, as well as quasi-contract actions such as promissory estoppel</w:t>
      </w:r>
      <w:r w:rsidR="006F355C" w:rsidRPr="00A04EC2">
        <w:rPr>
          <w:rFonts w:ascii="Times New Roman" w:hAnsi="Times New Roman"/>
        </w:rPr>
        <w:t>; a</w:t>
      </w:r>
      <w:r w:rsidRPr="00A04EC2">
        <w:rPr>
          <w:rFonts w:ascii="Times New Roman" w:hAnsi="Times New Roman"/>
        </w:rPr>
        <w:t>nd</w:t>
      </w:r>
    </w:p>
    <w:p w14:paraId="5F60D824" w14:textId="77777777" w:rsidR="006F355C" w:rsidRPr="00A04EC2" w:rsidRDefault="00EC7962" w:rsidP="00EC7962">
      <w:pPr>
        <w:pStyle w:val="ListBullet"/>
        <w:tabs>
          <w:tab w:val="clear" w:pos="720"/>
          <w:tab w:val="num" w:pos="1440"/>
        </w:tabs>
        <w:suppressAutoHyphens/>
        <w:spacing w:after="240" w:line="240" w:lineRule="auto"/>
        <w:ind w:left="1440" w:right="0" w:hanging="720"/>
        <w:jc w:val="left"/>
        <w:rPr>
          <w:rFonts w:ascii="Times New Roman" w:hAnsi="Times New Roman"/>
        </w:rPr>
      </w:pPr>
      <w:r w:rsidRPr="00A04EC2">
        <w:rPr>
          <w:rFonts w:ascii="Times New Roman" w:hAnsi="Times New Roman"/>
        </w:rPr>
        <w:t>A selected overview of statutes prohibiting termination of employees based on a protected classification.</w:t>
      </w:r>
    </w:p>
    <w:p w14:paraId="2F11F3F6" w14:textId="255E34FD" w:rsidR="006F355C" w:rsidRPr="006F355C" w:rsidRDefault="00EC7962" w:rsidP="001176E4">
      <w:r w:rsidRPr="00C50860">
        <w:t>Moreover, this chapter provides a detailed examination of the following topics in relation to at-will employment under Hawaii law</w:t>
      </w:r>
      <w:r w:rsidR="006F355C" w:rsidRPr="006F355C">
        <w:t>. T</w:t>
      </w:r>
      <w:r w:rsidRPr="00C50860">
        <w:t>opics include:</w:t>
      </w:r>
    </w:p>
    <w:p w14:paraId="2F8200CF" w14:textId="77777777" w:rsidR="006F355C" w:rsidRDefault="00EC7962" w:rsidP="00EC7962">
      <w:pPr>
        <w:pStyle w:val="TOCHeading1"/>
        <w:numPr>
          <w:ilvl w:val="0"/>
          <w:numId w:val="45"/>
        </w:numPr>
      </w:pPr>
      <w:r w:rsidRPr="00C50860">
        <w:t>Employment Contract</w:t>
      </w:r>
    </w:p>
    <w:p w14:paraId="11280457" w14:textId="6D10771E" w:rsidR="006F355C" w:rsidRDefault="00EC7962" w:rsidP="00EC7962">
      <w:pPr>
        <w:pStyle w:val="TOCHeading2"/>
        <w:numPr>
          <w:ilvl w:val="1"/>
          <w:numId w:val="46"/>
        </w:numPr>
      </w:pPr>
      <w:r w:rsidRPr="00C50860">
        <w:t>Written Contracts</w:t>
      </w:r>
      <w:r w:rsidR="006F355C" w:rsidRPr="006F355C">
        <w:t>; O</w:t>
      </w:r>
      <w:r w:rsidRPr="00C50860">
        <w:t>ral Contracts/Assurances</w:t>
      </w:r>
    </w:p>
    <w:p w14:paraId="7A459A98" w14:textId="77777777" w:rsidR="006F355C" w:rsidRDefault="00EC7962" w:rsidP="00EC7962">
      <w:pPr>
        <w:pStyle w:val="TOCHeading2"/>
        <w:numPr>
          <w:ilvl w:val="0"/>
          <w:numId w:val="46"/>
        </w:numPr>
      </w:pPr>
      <w:r w:rsidRPr="00C50860">
        <w:t>Implied-in-Fact Contracts</w:t>
      </w:r>
    </w:p>
    <w:p w14:paraId="5087C68E" w14:textId="77777777" w:rsidR="006F355C" w:rsidRDefault="00EC7962" w:rsidP="00EC7962">
      <w:pPr>
        <w:pStyle w:val="TOCHeading1"/>
        <w:numPr>
          <w:ilvl w:val="0"/>
          <w:numId w:val="45"/>
        </w:numPr>
      </w:pPr>
      <w:r w:rsidRPr="00C50860">
        <w:t>Implied Covenant of Good Faith and Fair Dealing</w:t>
      </w:r>
    </w:p>
    <w:p w14:paraId="0C77C4F4" w14:textId="77777777" w:rsidR="006F355C" w:rsidRDefault="00EC7962" w:rsidP="00EC7962">
      <w:pPr>
        <w:pStyle w:val="TOCHeading1"/>
        <w:numPr>
          <w:ilvl w:val="0"/>
          <w:numId w:val="45"/>
        </w:numPr>
      </w:pPr>
      <w:r w:rsidRPr="00C50860">
        <w:t>Public Policy Exception</w:t>
      </w:r>
    </w:p>
    <w:p w14:paraId="269D89E2" w14:textId="77777777" w:rsidR="006F355C" w:rsidRDefault="00EC7962" w:rsidP="00EC7962">
      <w:pPr>
        <w:pStyle w:val="TOCHeading1"/>
        <w:numPr>
          <w:ilvl w:val="0"/>
          <w:numId w:val="45"/>
        </w:numPr>
      </w:pPr>
      <w:r w:rsidRPr="00C50860">
        <w:t>Burdens of Proof, Just Cause, Disclaimers, and Damages</w:t>
      </w:r>
    </w:p>
    <w:p w14:paraId="0E3F90A4" w14:textId="77777777" w:rsidR="006F355C" w:rsidRDefault="00EC7962" w:rsidP="00EC7962">
      <w:pPr>
        <w:pStyle w:val="TOCHeading2"/>
        <w:numPr>
          <w:ilvl w:val="1"/>
          <w:numId w:val="45"/>
        </w:numPr>
      </w:pPr>
      <w:r w:rsidRPr="00C50860">
        <w:t>Burdens of Proof</w:t>
      </w:r>
    </w:p>
    <w:p w14:paraId="75C346A2" w14:textId="77777777" w:rsidR="006F355C" w:rsidRDefault="00EC7962" w:rsidP="00EC7962">
      <w:pPr>
        <w:pStyle w:val="TOCHeading2"/>
        <w:numPr>
          <w:ilvl w:val="1"/>
          <w:numId w:val="45"/>
        </w:numPr>
      </w:pPr>
      <w:r w:rsidRPr="00C50860">
        <w:t>Just Cause</w:t>
      </w:r>
    </w:p>
    <w:p w14:paraId="7FC9792F" w14:textId="77777777" w:rsidR="006F355C" w:rsidRDefault="00EC7962" w:rsidP="00EC7962">
      <w:pPr>
        <w:pStyle w:val="TOCHeading2"/>
        <w:numPr>
          <w:ilvl w:val="1"/>
          <w:numId w:val="45"/>
        </w:numPr>
      </w:pPr>
      <w:r w:rsidRPr="00C50860">
        <w:t>Disclaimers</w:t>
      </w:r>
    </w:p>
    <w:p w14:paraId="32CD4CCE" w14:textId="77777777" w:rsidR="006F355C" w:rsidRDefault="00EC7962" w:rsidP="00EC7962">
      <w:pPr>
        <w:pStyle w:val="TOCHeading2"/>
        <w:numPr>
          <w:ilvl w:val="1"/>
          <w:numId w:val="45"/>
        </w:numPr>
      </w:pPr>
      <w:r w:rsidRPr="00C50860">
        <w:t>Damages</w:t>
      </w:r>
    </w:p>
    <w:p w14:paraId="3CD370FD" w14:textId="77777777" w:rsidR="006F355C" w:rsidRDefault="00EC7962" w:rsidP="00EC7962">
      <w:pPr>
        <w:pStyle w:val="TOCHeading1"/>
        <w:numPr>
          <w:ilvl w:val="0"/>
          <w:numId w:val="45"/>
        </w:numPr>
      </w:pPr>
      <w:r w:rsidRPr="00C50860">
        <w:t>Related Torts</w:t>
      </w:r>
    </w:p>
    <w:p w14:paraId="6055F312" w14:textId="77777777" w:rsidR="006F355C" w:rsidRDefault="00EC7962" w:rsidP="00EC7962">
      <w:pPr>
        <w:pStyle w:val="TOCHeading2"/>
        <w:numPr>
          <w:ilvl w:val="1"/>
          <w:numId w:val="45"/>
        </w:numPr>
      </w:pPr>
      <w:r w:rsidRPr="00C50860">
        <w:t>Fraud</w:t>
      </w:r>
    </w:p>
    <w:p w14:paraId="122EEFD6" w14:textId="77777777" w:rsidR="006F355C" w:rsidRDefault="00EC7962" w:rsidP="00EC7962">
      <w:pPr>
        <w:pStyle w:val="TOCHeading2"/>
        <w:numPr>
          <w:ilvl w:val="1"/>
          <w:numId w:val="45"/>
        </w:numPr>
      </w:pPr>
      <w:r w:rsidRPr="00C50860">
        <w:t xml:space="preserve">Intentional Interference </w:t>
      </w:r>
      <w:proofErr w:type="gramStart"/>
      <w:r w:rsidRPr="00C50860">
        <w:t>With</w:t>
      </w:r>
      <w:proofErr w:type="gramEnd"/>
      <w:r w:rsidRPr="00C50860">
        <w:t xml:space="preserve"> a Contract</w:t>
      </w:r>
    </w:p>
    <w:p w14:paraId="6FB5EA21" w14:textId="77777777" w:rsidR="006F355C" w:rsidRDefault="00EC7962" w:rsidP="00EC7962">
      <w:pPr>
        <w:pStyle w:val="TOCHeading2"/>
        <w:numPr>
          <w:ilvl w:val="1"/>
          <w:numId w:val="45"/>
        </w:numPr>
      </w:pPr>
      <w:r w:rsidRPr="00C50860">
        <w:t>Defamation</w:t>
      </w:r>
    </w:p>
    <w:p w14:paraId="309F7513" w14:textId="77777777" w:rsidR="006F355C" w:rsidRDefault="00EC7962" w:rsidP="00EC7962">
      <w:pPr>
        <w:pStyle w:val="TOCHeading2"/>
        <w:numPr>
          <w:ilvl w:val="1"/>
          <w:numId w:val="45"/>
        </w:numPr>
      </w:pPr>
      <w:r w:rsidRPr="00C50860">
        <w:t>Intentional Infliction of Emotional Distress</w:t>
      </w:r>
    </w:p>
    <w:p w14:paraId="56C9FED4" w14:textId="77777777" w:rsidR="006F355C" w:rsidRDefault="00EC7962" w:rsidP="00EC7962">
      <w:pPr>
        <w:pStyle w:val="TOCHeading2"/>
        <w:numPr>
          <w:ilvl w:val="1"/>
          <w:numId w:val="45"/>
        </w:numPr>
      </w:pPr>
      <w:r w:rsidRPr="00C50860">
        <w:t>Negligence</w:t>
      </w:r>
    </w:p>
    <w:p w14:paraId="6338C563" w14:textId="77777777" w:rsidR="006F355C" w:rsidRDefault="00EC7962" w:rsidP="00EC7962">
      <w:pPr>
        <w:pStyle w:val="TOCHeading3"/>
        <w:numPr>
          <w:ilvl w:val="2"/>
          <w:numId w:val="45"/>
        </w:numPr>
      </w:pPr>
      <w:r w:rsidRPr="00C50860">
        <w:t>Negligent Misrepresentation</w:t>
      </w:r>
    </w:p>
    <w:p w14:paraId="4981EAD5" w14:textId="77777777" w:rsidR="006F355C" w:rsidRDefault="00EC7962" w:rsidP="00EC7962">
      <w:pPr>
        <w:pStyle w:val="TOCHeading3"/>
        <w:numPr>
          <w:ilvl w:val="2"/>
          <w:numId w:val="45"/>
        </w:numPr>
      </w:pPr>
      <w:r w:rsidRPr="00C50860">
        <w:t>Negligent Hiring</w:t>
      </w:r>
    </w:p>
    <w:p w14:paraId="6B434DD9" w14:textId="77777777" w:rsidR="006F355C" w:rsidRDefault="00EC7962" w:rsidP="00EC7962">
      <w:pPr>
        <w:pStyle w:val="TOCHeading3"/>
        <w:numPr>
          <w:ilvl w:val="2"/>
          <w:numId w:val="45"/>
        </w:numPr>
      </w:pPr>
      <w:r w:rsidRPr="00C50860">
        <w:t>Negligent Training</w:t>
      </w:r>
    </w:p>
    <w:p w14:paraId="4C7FC5A8" w14:textId="77777777" w:rsidR="006F355C" w:rsidRDefault="00EC7962" w:rsidP="00EC7962">
      <w:pPr>
        <w:pStyle w:val="TOCHeading3"/>
        <w:numPr>
          <w:ilvl w:val="2"/>
          <w:numId w:val="45"/>
        </w:numPr>
      </w:pPr>
      <w:r w:rsidRPr="00C50860">
        <w:t>Negligent Retention</w:t>
      </w:r>
    </w:p>
    <w:p w14:paraId="2F8A12D5" w14:textId="77777777" w:rsidR="006F355C" w:rsidRDefault="00EC7962" w:rsidP="00EC7962">
      <w:pPr>
        <w:pStyle w:val="TOCHeading3"/>
        <w:numPr>
          <w:ilvl w:val="2"/>
          <w:numId w:val="45"/>
        </w:numPr>
      </w:pPr>
      <w:r w:rsidRPr="00C50860">
        <w:t>Negligent Supervision</w:t>
      </w:r>
    </w:p>
    <w:p w14:paraId="39AC2A71" w14:textId="77777777" w:rsidR="006F355C" w:rsidRDefault="00EC7962" w:rsidP="00EC7962">
      <w:pPr>
        <w:pStyle w:val="TOCHeading3"/>
        <w:numPr>
          <w:ilvl w:val="2"/>
          <w:numId w:val="45"/>
        </w:numPr>
      </w:pPr>
      <w:r w:rsidRPr="00C50860">
        <w:t>Negligent Infliction of Emotional Distress</w:t>
      </w:r>
    </w:p>
    <w:p w14:paraId="6D75E97F" w14:textId="77777777" w:rsidR="006F355C" w:rsidRDefault="00EC7962" w:rsidP="00EC7962">
      <w:pPr>
        <w:pStyle w:val="TOCHeading2"/>
        <w:numPr>
          <w:ilvl w:val="1"/>
          <w:numId w:val="45"/>
        </w:numPr>
      </w:pPr>
      <w:r w:rsidRPr="00C50860">
        <w:t>Miscellaneous</w:t>
      </w:r>
    </w:p>
    <w:p w14:paraId="271DBF61" w14:textId="77777777" w:rsidR="006F355C" w:rsidRDefault="00EC7962" w:rsidP="00EC7962">
      <w:pPr>
        <w:pStyle w:val="TOCHeading3"/>
        <w:numPr>
          <w:ilvl w:val="2"/>
          <w:numId w:val="45"/>
        </w:numPr>
      </w:pPr>
      <w:r w:rsidRPr="00C50860">
        <w:t>False Imprisonment</w:t>
      </w:r>
    </w:p>
    <w:p w14:paraId="34394B01" w14:textId="77777777" w:rsidR="006F355C" w:rsidRDefault="00EC7962" w:rsidP="00EC7962">
      <w:pPr>
        <w:pStyle w:val="TOCHeading1"/>
        <w:numPr>
          <w:ilvl w:val="0"/>
          <w:numId w:val="45"/>
        </w:numPr>
      </w:pPr>
      <w:r w:rsidRPr="00C50860">
        <w:t>Statutes</w:t>
      </w:r>
    </w:p>
    <w:p w14:paraId="55EDF9A9" w14:textId="77777777" w:rsidR="006F355C" w:rsidRDefault="00EC7962" w:rsidP="00EC7962">
      <w:pPr>
        <w:pStyle w:val="TOCHeading2"/>
        <w:numPr>
          <w:ilvl w:val="1"/>
          <w:numId w:val="45"/>
        </w:numPr>
      </w:pPr>
      <w:r w:rsidRPr="00C50860">
        <w:t>Employment Discrimination</w:t>
      </w:r>
    </w:p>
    <w:p w14:paraId="5DD486D3" w14:textId="77777777" w:rsidR="006F355C" w:rsidRDefault="00EC7962" w:rsidP="00EC7962">
      <w:pPr>
        <w:pStyle w:val="TOCHeading2"/>
        <w:numPr>
          <w:ilvl w:val="1"/>
          <w:numId w:val="45"/>
        </w:numPr>
      </w:pPr>
      <w:r w:rsidRPr="00C50860">
        <w:t>Whistleblowers’ Protection Act</w:t>
      </w:r>
    </w:p>
    <w:p w14:paraId="794C171A" w14:textId="77777777" w:rsidR="006F355C" w:rsidRDefault="00EC7962" w:rsidP="00EC7962">
      <w:pPr>
        <w:pStyle w:val="TOCHeading1"/>
        <w:numPr>
          <w:ilvl w:val="0"/>
          <w:numId w:val="45"/>
        </w:numPr>
      </w:pPr>
      <w:r w:rsidRPr="00C50860">
        <w:t>Additional Topics</w:t>
      </w:r>
    </w:p>
    <w:p w14:paraId="4AFE6216" w14:textId="77777777" w:rsidR="006F355C" w:rsidRDefault="00EC7962" w:rsidP="00EC7962">
      <w:pPr>
        <w:pStyle w:val="TOCHeading2"/>
        <w:numPr>
          <w:ilvl w:val="1"/>
          <w:numId w:val="45"/>
        </w:numPr>
      </w:pPr>
      <w:r w:rsidRPr="00C50860">
        <w:t>Promissory Estoppel</w:t>
      </w:r>
    </w:p>
    <w:p w14:paraId="567C1124" w14:textId="0C91978C" w:rsidR="006F355C" w:rsidRPr="006F355C" w:rsidRDefault="00EC7962" w:rsidP="00A94D82">
      <w:pPr>
        <w:pStyle w:val="Heading1"/>
        <w:rPr>
          <w:szCs w:val="24"/>
        </w:rPr>
      </w:pPr>
      <w:r w:rsidRPr="00C50860">
        <w:rPr>
          <w:szCs w:val="24"/>
        </w:rPr>
        <w:t>II</w:t>
      </w:r>
      <w:r w:rsidR="006F355C" w:rsidRPr="006F355C">
        <w:rPr>
          <w:szCs w:val="24"/>
        </w:rPr>
        <w:t>. E</w:t>
      </w:r>
      <w:r w:rsidRPr="00C50860">
        <w:rPr>
          <w:szCs w:val="24"/>
        </w:rPr>
        <w:t>mployment Contract</w:t>
      </w:r>
    </w:p>
    <w:p w14:paraId="7F74CC20" w14:textId="4BDA947E" w:rsidR="006F355C" w:rsidRPr="006F355C" w:rsidRDefault="00EC7962" w:rsidP="00A94D82">
      <w:pPr>
        <w:pStyle w:val="Heading2"/>
      </w:pPr>
      <w:r w:rsidRPr="00C50860">
        <w:t>A./B.</w:t>
      </w:r>
      <w:r w:rsidRPr="00C50860">
        <w:tab/>
        <w:t>Written Contracts</w:t>
      </w:r>
      <w:r w:rsidR="006F355C" w:rsidRPr="006F355C">
        <w:t>; O</w:t>
      </w:r>
      <w:r w:rsidRPr="00C50860">
        <w:t>ral Contracts/Assurances</w:t>
      </w:r>
    </w:p>
    <w:p w14:paraId="7F9CC14F" w14:textId="7104D381" w:rsidR="006F355C" w:rsidRPr="006F355C" w:rsidRDefault="00EC7962" w:rsidP="00DE5A2E">
      <w:pPr>
        <w:tabs>
          <w:tab w:val="left" w:pos="880"/>
        </w:tabs>
      </w:pPr>
      <w:r w:rsidRPr="00C50860">
        <w:t>Employees often assert their termination violates the terms of a written or verbal agreement</w:t>
      </w:r>
      <w:r w:rsidR="006F355C" w:rsidRPr="006F355C">
        <w:t>. I</w:t>
      </w:r>
      <w:r w:rsidRPr="00C50860">
        <w:t xml:space="preserve">n </w:t>
      </w:r>
      <w:proofErr w:type="spellStart"/>
      <w:r w:rsidRPr="00C50860">
        <w:rPr>
          <w:rFonts w:cs="NewBaskerville-Italic"/>
          <w:i/>
          <w:iCs/>
        </w:rPr>
        <w:t>Shahata</w:t>
      </w:r>
      <w:proofErr w:type="spellEnd"/>
      <w:r w:rsidRPr="00C50860">
        <w:rPr>
          <w:rFonts w:cs="NewBaskerville-Italic"/>
          <w:i/>
          <w:iCs/>
        </w:rPr>
        <w:t xml:space="preserve"> v</w:t>
      </w:r>
      <w:r w:rsidR="006F355C" w:rsidRPr="006F355C">
        <w:rPr>
          <w:rFonts w:cs="NewBaskerville-Italic"/>
          <w:i/>
          <w:iCs/>
        </w:rPr>
        <w:t>. W</w:t>
      </w:r>
      <w:r w:rsidRPr="00C50860">
        <w:rPr>
          <w:rFonts w:cs="NewBaskerville-Italic"/>
          <w:i/>
          <w:iCs/>
        </w:rPr>
        <w:t xml:space="preserve"> Steak Waikiki, LLC</w:t>
      </w:r>
      <w:r w:rsidRPr="00C50860">
        <w:t>,</w:t>
      </w:r>
      <w:r w:rsidRPr="00C50860">
        <w:rPr>
          <w:rStyle w:val="FootnoteReference"/>
          <w:position w:val="-1"/>
        </w:rPr>
        <w:footnoteReference w:id="5"/>
      </w:r>
      <w:r w:rsidRPr="00C50860">
        <w:t xml:space="preserve"> an executive chef filed suit for breach of contract, promissory estoppel, and other employment-related torts after he was terminated following the restaurant’s grand opening.</w:t>
      </w:r>
      <w:r w:rsidRPr="00C50860">
        <w:rPr>
          <w:rStyle w:val="FootnoteReference"/>
          <w:position w:val="-1"/>
        </w:rPr>
        <w:footnoteReference w:id="6"/>
      </w:r>
      <w:r w:rsidRPr="00C50860">
        <w:t xml:space="preserve"> He claimed he was terminated before the expiration of the one-year term of his contract</w:t>
      </w:r>
      <w:r w:rsidR="006F355C" w:rsidRPr="006F355C">
        <w:t>. H</w:t>
      </w:r>
      <w:r w:rsidRPr="00C50860">
        <w:t>is employment contract stated “[u]</w:t>
      </w:r>
      <w:proofErr w:type="spellStart"/>
      <w:r w:rsidRPr="00C50860">
        <w:t>pon</w:t>
      </w:r>
      <w:proofErr w:type="spellEnd"/>
      <w:r w:rsidRPr="00C50860">
        <w:t xml:space="preserve"> signature of this document, you [the plaintiff] will be agreeing to a one (1) year commitment to [the restaurant] and to the Honolulu location.”</w:t>
      </w:r>
      <w:r w:rsidRPr="00C50860">
        <w:rPr>
          <w:rStyle w:val="FootnoteReference"/>
          <w:position w:val="-1"/>
        </w:rPr>
        <w:footnoteReference w:id="7"/>
      </w:r>
      <w:r w:rsidRPr="00C50860">
        <w:t xml:space="preserve"> Initially, the trial court denied summary judgment.</w:t>
      </w:r>
      <w:r w:rsidRPr="00C50860">
        <w:rPr>
          <w:rStyle w:val="FootnoteReference"/>
          <w:position w:val="-1"/>
        </w:rPr>
        <w:footnoteReference w:id="8"/>
      </w:r>
      <w:r w:rsidRPr="00C50860">
        <w:t xml:space="preserve"> However, after a nine-day bench trial, the district court ruled in favor of the employer.</w:t>
      </w:r>
      <w:r w:rsidRPr="00C50860">
        <w:rPr>
          <w:rStyle w:val="FootnoteReference"/>
          <w:position w:val="-1"/>
        </w:rPr>
        <w:footnoteReference w:id="9"/>
      </w:r>
      <w:r w:rsidRPr="00C50860">
        <w:t xml:space="preserve"> The Ninth Circuit affirmed the district court’s decision.</w:t>
      </w:r>
      <w:r w:rsidRPr="00C50860">
        <w:rPr>
          <w:rStyle w:val="FootnoteReference"/>
          <w:position w:val="-1"/>
        </w:rPr>
        <w:footnoteReference w:id="10"/>
      </w:r>
    </w:p>
    <w:p w14:paraId="4EC117E3" w14:textId="77777777" w:rsidR="006F355C" w:rsidRPr="006F355C" w:rsidRDefault="00EC7962" w:rsidP="00A94D82">
      <w:pPr>
        <w:tabs>
          <w:tab w:val="left" w:pos="880"/>
        </w:tabs>
      </w:pPr>
      <w:r w:rsidRPr="00C50860">
        <w:t>The district court found that, before the restaurant’s grand opening, the executive chef hired subordinates to work in the kitchen.</w:t>
      </w:r>
      <w:r w:rsidRPr="00C50860">
        <w:rPr>
          <w:rStyle w:val="FootnoteReference"/>
          <w:position w:val="-1"/>
        </w:rPr>
        <w:footnoteReference w:id="11"/>
      </w:r>
      <w:r w:rsidRPr="00C50860">
        <w:t xml:space="preserve"> As part of the hiring process, he gave the newly hired employees copies of the restaurant’s employee handbook.</w:t>
      </w:r>
      <w:r w:rsidRPr="00C50860">
        <w:rPr>
          <w:rStyle w:val="FootnoteReference"/>
          <w:position w:val="-1"/>
        </w:rPr>
        <w:footnoteReference w:id="12"/>
      </w:r>
      <w:r w:rsidRPr="00C50860">
        <w:t xml:space="preserve"> The handbook contained language preserving the at-will employment relationship and reserving to only the president or chairman the right to enter into an agreement for a specified period of time or to alter the at-will employment relationship.</w:t>
      </w:r>
      <w:r w:rsidRPr="00C50860">
        <w:rPr>
          <w:rStyle w:val="FootnoteReference"/>
          <w:position w:val="-1"/>
        </w:rPr>
        <w:footnoteReference w:id="13"/>
      </w:r>
      <w:r w:rsidRPr="00C50860">
        <w:t xml:space="preserve"> Thus, the chef knew his employment was at-will unless there was an agreement signed by the president or chairman.</w:t>
      </w:r>
    </w:p>
    <w:p w14:paraId="346FE0F2" w14:textId="77777777" w:rsidR="006F355C" w:rsidRPr="006F355C" w:rsidRDefault="00EC7962" w:rsidP="00A94D82">
      <w:pPr>
        <w:tabs>
          <w:tab w:val="left" w:pos="880"/>
        </w:tabs>
      </w:pPr>
      <w:r w:rsidRPr="00C50860">
        <w:t>After trial, the court ruled that extrinsic evidence showed that the one-year term was included “to ensure that [p]</w:t>
      </w:r>
      <w:proofErr w:type="spellStart"/>
      <w:r w:rsidRPr="00C50860">
        <w:t>laintiff</w:t>
      </w:r>
      <w:proofErr w:type="spellEnd"/>
      <w:r w:rsidRPr="00C50860">
        <w:t xml:space="preserve"> was committed to working at the [Honolulu] location for a specific period of time given the significant financial outlay [the restaurant] was making in relocating [p]</w:t>
      </w:r>
      <w:proofErr w:type="spellStart"/>
      <w:r w:rsidRPr="00C50860">
        <w:t>laintiff</w:t>
      </w:r>
      <w:proofErr w:type="spellEnd"/>
      <w:r w:rsidRPr="00C50860">
        <w:t xml:space="preserve"> to Hawaii,” and therefore, there was no breach of contract.</w:t>
      </w:r>
      <w:r w:rsidRPr="00C50860">
        <w:rPr>
          <w:rStyle w:val="FootnoteReference"/>
          <w:position w:val="-1"/>
        </w:rPr>
        <w:footnoteReference w:id="14"/>
      </w:r>
      <w:r w:rsidRPr="00C50860">
        <w:t xml:space="preserve"> Even if there was a one-year employment contract, the restaurant did not breach the contract, because the chef failed to perform his work satisfactorily.</w:t>
      </w:r>
      <w:r w:rsidRPr="00C50860">
        <w:rPr>
          <w:rStyle w:val="FootnoteReference"/>
          <w:position w:val="-1"/>
        </w:rPr>
        <w:footnoteReference w:id="15"/>
      </w:r>
      <w:r w:rsidRPr="00C50860">
        <w:t xml:space="preserve"> The court rejected the chef’s promissory estoppel claim, because the restaurant had good cause to terminate his employment.</w:t>
      </w:r>
      <w:r w:rsidRPr="00C50860">
        <w:rPr>
          <w:rStyle w:val="FootnoteReference"/>
          <w:position w:val="-1"/>
        </w:rPr>
        <w:footnoteReference w:id="16"/>
      </w:r>
      <w:r w:rsidRPr="00C50860">
        <w:t xml:space="preserve"> Alternatively, the chef could not assert an equitable claim for promissory estoppel because he had a remedy in contract.</w:t>
      </w:r>
      <w:r w:rsidRPr="00C50860">
        <w:rPr>
          <w:rStyle w:val="FootnoteReference"/>
          <w:position w:val="-1"/>
        </w:rPr>
        <w:footnoteReference w:id="17"/>
      </w:r>
    </w:p>
    <w:p w14:paraId="53632B69" w14:textId="57CD1F63" w:rsidR="006F355C" w:rsidRPr="006F355C" w:rsidRDefault="00EC7962" w:rsidP="00A94D82">
      <w:pPr>
        <w:tabs>
          <w:tab w:val="left" w:pos="880"/>
        </w:tabs>
      </w:pPr>
      <w:r w:rsidRPr="00C50860">
        <w:t>Absent a written agreement, employees often cite an oral assurance of continued employment as a basis for alleging a breach of contract</w:t>
      </w:r>
      <w:r w:rsidR="006F355C" w:rsidRPr="006F355C">
        <w:t>. F</w:t>
      </w:r>
      <w:r w:rsidRPr="00C50860">
        <w:t xml:space="preserve">or example, the Territorial Supreme Court’s 1919 decision in </w:t>
      </w:r>
      <w:r w:rsidRPr="00C50860">
        <w:rPr>
          <w:rFonts w:cs="NewBaskerville-Italic"/>
          <w:i/>
          <w:iCs/>
        </w:rPr>
        <w:t>Crawford v</w:t>
      </w:r>
      <w:r w:rsidR="006F355C" w:rsidRPr="006F355C">
        <w:rPr>
          <w:rFonts w:cs="NewBaskerville-Italic"/>
          <w:i/>
          <w:iCs/>
        </w:rPr>
        <w:t>. S</w:t>
      </w:r>
      <w:r w:rsidRPr="00C50860">
        <w:rPr>
          <w:rFonts w:cs="NewBaskerville-Italic"/>
          <w:i/>
          <w:iCs/>
        </w:rPr>
        <w:t>tewart</w:t>
      </w:r>
      <w:r w:rsidRPr="00C50860">
        <w:rPr>
          <w:rStyle w:val="FootnoteReference"/>
          <w:position w:val="-1"/>
        </w:rPr>
        <w:footnoteReference w:id="18"/>
      </w:r>
      <w:r w:rsidRPr="00C50860">
        <w:t xml:space="preserve"> involved a lawsuit between a bus driver and her passengers</w:t>
      </w:r>
      <w:r w:rsidR="006F355C" w:rsidRPr="006F355C">
        <w:t>. S</w:t>
      </w:r>
      <w:r w:rsidRPr="00C50860">
        <w:t xml:space="preserve">everal </w:t>
      </w:r>
      <w:proofErr w:type="gramStart"/>
      <w:r w:rsidRPr="00C50860">
        <w:t>school teachers</w:t>
      </w:r>
      <w:proofErr w:type="gramEnd"/>
      <w:r w:rsidRPr="00C50860">
        <w:t xml:space="preserve"> had verbally contracted with a driver to transport them from urban Oahu to their school in rural Oahu, and back again, each school day</w:t>
      </w:r>
      <w:r w:rsidR="006F355C" w:rsidRPr="006F355C">
        <w:t>. T</w:t>
      </w:r>
      <w:r w:rsidRPr="00C50860">
        <w:t>he parties verbally agreed that payment would be a set amount per month, with no mention of the length of time the service was to be performed</w:t>
      </w:r>
      <w:r w:rsidR="006F355C" w:rsidRPr="006F355C">
        <w:t>. W</w:t>
      </w:r>
      <w:r w:rsidRPr="00C50860">
        <w:t xml:space="preserve">hen the school recessed for the Christmas holiday, </w:t>
      </w:r>
      <w:proofErr w:type="gramStart"/>
      <w:r w:rsidRPr="00C50860">
        <w:t>school teachers</w:t>
      </w:r>
      <w:proofErr w:type="gramEnd"/>
      <w:r w:rsidRPr="00C50860">
        <w:t xml:space="preserve"> paid the driver only half-a-month’s transportation fee</w:t>
      </w:r>
      <w:r w:rsidR="006F355C" w:rsidRPr="006F355C">
        <w:t>. T</w:t>
      </w:r>
      <w:r w:rsidRPr="00C50860">
        <w:t>he driver sued, arguing that she was employed on a monthly basis because payment was calculated on a monthly fee</w:t>
      </w:r>
      <w:r w:rsidR="006F355C" w:rsidRPr="006F355C">
        <w:t>. T</w:t>
      </w:r>
      <w:r w:rsidRPr="00C50860">
        <w:t>he Supreme Court disagreed, explaining:</w:t>
      </w:r>
    </w:p>
    <w:p w14:paraId="2F397F5D" w14:textId="05E8347F" w:rsidR="006F355C" w:rsidRPr="006F355C" w:rsidRDefault="00EC7962" w:rsidP="00A94D82">
      <w:pPr>
        <w:pStyle w:val="BlockQuote"/>
      </w:pPr>
      <w:r w:rsidRPr="00C50860">
        <w:t xml:space="preserve">If the parties were desirous of making a contract for a definite period of </w:t>
      </w:r>
      <w:proofErr w:type="gramStart"/>
      <w:r w:rsidRPr="00C50860">
        <w:t>time</w:t>
      </w:r>
      <w:proofErr w:type="gramEnd"/>
      <w:r w:rsidRPr="00C50860">
        <w:t xml:space="preserve"> there was nothing to prevent them from including such term in their contract</w:t>
      </w:r>
      <w:r w:rsidR="006F355C" w:rsidRPr="006F355C">
        <w:t>. T</w:t>
      </w:r>
      <w:r w:rsidRPr="00C50860">
        <w:t xml:space="preserve">hey have failed to do </w:t>
      </w:r>
      <w:proofErr w:type="gramStart"/>
      <w:r w:rsidRPr="00C50860">
        <w:t>this</w:t>
      </w:r>
      <w:proofErr w:type="gramEnd"/>
      <w:r w:rsidRPr="00C50860">
        <w:t xml:space="preserve"> and we see no reason why we should engraft upon the contract a term which the parties have failed to include in it </w:t>
      </w:r>
      <w:proofErr w:type="gramStart"/>
      <w:r w:rsidRPr="00C50860">
        <w:t xml:space="preserve">… </w:t>
      </w:r>
      <w:r w:rsidR="006F355C" w:rsidRPr="006F355C">
        <w:t>.</w:t>
      </w:r>
      <w:proofErr w:type="gramEnd"/>
      <w:r w:rsidR="006F355C" w:rsidRPr="006F355C">
        <w:t xml:space="preserve"> [</w:t>
      </w:r>
      <w:r w:rsidRPr="00C50860">
        <w:t>W]here no term has been specified for the contract to run none will be inferred from the mere fact that payment is to be so much per month but will be a contract terminable at the will of either party.</w:t>
      </w:r>
      <w:r w:rsidRPr="00C50860">
        <w:rPr>
          <w:rStyle w:val="FootnoteReference"/>
          <w:position w:val="-1"/>
        </w:rPr>
        <w:footnoteReference w:id="19"/>
      </w:r>
    </w:p>
    <w:p w14:paraId="0E399B81" w14:textId="77777777" w:rsidR="006F355C" w:rsidRPr="006F355C" w:rsidRDefault="00EC7962" w:rsidP="00A94D82">
      <w:r w:rsidRPr="00C50860">
        <w:t>In other words, the court reasoned that an employment contract of indefinite duration may be terminated by either the employer or the employee at any time for any reason.</w:t>
      </w:r>
      <w:r w:rsidRPr="00C50860">
        <w:rPr>
          <w:rStyle w:val="FootnoteReference"/>
          <w:position w:val="-1"/>
        </w:rPr>
        <w:footnoteReference w:id="20"/>
      </w:r>
    </w:p>
    <w:p w14:paraId="7D3DF05F" w14:textId="2F012061" w:rsidR="006F355C" w:rsidRPr="006F355C" w:rsidRDefault="00EC7962" w:rsidP="00A94D82">
      <w:r w:rsidRPr="00C50860">
        <w:t xml:space="preserve">Approximately 60 years later, the federal district court in </w:t>
      </w:r>
      <w:r w:rsidRPr="00C50860">
        <w:rPr>
          <w:rFonts w:cs="NewBaskerville-Italic"/>
          <w:i/>
          <w:iCs/>
        </w:rPr>
        <w:t>Stancil v</w:t>
      </w:r>
      <w:r w:rsidR="006F355C" w:rsidRPr="006F355C">
        <w:rPr>
          <w:rFonts w:cs="NewBaskerville-Italic"/>
          <w:i/>
          <w:iCs/>
        </w:rPr>
        <w:t>. M</w:t>
      </w:r>
      <w:r w:rsidRPr="00C50860">
        <w:rPr>
          <w:rFonts w:cs="NewBaskerville-Italic"/>
          <w:i/>
          <w:iCs/>
        </w:rPr>
        <w:t>ergenthaler Linotype Co</w:t>
      </w:r>
      <w:r w:rsidR="006F355C" w:rsidRPr="006F355C">
        <w:rPr>
          <w:rFonts w:cs="NewBaskerville-Italic"/>
          <w:i/>
          <w:iCs/>
        </w:rPr>
        <w:t>. a</w:t>
      </w:r>
      <w:r w:rsidRPr="00C50860">
        <w:rPr>
          <w:rFonts w:cs="NewBaskerville-Italic"/>
          <w:i/>
          <w:iCs/>
        </w:rPr>
        <w:t xml:space="preserve"> Division of </w:t>
      </w:r>
      <w:proofErr w:type="spellStart"/>
      <w:r w:rsidRPr="00C50860">
        <w:rPr>
          <w:rFonts w:cs="NewBaskerville-Italic"/>
          <w:i/>
          <w:iCs/>
        </w:rPr>
        <w:t>Eltra</w:t>
      </w:r>
      <w:proofErr w:type="spellEnd"/>
      <w:r w:rsidRPr="00C50860">
        <w:rPr>
          <w:rFonts w:cs="NewBaskerville-Italic"/>
          <w:i/>
          <w:iCs/>
        </w:rPr>
        <w:t xml:space="preserve"> Corp.</w:t>
      </w:r>
      <w:r w:rsidRPr="00C50860">
        <w:rPr>
          <w:rStyle w:val="FootnoteReference"/>
          <w:position w:val="-1"/>
        </w:rPr>
        <w:footnoteReference w:id="21"/>
      </w:r>
      <w:r w:rsidRPr="00C50860">
        <w:t xml:space="preserve"> was asked to weigh the merits of oral assurances</w:t>
      </w:r>
      <w:r w:rsidR="006F355C" w:rsidRPr="006F355C">
        <w:t>. T</w:t>
      </w:r>
      <w:r w:rsidRPr="00C50860">
        <w:t>he plaintiff employee was terminated after six months of employment due to poor sales as a result of a general decline in business conditions</w:t>
      </w:r>
      <w:r w:rsidR="006F355C" w:rsidRPr="006F355C">
        <w:t>. H</w:t>
      </w:r>
      <w:r w:rsidRPr="00C50860">
        <w:t>e sued the employer “for an alleged breach of a ‘long-term employment agreement.’ ”</w:t>
      </w:r>
      <w:r w:rsidRPr="00C50860">
        <w:rPr>
          <w:rStyle w:val="FootnoteReference"/>
          <w:position w:val="-1"/>
        </w:rPr>
        <w:footnoteReference w:id="22"/>
      </w:r>
      <w:r w:rsidRPr="00C50860">
        <w:t xml:space="preserve"> Although the written employment agreement did not state any term of employment, the plaintiff contended that it was the parties’ intent that his employment would be for a “long period” of time.</w:t>
      </w:r>
      <w:r w:rsidRPr="00C50860">
        <w:rPr>
          <w:rStyle w:val="FootnoteReference"/>
          <w:position w:val="-1"/>
        </w:rPr>
        <w:footnoteReference w:id="23"/>
      </w:r>
      <w:r w:rsidRPr="00C50860">
        <w:t xml:space="preserve"> The </w:t>
      </w:r>
      <w:r w:rsidRPr="00C50860">
        <w:rPr>
          <w:rFonts w:cs="NewBaskerville-Italic"/>
          <w:i/>
          <w:iCs/>
        </w:rPr>
        <w:t>Stancil</w:t>
      </w:r>
      <w:r w:rsidRPr="00C50860">
        <w:t xml:space="preserve"> court disagreed:</w:t>
      </w:r>
    </w:p>
    <w:p w14:paraId="55B2E582" w14:textId="16218800" w:rsidR="006F355C" w:rsidRPr="006F355C" w:rsidRDefault="00EC7962" w:rsidP="00A94D82">
      <w:pPr>
        <w:pStyle w:val="BlockQuote"/>
      </w:pPr>
      <w:r w:rsidRPr="00C50860">
        <w:t>[G]</w:t>
      </w:r>
      <w:proofErr w:type="spellStart"/>
      <w:r w:rsidRPr="00C50860">
        <w:t>iven</w:t>
      </w:r>
      <w:proofErr w:type="spellEnd"/>
      <w:r w:rsidRPr="00C50860">
        <w:t xml:space="preserve"> the context of the conversation—a job interview where, in [p]</w:t>
      </w:r>
      <w:proofErr w:type="spellStart"/>
      <w:r w:rsidRPr="00C50860">
        <w:t>laintiff’s</w:t>
      </w:r>
      <w:proofErr w:type="spellEnd"/>
      <w:r w:rsidRPr="00C50860">
        <w:t xml:space="preserve"> own words, “each side was trying to sell the other”—the Court finds that [p]</w:t>
      </w:r>
      <w:proofErr w:type="spellStart"/>
      <w:r w:rsidRPr="00C50860">
        <w:t>laintiff’s</w:t>
      </w:r>
      <w:proofErr w:type="spellEnd"/>
      <w:r w:rsidRPr="00C50860">
        <w:t xml:space="preserve"> statement “I have twenty years of service to offer somebody” and [d]</w:t>
      </w:r>
      <w:proofErr w:type="spellStart"/>
      <w:r w:rsidRPr="00C50860">
        <w:t>efendant’s</w:t>
      </w:r>
      <w:proofErr w:type="spellEnd"/>
      <w:r w:rsidRPr="00C50860">
        <w:t xml:space="preserve"> reply “you got it” does not constitute sufficient evidence of an intent to formulate an employment agreement for a definite period of time</w:t>
      </w:r>
      <w:r w:rsidR="006F355C" w:rsidRPr="006F355C">
        <w:t>. W</w:t>
      </w:r>
      <w:r w:rsidRPr="00C50860">
        <w:t xml:space="preserve">here the employment contract or the surrounding circumstances fail to </w:t>
      </w:r>
      <w:proofErr w:type="gramStart"/>
      <w:r w:rsidRPr="00C50860">
        <w:t>evidence</w:t>
      </w:r>
      <w:proofErr w:type="gramEnd"/>
      <w:r w:rsidRPr="00C50860">
        <w:t xml:space="preserve"> intent of an employment agreement for a definite period of time, the contract will be construed as a contract for an indefinite period of time and therefore terminable at the will of either party.</w:t>
      </w:r>
      <w:r w:rsidRPr="00C50860">
        <w:rPr>
          <w:rStyle w:val="FootnoteReference"/>
          <w:position w:val="-1"/>
        </w:rPr>
        <w:footnoteReference w:id="24"/>
      </w:r>
    </w:p>
    <w:p w14:paraId="402A3CA4" w14:textId="77777777" w:rsidR="006F355C" w:rsidRPr="006F355C" w:rsidRDefault="00EC7962" w:rsidP="00A94D82">
      <w:pPr>
        <w:pStyle w:val="Normal-NoIndent"/>
      </w:pPr>
      <w:r w:rsidRPr="00C50860">
        <w:t>Further, the court concluded, as a matter of law, that</w:t>
      </w:r>
    </w:p>
    <w:p w14:paraId="79A37EDF" w14:textId="2550DC75" w:rsidR="006F355C" w:rsidRPr="006F355C" w:rsidRDefault="00EC7962" w:rsidP="00A94D82">
      <w:pPr>
        <w:pStyle w:val="BlockQuote"/>
      </w:pPr>
      <w:r w:rsidRPr="00C50860">
        <w:t>an employment agreement “as long as [p]</w:t>
      </w:r>
      <w:proofErr w:type="spellStart"/>
      <w:r w:rsidRPr="00C50860">
        <w:t>laintiff</w:t>
      </w:r>
      <w:proofErr w:type="spellEnd"/>
      <w:r w:rsidRPr="00C50860">
        <w:t xml:space="preserve"> meets his sales quota” was an employment agreement for an indefinite period of time and therefore terminable at the will of either party</w:t>
      </w:r>
      <w:r w:rsidR="006F355C" w:rsidRPr="006F355C">
        <w:t>. A</w:t>
      </w:r>
      <w:r w:rsidRPr="00C50860">
        <w:t>s a general rule employment contracts which in some form purport to provide for “permanent employment” as long as the employee satisfactorily performs his duties is terminable at the will of either party.</w:t>
      </w:r>
      <w:r w:rsidRPr="00C50860">
        <w:rPr>
          <w:rStyle w:val="FootnoteReference"/>
          <w:position w:val="-1"/>
        </w:rPr>
        <w:footnoteReference w:id="25"/>
      </w:r>
    </w:p>
    <w:p w14:paraId="7085A046" w14:textId="77777777" w:rsidR="006F355C" w:rsidRPr="006F355C" w:rsidRDefault="00EC7962" w:rsidP="00A94D82">
      <w:pPr>
        <w:pStyle w:val="Normal-NoIndent"/>
      </w:pPr>
      <w:r w:rsidRPr="00C50860">
        <w:t>Thus, the burden of proving the “definitiveness” of the employment contract falls on the party asserting the proposition and, absent sufficient evidence of an employment contract, the at-will employment doctrine controls.</w:t>
      </w:r>
    </w:p>
    <w:p w14:paraId="6B388251" w14:textId="77777777" w:rsidR="006F355C" w:rsidRPr="006F355C" w:rsidRDefault="00EC7962" w:rsidP="00A94D82">
      <w:pPr>
        <w:pStyle w:val="Heading2"/>
      </w:pPr>
      <w:r w:rsidRPr="00C50860">
        <w:t>C.</w:t>
      </w:r>
      <w:r w:rsidRPr="00C50860">
        <w:tab/>
        <w:t>Implied-in-Fact Contracts</w:t>
      </w:r>
    </w:p>
    <w:p w14:paraId="2E6F826C" w14:textId="30E7A9CE" w:rsidR="006F355C" w:rsidRPr="006F355C" w:rsidRDefault="00EC7962" w:rsidP="00A94D82">
      <w:r w:rsidRPr="00C50860">
        <w:t>Absent a written or verbal contract, employees sometimes argue employment representations create an “implied-in-fact contract” for a specific duration or that termination is only allowed after the exhaustion of certain procedures</w:t>
      </w:r>
      <w:r w:rsidR="006F355C" w:rsidRPr="006F355C">
        <w:t xml:space="preserve">. </w:t>
      </w:r>
      <w:r w:rsidR="006F355C" w:rsidRPr="006F355C">
        <w:rPr>
          <w:rFonts w:cs="NewBaskerville-Italic"/>
          <w:i/>
          <w:iCs/>
        </w:rPr>
        <w:t>K</w:t>
      </w:r>
      <w:r w:rsidRPr="00C50860">
        <w:rPr>
          <w:rFonts w:cs="NewBaskerville-Italic"/>
          <w:i/>
          <w:iCs/>
        </w:rPr>
        <w:t>inoshita v</w:t>
      </w:r>
      <w:r w:rsidR="006F355C" w:rsidRPr="006F355C">
        <w:rPr>
          <w:rFonts w:cs="NewBaskerville-Italic"/>
          <w:i/>
          <w:iCs/>
        </w:rPr>
        <w:t>. C</w:t>
      </w:r>
      <w:r w:rsidRPr="00C50860">
        <w:rPr>
          <w:rFonts w:cs="NewBaskerville-Italic"/>
          <w:i/>
          <w:iCs/>
        </w:rPr>
        <w:t>anadian Pacific Airlines, Ltd</w:t>
      </w:r>
      <w:r w:rsidRPr="00C50860">
        <w:t>.,</w:t>
      </w:r>
      <w:r w:rsidRPr="00C50860">
        <w:rPr>
          <w:rStyle w:val="FootnoteReference"/>
          <w:position w:val="-1"/>
        </w:rPr>
        <w:footnoteReference w:id="26"/>
      </w:r>
      <w:r w:rsidRPr="00C50860">
        <w:t xml:space="preserve"> illustrates this point.</w:t>
      </w:r>
    </w:p>
    <w:p w14:paraId="17137E70" w14:textId="1964B876" w:rsidR="006F355C" w:rsidRPr="006F355C" w:rsidRDefault="00EC7962" w:rsidP="00A94D82">
      <w:r w:rsidRPr="00C50860">
        <w:t>In 1986, the Hawaii Supreme Court in</w:t>
      </w:r>
      <w:r w:rsidRPr="00C50860">
        <w:rPr>
          <w:rFonts w:cs="NewBaskerville-Italic"/>
          <w:i/>
          <w:iCs/>
        </w:rPr>
        <w:t xml:space="preserve"> Kinoshita </w:t>
      </w:r>
      <w:r w:rsidRPr="00C50860">
        <w:t>recognized the implied-in-fact contract exception to the at-will employment doctrine</w:t>
      </w:r>
      <w:r w:rsidR="006F355C" w:rsidRPr="006F355C">
        <w:t>. I</w:t>
      </w:r>
      <w:r w:rsidRPr="00C50860">
        <w:t>n that case, airline agents were terminated after being implicated in a drug smuggling conspiracy.</w:t>
      </w:r>
      <w:r w:rsidRPr="00C50860">
        <w:rPr>
          <w:rStyle w:val="FootnoteReference"/>
          <w:position w:val="-1"/>
        </w:rPr>
        <w:footnoteReference w:id="27"/>
      </w:r>
      <w:r w:rsidRPr="00C50860">
        <w:t xml:space="preserve"> The airline had adopted a grievance procedure as part of its counter-union organizing campaign.</w:t>
      </w:r>
      <w:r w:rsidRPr="00C50860">
        <w:rPr>
          <w:rStyle w:val="FootnoteReference"/>
          <w:position w:val="-1"/>
        </w:rPr>
        <w:footnoteReference w:id="28"/>
      </w:r>
      <w:r w:rsidRPr="00C50860">
        <w:t xml:space="preserve"> However, the airline informed the employees that they would not be allowed to appeal their termination because of the seriousness of the charges against them.</w:t>
      </w:r>
      <w:r w:rsidRPr="00C50860">
        <w:rPr>
          <w:rStyle w:val="FootnoteReference"/>
          <w:position w:val="-1"/>
        </w:rPr>
        <w:footnoteReference w:id="29"/>
      </w:r>
      <w:r w:rsidRPr="00C50860">
        <w:t xml:space="preserve"> The employees filed suit, claiming the airline breached an employment contract based on the employee rules.</w:t>
      </w:r>
    </w:p>
    <w:p w14:paraId="7EBD3AF4" w14:textId="77777777" w:rsidR="006F355C" w:rsidRPr="006F355C" w:rsidRDefault="00EC7962" w:rsidP="00A94D82">
      <w:r w:rsidRPr="00C50860">
        <w:t xml:space="preserve">The Hawaii Supreme Court held that “if an employer, for whatever reason, creates an atmosphere of job security and fair treatment with promises of </w:t>
      </w:r>
      <w:r w:rsidRPr="00C50860">
        <w:rPr>
          <w:rFonts w:cs="NewBaskerville-Italic"/>
          <w:i/>
          <w:iCs/>
        </w:rPr>
        <w:t>specific treatment in specific situations</w:t>
      </w:r>
      <w:r w:rsidRPr="00C50860">
        <w:t xml:space="preserve"> and an employee is induced thereby to remain on the job and not actively seek other employment, those promises are enforceable components of the employment relationship.”</w:t>
      </w:r>
      <w:r w:rsidRPr="00C50860">
        <w:rPr>
          <w:rStyle w:val="FootnoteReference"/>
          <w:position w:val="-1"/>
        </w:rPr>
        <w:footnoteReference w:id="30"/>
      </w:r>
      <w:r w:rsidRPr="00C50860">
        <w:t xml:space="preserve"> The court concluded that the airline promulgated employee rules that contained “promises of specific treatment in specific situations” and, thus, “constitute[d] a contract enforceable by the employees.”</w:t>
      </w:r>
      <w:r w:rsidRPr="00C50860">
        <w:rPr>
          <w:rStyle w:val="FootnoteReference"/>
          <w:position w:val="-1"/>
        </w:rPr>
        <w:footnoteReference w:id="31"/>
      </w:r>
    </w:p>
    <w:p w14:paraId="4ECFEB28" w14:textId="5A0349B5" w:rsidR="006F355C" w:rsidRPr="006F355C" w:rsidRDefault="00EC7962" w:rsidP="00A94D82">
      <w:r w:rsidRPr="00C50860">
        <w:t xml:space="preserve">In </w:t>
      </w:r>
      <w:r w:rsidRPr="00C50860">
        <w:rPr>
          <w:rFonts w:cs="NewBaskerville-Italic"/>
          <w:i/>
          <w:iCs/>
        </w:rPr>
        <w:t>Kamaka v</w:t>
      </w:r>
      <w:r w:rsidR="006F355C" w:rsidRPr="006F355C">
        <w:rPr>
          <w:rFonts w:cs="NewBaskerville-Italic"/>
          <w:i/>
          <w:iCs/>
        </w:rPr>
        <w:t xml:space="preserve">. </w:t>
      </w:r>
      <w:proofErr w:type="spellStart"/>
      <w:r w:rsidR="006F355C" w:rsidRPr="006F355C">
        <w:rPr>
          <w:rFonts w:cs="NewBaskerville-Italic"/>
          <w:i/>
          <w:iCs/>
        </w:rPr>
        <w:t>G</w:t>
      </w:r>
      <w:r w:rsidRPr="00C50860">
        <w:rPr>
          <w:rFonts w:cs="NewBaskerville-Italic"/>
          <w:i/>
          <w:iCs/>
        </w:rPr>
        <w:t>oodsill</w:t>
      </w:r>
      <w:proofErr w:type="spellEnd"/>
      <w:r w:rsidRPr="00C50860">
        <w:rPr>
          <w:rFonts w:cs="NewBaskerville-Italic"/>
          <w:i/>
          <w:iCs/>
        </w:rPr>
        <w:t xml:space="preserve"> Anderson Quinn &amp; Stifel,</w:t>
      </w:r>
      <w:r w:rsidRPr="00C50860">
        <w:t xml:space="preserve"> the Hawaii Supreme Court reached the opposite conclusion and found that statements in an employee manual lacked sufficient specificity to create an implied-in-fact contract.</w:t>
      </w:r>
      <w:r w:rsidRPr="00C50860">
        <w:rPr>
          <w:rStyle w:val="FootnoteReference"/>
          <w:position w:val="-1"/>
        </w:rPr>
        <w:footnoteReference w:id="32"/>
      </w:r>
      <w:r w:rsidRPr="00C50860">
        <w:t xml:space="preserve"> There, a terminated attorney filed a breach of implied-in-fact contract against her former law firm based on language in the firm’s employee manual.</w:t>
      </w:r>
      <w:r w:rsidRPr="00C50860">
        <w:rPr>
          <w:rStyle w:val="FootnoteReference"/>
          <w:position w:val="-1"/>
        </w:rPr>
        <w:footnoteReference w:id="33"/>
      </w:r>
      <w:r w:rsidRPr="00C50860">
        <w:t xml:space="preserve"> The plaintiff asserted that the manual contained specific procedures and standards that obligated the firm’s compliance.</w:t>
      </w:r>
      <w:r w:rsidRPr="00C50860">
        <w:rPr>
          <w:rStyle w:val="FootnoteReference"/>
          <w:position w:val="-1"/>
        </w:rPr>
        <w:footnoteReference w:id="34"/>
      </w:r>
      <w:r w:rsidRPr="00C50860">
        <w:t xml:space="preserve"> Specifically, the plaintiff contended that she relied on certain provisions in the manual, as well as the manual’s “promises of specific procedures to be followed by the [Associate Development Committee (ADC)] with regard to the evaluation process.”</w:t>
      </w:r>
      <w:r w:rsidRPr="00C50860">
        <w:rPr>
          <w:rStyle w:val="FootnoteReference"/>
          <w:position w:val="-1"/>
        </w:rPr>
        <w:footnoteReference w:id="35"/>
      </w:r>
    </w:p>
    <w:p w14:paraId="437AD8CF" w14:textId="5D1BCF61" w:rsidR="006F355C" w:rsidRPr="006F355C" w:rsidRDefault="00EC7962" w:rsidP="00A94D82">
      <w:r w:rsidRPr="00C50860">
        <w:t>Examining the manual, the Hawaii Supreme Court rejected the plaintiff’s argument and ruled that “[n]</w:t>
      </w:r>
      <w:proofErr w:type="spellStart"/>
      <w:r w:rsidRPr="00C50860">
        <w:t>othing</w:t>
      </w:r>
      <w:proofErr w:type="spellEnd"/>
      <w:r w:rsidRPr="00C50860">
        <w:t xml:space="preserve"> in the text of [manual] suggests that, as long as an employee complies with the time recording procedures stated therein, the employee cannot be terminated at-will.”</w:t>
      </w:r>
      <w:r w:rsidRPr="00C50860">
        <w:rPr>
          <w:rStyle w:val="FootnoteReference"/>
          <w:position w:val="-1"/>
        </w:rPr>
        <w:footnoteReference w:id="36"/>
      </w:r>
      <w:r w:rsidRPr="00C50860">
        <w:t xml:space="preserve"> The court pointed to the manual’s preface which stated that it is intended as an “informal guide to the working of the firm.”</w:t>
      </w:r>
      <w:r w:rsidRPr="00C50860">
        <w:rPr>
          <w:rStyle w:val="FootnoteReference"/>
          <w:position w:val="-1"/>
        </w:rPr>
        <w:footnoteReference w:id="37"/>
      </w:r>
      <w:r w:rsidRPr="00C50860">
        <w:t xml:space="preserve"> The court further explained</w:t>
      </w:r>
      <w:r w:rsidR="006F355C" w:rsidRPr="006F355C">
        <w:t>: “</w:t>
      </w:r>
      <w:r w:rsidRPr="00C50860">
        <w:t>[N]</w:t>
      </w:r>
      <w:proofErr w:type="spellStart"/>
      <w:r w:rsidRPr="00C50860">
        <w:t>othing</w:t>
      </w:r>
      <w:proofErr w:type="spellEnd"/>
      <w:r w:rsidRPr="00C50860">
        <w:t xml:space="preserve"> within the text of the manual could be construed as a specific procedure that [the employer] promised to follow for termination or as otherwise altering [the employer’s] right to terminate [the plaintiff] for any reason or no reason</w:t>
      </w:r>
      <w:r w:rsidR="006F355C" w:rsidRPr="006F355C">
        <w:t>. R</w:t>
      </w:r>
      <w:r w:rsidRPr="00C50860">
        <w:t>egardless of whether the manual contained specific procedures and provisions that [the plaintiff] relied on, or impliedly promised fair treatment regarding the associate evaluation process, the ADC, and the time recording practices, nothing within the text of the manual can be construed to modify [the employer’s] right to discharge employees at-will.”</w:t>
      </w:r>
      <w:r w:rsidRPr="00C50860">
        <w:rPr>
          <w:rStyle w:val="FootnoteReference"/>
          <w:position w:val="-1"/>
        </w:rPr>
        <w:footnoteReference w:id="38"/>
      </w:r>
      <w:r w:rsidRPr="00C50860">
        <w:t xml:space="preserve"> The</w:t>
      </w:r>
      <w:r w:rsidRPr="00C50860">
        <w:rPr>
          <w:rFonts w:cs="NewBaskerville-Italic"/>
          <w:i/>
          <w:iCs/>
        </w:rPr>
        <w:t xml:space="preserve"> Kinoshita </w:t>
      </w:r>
      <w:r w:rsidRPr="00C50860">
        <w:t xml:space="preserve">and </w:t>
      </w:r>
      <w:r w:rsidRPr="00C50860">
        <w:rPr>
          <w:rFonts w:cs="NewBaskerville-Italic"/>
          <w:i/>
          <w:iCs/>
        </w:rPr>
        <w:t xml:space="preserve">Kamaka </w:t>
      </w:r>
      <w:r w:rsidRPr="00C50860">
        <w:t>decisions illustrate that a successful employee must prove that the alleged contract contains specificity.</w:t>
      </w:r>
      <w:r w:rsidRPr="00C50860">
        <w:rPr>
          <w:rStyle w:val="FootnoteReference"/>
          <w:position w:val="-1"/>
        </w:rPr>
        <w:footnoteReference w:id="39"/>
      </w:r>
    </w:p>
    <w:p w14:paraId="541D64DC" w14:textId="118AE00B" w:rsidR="006F355C" w:rsidRPr="006F355C" w:rsidRDefault="00EC7962" w:rsidP="00A94D82">
      <w:pPr>
        <w:pStyle w:val="Heading1"/>
        <w:rPr>
          <w:szCs w:val="24"/>
        </w:rPr>
      </w:pPr>
      <w:r w:rsidRPr="00C50860">
        <w:rPr>
          <w:szCs w:val="24"/>
        </w:rPr>
        <w:t>III</w:t>
      </w:r>
      <w:r w:rsidR="006F355C" w:rsidRPr="006F355C">
        <w:rPr>
          <w:szCs w:val="24"/>
        </w:rPr>
        <w:t>. I</w:t>
      </w:r>
      <w:r w:rsidRPr="00C50860">
        <w:rPr>
          <w:szCs w:val="24"/>
        </w:rPr>
        <w:t>mplied Covenant of Good Faith and Fair Dealing</w:t>
      </w:r>
    </w:p>
    <w:p w14:paraId="0DDF4DFF" w14:textId="5325A204" w:rsidR="006F355C" w:rsidRPr="006F355C" w:rsidRDefault="00EC7962" w:rsidP="00A94D82">
      <w:r w:rsidRPr="00C50860">
        <w:t>Hawaii does not recognize a theory of breach of an implied covenant of good faith and fair dealing as an exception to the at-will employment doctrine</w:t>
      </w:r>
      <w:r w:rsidR="006F355C" w:rsidRPr="006F355C">
        <w:t>. I</w:t>
      </w:r>
      <w:r w:rsidRPr="00C50860">
        <w:t xml:space="preserve">n fact, the </w:t>
      </w:r>
      <w:proofErr w:type="spellStart"/>
      <w:r w:rsidRPr="00C50860">
        <w:rPr>
          <w:rFonts w:cs="NewBaskerville-Italic"/>
          <w:i/>
          <w:iCs/>
        </w:rPr>
        <w:t>Parnar</w:t>
      </w:r>
      <w:proofErr w:type="spellEnd"/>
      <w:r w:rsidRPr="00C50860">
        <w:rPr>
          <w:rFonts w:cs="NewBaskerville-Italic"/>
          <w:i/>
          <w:iCs/>
        </w:rPr>
        <w:t xml:space="preserve"> v</w:t>
      </w:r>
      <w:r w:rsidR="006F355C" w:rsidRPr="006F355C">
        <w:rPr>
          <w:rFonts w:cs="NewBaskerville-Italic"/>
          <w:i/>
          <w:iCs/>
        </w:rPr>
        <w:t>. A</w:t>
      </w:r>
      <w:r w:rsidRPr="00C50860">
        <w:rPr>
          <w:rFonts w:cs="NewBaskerville-Italic"/>
          <w:i/>
          <w:iCs/>
        </w:rPr>
        <w:t>mericana Hotels</w:t>
      </w:r>
      <w:r w:rsidRPr="00C50860">
        <w:t xml:space="preserve">, </w:t>
      </w:r>
      <w:r w:rsidRPr="00C50860">
        <w:rPr>
          <w:rFonts w:cs="NewBaskerville-Italic"/>
          <w:i/>
          <w:iCs/>
        </w:rPr>
        <w:t>Inc</w:t>
      </w:r>
      <w:r w:rsidR="006F355C" w:rsidRPr="006F355C">
        <w:rPr>
          <w:rFonts w:cs="NewBaskerville-Italic"/>
          <w:i/>
          <w:iCs/>
        </w:rPr>
        <w:t xml:space="preserve">. </w:t>
      </w:r>
      <w:r w:rsidR="006F355C" w:rsidRPr="006F355C">
        <w:t>c</w:t>
      </w:r>
      <w:r w:rsidRPr="00C50860">
        <w:t>ourt expressly rejected the good faith and fair dealing exception.</w:t>
      </w:r>
      <w:r w:rsidRPr="00C50860">
        <w:rPr>
          <w:rStyle w:val="FootnoteReference"/>
          <w:position w:val="-1"/>
        </w:rPr>
        <w:footnoteReference w:id="40"/>
      </w:r>
      <w:r w:rsidRPr="00C50860">
        <w:t xml:space="preserve"> The court reasoned that</w:t>
      </w:r>
    </w:p>
    <w:p w14:paraId="70E3B53F" w14:textId="65D94BE3" w:rsidR="006F355C" w:rsidRPr="006F355C" w:rsidRDefault="00EC7962" w:rsidP="00A94D82">
      <w:pPr>
        <w:pStyle w:val="BlockQuote"/>
        <w:spacing w:after="0"/>
      </w:pPr>
      <w:r w:rsidRPr="00C50860">
        <w:t xml:space="preserve">to </w:t>
      </w:r>
      <w:proofErr w:type="gramStart"/>
      <w:r w:rsidRPr="00C50860">
        <w:t>imply</w:t>
      </w:r>
      <w:proofErr w:type="gramEnd"/>
      <w:r w:rsidRPr="00C50860">
        <w:t xml:space="preserve"> into each employment contract a duty to terminate in good faith would seem to subject each discharge to judicial incursions into the amorphous concept of bad faith</w:t>
      </w:r>
      <w:r w:rsidR="006F355C" w:rsidRPr="006F355C">
        <w:t>. W</w:t>
      </w:r>
      <w:r w:rsidRPr="00C50860">
        <w:t>e are not persuaded that protection of employees requires such an intrusion on the employment relationship or such an imposition on the courts.</w:t>
      </w:r>
      <w:r w:rsidRPr="00C50860">
        <w:rPr>
          <w:rStyle w:val="FootnoteReference"/>
          <w:position w:val="-1"/>
        </w:rPr>
        <w:footnoteReference w:id="41"/>
      </w:r>
    </w:p>
    <w:p w14:paraId="2EF06D93" w14:textId="221697C8" w:rsidR="006F355C" w:rsidRPr="006F355C" w:rsidRDefault="00EC7962" w:rsidP="00A94D82">
      <w:pPr>
        <w:pStyle w:val="Heading1"/>
        <w:rPr>
          <w:szCs w:val="24"/>
        </w:rPr>
      </w:pPr>
      <w:r w:rsidRPr="00C50860">
        <w:rPr>
          <w:szCs w:val="24"/>
        </w:rPr>
        <w:t>IV</w:t>
      </w:r>
      <w:r w:rsidR="006F355C" w:rsidRPr="006F355C">
        <w:rPr>
          <w:szCs w:val="24"/>
        </w:rPr>
        <w:t>. P</w:t>
      </w:r>
      <w:r w:rsidRPr="00C50860">
        <w:rPr>
          <w:szCs w:val="24"/>
        </w:rPr>
        <w:t>ublic Policy Exception</w:t>
      </w:r>
    </w:p>
    <w:p w14:paraId="14FAB338" w14:textId="75BCC815" w:rsidR="006F355C" w:rsidRPr="006F355C" w:rsidRDefault="00EC7962" w:rsidP="00A94D82">
      <w:r w:rsidRPr="00C50860">
        <w:t xml:space="preserve">In </w:t>
      </w:r>
      <w:proofErr w:type="spellStart"/>
      <w:r w:rsidRPr="00C50860">
        <w:rPr>
          <w:rFonts w:cs="NewBaskerville-Italic"/>
          <w:i/>
          <w:iCs/>
        </w:rPr>
        <w:t>Parnar</w:t>
      </w:r>
      <w:proofErr w:type="spellEnd"/>
      <w:r w:rsidRPr="00C50860">
        <w:rPr>
          <w:rFonts w:cs="NewBaskerville-Italic"/>
          <w:i/>
          <w:iCs/>
        </w:rPr>
        <w:t xml:space="preserve"> v</w:t>
      </w:r>
      <w:r w:rsidR="006F355C" w:rsidRPr="006F355C">
        <w:rPr>
          <w:rFonts w:cs="NewBaskerville-Italic"/>
          <w:i/>
          <w:iCs/>
        </w:rPr>
        <w:t>. A</w:t>
      </w:r>
      <w:r w:rsidRPr="00C50860">
        <w:rPr>
          <w:rFonts w:cs="NewBaskerville-Italic"/>
          <w:i/>
          <w:iCs/>
        </w:rPr>
        <w:t>mericana Hotels, Inc</w:t>
      </w:r>
      <w:r w:rsidRPr="00C50860">
        <w:t>.</w:t>
      </w:r>
      <w:r w:rsidRPr="00C50860">
        <w:rPr>
          <w:rStyle w:val="FootnoteReference"/>
          <w:position w:val="-1"/>
        </w:rPr>
        <w:footnoteReference w:id="42"/>
      </w:r>
      <w:r w:rsidRPr="00C50860">
        <w:t xml:space="preserve"> the Hawaii Supreme Court recognized the public policy exception to the at-will doctrine</w:t>
      </w:r>
      <w:r w:rsidR="006F355C" w:rsidRPr="006F355C">
        <w:t>. I</w:t>
      </w:r>
      <w:r w:rsidRPr="00C50860">
        <w:t>n that case, the hotel controller brought a retaliation suit against her employer when she was discharged after her participation in a federal investigation of her employer’s possible federal antitrust violations.</w:t>
      </w:r>
      <w:r w:rsidRPr="00C50860">
        <w:rPr>
          <w:rStyle w:val="FootnoteReference"/>
          <w:position w:val="-1"/>
        </w:rPr>
        <w:footnoteReference w:id="43"/>
      </w:r>
      <w:r w:rsidRPr="00C50860">
        <w:t xml:space="preserve"> The Hawaii Supreme Court held that “an employer may be held liable in tort where his discharge of an employee violates a clear mandate of public policy.”</w:t>
      </w:r>
      <w:r w:rsidRPr="00C50860">
        <w:rPr>
          <w:rStyle w:val="FootnoteReference"/>
          <w:position w:val="-1"/>
        </w:rPr>
        <w:footnoteReference w:id="44"/>
      </w:r>
      <w:r w:rsidRPr="00C50860">
        <w:t xml:space="preserve"> The court stated:</w:t>
      </w:r>
    </w:p>
    <w:p w14:paraId="2053FBE6" w14:textId="6EBE5E66" w:rsidR="006F355C" w:rsidRPr="006F355C" w:rsidRDefault="00EC7962" w:rsidP="00A94D82">
      <w:pPr>
        <w:pStyle w:val="BlockQuote"/>
      </w:pPr>
      <w:r w:rsidRPr="00C50860">
        <w:t>Because the courts are a proper forum for modification of the judicially created at-will doctrine, it is appropriate that we correct inequities resulting from harsh application of the doctrine by recognizing its inapplicability in a narrow class of cases</w:t>
      </w:r>
      <w:r w:rsidR="006F355C" w:rsidRPr="006F355C">
        <w:t>. T</w:t>
      </w:r>
      <w:r w:rsidRPr="00C50860">
        <w:t>he public policy exception … represents wise and progressive social policy which both addresses the need for greater job security and preserves to the employer sufficient latitude to maintain profitable and efficient business operations.</w:t>
      </w:r>
      <w:r w:rsidRPr="00C50860">
        <w:rPr>
          <w:rStyle w:val="FootnoteReference"/>
          <w:position w:val="-1"/>
        </w:rPr>
        <w:footnoteReference w:id="45"/>
      </w:r>
    </w:p>
    <w:p w14:paraId="46B07001" w14:textId="77777777" w:rsidR="006F355C" w:rsidRPr="006F355C" w:rsidRDefault="00EC7962" w:rsidP="00A94D82">
      <w:r w:rsidRPr="00C50860">
        <w:t>The court further concluded that, to determine whether a clear mandate of public policy has been violated, “courts should inquire whether the employer’s conduct contravenes the letter or purpose of a constitutional, statutory, or regulatory provision or scheme.”</w:t>
      </w:r>
      <w:r w:rsidRPr="00C50860">
        <w:rPr>
          <w:rStyle w:val="FootnoteReference"/>
          <w:position w:val="-1"/>
        </w:rPr>
        <w:footnoteReference w:id="46"/>
      </w:r>
      <w:r w:rsidRPr="00C50860">
        <w:t xml:space="preserve"> Despite recognizing that prior judicial decisions may also establish the relevant public policy, the </w:t>
      </w:r>
      <w:proofErr w:type="spellStart"/>
      <w:r w:rsidRPr="00C50860">
        <w:rPr>
          <w:rFonts w:cs="NewBaskerville-Italic"/>
          <w:i/>
          <w:iCs/>
        </w:rPr>
        <w:t>Parnar</w:t>
      </w:r>
      <w:proofErr w:type="spellEnd"/>
      <w:r w:rsidRPr="00C50860">
        <w:rPr>
          <w:rFonts w:cs="NewBaskerville-Italic"/>
          <w:i/>
          <w:iCs/>
        </w:rPr>
        <w:t xml:space="preserve"> </w:t>
      </w:r>
      <w:r w:rsidRPr="00C50860">
        <w:t>court cautioned that “courts should proceed cautiously if called upon to declare public policy absent some prior legislative or judicial expression on the subject.”</w:t>
      </w:r>
      <w:r w:rsidRPr="00C50860">
        <w:rPr>
          <w:rStyle w:val="FootnoteReference"/>
          <w:position w:val="-1"/>
        </w:rPr>
        <w:footnoteReference w:id="47"/>
      </w:r>
    </w:p>
    <w:p w14:paraId="4631D324" w14:textId="7A40779E" w:rsidR="006F355C" w:rsidRPr="006F355C" w:rsidRDefault="00EC7962" w:rsidP="00DE5A2E">
      <w:r w:rsidRPr="00C50860">
        <w:t xml:space="preserve">Twelve years later, the Hawaii Supreme Court in </w:t>
      </w:r>
      <w:r w:rsidRPr="00C50860">
        <w:rPr>
          <w:rFonts w:cs="NewBaskerville-Italic"/>
          <w:i/>
          <w:iCs/>
        </w:rPr>
        <w:t>Ross v</w:t>
      </w:r>
      <w:r w:rsidR="006F355C" w:rsidRPr="006F355C">
        <w:rPr>
          <w:rFonts w:cs="NewBaskerville-Italic"/>
          <w:i/>
          <w:iCs/>
        </w:rPr>
        <w:t>. S</w:t>
      </w:r>
      <w:r w:rsidRPr="00C50860">
        <w:rPr>
          <w:rFonts w:cs="NewBaskerville-Italic"/>
          <w:i/>
          <w:iCs/>
        </w:rPr>
        <w:t>touffer Hotel Co</w:t>
      </w:r>
      <w:r w:rsidR="006F355C" w:rsidRPr="006F355C">
        <w:rPr>
          <w:rFonts w:cs="NewBaskerville-Italic"/>
          <w:i/>
          <w:iCs/>
        </w:rPr>
        <w:t>. (</w:t>
      </w:r>
      <w:r w:rsidRPr="00C50860">
        <w:rPr>
          <w:rFonts w:cs="NewBaskerville-Italic"/>
          <w:i/>
          <w:iCs/>
        </w:rPr>
        <w:t>Hawai’i) Ltd.</w:t>
      </w:r>
      <w:r w:rsidRPr="00C50860">
        <w:t xml:space="preserve">, </w:t>
      </w:r>
      <w:r w:rsidRPr="00C50860">
        <w:rPr>
          <w:i/>
          <w:iCs/>
        </w:rPr>
        <w:t>Inc.,</w:t>
      </w:r>
      <w:r w:rsidRPr="00C50860">
        <w:rPr>
          <w:rStyle w:val="FootnoteReference"/>
          <w:position w:val="-1"/>
        </w:rPr>
        <w:footnoteReference w:id="48"/>
      </w:r>
      <w:r w:rsidRPr="00C50860">
        <w:t xml:space="preserve"> declined to apply the public policy exception where the basis of the public policy was a statute with its own remedial scheme</w:t>
      </w:r>
      <w:r w:rsidR="006F355C" w:rsidRPr="006F355C">
        <w:t>. T</w:t>
      </w:r>
      <w:r w:rsidRPr="00C50860">
        <w:t>here, a massage therapist filed suit against the hotel after he was terminated for violating a policy prohibiting individuals related to one another by marriage from working in the same department, after he married the principal massage therapist</w:t>
      </w:r>
      <w:r w:rsidR="006F355C" w:rsidRPr="006F355C">
        <w:t>. T</w:t>
      </w:r>
      <w:r w:rsidRPr="00C50860">
        <w:t xml:space="preserve">he employee alleged a violation of Hawaii’s employment discrimination statute—prohibiting discrimination based on “marital status”—and a </w:t>
      </w:r>
      <w:proofErr w:type="spellStart"/>
      <w:r w:rsidRPr="00C50860">
        <w:rPr>
          <w:rFonts w:cs="NewBaskerville-Italic"/>
          <w:i/>
          <w:iCs/>
        </w:rPr>
        <w:t>Parnar</w:t>
      </w:r>
      <w:proofErr w:type="spellEnd"/>
      <w:r w:rsidRPr="00C50860">
        <w:rPr>
          <w:rFonts w:cs="NewBaskerville-Italic"/>
          <w:i/>
          <w:iCs/>
        </w:rPr>
        <w:t xml:space="preserve"> </w:t>
      </w:r>
      <w:r w:rsidRPr="00C50860">
        <w:t>public policy claim based on the same anti-discrimination statute.</w:t>
      </w:r>
      <w:r w:rsidRPr="00C50860">
        <w:rPr>
          <w:rStyle w:val="FootnoteReference"/>
          <w:position w:val="-1"/>
        </w:rPr>
        <w:footnoteReference w:id="49"/>
      </w:r>
      <w:r w:rsidRPr="00C50860">
        <w:t xml:space="preserve"> The Hawaii Supreme Court ruled the employee’s </w:t>
      </w:r>
      <w:proofErr w:type="spellStart"/>
      <w:r w:rsidRPr="00C50860">
        <w:rPr>
          <w:rFonts w:cs="NewBaskerville-Italic"/>
          <w:i/>
          <w:iCs/>
        </w:rPr>
        <w:t>Parnar</w:t>
      </w:r>
      <w:proofErr w:type="spellEnd"/>
      <w:r w:rsidRPr="00C50860">
        <w:rPr>
          <w:rFonts w:cs="NewBaskerville-Italic"/>
          <w:i/>
          <w:iCs/>
        </w:rPr>
        <w:t xml:space="preserve"> </w:t>
      </w:r>
      <w:r w:rsidRPr="00C50860">
        <w:t>claim was properly dismissed and stated:</w:t>
      </w:r>
    </w:p>
    <w:p w14:paraId="7C2A10AC" w14:textId="0215545B" w:rsidR="006F355C" w:rsidRPr="006F355C" w:rsidRDefault="00EC7962" w:rsidP="00A94D82">
      <w:pPr>
        <w:pStyle w:val="BlockQuote"/>
      </w:pPr>
      <w:r w:rsidRPr="00C50860">
        <w:t xml:space="preserve">By making the discharge of an employee “because of his or her marital status” </w:t>
      </w:r>
      <w:proofErr w:type="gramStart"/>
      <w:r w:rsidRPr="00C50860">
        <w:t>unlawful, and</w:t>
      </w:r>
      <w:proofErr w:type="gramEnd"/>
      <w:r w:rsidRPr="00C50860">
        <w:t xml:space="preserve"> providing a remedial scheme for that discriminatory employment practice, the legislature itself has provided the means for enforcing the public policy that [the plaintiff] seeks to vindicate through his </w:t>
      </w:r>
      <w:proofErr w:type="spellStart"/>
      <w:r w:rsidRPr="00C50860">
        <w:rPr>
          <w:rFonts w:cs="NewBaskerville-Italic"/>
          <w:i/>
          <w:iCs/>
          <w:u w:color="000000"/>
        </w:rPr>
        <w:t>Parnar</w:t>
      </w:r>
      <w:proofErr w:type="spellEnd"/>
      <w:r w:rsidRPr="00C50860">
        <w:t xml:space="preserve"> claim</w:t>
      </w:r>
      <w:r w:rsidR="006F355C" w:rsidRPr="006F355C">
        <w:t>. I</w:t>
      </w:r>
      <w:r w:rsidRPr="00C50860">
        <w:t xml:space="preserve">n other words, even before </w:t>
      </w:r>
      <w:proofErr w:type="spellStart"/>
      <w:r w:rsidRPr="00C50860">
        <w:rPr>
          <w:rFonts w:cs="NewBaskerville-Italic"/>
          <w:i/>
          <w:iCs/>
          <w:u w:color="000000"/>
        </w:rPr>
        <w:t>Parnar</w:t>
      </w:r>
      <w:proofErr w:type="spellEnd"/>
      <w:r w:rsidRPr="00C50860">
        <w:t xml:space="preserve"> was decided, the legislature had already done what a </w:t>
      </w:r>
      <w:proofErr w:type="spellStart"/>
      <w:r w:rsidRPr="00C50860">
        <w:rPr>
          <w:rFonts w:cs="NewBaskerville-Italic"/>
          <w:i/>
          <w:iCs/>
          <w:u w:color="000000"/>
        </w:rPr>
        <w:t>Parnar</w:t>
      </w:r>
      <w:proofErr w:type="spellEnd"/>
      <w:r w:rsidRPr="00C50860">
        <w:t xml:space="preserve"> claim is designed to do, that is, modify the employment at-will doctrine to further an important public policy</w:t>
      </w:r>
      <w:r w:rsidR="006F355C" w:rsidRPr="006F355C">
        <w:t>. A</w:t>
      </w:r>
      <w:r w:rsidRPr="00C50860">
        <w:t>bsent a clear expression of legislative intent to the contrary, we think it is both unnecessary and unwise to permit a judicially created cause of action, which is designed to promote a specific public policy in a “narrow class of cases,” to be maintained where the policy sought to be vindicated is already embodied in a statute providing its own remedy for its violation.</w:t>
      </w:r>
      <w:r w:rsidRPr="00C50860">
        <w:rPr>
          <w:rStyle w:val="FootnoteReference"/>
          <w:position w:val="-1"/>
        </w:rPr>
        <w:footnoteReference w:id="50"/>
      </w:r>
    </w:p>
    <w:p w14:paraId="161D0737" w14:textId="77777777" w:rsidR="006F355C" w:rsidRPr="006F355C" w:rsidRDefault="00EC7962" w:rsidP="00A94D82">
      <w:pPr>
        <w:pStyle w:val="Normal-NoIndent"/>
      </w:pPr>
      <w:r w:rsidRPr="00C50860">
        <w:t xml:space="preserve">State and federal courts have interpreted </w:t>
      </w:r>
      <w:proofErr w:type="spellStart"/>
      <w:r w:rsidRPr="00C50860">
        <w:rPr>
          <w:rFonts w:cs="NewBaskerville-Italic"/>
          <w:i/>
          <w:iCs/>
        </w:rPr>
        <w:t>Parnar</w:t>
      </w:r>
      <w:proofErr w:type="spellEnd"/>
      <w:r w:rsidRPr="00C50860">
        <w:rPr>
          <w:rFonts w:cs="NewBaskerville-Italic"/>
          <w:i/>
          <w:iCs/>
        </w:rPr>
        <w:t xml:space="preserve"> </w:t>
      </w:r>
      <w:r w:rsidRPr="00C50860">
        <w:t xml:space="preserve">narrowly and limit public policy claims to only those circumstances where </w:t>
      </w:r>
      <w:proofErr w:type="gramStart"/>
      <w:r w:rsidRPr="00C50860">
        <w:t>a public</w:t>
      </w:r>
      <w:proofErr w:type="gramEnd"/>
      <w:r w:rsidRPr="00C50860">
        <w:t xml:space="preserve"> policy is clearly expressed.</w:t>
      </w:r>
      <w:r w:rsidRPr="00C50860">
        <w:rPr>
          <w:rStyle w:val="FootnoteReference"/>
          <w:position w:val="-1"/>
        </w:rPr>
        <w:footnoteReference w:id="51"/>
      </w:r>
    </w:p>
    <w:p w14:paraId="40A0447E" w14:textId="25DED585" w:rsidR="006F355C" w:rsidRPr="006F355C" w:rsidRDefault="00EC7962" w:rsidP="00A94D82">
      <w:pPr>
        <w:pStyle w:val="Heading1"/>
        <w:rPr>
          <w:szCs w:val="24"/>
        </w:rPr>
      </w:pPr>
      <w:r w:rsidRPr="00C50860">
        <w:rPr>
          <w:szCs w:val="24"/>
        </w:rPr>
        <w:t>V</w:t>
      </w:r>
      <w:r w:rsidR="006F355C" w:rsidRPr="006F355C">
        <w:rPr>
          <w:szCs w:val="24"/>
        </w:rPr>
        <w:t>. B</w:t>
      </w:r>
      <w:r w:rsidRPr="00C50860">
        <w:rPr>
          <w:szCs w:val="24"/>
        </w:rPr>
        <w:t>urdens of Proof, Just Cause, Disclaimers, and Damages</w:t>
      </w:r>
    </w:p>
    <w:p w14:paraId="30D44655" w14:textId="77777777" w:rsidR="006F355C" w:rsidRPr="006F355C" w:rsidRDefault="00EC7962" w:rsidP="00A94D82">
      <w:pPr>
        <w:pStyle w:val="Heading2"/>
      </w:pPr>
      <w:r w:rsidRPr="00C50860">
        <w:t>A.</w:t>
      </w:r>
      <w:r w:rsidRPr="00C50860">
        <w:tab/>
        <w:t>Burdens of Proof</w:t>
      </w:r>
    </w:p>
    <w:p w14:paraId="12835185" w14:textId="53CA26E6" w:rsidR="006F355C" w:rsidRPr="006F355C" w:rsidRDefault="00EC7962" w:rsidP="00A94D82">
      <w:r w:rsidRPr="00C50860">
        <w:t>The burden of proving a public policy or implied-in-fact exception to the employment at-will doctrine remains with the employee</w:t>
      </w:r>
      <w:r w:rsidR="006F355C" w:rsidRPr="006F355C">
        <w:t>. A</w:t>
      </w:r>
      <w:r w:rsidRPr="00C50860">
        <w:t xml:space="preserve">s recognized in </w:t>
      </w:r>
      <w:proofErr w:type="spellStart"/>
      <w:r w:rsidRPr="00C50860">
        <w:rPr>
          <w:rFonts w:cs="NewBaskerville-Italic"/>
          <w:i/>
          <w:iCs/>
        </w:rPr>
        <w:t>Parnar</w:t>
      </w:r>
      <w:proofErr w:type="spellEnd"/>
      <w:r w:rsidRPr="00C50860">
        <w:t>, “the plaintiff alleging a retaliatory discharge bears the burden of proving that the discharge violates a clear mandate of public policy.”</w:t>
      </w:r>
      <w:r w:rsidRPr="00C50860">
        <w:rPr>
          <w:rStyle w:val="FootnoteReference"/>
          <w:position w:val="-1"/>
        </w:rPr>
        <w:footnoteReference w:id="52"/>
      </w:r>
    </w:p>
    <w:p w14:paraId="20682A8B" w14:textId="77777777" w:rsidR="006F355C" w:rsidRPr="006F355C" w:rsidRDefault="00EC7962" w:rsidP="00A94D82">
      <w:pPr>
        <w:pStyle w:val="Heading2"/>
      </w:pPr>
      <w:r w:rsidRPr="00C50860">
        <w:t>B.</w:t>
      </w:r>
      <w:r w:rsidRPr="00C50860">
        <w:tab/>
        <w:t>Just Cause</w:t>
      </w:r>
    </w:p>
    <w:p w14:paraId="6BE44422" w14:textId="6FAC7ABA" w:rsidR="006F355C" w:rsidRPr="006F355C" w:rsidRDefault="00EC7962" w:rsidP="00A94D82">
      <w:pPr>
        <w:rPr>
          <w:rFonts w:cs="NewBaskerville-Bold"/>
          <w:b/>
          <w:bCs/>
        </w:rPr>
      </w:pPr>
      <w:r w:rsidRPr="00C50860">
        <w:t>A claim for “just cause” termination is not recognized in Hawaii unless it is set forth in a collective bargaining agreement or a written employment contract</w:t>
      </w:r>
      <w:r w:rsidR="006F355C" w:rsidRPr="006F355C">
        <w:t>. I</w:t>
      </w:r>
      <w:r w:rsidRPr="00C50860">
        <w:t xml:space="preserve">ndeed, the at-will doctrine will </w:t>
      </w:r>
      <w:proofErr w:type="gramStart"/>
      <w:r w:rsidRPr="00C50860">
        <w:t>prevail</w:t>
      </w:r>
      <w:proofErr w:type="gramEnd"/>
      <w:r w:rsidRPr="00C50860">
        <w:t xml:space="preserve"> absent a collective bargaining agreement, a written contractual provision, or a </w:t>
      </w:r>
      <w:proofErr w:type="gramStart"/>
      <w:r w:rsidRPr="00C50860">
        <w:t>statutorily-conferred</w:t>
      </w:r>
      <w:proofErr w:type="gramEnd"/>
      <w:r w:rsidRPr="00C50860">
        <w:t xml:space="preserve"> right that reduces the likelihood of abusive or wrongful discharge.</w:t>
      </w:r>
      <w:r w:rsidRPr="00C50860">
        <w:rPr>
          <w:rStyle w:val="FootnoteReference"/>
          <w:position w:val="-1"/>
        </w:rPr>
        <w:footnoteReference w:id="53"/>
      </w:r>
    </w:p>
    <w:p w14:paraId="5B2115E3" w14:textId="77777777" w:rsidR="006F355C" w:rsidRPr="006F355C" w:rsidRDefault="00EC7962" w:rsidP="00A94D82">
      <w:pPr>
        <w:pStyle w:val="Heading2"/>
      </w:pPr>
      <w:r w:rsidRPr="00C50860">
        <w:t>C.</w:t>
      </w:r>
      <w:r w:rsidRPr="00C50860">
        <w:tab/>
        <w:t>Disclaimers</w:t>
      </w:r>
    </w:p>
    <w:p w14:paraId="1BCD3ECD" w14:textId="64981C16" w:rsidR="006F355C" w:rsidRPr="006F355C" w:rsidRDefault="00EC7962" w:rsidP="00A94D82">
      <w:r w:rsidRPr="00C50860">
        <w:t xml:space="preserve">An employer may protect itself against claims for breach of contract (written, oral assurances, or implied-in-fact) by inserting disclaimers </w:t>
      </w:r>
      <w:proofErr w:type="gramStart"/>
      <w:r w:rsidRPr="00C50860">
        <w:t>in</w:t>
      </w:r>
      <w:proofErr w:type="gramEnd"/>
      <w:r w:rsidRPr="00C50860">
        <w:t xml:space="preserve"> the employment application or employee handbook</w:t>
      </w:r>
      <w:r w:rsidR="006F355C" w:rsidRPr="006F355C">
        <w:t>. I</w:t>
      </w:r>
      <w:r w:rsidRPr="00C50860">
        <w:t xml:space="preserve">n </w:t>
      </w:r>
      <w:r w:rsidRPr="00C50860">
        <w:rPr>
          <w:rFonts w:cs="NewBaskerville-Italic"/>
          <w:i/>
          <w:iCs/>
        </w:rPr>
        <w:t>Gonsalves v</w:t>
      </w:r>
      <w:r w:rsidR="006F355C" w:rsidRPr="006F355C">
        <w:rPr>
          <w:rFonts w:cs="NewBaskerville-Italic"/>
          <w:i/>
          <w:iCs/>
        </w:rPr>
        <w:t>. N</w:t>
      </w:r>
      <w:r w:rsidRPr="00C50860">
        <w:rPr>
          <w:rFonts w:cs="NewBaskerville-Italic"/>
          <w:i/>
          <w:iCs/>
        </w:rPr>
        <w:t>issan Motor Corp</w:t>
      </w:r>
      <w:r w:rsidR="006F355C" w:rsidRPr="006F355C">
        <w:rPr>
          <w:rFonts w:cs="NewBaskerville-Italic"/>
          <w:i/>
          <w:iCs/>
        </w:rPr>
        <w:t>. i</w:t>
      </w:r>
      <w:r w:rsidRPr="00C50860">
        <w:rPr>
          <w:rFonts w:cs="NewBaskerville-Italic"/>
          <w:i/>
          <w:iCs/>
        </w:rPr>
        <w:t>n Hawaii, Ltd</w:t>
      </w:r>
      <w:r w:rsidRPr="00C50860">
        <w:t>.</w:t>
      </w:r>
      <w:r w:rsidRPr="00C50860">
        <w:rPr>
          <w:rStyle w:val="FootnoteReference"/>
          <w:position w:val="-1"/>
        </w:rPr>
        <w:footnoteReference w:id="54"/>
      </w:r>
      <w:r w:rsidRPr="00C50860">
        <w:t xml:space="preserve"> the Hawaii Supreme Court explained that “disclaimers do not </w:t>
      </w:r>
      <w:r w:rsidRPr="00C50860">
        <w:rPr>
          <w:rFonts w:cs="NewBaskerville-Italic"/>
          <w:i/>
          <w:iCs/>
        </w:rPr>
        <w:t>per se</w:t>
      </w:r>
      <w:r w:rsidRPr="00C50860">
        <w:t xml:space="preserve"> preclude a claim for breach of an implied contract,” because the “effectiveness of a disclaimer may be vitiated for a number of reasons, including disclaimers that</w:t>
      </w:r>
      <w:r w:rsidR="006F355C" w:rsidRPr="006F355C">
        <w:t>: (</w:t>
      </w:r>
      <w:r w:rsidRPr="00C50860">
        <w:t>1) are not clear, conspicuous, and understandable</w:t>
      </w:r>
      <w:r w:rsidR="006F355C" w:rsidRPr="006F355C">
        <w:t>; (</w:t>
      </w:r>
      <w:r w:rsidRPr="00C50860">
        <w:t>2) contradict language in the manual</w:t>
      </w:r>
      <w:r w:rsidR="006F355C" w:rsidRPr="006F355C">
        <w:t>; o</w:t>
      </w:r>
      <w:r w:rsidRPr="00C50860">
        <w:t>r (3) contradict subsequent oral or written statements by the employer.”</w:t>
      </w:r>
      <w:r w:rsidRPr="00C50860">
        <w:rPr>
          <w:rStyle w:val="FootnoteReference"/>
          <w:position w:val="-1"/>
        </w:rPr>
        <w:footnoteReference w:id="55"/>
      </w:r>
      <w:r w:rsidRPr="00C50860">
        <w:t xml:space="preserve"> The court observed that “[t]o protect against claims of breach of implied contract based upon employee handbooks, employers may use ‘disclaimers expressly stating that the handbook or manual is not a contract and does not alter the employment at-will relationship.’ ”</w:t>
      </w:r>
      <w:r w:rsidRPr="00C50860">
        <w:rPr>
          <w:rStyle w:val="FootnoteReference"/>
          <w:position w:val="-1"/>
        </w:rPr>
        <w:footnoteReference w:id="56"/>
      </w:r>
    </w:p>
    <w:p w14:paraId="3A179E58" w14:textId="34A69814" w:rsidR="006F355C" w:rsidRPr="006F355C" w:rsidRDefault="00EC7962" w:rsidP="00DE5A2E">
      <w:r w:rsidRPr="00C50860">
        <w:t xml:space="preserve">See </w:t>
      </w:r>
      <w:proofErr w:type="spellStart"/>
      <w:r w:rsidRPr="00C50860">
        <w:rPr>
          <w:rFonts w:cs="NewBaskerville-Italic"/>
          <w:i/>
          <w:iCs/>
        </w:rPr>
        <w:t>Shahata</w:t>
      </w:r>
      <w:proofErr w:type="spellEnd"/>
      <w:r w:rsidRPr="00C50860">
        <w:rPr>
          <w:rFonts w:cs="NewBaskerville-Italic"/>
          <w:i/>
          <w:iCs/>
        </w:rPr>
        <w:t xml:space="preserve"> v</w:t>
      </w:r>
      <w:r w:rsidR="006F355C" w:rsidRPr="006F355C">
        <w:rPr>
          <w:rFonts w:cs="NewBaskerville-Italic"/>
          <w:i/>
          <w:iCs/>
        </w:rPr>
        <w:t>. W</w:t>
      </w:r>
      <w:r w:rsidRPr="00C50860">
        <w:rPr>
          <w:rFonts w:cs="NewBaskerville-Italic"/>
          <w:i/>
          <w:iCs/>
        </w:rPr>
        <w:t xml:space="preserve"> Steak Waikiki, LLC</w:t>
      </w:r>
      <w:r w:rsidRPr="00C50860">
        <w:t>,</w:t>
      </w:r>
      <w:r w:rsidRPr="00C50860">
        <w:rPr>
          <w:rStyle w:val="FootnoteReference"/>
          <w:position w:val="-1"/>
        </w:rPr>
        <w:footnoteReference w:id="57"/>
      </w:r>
      <w:r w:rsidRPr="00C50860">
        <w:t xml:space="preserve"> as discussed in II.A., above.</w:t>
      </w:r>
    </w:p>
    <w:p w14:paraId="632C0707" w14:textId="77777777" w:rsidR="006F355C" w:rsidRPr="006F355C" w:rsidRDefault="00EC7962" w:rsidP="00A94D82">
      <w:pPr>
        <w:pStyle w:val="Heading2"/>
      </w:pPr>
      <w:r w:rsidRPr="00C50860">
        <w:t>D.</w:t>
      </w:r>
      <w:r w:rsidRPr="00C50860">
        <w:tab/>
        <w:t>Damages</w:t>
      </w:r>
    </w:p>
    <w:p w14:paraId="5AC3A2FE" w14:textId="484D72DA" w:rsidR="006F355C" w:rsidRPr="006F355C" w:rsidRDefault="00EC7962" w:rsidP="00A94D82">
      <w:r w:rsidRPr="00C50860">
        <w:t>If the employer wrongfully terminates an at-will employee, the employee may collect damages for breach of contract</w:t>
      </w:r>
      <w:r w:rsidR="006F355C" w:rsidRPr="006F355C">
        <w:t>. I</w:t>
      </w:r>
      <w:r w:rsidRPr="00C50860">
        <w:t xml:space="preserve">n </w:t>
      </w:r>
      <w:r w:rsidRPr="00C50860">
        <w:rPr>
          <w:rFonts w:cs="NewBaskerville-Italic"/>
          <w:i/>
          <w:iCs/>
        </w:rPr>
        <w:t>Vieira v</w:t>
      </w:r>
      <w:r w:rsidR="006F355C" w:rsidRPr="006F355C">
        <w:rPr>
          <w:rFonts w:cs="NewBaskerville-Italic"/>
          <w:i/>
          <w:iCs/>
        </w:rPr>
        <w:t>. R</w:t>
      </w:r>
      <w:r w:rsidRPr="00C50860">
        <w:rPr>
          <w:rFonts w:cs="NewBaskerville-Italic"/>
          <w:i/>
          <w:iCs/>
        </w:rPr>
        <w:t>obert’s Hawaii Tours, Inc</w:t>
      </w:r>
      <w:r w:rsidRPr="00C50860">
        <w:rPr>
          <w:u w:color="000000"/>
        </w:rPr>
        <w:t>.</w:t>
      </w:r>
      <w:r w:rsidRPr="00C50860">
        <w:t>,</w:t>
      </w:r>
      <w:r w:rsidRPr="00C50860">
        <w:rPr>
          <w:rStyle w:val="FootnoteReference"/>
          <w:position w:val="-1"/>
        </w:rPr>
        <w:footnoteReference w:id="58"/>
      </w:r>
      <w:r w:rsidRPr="00C50860">
        <w:t xml:space="preserve"> the Hawaii Intermediate Court of Appeals found that “[t]he measure of recovery by a wrongfully discharged employee is the amount of compensation agreed upon for the remaining period of service, less the amount which the employer affirmatively proves the employee has earned or with reasonable effort might have earned from other employment.”</w:t>
      </w:r>
      <w:r w:rsidRPr="00C50860">
        <w:rPr>
          <w:rStyle w:val="FootnoteReference"/>
          <w:position w:val="-1"/>
        </w:rPr>
        <w:footnoteReference w:id="59"/>
      </w:r>
      <w:r w:rsidRPr="00C50860">
        <w:t xml:space="preserve"> However, it is the employer’s burden to show a failure to mitigate damages:</w:t>
      </w:r>
    </w:p>
    <w:p w14:paraId="703D85FD" w14:textId="51145C38" w:rsidR="006F355C" w:rsidRPr="006F355C" w:rsidRDefault="00EC7962" w:rsidP="00A94D82">
      <w:pPr>
        <w:pStyle w:val="BlockQuote"/>
      </w:pPr>
      <w:r w:rsidRPr="00C50860">
        <w:t>Before projected earnings from other employment opportunities not sought or accepted by the discharged employee can be applied in mitigation, the employer must show that the other employment was comparable, or substantially similar, to that of which the employee has been deprived</w:t>
      </w:r>
      <w:r w:rsidR="006F355C" w:rsidRPr="006F355C">
        <w:t>; t</w:t>
      </w:r>
      <w:r w:rsidRPr="00C50860">
        <w:t>he employee’s rejection of or failure to seek other available employment of a different or inferior kind may not be resorted to in order to mitigate damages.</w:t>
      </w:r>
      <w:r w:rsidRPr="00C50860">
        <w:rPr>
          <w:rStyle w:val="FootnoteReference"/>
          <w:position w:val="-1"/>
        </w:rPr>
        <w:footnoteReference w:id="60"/>
      </w:r>
    </w:p>
    <w:p w14:paraId="7F0E1375" w14:textId="77777777" w:rsidR="006F355C" w:rsidRPr="006F355C" w:rsidRDefault="00EC7962" w:rsidP="00A94D82">
      <w:r w:rsidRPr="00C50860">
        <w:rPr>
          <w:rFonts w:eastAsia="Cambria"/>
        </w:rPr>
        <w:t>Because the employee’s new employment was sales for a commission, the court suggested that the offset amount to be deducted from the “lost wages” award should be reduced by direct expenses incurred in earning the commissions.</w:t>
      </w:r>
      <w:r w:rsidRPr="00C50860">
        <w:rPr>
          <w:rFonts w:eastAsia="Cambria" w:cs="TimesNewRomanPSMT"/>
          <w:position w:val="-1"/>
          <w:vertAlign w:val="superscript"/>
        </w:rPr>
        <w:footnoteReference w:id="61"/>
      </w:r>
    </w:p>
    <w:p w14:paraId="1FF0D45C" w14:textId="50D52CD5" w:rsidR="006F355C" w:rsidRPr="006F355C" w:rsidRDefault="00EC7962" w:rsidP="00A94D82">
      <w:pPr>
        <w:rPr>
          <w:rFonts w:cs="NewBaskerville-Italic"/>
          <w:i/>
          <w:iCs/>
        </w:rPr>
      </w:pPr>
      <w:r w:rsidRPr="00C50860">
        <w:t>A successful employee may not recover punitive damages for breach of an employment contract</w:t>
      </w:r>
      <w:r w:rsidR="006F355C" w:rsidRPr="006F355C">
        <w:t>. I</w:t>
      </w:r>
      <w:r w:rsidRPr="00C50860">
        <w:t xml:space="preserve">n </w:t>
      </w:r>
      <w:r w:rsidRPr="00C50860">
        <w:rPr>
          <w:rFonts w:cs="NewBaskerville-Italic"/>
          <w:i/>
          <w:iCs/>
        </w:rPr>
        <w:t>Francis v</w:t>
      </w:r>
      <w:r w:rsidR="006F355C" w:rsidRPr="006F355C">
        <w:rPr>
          <w:rFonts w:cs="NewBaskerville-Italic"/>
          <w:i/>
          <w:iCs/>
        </w:rPr>
        <w:t>. L</w:t>
      </w:r>
      <w:r w:rsidRPr="00C50860">
        <w:rPr>
          <w:rFonts w:cs="NewBaskerville-Italic"/>
          <w:i/>
          <w:iCs/>
        </w:rPr>
        <w:t>ee Enterprises</w:t>
      </w:r>
      <w:r w:rsidRPr="00C50860">
        <w:t>,</w:t>
      </w:r>
      <w:r w:rsidRPr="00C50860">
        <w:rPr>
          <w:rStyle w:val="FootnoteReference"/>
          <w:position w:val="-1"/>
        </w:rPr>
        <w:footnoteReference w:id="62"/>
      </w:r>
      <w:r w:rsidRPr="00C50860">
        <w:t xml:space="preserve"> a newscaster who was employed pursuant to an express written employment contract brought suit against his former employer after he was terminated.</w:t>
      </w:r>
      <w:r w:rsidRPr="00C50860">
        <w:rPr>
          <w:rStyle w:val="FootnoteReference"/>
          <w:position w:val="-1"/>
        </w:rPr>
        <w:footnoteReference w:id="63"/>
      </w:r>
      <w:r w:rsidRPr="00C50860">
        <w:t xml:space="preserve"> The plaintiff alleged that his employer “</w:t>
      </w:r>
      <w:proofErr w:type="spellStart"/>
      <w:r w:rsidRPr="00C50860">
        <w:t>wilfully</w:t>
      </w:r>
      <w:proofErr w:type="spellEnd"/>
      <w:r w:rsidRPr="00C50860">
        <w:t>, wantonly, recklessly and/or in bad faith” breached the written employment contract.</w:t>
      </w:r>
      <w:r w:rsidRPr="00C50860">
        <w:rPr>
          <w:rStyle w:val="FootnoteReference"/>
          <w:position w:val="-1"/>
        </w:rPr>
        <w:footnoteReference w:id="64"/>
      </w:r>
      <w:r w:rsidRPr="00C50860">
        <w:t xml:space="preserve"> The court rejected the employee’s claim and abolished the rule that “where a contract is breached in a wanton or reckless manner so as to result in a tortious injury, the aggrieved person is entitled to recover in tort.”</w:t>
      </w:r>
      <w:r w:rsidRPr="00C50860">
        <w:rPr>
          <w:rStyle w:val="FootnoteReference"/>
          <w:position w:val="-1"/>
        </w:rPr>
        <w:footnoteReference w:id="65"/>
      </w:r>
      <w:r w:rsidRPr="00C50860">
        <w:t xml:space="preserve"> The court reasoned:</w:t>
      </w:r>
    </w:p>
    <w:p w14:paraId="6473E120" w14:textId="7617B8DE" w:rsidR="006F355C" w:rsidRPr="006F355C" w:rsidRDefault="00EC7962" w:rsidP="00A94D82">
      <w:pPr>
        <w:pStyle w:val="BlockQuote"/>
      </w:pPr>
      <w:r w:rsidRPr="00C50860">
        <w:t xml:space="preserve">The distinction between tort and contract law is well established in common law, and distinct objectives </w:t>
      </w:r>
      <w:proofErr w:type="gramStart"/>
      <w:r w:rsidRPr="00C50860">
        <w:t>underlie</w:t>
      </w:r>
      <w:proofErr w:type="gramEnd"/>
      <w:r w:rsidRPr="00C50860">
        <w:t xml:space="preserve"> the remedies created in each area</w:t>
      </w:r>
      <w:r w:rsidR="006F355C" w:rsidRPr="006F355C">
        <w:t>. I</w:t>
      </w:r>
      <w:r w:rsidRPr="00C50860">
        <w:t xml:space="preserve">n construing a contract, a court’s principal objective is </w:t>
      </w:r>
      <w:r w:rsidRPr="00C50860">
        <w:rPr>
          <w:rFonts w:cs="NewBaskerville-Italic"/>
          <w:i/>
          <w:iCs/>
        </w:rPr>
        <w:t>to ascertain and effectuate the intention of the parties</w:t>
      </w:r>
      <w:r w:rsidRPr="00C50860">
        <w:t xml:space="preserve">, </w:t>
      </w:r>
      <w:proofErr w:type="gramStart"/>
      <w:r w:rsidRPr="00C50860">
        <w:t>whereas,</w:t>
      </w:r>
      <w:proofErr w:type="gramEnd"/>
      <w:r w:rsidRPr="00C50860">
        <w:t xml:space="preserve"> </w:t>
      </w:r>
      <w:r w:rsidRPr="00C50860">
        <w:rPr>
          <w:rFonts w:cs="NewBaskerville-Italic"/>
          <w:i/>
          <w:iCs/>
        </w:rPr>
        <w:t>tort law is primarily designed to vindicate social policy</w:t>
      </w:r>
      <w:r w:rsidRPr="00C50860">
        <w:t>.</w:t>
      </w:r>
      <w:r w:rsidRPr="00C50860">
        <w:rPr>
          <w:rStyle w:val="FootnoteReference"/>
          <w:position w:val="-1"/>
        </w:rPr>
        <w:footnoteReference w:id="66"/>
      </w:r>
    </w:p>
    <w:p w14:paraId="73ABA8DD" w14:textId="77777777" w:rsidR="006F355C" w:rsidRPr="006F355C" w:rsidRDefault="00EC7962" w:rsidP="00A94D82">
      <w:pPr>
        <w:pStyle w:val="Normal-NoIndent"/>
        <w:tabs>
          <w:tab w:val="left" w:pos="880"/>
        </w:tabs>
      </w:pPr>
      <w:r w:rsidRPr="00C50860">
        <w:t xml:space="preserve">Given these distinct purposes, “damages for emotional distress and mental suffering, as well as punitive damages, are generally </w:t>
      </w:r>
      <w:r w:rsidRPr="00C50860">
        <w:rPr>
          <w:rFonts w:cs="NewBaskerville-Italic"/>
          <w:i/>
          <w:iCs/>
        </w:rPr>
        <w:t xml:space="preserve">not </w:t>
      </w:r>
      <w:r w:rsidRPr="00C50860">
        <w:t>recoverable in contract.”</w:t>
      </w:r>
      <w:r w:rsidRPr="00C50860">
        <w:rPr>
          <w:rStyle w:val="FootnoteReference"/>
          <w:position w:val="-1"/>
        </w:rPr>
        <w:footnoteReference w:id="67"/>
      </w:r>
      <w:r w:rsidRPr="00C50860">
        <w:t xml:space="preserve"> The court, therefore, formulated two conclusions:</w:t>
      </w:r>
    </w:p>
    <w:p w14:paraId="67BFE37D" w14:textId="5489780E" w:rsidR="006F355C" w:rsidRPr="006F355C" w:rsidRDefault="00EC7962" w:rsidP="00A94D82">
      <w:pPr>
        <w:pStyle w:val="BlockQuote"/>
      </w:pPr>
      <w:r w:rsidRPr="00C50860">
        <w:t xml:space="preserve">First, damages for emotional distress will </w:t>
      </w:r>
      <w:r w:rsidRPr="00C50860">
        <w:rPr>
          <w:rFonts w:cs="NewBaskerville-Italic"/>
          <w:i/>
          <w:iCs/>
        </w:rPr>
        <w:t>rarely,</w:t>
      </w:r>
      <w:r w:rsidRPr="00C50860">
        <w:t xml:space="preserve"> if ever, be recoverable for breaches of an employment contract, where the parties did not bargain for such </w:t>
      </w:r>
      <w:proofErr w:type="gramStart"/>
      <w:r w:rsidRPr="00C50860">
        <w:t>damages</w:t>
      </w:r>
      <w:proofErr w:type="gramEnd"/>
      <w:r w:rsidRPr="00C50860">
        <w:t xml:space="preserve"> or where the nature of the contract does not clearly indicate that such damages were within the contemplation or expectation of the parties</w:t>
      </w:r>
      <w:r w:rsidR="006F355C" w:rsidRPr="006F355C">
        <w:t>. S</w:t>
      </w:r>
      <w:r w:rsidRPr="00C50860">
        <w:t xml:space="preserve">econd, punitive damages will </w:t>
      </w:r>
      <w:r w:rsidRPr="00C50860">
        <w:rPr>
          <w:rFonts w:cs="NewBaskerville-Italic"/>
          <w:i/>
          <w:iCs/>
        </w:rPr>
        <w:t>never</w:t>
      </w:r>
      <w:r w:rsidRPr="00C50860">
        <w:t xml:space="preserve"> be recoverable, absent conduct that violates a duty that is independently recognized by principles of tort law</w:t>
      </w:r>
      <w:r w:rsidR="006F355C" w:rsidRPr="006F355C">
        <w:t>. O</w:t>
      </w:r>
      <w:r w:rsidRPr="00C50860">
        <w:t>f course, the existence of a contract will not defeat otherwise valid claims for relief sounding in tort, such as fraud, where punitive damages are allowed in order to vindicate social policy.</w:t>
      </w:r>
      <w:r w:rsidRPr="00C50860">
        <w:rPr>
          <w:rStyle w:val="FootnoteReference"/>
          <w:position w:val="-1"/>
        </w:rPr>
        <w:footnoteReference w:id="68"/>
      </w:r>
    </w:p>
    <w:p w14:paraId="36DCC5E2" w14:textId="77777777" w:rsidR="006F355C" w:rsidRPr="006F355C" w:rsidRDefault="00EC7962" w:rsidP="00A94D82">
      <w:pPr>
        <w:pStyle w:val="Normal-NoIndent"/>
      </w:pPr>
      <w:r w:rsidRPr="00C50860">
        <w:t>Thus, “</w:t>
      </w:r>
      <w:proofErr w:type="gramStart"/>
      <w:r w:rsidRPr="00C50860">
        <w:t>Hawai</w:t>
      </w:r>
      <w:r w:rsidRPr="00C50860">
        <w:rPr>
          <w:color w:val="3D3D3D"/>
          <w:shd w:val="clear" w:color="auto" w:fill="FFFFFF"/>
        </w:rPr>
        <w:t>‘</w:t>
      </w:r>
      <w:proofErr w:type="gramEnd"/>
      <w:r w:rsidRPr="00C50860">
        <w:t>i law will not allow a recovery in tort, including a recovery of punitive damages, in the absence of conduct that (1) violates a duty that is independently recognized by principles of tort law and (2) transcends the breach of the contract.”</w:t>
      </w:r>
      <w:r w:rsidRPr="00C50860">
        <w:rPr>
          <w:rStyle w:val="FootnoteReference"/>
          <w:position w:val="-1"/>
        </w:rPr>
        <w:footnoteReference w:id="69"/>
      </w:r>
    </w:p>
    <w:p w14:paraId="063A40AA" w14:textId="68A87A67" w:rsidR="006F355C" w:rsidRPr="006F355C" w:rsidRDefault="00EC7962" w:rsidP="00A94D82">
      <w:pPr>
        <w:pStyle w:val="Heading1"/>
        <w:rPr>
          <w:szCs w:val="24"/>
        </w:rPr>
      </w:pPr>
      <w:r w:rsidRPr="00C50860">
        <w:rPr>
          <w:szCs w:val="24"/>
        </w:rPr>
        <w:t>VI</w:t>
      </w:r>
      <w:r w:rsidR="006F355C" w:rsidRPr="006F355C">
        <w:rPr>
          <w:szCs w:val="24"/>
        </w:rPr>
        <w:t>. R</w:t>
      </w:r>
      <w:r w:rsidRPr="00C50860">
        <w:rPr>
          <w:szCs w:val="24"/>
        </w:rPr>
        <w:t>elated Torts</w:t>
      </w:r>
    </w:p>
    <w:p w14:paraId="30B6340A" w14:textId="77777777" w:rsidR="006F355C" w:rsidRPr="006F355C" w:rsidRDefault="00EC7962" w:rsidP="00A94D82">
      <w:pPr>
        <w:tabs>
          <w:tab w:val="left" w:pos="440"/>
        </w:tabs>
      </w:pPr>
      <w:r w:rsidRPr="00C50860">
        <w:t>Terminated employees often allege common law torts in combination with claims for breach of contractual rights.</w:t>
      </w:r>
    </w:p>
    <w:p w14:paraId="53B93B05" w14:textId="77777777" w:rsidR="006F355C" w:rsidRPr="006F355C" w:rsidRDefault="00EC7962" w:rsidP="00A94D82">
      <w:pPr>
        <w:pStyle w:val="Heading2"/>
      </w:pPr>
      <w:r w:rsidRPr="00C50860">
        <w:t>A.</w:t>
      </w:r>
      <w:r w:rsidRPr="00C50860">
        <w:tab/>
        <w:t>Fraud</w:t>
      </w:r>
    </w:p>
    <w:p w14:paraId="6CEA11DE" w14:textId="1C3E8B58" w:rsidR="006F355C" w:rsidRPr="006F355C" w:rsidRDefault="00EC7962" w:rsidP="00A94D82">
      <w:pPr>
        <w:tabs>
          <w:tab w:val="left" w:pos="880"/>
        </w:tabs>
      </w:pPr>
      <w:r w:rsidRPr="00C50860">
        <w:t xml:space="preserve">In Hawaii, fraud actions are permitted in </w:t>
      </w:r>
      <w:proofErr w:type="gramStart"/>
      <w:r w:rsidRPr="00C50860">
        <w:t>the employment</w:t>
      </w:r>
      <w:proofErr w:type="gramEnd"/>
      <w:r w:rsidRPr="00C50860">
        <w:t xml:space="preserve"> context</w:t>
      </w:r>
      <w:r w:rsidR="006F355C" w:rsidRPr="006F355C">
        <w:t>. H</w:t>
      </w:r>
      <w:r w:rsidRPr="00C50860">
        <w:t>owever, Hawaii courts have long recognized that the circumstances constituting fraud or mistake must be stated with particularity, and a party claiming fraud must establish the following elements:</w:t>
      </w:r>
    </w:p>
    <w:p w14:paraId="7D01528D" w14:textId="77777777" w:rsidR="006F355C" w:rsidRPr="006F355C" w:rsidRDefault="00EC7962" w:rsidP="00A94D82">
      <w:pPr>
        <w:pStyle w:val="BlockQuote"/>
      </w:pPr>
      <w:r w:rsidRPr="00C50860">
        <w:t>(1) false representations were made by defendants, (2) with knowledge of their falsity (or without knowledge of their truth or falsity), (3) in contemplation of plaintiff’s reliance upon these false representations, and (4) plaintiff did rely upon them.</w:t>
      </w:r>
      <w:r w:rsidRPr="00C50860">
        <w:rPr>
          <w:rStyle w:val="FootnoteReference"/>
          <w:position w:val="-1"/>
        </w:rPr>
        <w:footnoteReference w:id="70"/>
      </w:r>
    </w:p>
    <w:p w14:paraId="3881E86F" w14:textId="77777777" w:rsidR="006F355C" w:rsidRPr="006F355C" w:rsidRDefault="00EC7962" w:rsidP="00A94D82">
      <w:pPr>
        <w:pStyle w:val="Normal-NoIndent"/>
        <w:tabs>
          <w:tab w:val="left" w:pos="880"/>
        </w:tabs>
      </w:pPr>
      <w:r w:rsidRPr="00C50860">
        <w:t>To be actionable, the alleged false representation “must relate to a past or existing material fact and not the occurrence of a future event” as:</w:t>
      </w:r>
    </w:p>
    <w:p w14:paraId="089C371E" w14:textId="77777777" w:rsidR="006F355C" w:rsidRPr="006F355C" w:rsidRDefault="00EC7962" w:rsidP="00A94D82">
      <w:pPr>
        <w:pStyle w:val="BlockQuote"/>
      </w:pPr>
      <w:r w:rsidRPr="00C50860">
        <w:t>fraud cannot be predicated on statements which are promissory in their nature, or constitute expressions of intention, and an actionable representation cannot consist of mere broken promises, unfulfilled predictions or expectations, or erroneous conjectures as to future events, even if there is no excuse for failure to keep the promise, and even though a party acted in reliance on such promise.</w:t>
      </w:r>
      <w:r w:rsidRPr="00C50860">
        <w:rPr>
          <w:rStyle w:val="FootnoteReference"/>
          <w:position w:val="-1"/>
        </w:rPr>
        <w:footnoteReference w:id="71"/>
      </w:r>
    </w:p>
    <w:p w14:paraId="7627652E" w14:textId="721EB8FC" w:rsidR="006F355C" w:rsidRPr="006F355C" w:rsidRDefault="00EC7962" w:rsidP="00A94D82">
      <w:pPr>
        <w:tabs>
          <w:tab w:val="left" w:pos="440"/>
        </w:tabs>
      </w:pPr>
      <w:r w:rsidRPr="00C50860">
        <w:t xml:space="preserve">In </w:t>
      </w:r>
      <w:r w:rsidRPr="00C50860">
        <w:rPr>
          <w:rFonts w:cs="NewBaskerville-Italic"/>
          <w:i/>
          <w:iCs/>
        </w:rPr>
        <w:t>Shoppe v</w:t>
      </w:r>
      <w:r w:rsidR="006F355C" w:rsidRPr="006F355C">
        <w:rPr>
          <w:rFonts w:cs="NewBaskerville-Italic"/>
          <w:i/>
          <w:iCs/>
        </w:rPr>
        <w:t>. G</w:t>
      </w:r>
      <w:r w:rsidRPr="00C50860">
        <w:rPr>
          <w:rFonts w:cs="NewBaskerville-Italic"/>
          <w:i/>
          <w:iCs/>
        </w:rPr>
        <w:t>ucci America, Inc</w:t>
      </w:r>
      <w:r w:rsidRPr="00C50860">
        <w:t>.,</w:t>
      </w:r>
      <w:r w:rsidRPr="00C50860">
        <w:rPr>
          <w:rStyle w:val="FootnoteReference"/>
          <w:position w:val="-1"/>
        </w:rPr>
        <w:footnoteReference w:id="72"/>
      </w:r>
      <w:r w:rsidRPr="00C50860">
        <w:t xml:space="preserve"> a terminated store manager asserted fraud claims against the store and district manager</w:t>
      </w:r>
      <w:r w:rsidR="006F355C" w:rsidRPr="006F355C">
        <w:t>. T</w:t>
      </w:r>
      <w:r w:rsidRPr="00C50860">
        <w:t>he plaintiff alleged that the defendants intended, at the time they hired her, to hire another person to replace the plaintiff as soon as that person became available.</w:t>
      </w:r>
      <w:r w:rsidRPr="00C50860">
        <w:rPr>
          <w:rStyle w:val="FootnoteReference"/>
          <w:position w:val="-1"/>
        </w:rPr>
        <w:footnoteReference w:id="73"/>
      </w:r>
      <w:r w:rsidRPr="00C50860">
        <w:t xml:space="preserve"> The court, however, rejected her claim, holding that the plaintiff had failed to establish that the defendants made a false representation with respect to a material fact because, at the time she applied for work, the defendants offered her employment such that the promise was fulfilled.</w:t>
      </w:r>
      <w:r w:rsidRPr="00C50860">
        <w:rPr>
          <w:rStyle w:val="FootnoteReference"/>
          <w:position w:val="-1"/>
        </w:rPr>
        <w:footnoteReference w:id="74"/>
      </w:r>
      <w:r w:rsidRPr="00C50860">
        <w:t xml:space="preserve"> According to the court</w:t>
      </w:r>
      <w:r w:rsidR="006F355C" w:rsidRPr="006F355C">
        <w:t>: “</w:t>
      </w:r>
      <w:r w:rsidRPr="00C50860">
        <w:t>The record does not indicate that [p]</w:t>
      </w:r>
      <w:proofErr w:type="spellStart"/>
      <w:r w:rsidRPr="00C50860">
        <w:t>laintiff</w:t>
      </w:r>
      <w:proofErr w:type="spellEnd"/>
      <w:r w:rsidRPr="00C50860">
        <w:t xml:space="preserve"> was to be employed with [the store] for a definite time period</w:t>
      </w:r>
      <w:r w:rsidR="006F355C" w:rsidRPr="006F355C">
        <w:t>. I</w:t>
      </w:r>
      <w:r w:rsidRPr="00C50860">
        <w:t>n fact, the terms of [p]</w:t>
      </w:r>
      <w:proofErr w:type="spellStart"/>
      <w:r w:rsidRPr="00C50860">
        <w:t>laintiff’s</w:t>
      </w:r>
      <w:proofErr w:type="spellEnd"/>
      <w:r w:rsidRPr="00C50860">
        <w:t xml:space="preserve"> employment were clearly ‘at-will.’ ”</w:t>
      </w:r>
      <w:r w:rsidRPr="00C50860">
        <w:rPr>
          <w:rStyle w:val="FootnoteReference"/>
          <w:position w:val="-1"/>
        </w:rPr>
        <w:footnoteReference w:id="75"/>
      </w:r>
      <w:r w:rsidRPr="00C50860">
        <w:t xml:space="preserve"> The plaintiff argued the defendants made a false representation with respect to material fact in that she was promised job security</w:t>
      </w:r>
      <w:r w:rsidR="006F355C" w:rsidRPr="006F355C">
        <w:t>; h</w:t>
      </w:r>
      <w:r w:rsidRPr="00C50860">
        <w:t>owever, the court emphasized that false representation must concern a “past or existing material fact” and “cannot be predicated on statements which are promissory in their nature.”</w:t>
      </w:r>
      <w:r w:rsidRPr="00C50860">
        <w:rPr>
          <w:rStyle w:val="FootnoteReference"/>
          <w:position w:val="-1"/>
        </w:rPr>
        <w:footnoteReference w:id="76"/>
      </w:r>
    </w:p>
    <w:p w14:paraId="79CA13AF" w14:textId="3D7FE66A" w:rsidR="006F355C" w:rsidRPr="006F355C" w:rsidRDefault="00EC7962" w:rsidP="00A94D82">
      <w:pPr>
        <w:tabs>
          <w:tab w:val="left" w:pos="440"/>
        </w:tabs>
      </w:pPr>
      <w:r w:rsidRPr="00C50860">
        <w:t>Although Hawaii courts recognize a cause of action based on fraud in the employment context, fraud claims are disfavored because of a high standard of proof</w:t>
      </w:r>
      <w:r w:rsidR="006F355C" w:rsidRPr="006F355C">
        <w:t>. A</w:t>
      </w:r>
      <w:r w:rsidRPr="00C50860">
        <w:t>ccordingly, fraud claims present significant challenges for plaintiffs to overcome, and there are few reported cases.</w:t>
      </w:r>
    </w:p>
    <w:p w14:paraId="30DBA73C" w14:textId="77777777" w:rsidR="006F355C" w:rsidRPr="006F355C" w:rsidRDefault="00EC7962" w:rsidP="00A94D82">
      <w:pPr>
        <w:pStyle w:val="Heading2"/>
      </w:pPr>
      <w:r w:rsidRPr="00C50860">
        <w:t>B.</w:t>
      </w:r>
      <w:r w:rsidRPr="00C50860">
        <w:tab/>
        <w:t xml:space="preserve">Intentional Interference </w:t>
      </w:r>
      <w:proofErr w:type="gramStart"/>
      <w:r w:rsidRPr="00C50860">
        <w:t>With</w:t>
      </w:r>
      <w:proofErr w:type="gramEnd"/>
      <w:r w:rsidRPr="00C50860">
        <w:t xml:space="preserve"> a Contract</w:t>
      </w:r>
      <w:r w:rsidRPr="00C50860">
        <w:rPr>
          <w:rStyle w:val="FootnoteReference"/>
          <w:b w:val="0"/>
          <w:position w:val="-1"/>
        </w:rPr>
        <w:footnoteReference w:id="77"/>
      </w:r>
    </w:p>
    <w:p w14:paraId="6AACF1B4" w14:textId="7647796D" w:rsidR="006F355C" w:rsidRPr="006F355C" w:rsidRDefault="00EC7962" w:rsidP="00A94D82">
      <w:r w:rsidRPr="00C50860">
        <w:t>In 1999, the Hawaii Supreme Court recognized the tort of “interference with prospective business advantage.”</w:t>
      </w:r>
      <w:r w:rsidRPr="00C50860">
        <w:rPr>
          <w:rStyle w:val="FootnoteReference"/>
          <w:position w:val="-1"/>
        </w:rPr>
        <w:footnoteReference w:id="78"/>
      </w:r>
      <w:r w:rsidRPr="00C50860">
        <w:t xml:space="preserve"> The primary objective of the tort is “the protection of legitimate and identifiable business expectancies,” but “where the plaintiff’s contractual relations are merely contemplated or potential, the public interest is best served by allowing any competitor the opportunity to divert those prospects to itself, </w:t>
      </w:r>
      <w:r w:rsidRPr="00C50860">
        <w:rPr>
          <w:rFonts w:cs="NewBaskerville-Italic"/>
          <w:i/>
          <w:iCs/>
        </w:rPr>
        <w:t>so long as the means used are not themselves improper.</w:t>
      </w:r>
      <w:r w:rsidRPr="00C50860">
        <w:t>”</w:t>
      </w:r>
      <w:r w:rsidRPr="00C50860">
        <w:rPr>
          <w:rStyle w:val="FootnoteReference"/>
          <w:position w:val="-1"/>
        </w:rPr>
        <w:footnoteReference w:id="79"/>
      </w:r>
      <w:r w:rsidRPr="00C50860">
        <w:rPr>
          <w:rFonts w:cs="NewBaskerville-Italic"/>
          <w:i/>
          <w:iCs/>
        </w:rPr>
        <w:t xml:space="preserve"> </w:t>
      </w:r>
      <w:r w:rsidRPr="00C50860">
        <w:t>The elements of the tort are</w:t>
      </w:r>
      <w:r w:rsidR="006F355C" w:rsidRPr="006F355C">
        <w:t>: (</w:t>
      </w:r>
      <w:r w:rsidRPr="00C50860">
        <w:t xml:space="preserve">1) the existence of a valid business relationship </w:t>
      </w:r>
      <w:r w:rsidRPr="00C50860">
        <w:rPr>
          <w:rFonts w:cs="NewBaskerville-Italic"/>
          <w:i/>
          <w:iCs/>
        </w:rPr>
        <w:t>or</w:t>
      </w:r>
      <w:r w:rsidRPr="00C50860">
        <w:t xml:space="preserve"> a prospective advantage or expectancy sufficiently definite, specific, and capable of acceptance in the sense that there is a reasonable probability of it maturing into a future economic benefit to the plaintiff</w:t>
      </w:r>
      <w:r w:rsidR="006F355C" w:rsidRPr="006F355C">
        <w:t>; (</w:t>
      </w:r>
      <w:r w:rsidRPr="00C50860">
        <w:t>2) knowledge of the relationship, advantage, or expectancy by the defendant</w:t>
      </w:r>
      <w:r w:rsidR="006F355C" w:rsidRPr="006F355C">
        <w:t>; (</w:t>
      </w:r>
      <w:r w:rsidRPr="00C50860">
        <w:t>3) a purposeful intent to interfere with the relationship, advantage, or expectancy</w:t>
      </w:r>
      <w:r w:rsidR="006F355C" w:rsidRPr="006F355C">
        <w:t>; (</w:t>
      </w:r>
      <w:r w:rsidRPr="00C50860">
        <w:t>4) legal causation between the act of interference and the impairment of the relationship, advantage, or expectancy</w:t>
      </w:r>
      <w:r w:rsidR="006F355C" w:rsidRPr="006F355C">
        <w:t>; a</w:t>
      </w:r>
      <w:r w:rsidRPr="00C50860">
        <w:t>nd (5) actual damages.</w:t>
      </w:r>
      <w:r w:rsidRPr="00C50860">
        <w:rPr>
          <w:rStyle w:val="FootnoteReference"/>
          <w:position w:val="-1"/>
        </w:rPr>
        <w:footnoteReference w:id="80"/>
      </w:r>
      <w:r w:rsidRPr="00C50860">
        <w:t xml:space="preserve"> Hawaii courts have not “address[ed] whether ‘interference with prospective contractual relations’ is a sub-species of, or otherwise distinct from the tort of ‘interference with prospective business advantage,’ [or] whether their respective elements differ[.]”</w:t>
      </w:r>
      <w:r w:rsidRPr="00C50860">
        <w:rPr>
          <w:rStyle w:val="FootnoteReference"/>
          <w:position w:val="-1"/>
        </w:rPr>
        <w:footnoteReference w:id="81"/>
      </w:r>
      <w:r w:rsidRPr="00C50860">
        <w:t xml:space="preserve"> Each element is examined below.</w:t>
      </w:r>
    </w:p>
    <w:p w14:paraId="35C02CC6" w14:textId="788E2D52" w:rsidR="006F355C" w:rsidRPr="006F355C" w:rsidRDefault="00EC7962" w:rsidP="00A94D82">
      <w:r w:rsidRPr="00C50860">
        <w:t xml:space="preserve">To prove the first element, a plaintiff must show “the existence of a valid business relationship </w:t>
      </w:r>
      <w:r w:rsidRPr="00C50860">
        <w:rPr>
          <w:rFonts w:cs="NewBaskerville-Italic"/>
          <w:i/>
          <w:iCs/>
        </w:rPr>
        <w:t>or</w:t>
      </w:r>
      <w:r w:rsidRPr="00C50860">
        <w:t xml:space="preserve"> a prospective advantage or expectancy sufficiently definite, specific, and capable of acceptance in the sense that there is a reasonable probability of it maturing into a future economic benefit to the plaintiff[.]”</w:t>
      </w:r>
      <w:r w:rsidRPr="00C50860">
        <w:rPr>
          <w:rStyle w:val="FootnoteReference"/>
          <w:position w:val="-1"/>
        </w:rPr>
        <w:footnoteReference w:id="82"/>
      </w:r>
      <w:r w:rsidRPr="00C50860">
        <w:t xml:space="preserve"> That is, “there must be a colorable economic relationship between the plaintiff and a third party with the potential to develop into a full contractual relationship</w:t>
      </w:r>
      <w:r w:rsidR="006F355C" w:rsidRPr="006F355C">
        <w:t>. T</w:t>
      </w:r>
      <w:r w:rsidRPr="00C50860">
        <w:t>he prospective economic relationship need not take the form of an offer but there must be specific facts proving the possibility of future association.”</w:t>
      </w:r>
      <w:r w:rsidRPr="00C50860">
        <w:rPr>
          <w:rStyle w:val="FootnoteReference"/>
          <w:position w:val="-1"/>
        </w:rPr>
        <w:footnoteReference w:id="83"/>
      </w:r>
    </w:p>
    <w:p w14:paraId="212759D5" w14:textId="1B198D27" w:rsidR="006F355C" w:rsidRPr="006F355C" w:rsidRDefault="00EC7962" w:rsidP="00A94D82">
      <w:r w:rsidRPr="00C50860">
        <w:t xml:space="preserve">In </w:t>
      </w:r>
      <w:r w:rsidRPr="00C50860">
        <w:rPr>
          <w:rFonts w:cs="NewBaskerville-Italic"/>
          <w:i/>
          <w:iCs/>
        </w:rPr>
        <w:t>Minton v</w:t>
      </w:r>
      <w:r w:rsidR="006F355C" w:rsidRPr="006F355C">
        <w:rPr>
          <w:rFonts w:cs="NewBaskerville-Italic"/>
          <w:i/>
          <w:iCs/>
        </w:rPr>
        <w:t>. Q</w:t>
      </w:r>
      <w:r w:rsidRPr="00C50860">
        <w:rPr>
          <w:rFonts w:cs="NewBaskerville-Italic"/>
          <w:i/>
          <w:iCs/>
        </w:rPr>
        <w:t>uintal</w:t>
      </w:r>
      <w:r w:rsidRPr="00C50860">
        <w:t>,</w:t>
      </w:r>
      <w:r w:rsidRPr="00C50860">
        <w:rPr>
          <w:rStyle w:val="FootnoteReference"/>
          <w:position w:val="-1"/>
        </w:rPr>
        <w:footnoteReference w:id="84"/>
      </w:r>
      <w:r w:rsidRPr="00C50860">
        <w:t xml:space="preserve"> stagehands filed suit against the city and city officials for banning them from city venues and thereby preventing them from working for show producers who rented city venues</w:t>
      </w:r>
      <w:r w:rsidR="006F355C" w:rsidRPr="006F355C">
        <w:t>. T</w:t>
      </w:r>
      <w:r w:rsidRPr="00C50860">
        <w:t>he Hawaii Supreme Court found that, even though the stagehands were not city employees, they were hired by show producers on a per-show basis and the stagehands were able to show “a colorable economic relationship,” because stagehands customarily worked the same or similar events in the past and had an expectation of working these same events in the future.</w:t>
      </w:r>
      <w:r w:rsidRPr="00C50860">
        <w:rPr>
          <w:rStyle w:val="FootnoteReference"/>
          <w:position w:val="-1"/>
        </w:rPr>
        <w:footnoteReference w:id="85"/>
      </w:r>
    </w:p>
    <w:p w14:paraId="3C3B327E" w14:textId="5CDB7846" w:rsidR="006F355C" w:rsidRPr="006F355C" w:rsidRDefault="00EC7962" w:rsidP="00A94D82">
      <w:r w:rsidRPr="00C50860">
        <w:t>The second element, “knowledge of the relationship, advantage, or expectancy by the defendant,” requires either “actual knowledge” or “knowledge of facts which would lead a reasonable person to believe that such interest exists.”</w:t>
      </w:r>
      <w:r w:rsidRPr="00C50860">
        <w:rPr>
          <w:rStyle w:val="FootnoteReference"/>
          <w:position w:val="-1"/>
        </w:rPr>
        <w:footnoteReference w:id="86"/>
      </w:r>
      <w:r w:rsidRPr="00C50860">
        <w:t xml:space="preserve"> The </w:t>
      </w:r>
      <w:r w:rsidRPr="00C50860">
        <w:rPr>
          <w:rFonts w:cs="NewBaskerville-Italic"/>
          <w:i/>
          <w:iCs/>
        </w:rPr>
        <w:t>Minton</w:t>
      </w:r>
      <w:r w:rsidRPr="00C50860">
        <w:t xml:space="preserve"> court found that stagehands satisfied this second element of “knowledge” because some show producers wrote to city officials and specifically requested the services of stagehands</w:t>
      </w:r>
      <w:r w:rsidR="006F355C" w:rsidRPr="006F355C">
        <w:t>. T</w:t>
      </w:r>
      <w:r w:rsidRPr="00C50860">
        <w:t>he letters were sufficient to establish a colorable claim of a future association and therefore knowledge.</w:t>
      </w:r>
      <w:r w:rsidRPr="00C50860">
        <w:rPr>
          <w:rStyle w:val="FootnoteReference"/>
          <w:position w:val="-1"/>
        </w:rPr>
        <w:footnoteReference w:id="87"/>
      </w:r>
    </w:p>
    <w:p w14:paraId="0BF65AD7" w14:textId="77777777" w:rsidR="006F355C" w:rsidRPr="006F355C" w:rsidRDefault="00EC7962" w:rsidP="00A94D82">
      <w:pPr>
        <w:rPr>
          <w:rStyle w:val="FootnoteReference"/>
          <w:position w:val="-1"/>
          <w:vertAlign w:val="baseline"/>
        </w:rPr>
      </w:pPr>
      <w:r w:rsidRPr="00C50860">
        <w:t>The third element—intent—“denotes purposefully improper interference and requires a state of mind or motive more culpable than mere intent.”</w:t>
      </w:r>
      <w:r w:rsidRPr="00C50860">
        <w:rPr>
          <w:rStyle w:val="FootnoteReference"/>
          <w:position w:val="-1"/>
        </w:rPr>
        <w:footnoteReference w:id="88"/>
      </w:r>
      <w:r w:rsidRPr="00C50860">
        <w:t xml:space="preserve"> In other words, “the plaintiff must prove that the defendant either pursued an improper objective of harming the plaintiff or used wrongful means that caused injury in fact.”</w:t>
      </w:r>
      <w:r w:rsidRPr="00C50860">
        <w:rPr>
          <w:rStyle w:val="FootnoteReference"/>
        </w:rPr>
        <w:footnoteReference w:id="89"/>
      </w:r>
      <w:r w:rsidRPr="00C50860">
        <w:t xml:space="preserve"> In </w:t>
      </w:r>
      <w:r w:rsidRPr="00C50860">
        <w:rPr>
          <w:rFonts w:cs="NewBaskerville-Italic"/>
          <w:i/>
          <w:iCs/>
        </w:rPr>
        <w:t>Minton</w:t>
      </w:r>
      <w:r w:rsidRPr="00C50860">
        <w:t>, the court found the city’s ban of stagehands from city facilities violated their due process rights and, therefore, used wrongful means in banning stagehands from city facilities, causing them to lose employment.</w:t>
      </w:r>
      <w:r w:rsidRPr="00C50860">
        <w:rPr>
          <w:rStyle w:val="FootnoteReference"/>
          <w:position w:val="-1"/>
        </w:rPr>
        <w:footnoteReference w:id="90"/>
      </w:r>
    </w:p>
    <w:p w14:paraId="30D65DA6" w14:textId="77777777" w:rsidR="006F355C" w:rsidRPr="006F355C" w:rsidRDefault="00EC7962" w:rsidP="00A94D82">
      <w:pPr>
        <w:rPr>
          <w:rStyle w:val="FootnoteReference"/>
          <w:position w:val="-1"/>
          <w:vertAlign w:val="baseline"/>
        </w:rPr>
      </w:pPr>
      <w:r w:rsidRPr="00C50860">
        <w:t>“[L]egal causation between the act of interference and the impairment of the relationship, advantage, or expectancy” is the fourth element.</w:t>
      </w:r>
      <w:r w:rsidRPr="00C50860">
        <w:rPr>
          <w:rStyle w:val="FootnoteReference"/>
        </w:rPr>
        <w:footnoteReference w:id="91"/>
      </w:r>
      <w:r w:rsidRPr="00C50860">
        <w:t xml:space="preserve"> The </w:t>
      </w:r>
      <w:r w:rsidRPr="00C50860">
        <w:rPr>
          <w:rFonts w:cs="NewBaskerville-Italic"/>
          <w:i/>
          <w:iCs/>
        </w:rPr>
        <w:t>Minton</w:t>
      </w:r>
      <w:r w:rsidRPr="00C50860">
        <w:t xml:space="preserve"> court found this element was satisfied because “the City’s interference impaired [the stagehands’] economic relationship with the </w:t>
      </w:r>
      <w:proofErr w:type="gramStart"/>
      <w:r w:rsidRPr="00C50860">
        <w:t>third party</w:t>
      </w:r>
      <w:proofErr w:type="gramEnd"/>
      <w:r w:rsidRPr="00C50860">
        <w:t xml:space="preserve"> producers [.]”</w:t>
      </w:r>
      <w:r w:rsidRPr="00C50860">
        <w:rPr>
          <w:rStyle w:val="FootnoteReference"/>
          <w:position w:val="-1"/>
        </w:rPr>
        <w:footnoteReference w:id="92"/>
      </w:r>
    </w:p>
    <w:p w14:paraId="0E0A701A" w14:textId="6844C596" w:rsidR="006F355C" w:rsidRPr="006F355C" w:rsidRDefault="00EC7962" w:rsidP="00A94D82">
      <w:pPr>
        <w:rPr>
          <w:rStyle w:val="FootnoteReference"/>
          <w:position w:val="-1"/>
          <w:vertAlign w:val="baseline"/>
        </w:rPr>
      </w:pPr>
      <w:r w:rsidRPr="00C50860">
        <w:t>“Damages” is the last element</w:t>
      </w:r>
      <w:r w:rsidR="006F355C" w:rsidRPr="006F355C">
        <w:t>; a</w:t>
      </w:r>
      <w:r w:rsidRPr="00C50860">
        <w:t>n employee must also prove that he or she suffered actual damages from the defendant’s interference.</w:t>
      </w:r>
      <w:r w:rsidRPr="00C50860">
        <w:rPr>
          <w:rStyle w:val="FootnoteReference"/>
        </w:rPr>
        <w:footnoteReference w:id="93"/>
      </w:r>
      <w:r w:rsidRPr="00C50860">
        <w:t xml:space="preserve"> It is “of the essence in an action for wrongful interference with contractual relationships that the plaintiff suffer damages as a consequence of the defendant’s conduct, and these damages cannot be speculative or conjectural losses.”</w:t>
      </w:r>
      <w:r w:rsidRPr="00C50860">
        <w:rPr>
          <w:rStyle w:val="FootnoteReference"/>
          <w:position w:val="-1"/>
        </w:rPr>
        <w:footnoteReference w:id="94"/>
      </w:r>
      <w:r w:rsidRPr="00C50860">
        <w:t xml:space="preserve"> Thus, “the defendant’s intentional inducement of the third party to breach the contract must cause actual damages to the plaintiff.”</w:t>
      </w:r>
      <w:r w:rsidRPr="00C50860">
        <w:rPr>
          <w:rStyle w:val="FootnoteReference"/>
          <w:position w:val="-1"/>
        </w:rPr>
        <w:footnoteReference w:id="95"/>
      </w:r>
      <w:r w:rsidRPr="00C50860">
        <w:t xml:space="preserve"> Damages are not to be inferred from the commission of the breach.</w:t>
      </w:r>
      <w:r w:rsidRPr="00C50860">
        <w:rPr>
          <w:rStyle w:val="FootnoteReference"/>
          <w:position w:val="-1"/>
        </w:rPr>
        <w:footnoteReference w:id="96"/>
      </w:r>
      <w:r w:rsidRPr="00C50860">
        <w:t xml:space="preserve"> In </w:t>
      </w:r>
      <w:r w:rsidRPr="00C50860">
        <w:rPr>
          <w:i/>
        </w:rPr>
        <w:t>Minton</w:t>
      </w:r>
      <w:r w:rsidRPr="00C50860">
        <w:t>, the court found that the City’s interference caused actual damages to the stagehands in the form of lost employment and wages.</w:t>
      </w:r>
      <w:r w:rsidRPr="00C50860">
        <w:rPr>
          <w:rStyle w:val="FootnoteReference"/>
        </w:rPr>
        <w:footnoteReference w:id="97"/>
      </w:r>
      <w:r w:rsidRPr="00C50860">
        <w:t xml:space="preserve"> On remand, the Intermediate Court of Appeals ruled that the stagehands were also entitled to recover noneconomic damages (“mental distress, </w:t>
      </w:r>
      <w:proofErr w:type="spellStart"/>
      <w:r w:rsidRPr="00C50860">
        <w:t>injur</w:t>
      </w:r>
      <w:proofErr w:type="spellEnd"/>
      <w:r w:rsidRPr="00C50860">
        <w:t>[y] to reputation or other consequential harm”).</w:t>
      </w:r>
      <w:r w:rsidRPr="00C50860">
        <w:rPr>
          <w:rStyle w:val="FootnoteReference"/>
          <w:position w:val="-1"/>
        </w:rPr>
        <w:footnoteReference w:id="98"/>
      </w:r>
    </w:p>
    <w:p w14:paraId="1B1DE899" w14:textId="77777777" w:rsidR="006F355C" w:rsidRPr="006F355C" w:rsidRDefault="00EC7962" w:rsidP="00A94D82">
      <w:pPr>
        <w:pStyle w:val="Heading2"/>
      </w:pPr>
      <w:r w:rsidRPr="00C50860">
        <w:t>C.</w:t>
      </w:r>
      <w:r w:rsidRPr="00C50860">
        <w:tab/>
        <w:t>Defamation</w:t>
      </w:r>
    </w:p>
    <w:p w14:paraId="72D6F9AF" w14:textId="67AC2EF6" w:rsidR="006F355C" w:rsidRPr="006F355C" w:rsidRDefault="00EC7962" w:rsidP="00A94D82">
      <w:r w:rsidRPr="00C50860">
        <w:t>Defamation is the publication of something injurious to a person’s reputation or good name or anything that tends to bring a person into disrepute</w:t>
      </w:r>
      <w:r w:rsidR="006F355C" w:rsidRPr="006F355C">
        <w:t>. D</w:t>
      </w:r>
      <w:r w:rsidRPr="00C50860">
        <w:t>efamation in writing is libel</w:t>
      </w:r>
      <w:r w:rsidR="006F355C" w:rsidRPr="006F355C">
        <w:t>; d</w:t>
      </w:r>
      <w:r w:rsidRPr="00C50860">
        <w:t>efamation delivered orally is slander.</w:t>
      </w:r>
      <w:r w:rsidRPr="00C50860">
        <w:rPr>
          <w:rStyle w:val="FootnoteReference"/>
          <w:position w:val="-1"/>
        </w:rPr>
        <w:footnoteReference w:id="99"/>
      </w:r>
    </w:p>
    <w:p w14:paraId="12273FF7" w14:textId="354C1348" w:rsidR="006F355C" w:rsidRPr="006F355C" w:rsidRDefault="00EC7962" w:rsidP="00A94D82">
      <w:r w:rsidRPr="00C50860">
        <w:t>To sustain a claim for defamation, the plaintiff employee must prove</w:t>
      </w:r>
      <w:r w:rsidR="006F355C" w:rsidRPr="006F355C">
        <w:t>: (</w:t>
      </w:r>
      <w:r w:rsidRPr="00C50860">
        <w:t>1) a false and defamatory statement</w:t>
      </w:r>
      <w:r w:rsidR="006F355C" w:rsidRPr="006F355C">
        <w:t>; (</w:t>
      </w:r>
      <w:r w:rsidRPr="00C50860">
        <w:t>2) concerning the plaintiff</w:t>
      </w:r>
      <w:r w:rsidR="006F355C" w:rsidRPr="006F355C">
        <w:t>; (</w:t>
      </w:r>
      <w:r w:rsidRPr="00C50860">
        <w:t>3) published (without any privilege) to a third party</w:t>
      </w:r>
      <w:r w:rsidR="006F355C" w:rsidRPr="006F355C">
        <w:t>; (</w:t>
      </w:r>
      <w:r w:rsidRPr="00C50860">
        <w:t>4) with the required degree of fault by the defendant publisher</w:t>
      </w:r>
      <w:r w:rsidR="006F355C" w:rsidRPr="006F355C">
        <w:t>; a</w:t>
      </w:r>
      <w:r w:rsidRPr="00C50860">
        <w:t xml:space="preserve">nd (5) defamatory per se or defamatory per </w:t>
      </w:r>
      <w:proofErr w:type="spellStart"/>
      <w:r w:rsidRPr="00C50860">
        <w:t>quod</w:t>
      </w:r>
      <w:proofErr w:type="spellEnd"/>
      <w:r w:rsidRPr="00C50860">
        <w:t>, causing special harm to the plaintiff.</w:t>
      </w:r>
      <w:r w:rsidRPr="00C50860">
        <w:rPr>
          <w:rStyle w:val="FootnoteReference"/>
          <w:position w:val="-1"/>
        </w:rPr>
        <w:footnoteReference w:id="100"/>
      </w:r>
      <w:r w:rsidRPr="00C50860">
        <w:t xml:space="preserve"> Each element is examined below.</w:t>
      </w:r>
    </w:p>
    <w:p w14:paraId="4363F7AB" w14:textId="7A4E9013" w:rsidR="006F355C" w:rsidRPr="006F355C" w:rsidRDefault="00EC7962" w:rsidP="00A94D82">
      <w:r w:rsidRPr="00C50860">
        <w:t xml:space="preserve">First, according to </w:t>
      </w:r>
      <w:r w:rsidRPr="00C50860">
        <w:rPr>
          <w:rFonts w:cs="NewBaskerville-Italic"/>
          <w:iCs/>
          <w:smallCaps/>
        </w:rPr>
        <w:t>Restatement (Second) of Torts</w:t>
      </w:r>
      <w:r w:rsidRPr="00C50860">
        <w:t xml:space="preserve"> §559, “[a] communication is defamatory if it tends to harm the reputation of another as to lower him in the estimation of the community or to deter third persons from associating or dealing with him.” Thus, as stated by the court in </w:t>
      </w:r>
      <w:r w:rsidRPr="00C50860">
        <w:rPr>
          <w:rFonts w:cs="NewBaskerville-Italic"/>
          <w:i/>
          <w:iCs/>
        </w:rPr>
        <w:t>Gold v</w:t>
      </w:r>
      <w:r w:rsidR="006F355C" w:rsidRPr="006F355C">
        <w:rPr>
          <w:rFonts w:cs="NewBaskerville-Italic"/>
          <w:i/>
          <w:iCs/>
        </w:rPr>
        <w:t>. H</w:t>
      </w:r>
      <w:r w:rsidRPr="00C50860">
        <w:rPr>
          <w:rFonts w:cs="NewBaskerville-Italic"/>
          <w:i/>
          <w:iCs/>
        </w:rPr>
        <w:t xml:space="preserve">arrison, </w:t>
      </w:r>
      <w:r w:rsidRPr="00C50860">
        <w:t>the threshold issue in a defamation claim is whether, as a matter of law, the statements at issue are reasonably susceptible of a defamatory meaning.</w:t>
      </w:r>
      <w:r w:rsidRPr="00C50860">
        <w:rPr>
          <w:rStyle w:val="FootnoteReference"/>
          <w:position w:val="-1"/>
        </w:rPr>
        <w:footnoteReference w:id="101"/>
      </w:r>
      <w:r w:rsidRPr="00C50860">
        <w:t xml:space="preserve"> The alleged defamatory statement must be considered under the totality of the circumstances “in determining whether it would convey to the ordinary listener the defamatory meaning which plaintiffs… seek to place upon it.”</w:t>
      </w:r>
      <w:r w:rsidRPr="00C50860">
        <w:rPr>
          <w:rStyle w:val="FootnoteReference"/>
          <w:position w:val="-1"/>
        </w:rPr>
        <w:footnoteReference w:id="102"/>
      </w:r>
      <w:r w:rsidRPr="00C50860">
        <w:t xml:space="preserve"> “The defamatory imputation may be made by innuendo, by figure of speech, by expressions of belief, by allusion, or by irony or satire.”</w:t>
      </w:r>
      <w:r w:rsidRPr="00C50860">
        <w:rPr>
          <w:rStyle w:val="FootnoteReference"/>
          <w:position w:val="-1"/>
        </w:rPr>
        <w:footnoteReference w:id="103"/>
      </w:r>
      <w:r w:rsidRPr="00C50860">
        <w:t xml:space="preserve"> Indeed, Hawaii courts have long recognized that “[w]</w:t>
      </w:r>
      <w:proofErr w:type="spellStart"/>
      <w:r w:rsidRPr="00C50860">
        <w:t>hether</w:t>
      </w:r>
      <w:proofErr w:type="spellEnd"/>
      <w:r w:rsidRPr="00C50860">
        <w:t xml:space="preserve"> a communication is defamatory depends, among other factors, upon the temper of the times, the current of contemporary public opinion, with the result that words, harmless in one age, in one community, may be highly damaging to reputation at another time or in a different place.”</w:t>
      </w:r>
      <w:r w:rsidRPr="00C50860">
        <w:rPr>
          <w:rStyle w:val="FootnoteReference"/>
          <w:position w:val="-1"/>
        </w:rPr>
        <w:footnoteReference w:id="104"/>
      </w:r>
      <w:r w:rsidRPr="00C50860">
        <w:t xml:space="preserve"> The court in </w:t>
      </w:r>
      <w:r w:rsidRPr="00C50860">
        <w:rPr>
          <w:rFonts w:cs="NewBaskerville-Italic"/>
          <w:i/>
          <w:iCs/>
        </w:rPr>
        <w:t>Gold</w:t>
      </w:r>
      <w:r w:rsidRPr="00C50860">
        <w:t xml:space="preserve"> adopted a three-part test to determine whether a statement is false and defamatory:</w:t>
      </w:r>
    </w:p>
    <w:p w14:paraId="140EAC0A" w14:textId="10F8FE1D" w:rsidR="006F355C" w:rsidRPr="006F355C" w:rsidRDefault="00EC7962" w:rsidP="00A94D82">
      <w:pPr>
        <w:pStyle w:val="BlockQuote"/>
        <w:rPr>
          <w:u w:val="thick" w:color="000000"/>
        </w:rPr>
      </w:pPr>
      <w:r w:rsidRPr="00C50860">
        <w:t>(1) whether the general tenor of the entire work negates the impression that the defendant was asserting an objective fact</w:t>
      </w:r>
      <w:r w:rsidR="006F355C" w:rsidRPr="006F355C">
        <w:t>; (</w:t>
      </w:r>
      <w:r w:rsidRPr="00C50860">
        <w:t>2) whether the defendant used figurative or hyperbolic language that negates that impression</w:t>
      </w:r>
      <w:r w:rsidR="006F355C" w:rsidRPr="006F355C">
        <w:t>; a</w:t>
      </w:r>
      <w:r w:rsidRPr="00C50860">
        <w:t xml:space="preserve">nd (3) whether the statement in question is susceptible </w:t>
      </w:r>
      <w:proofErr w:type="gramStart"/>
      <w:r w:rsidRPr="00C50860">
        <w:t>of</w:t>
      </w:r>
      <w:proofErr w:type="gramEnd"/>
      <w:r w:rsidRPr="00C50860">
        <w:t xml:space="preserve"> being proved true or false.</w:t>
      </w:r>
      <w:r w:rsidRPr="00C50860">
        <w:rPr>
          <w:rStyle w:val="FootnoteReference"/>
          <w:position w:val="-1"/>
        </w:rPr>
        <w:footnoteReference w:id="105"/>
      </w:r>
    </w:p>
    <w:p w14:paraId="445AF08D" w14:textId="6FABEC0C" w:rsidR="006F355C" w:rsidRPr="006F355C" w:rsidRDefault="00EC7962" w:rsidP="00A94D82">
      <w:pPr>
        <w:rPr>
          <w:rFonts w:eastAsia="Cambria"/>
        </w:rPr>
      </w:pPr>
      <w:r w:rsidRPr="00C50860">
        <w:rPr>
          <w:rFonts w:eastAsia="Cambria"/>
        </w:rPr>
        <w:t xml:space="preserve">In </w:t>
      </w:r>
      <w:r w:rsidRPr="00C50860">
        <w:rPr>
          <w:rFonts w:eastAsia="Cambria" w:cs="NewBaskerville-Italic"/>
          <w:i/>
          <w:iCs/>
        </w:rPr>
        <w:t>Tavares v</w:t>
      </w:r>
      <w:r w:rsidR="006F355C" w:rsidRPr="006F355C">
        <w:rPr>
          <w:rFonts w:eastAsia="Cambria" w:cs="NewBaskerville-Italic"/>
          <w:i/>
          <w:iCs/>
        </w:rPr>
        <w:t>. U</w:t>
      </w:r>
      <w:r w:rsidRPr="00C50860">
        <w:rPr>
          <w:rFonts w:eastAsia="Cambria" w:cs="NewBaskerville-Italic"/>
          <w:i/>
          <w:iCs/>
        </w:rPr>
        <w:t>niversity of Hawaii</w:t>
      </w:r>
      <w:r w:rsidRPr="00C50860">
        <w:rPr>
          <w:rFonts w:eastAsia="Cambria"/>
        </w:rPr>
        <w:t>, the Intermediate Hawaii Court of Appeals affirmed the trial court’s award of summary judgment in favor of the defendant university in an unpublished opinion.</w:t>
      </w:r>
      <w:r w:rsidRPr="00C50860">
        <w:rPr>
          <w:rFonts w:eastAsia="Cambria" w:cs="TimesNewRomanPSMT"/>
          <w:position w:val="-1"/>
          <w:vertAlign w:val="superscript"/>
        </w:rPr>
        <w:footnoteReference w:id="106"/>
      </w:r>
      <w:r w:rsidRPr="00C50860">
        <w:rPr>
          <w:rFonts w:eastAsia="Cambria"/>
        </w:rPr>
        <w:t xml:space="preserve"> The plaintiff, a professor, asserted a claim for defamation based on a petition written by other professors and submitted to the university</w:t>
      </w:r>
      <w:r w:rsidR="006F355C" w:rsidRPr="006F355C">
        <w:rPr>
          <w:rFonts w:eastAsia="Cambria"/>
        </w:rPr>
        <w:t>. T</w:t>
      </w:r>
      <w:r w:rsidRPr="00C50860">
        <w:rPr>
          <w:rFonts w:eastAsia="Cambria"/>
        </w:rPr>
        <w:t>he petition stated, “We the undersigned full-time faculty members of the Business Education and Technology Division request that, regardless of the outcome of the current investigation, it is in the best interest of all parties involved that Ms</w:t>
      </w:r>
      <w:r w:rsidR="006F355C" w:rsidRPr="006F355C">
        <w:rPr>
          <w:rFonts w:eastAsia="Cambria"/>
        </w:rPr>
        <w:t>. S</w:t>
      </w:r>
      <w:r w:rsidRPr="00C50860">
        <w:rPr>
          <w:rFonts w:eastAsia="Cambria"/>
        </w:rPr>
        <w:t>tella Tavares NOT be reassigned to BEAT.”</w:t>
      </w:r>
      <w:r w:rsidRPr="00C50860">
        <w:rPr>
          <w:rFonts w:eastAsia="Cambria" w:cs="TimesNewRomanPSMT"/>
          <w:position w:val="-1"/>
          <w:vertAlign w:val="superscript"/>
        </w:rPr>
        <w:footnoteReference w:id="107"/>
      </w:r>
      <w:r w:rsidRPr="00C50860">
        <w:rPr>
          <w:rFonts w:eastAsia="Cambria"/>
        </w:rPr>
        <w:t xml:space="preserve"> The appeals court reasoned</w:t>
      </w:r>
      <w:r w:rsidR="006F355C" w:rsidRPr="006F355C">
        <w:rPr>
          <w:rFonts w:eastAsia="Cambria"/>
        </w:rPr>
        <w:t>: “</w:t>
      </w:r>
      <w:r w:rsidRPr="00C50860">
        <w:rPr>
          <w:rFonts w:eastAsia="Cambria"/>
        </w:rPr>
        <w:t>[T]his statement is not a false and defamatory statement on the basis that it neither asserts any objective fact, nor can be proven true or false.”</w:t>
      </w:r>
      <w:r w:rsidRPr="00C50860">
        <w:rPr>
          <w:rFonts w:eastAsia="Cambria" w:cs="TimesNewRomanPSMT"/>
          <w:position w:val="-1"/>
          <w:vertAlign w:val="superscript"/>
        </w:rPr>
        <w:footnoteReference w:id="108"/>
      </w:r>
    </w:p>
    <w:p w14:paraId="4BAEF868" w14:textId="138FC57D" w:rsidR="006F355C" w:rsidRPr="006F355C" w:rsidRDefault="00EC7962" w:rsidP="00A94D82">
      <w:pPr>
        <w:tabs>
          <w:tab w:val="left" w:pos="880"/>
        </w:tabs>
        <w:rPr>
          <w:rFonts w:eastAsia="Cambria"/>
          <w:shd w:val="clear" w:color="auto" w:fill="FFFFFF"/>
        </w:rPr>
      </w:pPr>
      <w:r w:rsidRPr="00C50860">
        <w:rPr>
          <w:rFonts w:eastAsia="Cambria"/>
          <w:shd w:val="clear" w:color="auto" w:fill="FFFFFF"/>
        </w:rPr>
        <w:t xml:space="preserve">In </w:t>
      </w:r>
      <w:r w:rsidRPr="00C50860">
        <w:rPr>
          <w:rFonts w:eastAsia="Cambria"/>
          <w:i/>
          <w:shd w:val="clear" w:color="auto" w:fill="FFFFFF"/>
        </w:rPr>
        <w:t>Nakamoto v</w:t>
      </w:r>
      <w:r w:rsidR="006F355C" w:rsidRPr="006F355C">
        <w:rPr>
          <w:rFonts w:eastAsia="Cambria"/>
          <w:i/>
          <w:shd w:val="clear" w:color="auto" w:fill="FFFFFF"/>
        </w:rPr>
        <w:t>. K</w:t>
      </w:r>
      <w:r w:rsidRPr="00C50860">
        <w:rPr>
          <w:rFonts w:eastAsia="Cambria"/>
          <w:i/>
          <w:shd w:val="clear" w:color="auto" w:fill="FFFFFF"/>
        </w:rPr>
        <w:t xml:space="preserve">awauchi, </w:t>
      </w:r>
      <w:r w:rsidRPr="00C50860">
        <w:rPr>
          <w:rFonts w:eastAsia="Cambria"/>
          <w:shd w:val="clear" w:color="auto" w:fill="FFFFFF"/>
        </w:rPr>
        <w:t xml:space="preserve">the Supreme Court of Hawaii held that the </w:t>
      </w:r>
      <w:proofErr w:type="gramStart"/>
      <w:r w:rsidRPr="00C50860">
        <w:rPr>
          <w:rFonts w:eastAsia="Cambria"/>
          <w:shd w:val="clear" w:color="auto" w:fill="FFFFFF"/>
        </w:rPr>
        <w:t>exclusivity</w:t>
      </w:r>
      <w:proofErr w:type="gramEnd"/>
      <w:r w:rsidRPr="00C50860">
        <w:rPr>
          <w:rFonts w:eastAsia="Cambria"/>
          <w:shd w:val="clear" w:color="auto" w:fill="FFFFFF"/>
        </w:rPr>
        <w:t xml:space="preserve"> remedy of workers compensation does not bar claims for reputational harm from employees who have been terminated after an investigation into alleged employee misconduct.</w:t>
      </w:r>
      <w:r w:rsidRPr="00C50860">
        <w:rPr>
          <w:rFonts w:eastAsia="Cambria"/>
          <w:shd w:val="clear" w:color="auto" w:fill="FFFFFF"/>
          <w:vertAlign w:val="superscript"/>
        </w:rPr>
        <w:footnoteReference w:id="109"/>
      </w:r>
    </w:p>
    <w:p w14:paraId="507EBBB2" w14:textId="729A9B13" w:rsidR="006F355C" w:rsidRPr="006F355C" w:rsidRDefault="00EC7962" w:rsidP="00A94D82">
      <w:pPr>
        <w:tabs>
          <w:tab w:val="left" w:pos="880"/>
        </w:tabs>
      </w:pPr>
      <w:r w:rsidRPr="00C50860">
        <w:t>Second, the defamatory statement must be “of and concerning” the plaintiff or referred to the plaintiff by reasonable implication</w:t>
      </w:r>
      <w:r w:rsidR="006F355C" w:rsidRPr="006F355C">
        <w:t>. S</w:t>
      </w:r>
      <w:r w:rsidRPr="00C50860">
        <w:t xml:space="preserve">ometimes it is difficult to prove that a defamatory statement is about the plaintiff because the statement does not mention </w:t>
      </w:r>
      <w:proofErr w:type="gramStart"/>
      <w:r w:rsidRPr="00C50860">
        <w:t>to whom it refers</w:t>
      </w:r>
      <w:proofErr w:type="gramEnd"/>
      <w:r w:rsidR="006F355C" w:rsidRPr="006F355C">
        <w:t>. W</w:t>
      </w:r>
      <w:r w:rsidRPr="00C50860">
        <w:t>here it is not clear to whom the statement refers, the plaintiff must prove additional facts to show that the statement referred to the plaintiff.</w:t>
      </w:r>
      <w:r w:rsidRPr="00C50860">
        <w:rPr>
          <w:rStyle w:val="FootnoteReference"/>
          <w:position w:val="-1"/>
        </w:rPr>
        <w:footnoteReference w:id="110"/>
      </w:r>
    </w:p>
    <w:p w14:paraId="2D7165D5" w14:textId="19DA3691" w:rsidR="006F355C" w:rsidRPr="006F355C" w:rsidRDefault="00EC7962" w:rsidP="00A94D82">
      <w:pPr>
        <w:tabs>
          <w:tab w:val="left" w:pos="880"/>
        </w:tabs>
      </w:pPr>
      <w:r w:rsidRPr="00C50860">
        <w:t>Third, the defamatory statement must be published, without any privilege,</w:t>
      </w:r>
      <w:r w:rsidRPr="00C50860">
        <w:rPr>
          <w:rStyle w:val="FootnoteReference"/>
          <w:position w:val="-1"/>
        </w:rPr>
        <w:footnoteReference w:id="111"/>
      </w:r>
      <w:r w:rsidRPr="00C50860">
        <w:t xml:space="preserve"> to a third party, as stated in </w:t>
      </w:r>
      <w:r w:rsidRPr="00C50860">
        <w:rPr>
          <w:rFonts w:cs="NewBaskerville-Italic"/>
          <w:i/>
          <w:iCs/>
        </w:rPr>
        <w:t>Runnels v</w:t>
      </w:r>
      <w:r w:rsidR="006F355C" w:rsidRPr="006F355C">
        <w:rPr>
          <w:rFonts w:cs="NewBaskerville-Italic"/>
          <w:i/>
          <w:iCs/>
        </w:rPr>
        <w:t>. O</w:t>
      </w:r>
      <w:r w:rsidRPr="00C50860">
        <w:rPr>
          <w:rFonts w:cs="NewBaskerville-Italic"/>
          <w:i/>
          <w:iCs/>
        </w:rPr>
        <w:t>kamoto</w:t>
      </w:r>
      <w:r w:rsidRPr="00C50860">
        <w:t>:</w:t>
      </w:r>
    </w:p>
    <w:p w14:paraId="178D071F" w14:textId="77777777" w:rsidR="006F355C" w:rsidRPr="006F355C" w:rsidRDefault="00EC7962" w:rsidP="00A94D82">
      <w:pPr>
        <w:pStyle w:val="BlockQuote"/>
      </w:pPr>
      <w:r w:rsidRPr="00C50860">
        <w:t>The interest which is here protected is of that reputation, and for tort liability to lie for either slander or libel the defamation must be communicated to some third party other than the person defamed.</w:t>
      </w:r>
      <w:r w:rsidRPr="00C50860">
        <w:rPr>
          <w:rStyle w:val="FootnoteReference"/>
          <w:position w:val="-1"/>
        </w:rPr>
        <w:footnoteReference w:id="112"/>
      </w:r>
    </w:p>
    <w:p w14:paraId="10796B58" w14:textId="77777777" w:rsidR="006F355C" w:rsidRPr="006F355C" w:rsidRDefault="00EC7962" w:rsidP="00A94D82">
      <w:pPr>
        <w:pStyle w:val="Normal-NoIndent"/>
        <w:tabs>
          <w:tab w:val="left" w:pos="880"/>
        </w:tabs>
      </w:pPr>
      <w:r w:rsidRPr="00C50860">
        <w:t>Hawaii courts, however, do not recognize self-publication as constituting publication for defamation purposes, even when the publication is compelled in the employment setting.</w:t>
      </w:r>
      <w:r w:rsidRPr="00C50860">
        <w:rPr>
          <w:rStyle w:val="FootnoteReference"/>
          <w:position w:val="-1"/>
        </w:rPr>
        <w:footnoteReference w:id="113"/>
      </w:r>
      <w:r w:rsidRPr="00C50860">
        <w:t xml:space="preserve"> In rejecting the theory of compelled self-publication, the </w:t>
      </w:r>
      <w:r w:rsidRPr="00C50860">
        <w:rPr>
          <w:rFonts w:cs="NewBaskerville-Italic"/>
          <w:i/>
          <w:iCs/>
        </w:rPr>
        <w:t>Gonsalves</w:t>
      </w:r>
      <w:r w:rsidRPr="00C50860">
        <w:t xml:space="preserve"> court observed:</w:t>
      </w:r>
    </w:p>
    <w:p w14:paraId="7E225577" w14:textId="1D376A8D" w:rsidR="006F355C" w:rsidRPr="006F355C" w:rsidRDefault="00EC7962" w:rsidP="00A94D82">
      <w:pPr>
        <w:pStyle w:val="BlockQuote"/>
      </w:pPr>
      <w:r w:rsidRPr="00C50860">
        <w:t>[T]he Hawai’i legislature has likewise prescribed that an “employer that provides to a prospective employer information or opinion about a current or former employee’s job performance is presumed to be acting in good faith and shall have a qualified immunity from civil liability for disclosing the information and for the consequences of the disclosure.” HRS §663-1.95(a) (Supp</w:t>
      </w:r>
      <w:r w:rsidR="006F355C" w:rsidRPr="006F355C">
        <w:t>. 1</w:t>
      </w:r>
      <w:r w:rsidRPr="00C50860">
        <w:t>998).</w:t>
      </w:r>
      <w:r w:rsidRPr="00C50860">
        <w:rPr>
          <w:rStyle w:val="FootnoteReference"/>
          <w:position w:val="-1"/>
        </w:rPr>
        <w:footnoteReference w:id="114"/>
      </w:r>
    </w:p>
    <w:p w14:paraId="1DC81146" w14:textId="4C7F58F8" w:rsidR="006F355C" w:rsidRPr="006F355C" w:rsidRDefault="00EC7962" w:rsidP="00A94D82">
      <w:pPr>
        <w:tabs>
          <w:tab w:val="left" w:pos="440"/>
        </w:tabs>
      </w:pPr>
      <w:r w:rsidRPr="00C50860">
        <w:t xml:space="preserve">Fourth, the plaintiff must prove some degree of fault </w:t>
      </w:r>
      <w:proofErr w:type="gramStart"/>
      <w:r w:rsidRPr="00C50860">
        <w:t>by</w:t>
      </w:r>
      <w:proofErr w:type="gramEnd"/>
      <w:r w:rsidRPr="00C50860">
        <w:t xml:space="preserve"> the defendant</w:t>
      </w:r>
      <w:r w:rsidR="006F355C" w:rsidRPr="006F355C">
        <w:t>. T</w:t>
      </w:r>
      <w:r w:rsidRPr="00C50860">
        <w:t>he degree of fault depends upon the type of plaintiff, but in no event can it be less than negligence</w:t>
      </w:r>
      <w:r w:rsidR="006F355C" w:rsidRPr="006F355C">
        <w:t>. P</w:t>
      </w:r>
      <w:r w:rsidRPr="00C50860">
        <w:t>ublic figures are entitled to a higher standard of fault</w:t>
      </w:r>
      <w:r w:rsidR="006F355C" w:rsidRPr="006F355C">
        <w:t>. “</w:t>
      </w:r>
      <w:r w:rsidRPr="00C50860">
        <w:t>A public figure defamation plaintiff must prove with clear and convincing proof that the defendant acted with actual malice.”</w:t>
      </w:r>
      <w:r w:rsidRPr="00C50860">
        <w:rPr>
          <w:rStyle w:val="FootnoteReference"/>
          <w:position w:val="-1"/>
        </w:rPr>
        <w:footnoteReference w:id="115"/>
      </w:r>
      <w:r w:rsidRPr="00C50860">
        <w:t xml:space="preserve"> Hawaii courts have defined “actual malice” as “deliberate falsification of facts or reckless disregard of the truth, i.e., reckless publication despite a high degree of awareness, harbored by the publisher, of the probable falsity of the published statements.”</w:t>
      </w:r>
      <w:r w:rsidRPr="00C50860">
        <w:rPr>
          <w:rStyle w:val="FootnoteReference"/>
          <w:position w:val="-1"/>
        </w:rPr>
        <w:footnoteReference w:id="116"/>
      </w:r>
      <w:r w:rsidRPr="00C50860">
        <w:t xml:space="preserve"> Because the public figure has voluntarily thrust himself or herself into the public light, that public figure must prove that the defamatory statement was made maliciously with the intent to harm him or her</w:t>
      </w:r>
      <w:r w:rsidR="006F355C" w:rsidRPr="006F355C">
        <w:t>. H</w:t>
      </w:r>
      <w:r w:rsidRPr="00C50860">
        <w:t>owever, if the plaintiff is a private person, the plaintiff must merely prove negligence.</w:t>
      </w:r>
      <w:r w:rsidRPr="00C50860">
        <w:rPr>
          <w:rStyle w:val="FootnoteReference"/>
          <w:position w:val="-1"/>
        </w:rPr>
        <w:footnoteReference w:id="117"/>
      </w:r>
    </w:p>
    <w:p w14:paraId="5CA6946E" w14:textId="75844D8E" w:rsidR="006F355C" w:rsidRPr="006F355C" w:rsidRDefault="00EC7962" w:rsidP="00A94D82">
      <w:pPr>
        <w:tabs>
          <w:tab w:val="left" w:pos="440"/>
        </w:tabs>
      </w:pPr>
      <w:r w:rsidRPr="00C50860">
        <w:t>Nonetheless, truth and privilege are defenses to a defamation claim</w:t>
      </w:r>
      <w:r w:rsidR="006F355C" w:rsidRPr="006F355C">
        <w:t>. T</w:t>
      </w:r>
      <w:r w:rsidRPr="00C50860">
        <w:t>ruth is a complete defense to a defamation action.</w:t>
      </w:r>
      <w:r w:rsidRPr="00C50860">
        <w:rPr>
          <w:rStyle w:val="FootnoteReference"/>
          <w:position w:val="-1"/>
        </w:rPr>
        <w:footnoteReference w:id="118"/>
      </w:r>
      <w:r w:rsidRPr="00C50860">
        <w:t xml:space="preserve"> “A defendant asserting truth as a defense in a libel action is not required to justify every word of the alleged defamatory matter</w:t>
      </w:r>
      <w:r w:rsidR="006F355C" w:rsidRPr="006F355C">
        <w:t>; i</w:t>
      </w:r>
      <w:r w:rsidRPr="00C50860">
        <w:t>t is sufficient if the substance, the gist, the sting, of the matter is true.”</w:t>
      </w:r>
      <w:r w:rsidRPr="00C50860">
        <w:rPr>
          <w:rStyle w:val="FootnoteReference"/>
          <w:position w:val="-1"/>
        </w:rPr>
        <w:footnoteReference w:id="119"/>
      </w:r>
    </w:p>
    <w:p w14:paraId="779A3EED" w14:textId="3CAD8B56" w:rsidR="006F355C" w:rsidRPr="006F355C" w:rsidRDefault="00EC7962" w:rsidP="00A94D82">
      <w:pPr>
        <w:tabs>
          <w:tab w:val="left" w:pos="440"/>
        </w:tabs>
      </w:pPr>
      <w:proofErr w:type="gramStart"/>
      <w:r w:rsidRPr="00C50860">
        <w:t>A defamatory</w:t>
      </w:r>
      <w:proofErr w:type="gramEnd"/>
      <w:r w:rsidRPr="00C50860">
        <w:t xml:space="preserve"> communication is privileged if it is published to a person who has a legitimate interest in knowing the substance of the defamatory statement</w:t>
      </w:r>
      <w:r w:rsidR="006F355C" w:rsidRPr="006F355C">
        <w:t>. P</w:t>
      </w:r>
      <w:r w:rsidRPr="00C50860">
        <w:t>rivilege may be either absolute or conditional, depending on the context in which the statement is made.</w:t>
      </w:r>
      <w:r w:rsidRPr="00C50860">
        <w:rPr>
          <w:rStyle w:val="FootnoteReference"/>
          <w:position w:val="-1"/>
        </w:rPr>
        <w:footnoteReference w:id="120"/>
      </w:r>
      <w:r w:rsidRPr="00C50860">
        <w:t xml:space="preserve"> A qualified privilege “arises when the author of the defamatory statement reasonably acts in the discharge of some public or private duty, legal, moral, or social, and where the publication concerns subject matter in which the author has an interest and the recipients of the publication a corresponding interest or duty.”</w:t>
      </w:r>
      <w:r w:rsidRPr="00C50860">
        <w:rPr>
          <w:rStyle w:val="FootnoteReference"/>
          <w:position w:val="-1"/>
        </w:rPr>
        <w:footnoteReference w:id="121"/>
      </w:r>
      <w:r w:rsidRPr="00C50860">
        <w:t xml:space="preserve"> In claiming such privilege, it is essential that the author of the defamatory matter and the recipients have a common interest and the communication is of a type reasonably deemed to protect or further that interest.</w:t>
      </w:r>
      <w:r w:rsidRPr="00C50860">
        <w:rPr>
          <w:rStyle w:val="FootnoteReference"/>
          <w:position w:val="-1"/>
        </w:rPr>
        <w:footnoteReference w:id="122"/>
      </w:r>
      <w:r w:rsidRPr="00C50860">
        <w:t xml:space="preserve"> “The qualified privilege is conditional and is lost if it is abused</w:t>
      </w:r>
      <w:r w:rsidR="006F355C" w:rsidRPr="006F355C">
        <w:t>. W</w:t>
      </w:r>
      <w:r w:rsidRPr="00C50860">
        <w:t>hether the qualified privilege was abused, however, is for the trier of fact to determine.”</w:t>
      </w:r>
      <w:r w:rsidRPr="00C50860">
        <w:rPr>
          <w:rStyle w:val="FootnoteReference"/>
          <w:position w:val="-1"/>
        </w:rPr>
        <w:footnoteReference w:id="123"/>
      </w:r>
    </w:p>
    <w:p w14:paraId="15588915" w14:textId="77777777" w:rsidR="006F355C" w:rsidRPr="006F355C" w:rsidRDefault="00EC7962" w:rsidP="00A94D82">
      <w:pPr>
        <w:pStyle w:val="Heading2"/>
      </w:pPr>
      <w:r w:rsidRPr="00C50860">
        <w:t>D.</w:t>
      </w:r>
      <w:r w:rsidRPr="00C50860">
        <w:tab/>
        <w:t>Intentional Infliction of Emotional Distress</w:t>
      </w:r>
    </w:p>
    <w:p w14:paraId="5C1F1947" w14:textId="5DF40BD6" w:rsidR="006F355C" w:rsidRPr="006F355C" w:rsidRDefault="00EC7962" w:rsidP="00A94D82">
      <w:pPr>
        <w:tabs>
          <w:tab w:val="left" w:pos="880"/>
        </w:tabs>
      </w:pPr>
      <w:r w:rsidRPr="00C50860">
        <w:t>In Hawaii, a plaintiff may state a claim for infliction of emotional distress as an independent stand-alone cause of action or as an element of damages in tort claims</w:t>
      </w:r>
      <w:r w:rsidR="006F355C" w:rsidRPr="006F355C">
        <w:t>. H</w:t>
      </w:r>
      <w:r w:rsidRPr="00C50860">
        <w:t>owever, in the employment context there still must be some underlying intentional or negligent action undertaken by the defendant-employer to assert a claim for the intentional infliction of emotional distress (IIED).</w:t>
      </w:r>
      <w:r w:rsidRPr="00C50860">
        <w:rPr>
          <w:rStyle w:val="FootnoteReference"/>
          <w:position w:val="-1"/>
        </w:rPr>
        <w:footnoteReference w:id="124"/>
      </w:r>
    </w:p>
    <w:p w14:paraId="0FB0FB53" w14:textId="77777777" w:rsidR="006F355C" w:rsidRPr="006F355C" w:rsidRDefault="00EC7962" w:rsidP="00A94D82">
      <w:pPr>
        <w:tabs>
          <w:tab w:val="left" w:pos="880"/>
        </w:tabs>
      </w:pPr>
      <w:r w:rsidRPr="00C50860">
        <w:t>The elements for an IIED claim are:</w:t>
      </w:r>
    </w:p>
    <w:p w14:paraId="54AF6015" w14:textId="77777777" w:rsidR="006F355C" w:rsidRPr="006F355C" w:rsidRDefault="00EC7962" w:rsidP="00A94D82">
      <w:pPr>
        <w:pStyle w:val="BlockQuote"/>
      </w:pPr>
      <w:r w:rsidRPr="00C50860">
        <w:t>1) that the act allegedly causing the harm was intentional or reckless, 2) that the act was outrageous, and 3) that the act caused 4) extreme emotional distress to another.</w:t>
      </w:r>
      <w:r w:rsidRPr="00C50860">
        <w:rPr>
          <w:rStyle w:val="FootnoteReference"/>
          <w:position w:val="-1"/>
        </w:rPr>
        <w:footnoteReference w:id="125"/>
      </w:r>
    </w:p>
    <w:p w14:paraId="65503AFD" w14:textId="3EAD8302" w:rsidR="006F355C" w:rsidRPr="006F355C" w:rsidRDefault="00EC7962" w:rsidP="00DE5A2E">
      <w:pPr>
        <w:tabs>
          <w:tab w:val="left" w:pos="440"/>
        </w:tabs>
      </w:pPr>
      <w:r w:rsidRPr="00C50860">
        <w:t>Generally, mere termination will not support a claim for either the negligent or intentional infliction of emotional distress</w:t>
      </w:r>
      <w:r w:rsidR="006F355C" w:rsidRPr="006F355C">
        <w:t>. I</w:t>
      </w:r>
      <w:r w:rsidRPr="00C50860">
        <w:t xml:space="preserve">n </w:t>
      </w:r>
      <w:r w:rsidRPr="00C50860">
        <w:rPr>
          <w:rFonts w:cs="NewBaskerville-Italic"/>
          <w:i/>
          <w:iCs/>
        </w:rPr>
        <w:t>Ross v</w:t>
      </w:r>
      <w:r w:rsidR="006F355C" w:rsidRPr="006F355C">
        <w:rPr>
          <w:rFonts w:cs="NewBaskerville-Italic"/>
          <w:i/>
          <w:iCs/>
        </w:rPr>
        <w:t>. S</w:t>
      </w:r>
      <w:r w:rsidRPr="00C50860">
        <w:rPr>
          <w:rFonts w:cs="NewBaskerville-Italic"/>
          <w:i/>
          <w:iCs/>
        </w:rPr>
        <w:t>touffer Hotel Co</w:t>
      </w:r>
      <w:r w:rsidR="006F355C" w:rsidRPr="006F355C">
        <w:rPr>
          <w:rFonts w:cs="NewBaskerville-Italic"/>
          <w:i/>
          <w:iCs/>
        </w:rPr>
        <w:t>. (</w:t>
      </w:r>
      <w:r w:rsidRPr="00C50860">
        <w:rPr>
          <w:rFonts w:cs="NewBaskerville-Italic"/>
          <w:i/>
          <w:iCs/>
        </w:rPr>
        <w:t>Hawai’i) Ltd</w:t>
      </w:r>
      <w:r w:rsidRPr="00C50860">
        <w:t xml:space="preserve">., </w:t>
      </w:r>
      <w:r w:rsidRPr="00C50860">
        <w:rPr>
          <w:i/>
          <w:iCs/>
        </w:rPr>
        <w:t>Inc.,</w:t>
      </w:r>
      <w:r w:rsidRPr="00C50860">
        <w:t xml:space="preserve"> the court granted summary judgment in favor of the employer, because the plaintiff could not show that either the manner of the termination or the motivation of the termination was unreasonable.</w:t>
      </w:r>
      <w:r w:rsidRPr="00C50860">
        <w:rPr>
          <w:rStyle w:val="FootnoteReference"/>
          <w:position w:val="-1"/>
        </w:rPr>
        <w:footnoteReference w:id="126"/>
      </w:r>
    </w:p>
    <w:p w14:paraId="2D20F89C" w14:textId="5C9ED91F" w:rsidR="006F355C" w:rsidRPr="006F355C" w:rsidRDefault="00EC7962" w:rsidP="00A94D82">
      <w:pPr>
        <w:tabs>
          <w:tab w:val="left" w:pos="440"/>
        </w:tabs>
      </w:pPr>
      <w:r w:rsidRPr="00C50860">
        <w:t xml:space="preserve">Employers often turn to the </w:t>
      </w:r>
      <w:proofErr w:type="gramStart"/>
      <w:r w:rsidRPr="00C50860">
        <w:t>workers</w:t>
      </w:r>
      <w:proofErr w:type="gramEnd"/>
      <w:r w:rsidRPr="00C50860">
        <w:t xml:space="preserve"> compensation’s exclusivity rule as a defense </w:t>
      </w:r>
      <w:proofErr w:type="gramStart"/>
      <w:r w:rsidRPr="00C50860">
        <w:t>to</w:t>
      </w:r>
      <w:proofErr w:type="gramEnd"/>
      <w:r w:rsidRPr="00C50860">
        <w:t xml:space="preserve"> IIED claims</w:t>
      </w:r>
      <w:r w:rsidR="006F355C" w:rsidRPr="006F355C">
        <w:t>. H</w:t>
      </w:r>
      <w:r w:rsidRPr="00C50860">
        <w:t>awaii law provides that workers’ compensation is the exclusive remedy for claims arising out of or related to employment</w:t>
      </w:r>
      <w:r w:rsidR="006F355C" w:rsidRPr="006F355C">
        <w:t xml:space="preserve">. </w:t>
      </w:r>
      <w:r w:rsidR="006F355C" w:rsidRPr="006F355C">
        <w:rPr>
          <w:smallCaps/>
        </w:rPr>
        <w:t>H</w:t>
      </w:r>
      <w:r w:rsidRPr="00C50860">
        <w:rPr>
          <w:smallCaps/>
        </w:rPr>
        <w:t>awaii Revised Statutes</w:t>
      </w:r>
      <w:r w:rsidRPr="00C50860">
        <w:t xml:space="preserve"> §386-5 states, in relevant part</w:t>
      </w:r>
      <w:r w:rsidR="006F355C" w:rsidRPr="006F355C">
        <w:t>: “</w:t>
      </w:r>
      <w:r w:rsidRPr="00C50860">
        <w:t>The rights and remedies herein granted to an employee … shall exclude all other liability of the employer … except for sexual harassment or sexual assault and infliction of emotional distress or invasion of privacy related thereto, in which case a civil action may also be brought.”</w:t>
      </w:r>
    </w:p>
    <w:p w14:paraId="41125A43" w14:textId="6088D0E3" w:rsidR="006F355C" w:rsidRPr="006F355C" w:rsidRDefault="00EC7962" w:rsidP="00A94D82">
      <w:pPr>
        <w:tabs>
          <w:tab w:val="left" w:pos="440"/>
        </w:tabs>
      </w:pPr>
      <w:r w:rsidRPr="00C50860">
        <w:t xml:space="preserve">In </w:t>
      </w:r>
      <w:r w:rsidRPr="00C50860">
        <w:rPr>
          <w:rFonts w:cs="NewBaskerville-Italic"/>
          <w:i/>
          <w:iCs/>
        </w:rPr>
        <w:t>Yang v</w:t>
      </w:r>
      <w:r w:rsidR="006F355C" w:rsidRPr="006F355C">
        <w:rPr>
          <w:rFonts w:cs="NewBaskerville-Italic"/>
          <w:i/>
          <w:iCs/>
        </w:rPr>
        <w:t>. A</w:t>
      </w:r>
      <w:r w:rsidRPr="00C50860">
        <w:rPr>
          <w:rFonts w:cs="NewBaskerville-Italic"/>
          <w:i/>
          <w:iCs/>
        </w:rPr>
        <w:t>bercrombie &amp; Fitch Stores</w:t>
      </w:r>
      <w:r w:rsidRPr="00C50860">
        <w:t>,</w:t>
      </w:r>
      <w:r w:rsidRPr="00C50860">
        <w:rPr>
          <w:rStyle w:val="FootnoteReference"/>
          <w:position w:val="-1"/>
        </w:rPr>
        <w:footnoteReference w:id="127"/>
      </w:r>
      <w:r w:rsidRPr="00C50860">
        <w:t xml:space="preserve"> the Intermediate Court of Appeals held that the plaintiff’s employment tort claims, including the IIED claim, were barred by the exclusivity provision of the workers’ compensation statute.</w:t>
      </w:r>
      <w:r w:rsidRPr="00C50860">
        <w:rPr>
          <w:rStyle w:val="FootnoteReference"/>
          <w:position w:val="-1"/>
        </w:rPr>
        <w:footnoteReference w:id="128"/>
      </w:r>
      <w:r w:rsidRPr="00C50860">
        <w:t xml:space="preserve"> The court rejected the reasoning found in a line of cases from the federal district courts that held that claims that were intentional in nature, such as claims for intentional discrimination, fell within the exception to the exclusivity provision</w:t>
      </w:r>
      <w:r w:rsidR="006F355C" w:rsidRPr="006F355C">
        <w:t>. T</w:t>
      </w:r>
      <w:r w:rsidRPr="00C50860">
        <w:t>he court ruled that the legislature’s intention was to limit the exception to “sexual harassment or sexual assault and infliction of emotional distress or invasion of privacy related thereto[.]”</w:t>
      </w:r>
      <w:r w:rsidRPr="00C50860">
        <w:rPr>
          <w:rStyle w:val="FootnoteReference"/>
          <w:position w:val="-1"/>
        </w:rPr>
        <w:footnoteReference w:id="129"/>
      </w:r>
    </w:p>
    <w:p w14:paraId="3EDC2B33" w14:textId="4A417D60" w:rsidR="006F355C" w:rsidRPr="006F355C" w:rsidRDefault="00EC7962" w:rsidP="00A94D82">
      <w:pPr>
        <w:tabs>
          <w:tab w:val="left" w:pos="440"/>
        </w:tabs>
      </w:pPr>
      <w:r w:rsidRPr="00C50860">
        <w:rPr>
          <w:rFonts w:eastAsia="Cambria"/>
        </w:rPr>
        <w:t xml:space="preserve">In </w:t>
      </w:r>
      <w:r w:rsidRPr="00C50860">
        <w:rPr>
          <w:rFonts w:eastAsia="Cambria"/>
          <w:i/>
          <w:iCs/>
        </w:rPr>
        <w:t>Begley v</w:t>
      </w:r>
      <w:r w:rsidR="006F355C" w:rsidRPr="006F355C">
        <w:rPr>
          <w:rFonts w:eastAsia="Cambria"/>
          <w:i/>
          <w:iCs/>
        </w:rPr>
        <w:t>. C</w:t>
      </w:r>
      <w:r w:rsidRPr="00C50860">
        <w:rPr>
          <w:rFonts w:eastAsia="Cambria"/>
          <w:i/>
          <w:iCs/>
        </w:rPr>
        <w:t>ounty of Kauai</w:t>
      </w:r>
      <w:r w:rsidRPr="00C50860">
        <w:rPr>
          <w:rFonts w:eastAsia="Cambria"/>
        </w:rPr>
        <w:t xml:space="preserve">, the federal district court affirmed that as applied to </w:t>
      </w:r>
      <w:r w:rsidRPr="00C50860">
        <w:rPr>
          <w:rFonts w:eastAsia="Cambria"/>
          <w:smallCaps/>
        </w:rPr>
        <w:t>Hawaii Revised Statutes</w:t>
      </w:r>
      <w:r w:rsidRPr="00C50860">
        <w:rPr>
          <w:rFonts w:eastAsia="Cambria"/>
        </w:rPr>
        <w:t xml:space="preserve"> §386-5, “whether the actions of the alleged tortfeasor are unreasonable or outrageous is for the court in the first instance, although where reasonable people may differ on that question it should be left to the jury.”</w:t>
      </w:r>
      <w:r w:rsidRPr="00C50860">
        <w:rPr>
          <w:rFonts w:eastAsia="Cambria" w:cs="TimesNewRomanPSMT"/>
          <w:vertAlign w:val="superscript"/>
        </w:rPr>
        <w:footnoteReference w:id="130"/>
      </w:r>
      <w:r w:rsidRPr="00C50860">
        <w:rPr>
          <w:rFonts w:eastAsia="Cambria"/>
        </w:rPr>
        <w:t xml:space="preserve"> There, the issue of whether the Kauai Chief of Police’s conduct was outrageous was left to the jury where the Chief made continued efforts to remove Begley from the E911 Board and to challenge Begley’s workers’ compensation claim even after the Chief’s efforts were rejected or he was warned repeatedly that his actions were inappropriate.</w:t>
      </w:r>
      <w:r w:rsidRPr="00C50860">
        <w:rPr>
          <w:rFonts w:eastAsia="Cambria" w:cs="TimesNewRomanPSMT"/>
          <w:color w:val="212121"/>
          <w:vertAlign w:val="superscript"/>
        </w:rPr>
        <w:footnoteReference w:id="131"/>
      </w:r>
    </w:p>
    <w:p w14:paraId="5BE62150" w14:textId="77777777" w:rsidR="006F355C" w:rsidRPr="006F355C" w:rsidRDefault="00EC7962" w:rsidP="00A94D82">
      <w:pPr>
        <w:pStyle w:val="Heading2"/>
      </w:pPr>
      <w:r w:rsidRPr="00C50860">
        <w:t>E.</w:t>
      </w:r>
      <w:r w:rsidRPr="00C50860">
        <w:tab/>
        <w:t>Negligence</w:t>
      </w:r>
    </w:p>
    <w:p w14:paraId="33787AC3" w14:textId="77777777" w:rsidR="006F355C" w:rsidRPr="006F355C" w:rsidRDefault="00EC7962" w:rsidP="00A94D82">
      <w:pPr>
        <w:pStyle w:val="Heading3"/>
      </w:pPr>
      <w:r w:rsidRPr="00C50860">
        <w:t>1.</w:t>
      </w:r>
      <w:r w:rsidRPr="00C50860">
        <w:tab/>
        <w:t>Negligent Misrepresentation</w:t>
      </w:r>
    </w:p>
    <w:p w14:paraId="677800F8" w14:textId="0AA493FC" w:rsidR="006F355C" w:rsidRPr="006F355C" w:rsidRDefault="00EC7962" w:rsidP="00A94D82">
      <w:r w:rsidRPr="00C50860">
        <w:t xml:space="preserve">Hawaii has adopted </w:t>
      </w:r>
      <w:r w:rsidRPr="00C50860">
        <w:rPr>
          <w:rFonts w:cs="NewBaskerville-Italic"/>
          <w:smallCaps/>
        </w:rPr>
        <w:t>Restatement (Second) of Torts</w:t>
      </w:r>
      <w:r w:rsidRPr="00C50860">
        <w:t xml:space="preserve"> §552 on the issue of negligent misrepresentation.</w:t>
      </w:r>
      <w:r w:rsidRPr="00C50860">
        <w:rPr>
          <w:rStyle w:val="FootnoteReference"/>
          <w:position w:val="-1"/>
        </w:rPr>
        <w:footnoteReference w:id="132"/>
      </w:r>
      <w:r w:rsidRPr="00C50860">
        <w:t xml:space="preserve"> Accordingly, to state a cause of action for negligent misrepresentation, the plaintiff must show that “(1) false information [is] supplied as a result of the failure to exercise reasonable care or competence in communicating the information</w:t>
      </w:r>
      <w:r w:rsidR="006F355C" w:rsidRPr="006F355C">
        <w:t>; (</w:t>
      </w:r>
      <w:r w:rsidRPr="00C50860">
        <w:t>2) the person for whose benefit the information is supplied suffered the loss</w:t>
      </w:r>
      <w:r w:rsidR="006F355C" w:rsidRPr="006F355C">
        <w:t>; a</w:t>
      </w:r>
      <w:r w:rsidRPr="00C50860">
        <w:t>nd (3) the recipient relies upon the misrepresentation.”</w:t>
      </w:r>
      <w:r w:rsidRPr="00C50860">
        <w:rPr>
          <w:rStyle w:val="FootnoteReference"/>
          <w:position w:val="-1"/>
        </w:rPr>
        <w:footnoteReference w:id="133"/>
      </w:r>
    </w:p>
    <w:p w14:paraId="4CD817DB" w14:textId="1B638C95" w:rsidR="006F355C" w:rsidRPr="006F355C" w:rsidRDefault="00EC7962" w:rsidP="00A94D82">
      <w:r w:rsidRPr="00C50860">
        <w:t xml:space="preserve">In </w:t>
      </w:r>
      <w:r w:rsidRPr="00C50860">
        <w:rPr>
          <w:rFonts w:cs="NewBaskerville-Italic"/>
          <w:i/>
          <w:iCs/>
        </w:rPr>
        <w:t>Beals v</w:t>
      </w:r>
      <w:r w:rsidR="006F355C" w:rsidRPr="006F355C">
        <w:rPr>
          <w:rFonts w:cs="NewBaskerville-Italic"/>
          <w:i/>
          <w:iCs/>
        </w:rPr>
        <w:t>. K</w:t>
      </w:r>
      <w:r w:rsidRPr="00C50860">
        <w:rPr>
          <w:rFonts w:cs="NewBaskerville-Italic"/>
          <w:i/>
          <w:iCs/>
        </w:rPr>
        <w:t>iewit Pacific Co.</w:t>
      </w:r>
      <w:r w:rsidRPr="00C50860">
        <w:t>,</w:t>
      </w:r>
      <w:r w:rsidRPr="00C50860">
        <w:rPr>
          <w:rStyle w:val="FootnoteReference"/>
          <w:position w:val="-1"/>
        </w:rPr>
        <w:footnoteReference w:id="134"/>
      </w:r>
      <w:r w:rsidRPr="00C50860">
        <w:t xml:space="preserve"> the Ninth Circuit consolidated the three factors above into a two-factor test, stating that to “prove negligent misrepresentation under Hawaii law,” the employee “must show that (1) [defendant-employer] failed to exercise reasonable care in communicating false information to [plaintiff-employee]</w:t>
      </w:r>
      <w:r w:rsidR="006F355C" w:rsidRPr="006F355C">
        <w:t>; a</w:t>
      </w:r>
      <w:r w:rsidRPr="00C50860">
        <w:t>nd (2) [plaintiff-employee] justifiably relied on that information.”</w:t>
      </w:r>
      <w:r w:rsidRPr="00C50860">
        <w:rPr>
          <w:rStyle w:val="FootnoteReference"/>
          <w:position w:val="-1"/>
        </w:rPr>
        <w:footnoteReference w:id="135"/>
      </w:r>
    </w:p>
    <w:p w14:paraId="4D7F5D74" w14:textId="77777777" w:rsidR="006F355C" w:rsidRPr="006F355C" w:rsidRDefault="00EC7962" w:rsidP="00A94D82">
      <w:pPr>
        <w:pStyle w:val="Heading3"/>
      </w:pPr>
      <w:r w:rsidRPr="00C50860">
        <w:t>2.</w:t>
      </w:r>
      <w:r w:rsidRPr="00C50860">
        <w:tab/>
        <w:t>Negligent Hiring</w:t>
      </w:r>
    </w:p>
    <w:p w14:paraId="56684C22" w14:textId="044D6A14" w:rsidR="006F355C" w:rsidRPr="006F355C" w:rsidRDefault="00EC7962" w:rsidP="00A94D82">
      <w:pPr>
        <w:tabs>
          <w:tab w:val="left" w:pos="840"/>
        </w:tabs>
      </w:pPr>
      <w:r w:rsidRPr="00C50860">
        <w:t xml:space="preserve">In </w:t>
      </w:r>
      <w:r w:rsidRPr="00C50860">
        <w:rPr>
          <w:rFonts w:cs="NewBaskerville-Italic"/>
          <w:i/>
          <w:iCs/>
        </w:rPr>
        <w:t>Wada v</w:t>
      </w:r>
      <w:r w:rsidR="006F355C" w:rsidRPr="006F355C">
        <w:rPr>
          <w:rFonts w:cs="NewBaskerville-Italic"/>
          <w:i/>
          <w:iCs/>
        </w:rPr>
        <w:t>. A</w:t>
      </w:r>
      <w:r w:rsidRPr="00C50860">
        <w:rPr>
          <w:rFonts w:cs="NewBaskerville-Italic"/>
          <w:i/>
          <w:iCs/>
        </w:rPr>
        <w:t>loha King, LLC</w:t>
      </w:r>
      <w:r w:rsidRPr="00C50860">
        <w:t>,</w:t>
      </w:r>
      <w:r w:rsidRPr="00C50860">
        <w:rPr>
          <w:rStyle w:val="FootnoteReference"/>
          <w:position w:val="-1"/>
        </w:rPr>
        <w:footnoteReference w:id="136"/>
      </w:r>
      <w:r w:rsidRPr="00C50860">
        <w:t xml:space="preserve"> a father, who had rented a storage locker, and his 15-year-old daughter brought a negligence claim against the owner of a storage facility, the owner’s management contractor, the management contractor’s subcontractor for personnel matters, and the personnel subcontractor’s sub-subcontractor for pre-employment background checks</w:t>
      </w:r>
      <w:r w:rsidR="006F355C" w:rsidRPr="006F355C">
        <w:t>. T</w:t>
      </w:r>
      <w:r w:rsidRPr="00C50860">
        <w:t>hey alleged that the daughter was sexually assaulted by the facility’s manager due to the defendants’ negligence, and that the defendants ignored the manager’s background check disclosing the manager’s conviction for sexual assault and was a registered sex offender.</w:t>
      </w:r>
    </w:p>
    <w:p w14:paraId="5E922ABD" w14:textId="002ECB18" w:rsidR="006F355C" w:rsidRPr="006F355C" w:rsidRDefault="00EC7962" w:rsidP="00A94D82">
      <w:pPr>
        <w:tabs>
          <w:tab w:val="left" w:pos="840"/>
        </w:tabs>
      </w:pPr>
      <w:r w:rsidRPr="00C50860">
        <w:t>Applying Hawaii law, the federal district court denied the sub-subcontractor’s motion to dismiss</w:t>
      </w:r>
      <w:r w:rsidR="006F355C" w:rsidRPr="006F355C">
        <w:t>. T</w:t>
      </w:r>
      <w:r w:rsidRPr="00C50860">
        <w:t>he court ruled that a plaintiff must show the following:</w:t>
      </w:r>
    </w:p>
    <w:p w14:paraId="4BF68FEF" w14:textId="77777777" w:rsidR="006F355C" w:rsidRPr="006F355C" w:rsidRDefault="00EC7962" w:rsidP="00EC7962">
      <w:pPr>
        <w:pStyle w:val="ListNumber"/>
        <w:tabs>
          <w:tab w:val="num" w:pos="1080"/>
        </w:tabs>
        <w:ind w:left="1080" w:hanging="360"/>
      </w:pPr>
      <w:r w:rsidRPr="00C50860">
        <w:t xml:space="preserve">A duty, or obligation, recognized by the law, </w:t>
      </w:r>
      <w:proofErr w:type="gramStart"/>
      <w:r w:rsidRPr="00C50860">
        <w:t>requiring</w:t>
      </w:r>
      <w:proofErr w:type="gramEnd"/>
      <w:r w:rsidRPr="00C50860">
        <w:t xml:space="preserve"> the actor to conform to a certain standard of conduct, for the protection of others against unreasonable </w:t>
      </w:r>
      <w:proofErr w:type="gramStart"/>
      <w:r w:rsidRPr="00C50860">
        <w:t>risks;</w:t>
      </w:r>
      <w:proofErr w:type="gramEnd"/>
    </w:p>
    <w:p w14:paraId="194F5F26" w14:textId="77777777" w:rsidR="006F355C" w:rsidRPr="006F355C" w:rsidRDefault="00EC7962" w:rsidP="00EC7962">
      <w:pPr>
        <w:pStyle w:val="ListNumber"/>
        <w:tabs>
          <w:tab w:val="num" w:pos="1080"/>
        </w:tabs>
        <w:ind w:left="1080" w:hanging="360"/>
      </w:pPr>
      <w:r w:rsidRPr="00C50860">
        <w:t xml:space="preserve">A failure on the actor’s part to conform to the standard </w:t>
      </w:r>
      <w:proofErr w:type="gramStart"/>
      <w:r w:rsidRPr="00C50860">
        <w:t>required;</w:t>
      </w:r>
      <w:proofErr w:type="gramEnd"/>
    </w:p>
    <w:p w14:paraId="55BE9882" w14:textId="4C6C7D52" w:rsidR="006F355C" w:rsidRPr="006F355C" w:rsidRDefault="00EC7962" w:rsidP="00EC7962">
      <w:pPr>
        <w:pStyle w:val="ListNumber"/>
        <w:tabs>
          <w:tab w:val="num" w:pos="1080"/>
        </w:tabs>
        <w:ind w:left="1080" w:hanging="360"/>
      </w:pPr>
      <w:r w:rsidRPr="00C50860">
        <w:t>A reasonably close causal connection between the conduct and the resulting injury</w:t>
      </w:r>
      <w:r w:rsidR="006F355C" w:rsidRPr="006F355C">
        <w:t>; a</w:t>
      </w:r>
      <w:r w:rsidRPr="00C50860">
        <w:t>nd</w:t>
      </w:r>
    </w:p>
    <w:p w14:paraId="4F5405C8" w14:textId="77777777" w:rsidR="006F355C" w:rsidRPr="006F355C" w:rsidRDefault="00EC7962" w:rsidP="00EC7962">
      <w:pPr>
        <w:pStyle w:val="ListNumber"/>
        <w:tabs>
          <w:tab w:val="num" w:pos="1080"/>
        </w:tabs>
        <w:ind w:left="1080" w:hanging="360"/>
      </w:pPr>
      <w:r w:rsidRPr="00C50860">
        <w:t>Actual loss or damage resulting to the interests of another.</w:t>
      </w:r>
      <w:r w:rsidRPr="00C50860">
        <w:rPr>
          <w:rStyle w:val="FootnoteReference"/>
          <w:position w:val="-1"/>
        </w:rPr>
        <w:footnoteReference w:id="137"/>
      </w:r>
    </w:p>
    <w:p w14:paraId="6AF90CBF" w14:textId="77777777" w:rsidR="006F355C" w:rsidRPr="006F355C" w:rsidRDefault="00EC7962" w:rsidP="00A94D82">
      <w:pPr>
        <w:tabs>
          <w:tab w:val="left" w:pos="880"/>
        </w:tabs>
      </w:pPr>
      <w:r w:rsidRPr="00C50860">
        <w:t>A prerequisite to any negligence action is the existence of a duty owed by the defendant to the plaintiff.</w:t>
      </w:r>
      <w:r w:rsidRPr="00C50860">
        <w:rPr>
          <w:rStyle w:val="FootnoteReference"/>
          <w:position w:val="-1"/>
        </w:rPr>
        <w:footnoteReference w:id="138"/>
      </w:r>
      <w:r w:rsidRPr="00C50860">
        <w:t xml:space="preserve"> Hawaii state law imposes a duty to control the conduct of another to protect a third party when a special relationship exists.</w:t>
      </w:r>
      <w:r w:rsidRPr="00C50860">
        <w:rPr>
          <w:rStyle w:val="FootnoteReference"/>
          <w:position w:val="-1"/>
        </w:rPr>
        <w:footnoteReference w:id="139"/>
      </w:r>
      <w:r w:rsidRPr="00C50860">
        <w:t xml:space="preserve"> Hawaii courts follow the </w:t>
      </w:r>
      <w:r w:rsidRPr="00C50860">
        <w:rPr>
          <w:smallCaps/>
        </w:rPr>
        <w:t>Restatement (Second)</w:t>
      </w:r>
      <w:r w:rsidRPr="00C50860">
        <w:t xml:space="preserve"> </w:t>
      </w:r>
      <w:r w:rsidRPr="00C50860">
        <w:rPr>
          <w:smallCaps/>
        </w:rPr>
        <w:t>of Torts</w:t>
      </w:r>
      <w:r w:rsidRPr="00C50860">
        <w:t xml:space="preserve"> §§315, 319, which states:</w:t>
      </w:r>
    </w:p>
    <w:p w14:paraId="25E802E4" w14:textId="2DED591B" w:rsidR="006F355C" w:rsidRPr="006F355C" w:rsidRDefault="00EC7962" w:rsidP="00A94D82">
      <w:pPr>
        <w:pStyle w:val="BlockQuote"/>
        <w:tabs>
          <w:tab w:val="left" w:pos="1320"/>
        </w:tabs>
        <w:spacing w:after="60"/>
      </w:pPr>
      <w:r w:rsidRPr="00C50860">
        <w:t>§315</w:t>
      </w:r>
      <w:r w:rsidR="006F355C" w:rsidRPr="006F355C">
        <w:t>: T</w:t>
      </w:r>
      <w:r w:rsidRPr="00C50860">
        <w:t>here is no duty to control the conduct of a third person as to prevent him from causing harm to another unless:</w:t>
      </w:r>
    </w:p>
    <w:p w14:paraId="023CFE58" w14:textId="77777777" w:rsidR="006F355C" w:rsidRPr="006F355C" w:rsidRDefault="00EC7962" w:rsidP="00A94D82">
      <w:pPr>
        <w:pStyle w:val="BlockQuote-l2"/>
        <w:tabs>
          <w:tab w:val="left" w:pos="880"/>
        </w:tabs>
        <w:spacing w:after="0"/>
        <w:ind w:left="1440" w:firstLine="0"/>
      </w:pPr>
      <w:r w:rsidRPr="00C50860">
        <w:t>(a) a special relationship exists between the actor and the third person which imposes a duty upon the actor to control the third person’s conduct, or</w:t>
      </w:r>
    </w:p>
    <w:p w14:paraId="60A6CFEF" w14:textId="77777777" w:rsidR="006F355C" w:rsidRPr="006F355C" w:rsidRDefault="00EC7962" w:rsidP="00A94D82">
      <w:pPr>
        <w:pStyle w:val="BlockQuote-l2"/>
        <w:tabs>
          <w:tab w:val="left" w:pos="880"/>
        </w:tabs>
        <w:ind w:left="1440" w:firstLine="0"/>
      </w:pPr>
      <w:r w:rsidRPr="00C50860">
        <w:t xml:space="preserve">(b) a special relationship exists between the actor and the other which </w:t>
      </w:r>
      <w:proofErr w:type="gramStart"/>
      <w:r w:rsidRPr="00C50860">
        <w:t>gives to</w:t>
      </w:r>
      <w:proofErr w:type="gramEnd"/>
      <w:r w:rsidRPr="00C50860">
        <w:t xml:space="preserve"> the other a right to protection.</w:t>
      </w:r>
    </w:p>
    <w:p w14:paraId="571C05C8" w14:textId="77777777" w:rsidR="006F355C" w:rsidRPr="006F355C" w:rsidRDefault="00EC7962" w:rsidP="00A94D82">
      <w:pPr>
        <w:pStyle w:val="BlockQuote"/>
        <w:spacing w:after="60"/>
      </w:pPr>
      <w:r w:rsidRPr="00C50860">
        <w:t>§319:</w:t>
      </w:r>
    </w:p>
    <w:p w14:paraId="577855B5" w14:textId="77777777" w:rsidR="006F355C" w:rsidRPr="006F355C" w:rsidRDefault="00EC7962" w:rsidP="00A81404">
      <w:pPr>
        <w:pStyle w:val="BlockQuote-l2"/>
        <w:spacing w:after="240"/>
        <w:ind w:left="1440" w:firstLine="0"/>
      </w:pPr>
      <w:r w:rsidRPr="00C50860">
        <w:t>One who takes charge of a third person whom he knows or should know to be likely to cause bodily harm to others if not controlled is under a duty to exercise reasonable care to control the third person to prevent him from doing such harm.</w:t>
      </w:r>
    </w:p>
    <w:p w14:paraId="16C52B85" w14:textId="77777777" w:rsidR="006F355C" w:rsidRPr="006F355C" w:rsidRDefault="00EC7962" w:rsidP="00A94D82">
      <w:r w:rsidRPr="00C50860">
        <w:t xml:space="preserve">Using these standards as a template, the </w:t>
      </w:r>
      <w:r w:rsidRPr="00C50860">
        <w:rPr>
          <w:rFonts w:cs="NewBaskerville-Italic"/>
          <w:i/>
          <w:iCs/>
        </w:rPr>
        <w:t>Wada</w:t>
      </w:r>
      <w:r w:rsidRPr="00C50860">
        <w:t xml:space="preserve"> court found that the sub-subcontractor for pre-employment background checks had a special relationship to the other defendants, because it agreed to evaluate any threats that the manager may pose and owed a duty of reasonable care in performing the pre-employment background checks.</w:t>
      </w:r>
      <w:r w:rsidRPr="00C50860">
        <w:rPr>
          <w:rStyle w:val="FootnoteReference"/>
        </w:rPr>
        <w:footnoteReference w:id="140"/>
      </w:r>
      <w:r w:rsidRPr="00C50860">
        <w:t xml:space="preserve"> The court also found it is reasonably foreseeable</w:t>
      </w:r>
      <w:r w:rsidRPr="00C50860">
        <w:rPr>
          <w:rStyle w:val="FootnoteReference"/>
          <w:position w:val="-1"/>
        </w:rPr>
        <w:footnoteReference w:id="141"/>
      </w:r>
      <w:r w:rsidRPr="00C50860">
        <w:t xml:space="preserve"> that a registered sex offender working as a manager at a storage facility open at all hours of the day or night with confined spaces could foreseeably pose a threat to any patron, regardless of age.</w:t>
      </w:r>
      <w:r w:rsidRPr="00C50860">
        <w:rPr>
          <w:rStyle w:val="FootnoteReference"/>
          <w:position w:val="-1"/>
        </w:rPr>
        <w:footnoteReference w:id="142"/>
      </w:r>
    </w:p>
    <w:p w14:paraId="7AF17DB8" w14:textId="77777777" w:rsidR="006F355C" w:rsidRPr="006F355C" w:rsidRDefault="00EC7962" w:rsidP="00A94D82">
      <w:pPr>
        <w:pStyle w:val="Heading3"/>
      </w:pPr>
      <w:r w:rsidRPr="00C50860">
        <w:t>3.</w:t>
      </w:r>
      <w:r w:rsidRPr="00C50860">
        <w:tab/>
        <w:t>Negligent Training</w:t>
      </w:r>
    </w:p>
    <w:p w14:paraId="10C94459" w14:textId="77777777" w:rsidR="006F355C" w:rsidRPr="006F355C" w:rsidRDefault="00EC7962" w:rsidP="005B23DD">
      <w:r w:rsidRPr="00C50860">
        <w:t>The elements of a negligent training claim pursuant to Hawaii state law have not been established by the Hawaii state courts.</w:t>
      </w:r>
      <w:r w:rsidRPr="00C50860">
        <w:rPr>
          <w:rStyle w:val="FootnoteReference"/>
        </w:rPr>
        <w:footnoteReference w:id="143"/>
      </w:r>
      <w:r w:rsidRPr="00C50860">
        <w:t xml:space="preserve"> Consequently, some decisions of the Hawaii federal district court have adopted the elements of </w:t>
      </w:r>
      <w:proofErr w:type="gramStart"/>
      <w:r w:rsidRPr="00C50860">
        <w:t>a negligent</w:t>
      </w:r>
      <w:proofErr w:type="gramEnd"/>
      <w:r w:rsidRPr="00C50860">
        <w:t xml:space="preserve"> </w:t>
      </w:r>
      <w:proofErr w:type="gramStart"/>
      <w:r w:rsidRPr="00C50860">
        <w:t>supervision claim</w:t>
      </w:r>
      <w:proofErr w:type="gramEnd"/>
      <w:r w:rsidRPr="00C50860">
        <w:t xml:space="preserve"> under California law, while others have placed claims for negligent training under the same standard as claims for negligent supervision.</w:t>
      </w:r>
      <w:r w:rsidRPr="00C50860">
        <w:rPr>
          <w:rStyle w:val="FootnoteReference"/>
        </w:rPr>
        <w:footnoteReference w:id="144"/>
      </w:r>
    </w:p>
    <w:p w14:paraId="3506B99F" w14:textId="457974D6" w:rsidR="006F355C" w:rsidRPr="006F355C" w:rsidRDefault="00EC7962" w:rsidP="00A94D82">
      <w:r w:rsidRPr="00C50860">
        <w:t>To the extent the claim exists, before a plaintiff can establish a claim for negligent training and/or supervision, “the plaintiff must establish that the employer knew or should have known of the necessity and opportunity for exercising such control.”</w:t>
      </w:r>
      <w:r w:rsidRPr="00C50860">
        <w:rPr>
          <w:rStyle w:val="FootnoteReference"/>
        </w:rPr>
        <w:footnoteReference w:id="145"/>
      </w:r>
      <w:r w:rsidRPr="00C50860">
        <w:t xml:space="preserve"> The key to a negligent training and/or supervision claim is foreseeability</w:t>
      </w:r>
      <w:r w:rsidR="006F355C" w:rsidRPr="006F355C">
        <w:t>; “</w:t>
      </w:r>
      <w:r w:rsidRPr="00C50860">
        <w:t>If an employer has not been put on notice of the necessity for exercising a greater degree of control or supervision over a particular employee, the employer cannot be held liable as a matter of law.”</w:t>
      </w:r>
      <w:r w:rsidRPr="00C50860">
        <w:rPr>
          <w:rStyle w:val="FootnoteReference"/>
        </w:rPr>
        <w:footnoteReference w:id="146"/>
      </w:r>
    </w:p>
    <w:p w14:paraId="522F4727" w14:textId="07073FF2" w:rsidR="006F355C" w:rsidRPr="006F355C" w:rsidRDefault="00EC7962" w:rsidP="00A94D82">
      <w:r w:rsidRPr="00C50860">
        <w:t xml:space="preserve">The Hawaii Supreme Court case that most closely addresses a negligent training claim is </w:t>
      </w:r>
      <w:r w:rsidRPr="00C50860">
        <w:rPr>
          <w:i/>
          <w:iCs/>
        </w:rPr>
        <w:t>Abraham v</w:t>
      </w:r>
      <w:r w:rsidR="006F355C" w:rsidRPr="006F355C">
        <w:rPr>
          <w:i/>
          <w:iCs/>
        </w:rPr>
        <w:t>. S. E. O</w:t>
      </w:r>
      <w:r w:rsidRPr="00C50860">
        <w:rPr>
          <w:i/>
          <w:iCs/>
        </w:rPr>
        <w:t>norato Garages</w:t>
      </w:r>
      <w:r w:rsidRPr="00C50860">
        <w:rPr>
          <w:rStyle w:val="FootnoteReference"/>
          <w:i/>
        </w:rPr>
        <w:footnoteReference w:id="147"/>
      </w:r>
      <w:r w:rsidRPr="00C50860">
        <w:t>, in which the court stated:</w:t>
      </w:r>
    </w:p>
    <w:p w14:paraId="550EE5AB" w14:textId="6073E80B" w:rsidR="006F355C" w:rsidRPr="006F355C" w:rsidRDefault="00EC7962" w:rsidP="00585878">
      <w:pPr>
        <w:ind w:left="720" w:right="720"/>
        <w:rPr>
          <w:sz w:val="20"/>
          <w:szCs w:val="20"/>
        </w:rPr>
      </w:pPr>
      <w:r w:rsidRPr="00C50860">
        <w:rPr>
          <w:sz w:val="20"/>
          <w:szCs w:val="20"/>
        </w:rPr>
        <w:t xml:space="preserve">The relationship </w:t>
      </w:r>
      <w:proofErr w:type="gramStart"/>
      <w:r w:rsidRPr="00C50860">
        <w:rPr>
          <w:sz w:val="20"/>
          <w:szCs w:val="20"/>
        </w:rPr>
        <w:t>of</w:t>
      </w:r>
      <w:proofErr w:type="gramEnd"/>
      <w:r w:rsidRPr="00C50860">
        <w:rPr>
          <w:sz w:val="20"/>
          <w:szCs w:val="20"/>
        </w:rPr>
        <w:t xml:space="preserve"> employer and employee may, under certain circumstances, create a duty on the employer to control the conduct of the employee when the acts complained of are so connected with the employment in time and place as to give the employer a special opportunity to control the employee</w:t>
      </w:r>
      <w:r w:rsidR="006F355C" w:rsidRPr="006F355C">
        <w:rPr>
          <w:sz w:val="20"/>
          <w:szCs w:val="20"/>
        </w:rPr>
        <w:t>. I</w:t>
      </w:r>
      <w:r w:rsidRPr="00C50860">
        <w:rPr>
          <w:sz w:val="20"/>
          <w:szCs w:val="20"/>
        </w:rPr>
        <w:t>t is essential for liability that there be a showing by the plaintiff that the employer knew or should have known of the necessity and opportunity for exercising such control.</w:t>
      </w:r>
      <w:r w:rsidRPr="00C50860">
        <w:rPr>
          <w:rStyle w:val="FootnoteReference"/>
        </w:rPr>
        <w:footnoteReference w:id="148"/>
      </w:r>
    </w:p>
    <w:p w14:paraId="26FBEAFF" w14:textId="77777777" w:rsidR="006F355C" w:rsidRPr="006F355C" w:rsidRDefault="00EC7962" w:rsidP="00A94D82">
      <w:pPr>
        <w:pStyle w:val="Heading3"/>
      </w:pPr>
      <w:r w:rsidRPr="00C50860">
        <w:t>4.</w:t>
      </w:r>
      <w:r w:rsidRPr="00C50860">
        <w:tab/>
        <w:t>Negligent Retention</w:t>
      </w:r>
    </w:p>
    <w:p w14:paraId="683ED110" w14:textId="77777777" w:rsidR="006F355C" w:rsidRPr="006F355C" w:rsidRDefault="00EC7962" w:rsidP="00A94D82">
      <w:r w:rsidRPr="00C50860">
        <w:t xml:space="preserve">In </w:t>
      </w:r>
      <w:r w:rsidRPr="00C50860">
        <w:rPr>
          <w:rFonts w:cs="NewBaskerville-Italic"/>
          <w:i/>
          <w:iCs/>
        </w:rPr>
        <w:t>Abraham</w:t>
      </w:r>
      <w:r w:rsidRPr="00C50860">
        <w:rPr>
          <w:rStyle w:val="FootnoteReference"/>
          <w:position w:val="-1"/>
        </w:rPr>
        <w:footnoteReference w:id="149"/>
      </w:r>
      <w:r w:rsidRPr="00C50860">
        <w:rPr>
          <w:rFonts w:cs="NewBaskerville-Italic"/>
        </w:rPr>
        <w:t>,</w:t>
      </w:r>
      <w:r w:rsidRPr="00C50860">
        <w:rPr>
          <w:i/>
          <w:iCs/>
        </w:rPr>
        <w:t xml:space="preserve"> </w:t>
      </w:r>
      <w:r w:rsidRPr="00C50860">
        <w:t>the Hawaii Supreme Court explained that, to state a cause of action for negligent retention, the plaintiff must show that the employer knew the employee’s incompetency or unfitness for a particular job.</w:t>
      </w:r>
      <w:r w:rsidRPr="00C50860">
        <w:rPr>
          <w:rStyle w:val="FootnoteReference"/>
          <w:position w:val="-1"/>
        </w:rPr>
        <w:footnoteReference w:id="150"/>
      </w:r>
      <w:r w:rsidRPr="00C50860">
        <w:t xml:space="preserve"> Thus, the court held that, even if the employer knew of the employee’s hit-and-run conviction four years prior to the employee’s promotion to manager, such knowledge would be insufficient “to permit a jury to decide that a driver was incompetent to such a degree that his retention in service would be at the employer’s risk.”</w:t>
      </w:r>
      <w:r w:rsidRPr="00C50860">
        <w:rPr>
          <w:rStyle w:val="FootnoteReference"/>
          <w:position w:val="-1"/>
        </w:rPr>
        <w:footnoteReference w:id="151"/>
      </w:r>
    </w:p>
    <w:p w14:paraId="0E556185" w14:textId="77777777" w:rsidR="006F355C" w:rsidRPr="006F355C" w:rsidRDefault="00EC7962" w:rsidP="00A94D82">
      <w:pPr>
        <w:pStyle w:val="Heading3"/>
      </w:pPr>
      <w:r w:rsidRPr="00C50860">
        <w:t>5.</w:t>
      </w:r>
      <w:r w:rsidRPr="00C50860">
        <w:tab/>
        <w:t>Negligent Supervision</w:t>
      </w:r>
    </w:p>
    <w:p w14:paraId="2C1CF94B" w14:textId="77777777" w:rsidR="006F355C" w:rsidRPr="006F355C" w:rsidRDefault="00EC7962" w:rsidP="009058E9">
      <w:pPr>
        <w:tabs>
          <w:tab w:val="left" w:pos="880"/>
        </w:tabs>
      </w:pPr>
      <w:r w:rsidRPr="00C50860">
        <w:t>Unlike negligent training, Hawaii courts clearly recognize a cause of action for negligent supervision.</w:t>
      </w:r>
      <w:r w:rsidRPr="00C50860">
        <w:rPr>
          <w:rStyle w:val="FootnoteReference"/>
          <w:position w:val="-1"/>
        </w:rPr>
        <w:footnoteReference w:id="152"/>
      </w:r>
      <w:r w:rsidRPr="00C50860">
        <w:t>For a claim of negligent supervision, the plaintiff must first establish that the “employer knew or should have known of the necessity and opportunity for exercising such control.”</w:t>
      </w:r>
      <w:r w:rsidRPr="00C50860">
        <w:rPr>
          <w:rStyle w:val="FootnoteReference"/>
          <w:position w:val="-1"/>
        </w:rPr>
        <w:footnoteReference w:id="153"/>
      </w:r>
      <w:r w:rsidRPr="00C50860">
        <w:t xml:space="preserve"> The key to any claim for negligent supervision is foreseeability.</w:t>
      </w:r>
      <w:r w:rsidRPr="00C50860">
        <w:rPr>
          <w:rStyle w:val="FootnoteReference"/>
          <w:position w:val="-1"/>
        </w:rPr>
        <w:footnoteReference w:id="154"/>
      </w:r>
      <w:r w:rsidRPr="00C50860">
        <w:t xml:space="preserve"> Where the claim for negligent supervision is asserted by an employee against his employer for conduct by another employee, the claim will be barred by because the employee’s sole recourse is workers compensation.</w:t>
      </w:r>
      <w:r w:rsidRPr="00C50860">
        <w:rPr>
          <w:rStyle w:val="FootnoteReference"/>
          <w:position w:val="-1"/>
        </w:rPr>
        <w:footnoteReference w:id="155"/>
      </w:r>
    </w:p>
    <w:p w14:paraId="4F029DAB" w14:textId="77777777" w:rsidR="006F355C" w:rsidRPr="006F355C" w:rsidRDefault="00EC7962" w:rsidP="00A94D82">
      <w:pPr>
        <w:pStyle w:val="Heading3"/>
      </w:pPr>
      <w:r w:rsidRPr="00C50860">
        <w:t>6.</w:t>
      </w:r>
      <w:r w:rsidRPr="00C50860">
        <w:tab/>
        <w:t>Negligent Infliction of Emotional Distress</w:t>
      </w:r>
    </w:p>
    <w:p w14:paraId="22812157" w14:textId="5A9462FF" w:rsidR="006F355C" w:rsidRPr="006F355C" w:rsidRDefault="00EC7962" w:rsidP="00A94D82">
      <w:pPr>
        <w:tabs>
          <w:tab w:val="left" w:pos="440"/>
        </w:tabs>
      </w:pPr>
      <w:r w:rsidRPr="00C50860">
        <w:t>To state a claim for negligent infliction of emotional distress, a plaintiff must also show a physical injury</w:t>
      </w:r>
      <w:r w:rsidR="006F355C" w:rsidRPr="006F355C">
        <w:t>. “</w:t>
      </w:r>
      <w:r w:rsidRPr="00C50860">
        <w:t>[R]</w:t>
      </w:r>
      <w:proofErr w:type="spellStart"/>
      <w:r w:rsidRPr="00C50860">
        <w:t>ecovery</w:t>
      </w:r>
      <w:proofErr w:type="spellEnd"/>
      <w:r w:rsidRPr="00C50860">
        <w:t xml:space="preserve"> for negligent infliction of emotional distress by one not physically injured is generally permitted only when there is ‘some physical injury to property or a person’ resulting from the defendant’s conduct.”</w:t>
      </w:r>
      <w:r w:rsidRPr="00C50860">
        <w:rPr>
          <w:rStyle w:val="FootnoteReference"/>
          <w:position w:val="-1"/>
        </w:rPr>
        <w:footnoteReference w:id="156"/>
      </w:r>
    </w:p>
    <w:p w14:paraId="1A9986D3" w14:textId="77777777" w:rsidR="006F355C" w:rsidRPr="006F355C" w:rsidRDefault="00EC7962" w:rsidP="00A94D82">
      <w:pPr>
        <w:tabs>
          <w:tab w:val="left" w:pos="440"/>
        </w:tabs>
      </w:pPr>
      <w:r w:rsidRPr="00C50860">
        <w:t>See also VI.D., “Intentional Infliction of Emotional Distress,” above.</w:t>
      </w:r>
    </w:p>
    <w:p w14:paraId="38329FD2" w14:textId="77777777" w:rsidR="006F355C" w:rsidRPr="006F355C" w:rsidRDefault="00EC7962" w:rsidP="00A94D82">
      <w:pPr>
        <w:pStyle w:val="Heading2"/>
      </w:pPr>
      <w:r w:rsidRPr="00C50860">
        <w:t>F.</w:t>
      </w:r>
      <w:r w:rsidRPr="00C50860">
        <w:tab/>
        <w:t>Miscellaneous</w:t>
      </w:r>
    </w:p>
    <w:p w14:paraId="555C3CA7" w14:textId="77777777" w:rsidR="006F355C" w:rsidRPr="006F355C" w:rsidRDefault="00EC7962" w:rsidP="00A94D82">
      <w:pPr>
        <w:pStyle w:val="Heading3"/>
      </w:pPr>
      <w:r w:rsidRPr="00C50860">
        <w:t>1.</w:t>
      </w:r>
      <w:r w:rsidRPr="00C50860">
        <w:tab/>
        <w:t>False Imprisonment</w:t>
      </w:r>
    </w:p>
    <w:p w14:paraId="39106E58" w14:textId="77777777" w:rsidR="006F355C" w:rsidRPr="006F355C" w:rsidRDefault="00EC7962" w:rsidP="000C140A">
      <w:r w:rsidRPr="00C50860">
        <w:t>There do not appear to be any reported employment law cases enumerating elements of this tort in Hawaii.</w:t>
      </w:r>
    </w:p>
    <w:p w14:paraId="40293F9A" w14:textId="20C6116C" w:rsidR="006F355C" w:rsidRPr="006F355C" w:rsidRDefault="00EC7962" w:rsidP="00A94D82">
      <w:pPr>
        <w:pStyle w:val="Heading1"/>
        <w:rPr>
          <w:szCs w:val="24"/>
        </w:rPr>
      </w:pPr>
      <w:r w:rsidRPr="00C50860">
        <w:rPr>
          <w:szCs w:val="24"/>
        </w:rPr>
        <w:t>VII</w:t>
      </w:r>
      <w:r w:rsidR="006F355C" w:rsidRPr="006F355C">
        <w:rPr>
          <w:szCs w:val="24"/>
        </w:rPr>
        <w:t>. S</w:t>
      </w:r>
      <w:r w:rsidRPr="00C50860">
        <w:rPr>
          <w:szCs w:val="24"/>
        </w:rPr>
        <w:t>tatutes</w:t>
      </w:r>
    </w:p>
    <w:p w14:paraId="42D3E88A" w14:textId="7577514E" w:rsidR="006F355C" w:rsidRPr="006F355C" w:rsidRDefault="00EC7962" w:rsidP="00A94D82">
      <w:pPr>
        <w:tabs>
          <w:tab w:val="left" w:pos="660"/>
        </w:tabs>
      </w:pPr>
      <w:r w:rsidRPr="00C50860">
        <w:t>Several statutes limit the at-will employment doctrine and, in essence, require a good cause standard for termination</w:t>
      </w:r>
      <w:r w:rsidR="006F355C" w:rsidRPr="006F355C">
        <w:t>. H</w:t>
      </w:r>
      <w:r w:rsidRPr="00C50860">
        <w:t>awaii recognizes more “protected categories” than most states:</w:t>
      </w:r>
    </w:p>
    <w:p w14:paraId="452AB5A9"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Race, sex (including gender identity/expression</w:t>
      </w:r>
      <w:r w:rsidRPr="00C50860">
        <w:rPr>
          <w:rStyle w:val="FootnoteReference"/>
          <w:position w:val="-1"/>
        </w:rPr>
        <w:footnoteReference w:id="157"/>
      </w:r>
      <w:r w:rsidRPr="00C50860">
        <w:t xml:space="preserve"> as well as pregnancy, childbirth, and related medical conditions), sexual orientation, age, religion, color, ancestry, disability, marital status, arrest and court record, retaliation (prohibits aiding or abetting discrimination), breastfeeding, assignment of wages for child support, associational disability discrimination, national guard service,</w:t>
      </w:r>
      <w:r w:rsidRPr="00C50860">
        <w:rPr>
          <w:rStyle w:val="FootnoteReference"/>
          <w:position w:val="-1"/>
        </w:rPr>
        <w:footnoteReference w:id="158"/>
      </w:r>
      <w:r w:rsidRPr="00C50860">
        <w:t xml:space="preserve"> credit history/report,</w:t>
      </w:r>
      <w:r w:rsidRPr="00C50860">
        <w:rPr>
          <w:rStyle w:val="FootnoteReference"/>
          <w:position w:val="-1"/>
        </w:rPr>
        <w:footnoteReference w:id="159"/>
      </w:r>
      <w:r w:rsidRPr="00C50860">
        <w:t xml:space="preserve"> genetic information,</w:t>
      </w:r>
      <w:r w:rsidRPr="00C50860">
        <w:rPr>
          <w:rStyle w:val="FootnoteReference"/>
          <w:position w:val="-1"/>
        </w:rPr>
        <w:footnoteReference w:id="160"/>
      </w:r>
      <w:r w:rsidRPr="00C50860">
        <w:t xml:space="preserve"> or domestic/sexual violence victim,</w:t>
      </w:r>
      <w:r w:rsidRPr="00C50860">
        <w:rPr>
          <w:rStyle w:val="FootnoteReference"/>
          <w:position w:val="-1"/>
        </w:rPr>
        <w:footnoteReference w:id="161"/>
      </w:r>
      <w:r w:rsidRPr="00C50860">
        <w:t xml:space="preserve"> leave of absence for Organ, Bone Marrow, or Peripheral Blood Stem Cell Donation;</w:t>
      </w:r>
      <w:r w:rsidRPr="00C50860">
        <w:rPr>
          <w:rStyle w:val="FootnoteReference"/>
          <w:position w:val="-1"/>
        </w:rPr>
        <w:footnoteReference w:id="162"/>
      </w:r>
    </w:p>
    <w:p w14:paraId="6ADFE0BA" w14:textId="79446E5A"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an employee</w:t>
      </w:r>
      <w:r w:rsidR="006F355C" w:rsidRPr="006F355C">
        <w:t>: (</w:t>
      </w:r>
      <w:proofErr w:type="spellStart"/>
      <w:r w:rsidRPr="00C50860">
        <w:t>i</w:t>
      </w:r>
      <w:proofErr w:type="spellEnd"/>
      <w:r w:rsidRPr="00C50860">
        <w:t>) declines to “attend or participate in an employer-sponsored meeting, or any portion of a meeting, that communicates the opinion of the employer about political matters;” or (ii) declines to “receive or listen to a communication from the employer that communicates the opinion of the employer about political matters”;</w:t>
      </w:r>
      <w:r w:rsidRPr="00C50860">
        <w:rPr>
          <w:rStyle w:val="FootnoteReference"/>
          <w:position w:val="-1"/>
        </w:rPr>
        <w:footnoteReference w:id="163"/>
      </w:r>
    </w:p>
    <w:p w14:paraId="55F2B64F"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 xml:space="preserve">Retaliation for opposition to any practice forbidden by </w:t>
      </w:r>
      <w:r w:rsidRPr="00C50860">
        <w:rPr>
          <w:smallCaps/>
        </w:rPr>
        <w:t>Hawaii Revised Statute</w:t>
      </w:r>
      <w:r w:rsidRPr="00C50860">
        <w:t xml:space="preserve"> §378-2 or the filing of a complaint, testifying, or assisting in any proceeding respecting the discriminatory practices prohibited by </w:t>
      </w:r>
      <w:r w:rsidRPr="00C50860">
        <w:rPr>
          <w:smallCaps/>
        </w:rPr>
        <w:t>Hawaii Revised Statute</w:t>
      </w:r>
      <w:r w:rsidRPr="00C50860">
        <w:t xml:space="preserve"> §378-</w:t>
      </w:r>
      <w:proofErr w:type="gramStart"/>
      <w:r w:rsidRPr="00C50860">
        <w:t>2;</w:t>
      </w:r>
      <w:proofErr w:type="gramEnd"/>
    </w:p>
    <w:p w14:paraId="0BC8E08A"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Refusal of the employee or prospective employee to submit to a lie detector test;</w:t>
      </w:r>
      <w:r w:rsidRPr="00C50860">
        <w:rPr>
          <w:rStyle w:val="FootnoteReference"/>
          <w:position w:val="-1"/>
        </w:rPr>
        <w:footnoteReference w:id="164"/>
      </w:r>
    </w:p>
    <w:p w14:paraId="6CABAFD0"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Solely because the employer was summoned as a garnishee where the employee is the debtor or because the employee has filed a wage earner plan under the Bankruptcy Act;</w:t>
      </w:r>
      <w:r w:rsidRPr="00C50860">
        <w:rPr>
          <w:rStyle w:val="FootnoteReference"/>
          <w:position w:val="-1"/>
        </w:rPr>
        <w:footnoteReference w:id="165"/>
      </w:r>
    </w:p>
    <w:p w14:paraId="7714247A"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Solely because the employee has suffered a workers’ compensation injury, unless the discharged employee is given first preference of reemployment;</w:t>
      </w:r>
      <w:r w:rsidRPr="00C50860">
        <w:rPr>
          <w:rStyle w:val="FootnoteReference"/>
          <w:position w:val="-1"/>
        </w:rPr>
        <w:footnoteReference w:id="166"/>
      </w:r>
    </w:p>
    <w:p w14:paraId="26587217"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 xml:space="preserve">Because the employee testified or was subpoenaed to testify in a proceeding protecting rights described in </w:t>
      </w:r>
      <w:r w:rsidRPr="00C50860">
        <w:rPr>
          <w:smallCaps/>
        </w:rPr>
        <w:t>Hawaii Revised Statute</w:t>
      </w:r>
      <w:r w:rsidRPr="00C50860">
        <w:t xml:space="preserve"> §378-32;</w:t>
      </w:r>
      <w:r w:rsidRPr="00C50860">
        <w:rPr>
          <w:rStyle w:val="FootnoteReference"/>
          <w:position w:val="-1"/>
        </w:rPr>
        <w:footnoteReference w:id="167"/>
      </w:r>
    </w:p>
    <w:p w14:paraId="31A30861" w14:textId="6BD2F06C"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an employee tested positive for the presence of drugs, alcohol, or the metabolites of drugs in a substance abuse on-site screening test that violates the statutorily imposed testing regime</w:t>
      </w:r>
      <w:r w:rsidR="006F355C" w:rsidRPr="006F355C">
        <w:t>; p</w:t>
      </w:r>
      <w:r w:rsidRPr="00C50860">
        <w:t>rovided that this provision shall not apply to an employee who fails or refuses to report to a laboratory for a substance abuse test;</w:t>
      </w:r>
      <w:r w:rsidRPr="00C50860">
        <w:rPr>
          <w:rStyle w:val="FootnoteReference"/>
          <w:position w:val="-1"/>
        </w:rPr>
        <w:footnoteReference w:id="168"/>
      </w:r>
    </w:p>
    <w:p w14:paraId="65159163" w14:textId="57F42868"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the employee, or a person acting on behalf of the employee, reports or is about to report to the employer, or a public body, verbally or in writing, a violation or a suspected violation of a law, rule, ordinance, or regulation, adopted pursuant to Hawaiian law, a political subdivision of Hawaii, or the United States</w:t>
      </w:r>
      <w:r w:rsidR="006F355C" w:rsidRPr="006F355C">
        <w:t>; o</w:t>
      </w:r>
      <w:r w:rsidRPr="00C50860">
        <w:t>r a contract executed by the state, a political subdivision of Hawaii, or the United States, unless the employee knows that the report is false</w:t>
      </w:r>
      <w:r w:rsidR="006F355C" w:rsidRPr="006F355C">
        <w:t>; o</w:t>
      </w:r>
      <w:r w:rsidRPr="00C50860">
        <w:t>r the employee is requested by a public body to participate in an investigation, hearing, or inquiry held by that public body, or a court action;</w:t>
      </w:r>
      <w:r w:rsidRPr="00C50860">
        <w:rPr>
          <w:rStyle w:val="FootnoteReference"/>
          <w:position w:val="-1"/>
        </w:rPr>
        <w:footnoteReference w:id="169"/>
      </w:r>
    </w:p>
    <w:p w14:paraId="24637797"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of a leave of absence pursuant to the Hawaii Family Leave Act;</w:t>
      </w:r>
      <w:r w:rsidRPr="00C50860">
        <w:rPr>
          <w:rStyle w:val="FootnoteReference"/>
          <w:position w:val="-1"/>
        </w:rPr>
        <w:footnoteReference w:id="170"/>
      </w:r>
      <w:r w:rsidRPr="00C50860">
        <w:t xml:space="preserve"> and</w:t>
      </w:r>
    </w:p>
    <w:p w14:paraId="014786FA" w14:textId="1F4F3C74"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The employee’s failure or refusal to operate or handle any machine, device, apparatus, or equipment that is in any unsafe condition</w:t>
      </w:r>
      <w:r w:rsidR="006F355C" w:rsidRPr="006F355C">
        <w:t>; o</w:t>
      </w:r>
      <w:r w:rsidRPr="00C50860">
        <w:t>r because of the employee’s failure or refusal to engage in unsafe practices in violation of this law or of any standard, rule, regulation, citation, or order issued under the authority of this law</w:t>
      </w:r>
      <w:r w:rsidR="006F355C" w:rsidRPr="006F355C">
        <w:t>; o</w:t>
      </w:r>
      <w:r w:rsidRPr="00C50860">
        <w:t>r because the employee has filed any complaint or instituted or caused to be instituted any proceeding under or related to this law, or because the employee has testified or intends to testify in any such proceeding, or acting to exercise or exercised on behalf of the employee or others any right afforded by this law.</w:t>
      </w:r>
      <w:r w:rsidRPr="00C50860">
        <w:rPr>
          <w:rStyle w:val="FootnoteReference"/>
          <w:position w:val="-1"/>
        </w:rPr>
        <w:footnoteReference w:id="171"/>
      </w:r>
    </w:p>
    <w:p w14:paraId="0329250B" w14:textId="77777777" w:rsidR="006F355C" w:rsidRPr="006F355C" w:rsidRDefault="00EC7962" w:rsidP="00A94D82">
      <w:pPr>
        <w:pStyle w:val="Heading2"/>
      </w:pPr>
      <w:r w:rsidRPr="00C50860">
        <w:t>A.</w:t>
      </w:r>
      <w:r w:rsidRPr="00C50860">
        <w:tab/>
        <w:t>Employment Discrimination</w:t>
      </w:r>
    </w:p>
    <w:p w14:paraId="757BE34D" w14:textId="21E03C51" w:rsidR="006F355C" w:rsidRPr="006F355C" w:rsidRDefault="00EC7962" w:rsidP="00A94D82">
      <w:r w:rsidRPr="00C50860">
        <w:t xml:space="preserve">In </w:t>
      </w:r>
      <w:r w:rsidRPr="00C50860">
        <w:rPr>
          <w:rFonts w:cs="NewBaskerville-Italic"/>
          <w:i/>
          <w:iCs/>
        </w:rPr>
        <w:t>Lales v</w:t>
      </w:r>
      <w:r w:rsidR="006F355C" w:rsidRPr="006F355C">
        <w:rPr>
          <w:rFonts w:cs="NewBaskerville-Italic"/>
          <w:i/>
          <w:iCs/>
        </w:rPr>
        <w:t>. W</w:t>
      </w:r>
      <w:r w:rsidRPr="00C50860">
        <w:rPr>
          <w:rFonts w:cs="NewBaskerville-Italic"/>
          <w:i/>
          <w:iCs/>
        </w:rPr>
        <w:t>holesale Motors Co</w:t>
      </w:r>
      <w:r w:rsidRPr="00C50860">
        <w:t>.,</w:t>
      </w:r>
      <w:r w:rsidRPr="00C50860">
        <w:rPr>
          <w:rStyle w:val="FootnoteReference"/>
          <w:position w:val="-1"/>
        </w:rPr>
        <w:footnoteReference w:id="172"/>
      </w:r>
      <w:r w:rsidRPr="00C50860">
        <w:t xml:space="preserve"> a car salesperson brought suit against his supervisor and his former employer, claiming national origin discrimination (French ancestry) and retaliation in violation of state and federal law</w:t>
      </w:r>
      <w:r w:rsidR="006F355C" w:rsidRPr="006F355C">
        <w:t>. T</w:t>
      </w:r>
      <w:r w:rsidRPr="00C50860">
        <w:t>he Hawaii Supreme Court overturned the trial court’s award of summary judgment to the employer.</w:t>
      </w:r>
    </w:p>
    <w:p w14:paraId="5BBE88C0" w14:textId="7BD8F34F" w:rsidR="006F355C" w:rsidRPr="006F355C" w:rsidRDefault="00EC7962" w:rsidP="00A94D82">
      <w:r w:rsidRPr="00C50860">
        <w:t>The Hawaii Supreme Court described the similarities and differences between Hawaii’s employment discrimination act and analogous federal statutes</w:t>
      </w:r>
      <w:r w:rsidR="006F355C" w:rsidRPr="006F355C">
        <w:t>. T</w:t>
      </w:r>
      <w:r w:rsidRPr="00C50860">
        <w:t>he court followed federal law and ruled that, under Hawaii’s anti-discrimination employment statute, supervisors and managers could not be sued because they were not “employers.”</w:t>
      </w:r>
      <w:r w:rsidRPr="00C50860">
        <w:rPr>
          <w:rStyle w:val="FootnoteReference"/>
          <w:position w:val="-1"/>
        </w:rPr>
        <w:footnoteReference w:id="173"/>
      </w:r>
      <w:r w:rsidRPr="00C50860">
        <w:t xml:space="preserve"> The court ruled that, unlike federal law, employers do not enjoy a </w:t>
      </w:r>
      <w:r w:rsidRPr="00C50860">
        <w:rPr>
          <w:rFonts w:cs="NewBaskerville-Italic"/>
          <w:i/>
          <w:iCs/>
        </w:rPr>
        <w:t>Faragher</w:t>
      </w:r>
      <w:r w:rsidRPr="00C50860">
        <w:rPr>
          <w:rStyle w:val="FootnoteReference"/>
          <w:position w:val="-1"/>
        </w:rPr>
        <w:footnoteReference w:id="174"/>
      </w:r>
      <w:r w:rsidRPr="00C50860">
        <w:t xml:space="preserve"> affirmative defense because the state agency responsible for enforcing Hawaii’s employment statute had adopted an administrative rule</w:t>
      </w:r>
      <w:r w:rsidRPr="00C50860">
        <w:rPr>
          <w:rStyle w:val="FootnoteReference"/>
          <w:position w:val="-1"/>
        </w:rPr>
        <w:footnoteReference w:id="175"/>
      </w:r>
      <w:r w:rsidRPr="00C50860">
        <w:t xml:space="preserve"> holding employers strictly liable for the discriminatory acts of its supervisors, and that deferral to the agency rule was appropriate.</w:t>
      </w:r>
      <w:r w:rsidRPr="00C50860">
        <w:rPr>
          <w:rStyle w:val="FootnoteReference"/>
          <w:position w:val="-1"/>
        </w:rPr>
        <w:footnoteReference w:id="176"/>
      </w:r>
      <w:r w:rsidRPr="00C50860">
        <w:t xml:space="preserve"> The court also found that while supervisors and managers could not be held liable under the definition of “employer,” they could be held liable for discriminatory acts under the provision prohibiting “any person, whether an employer, employee, or not, to aid, abet, incite, compel, or coerce the doing of any of the discriminatory practices forbidden by this part, or to attempt to do so[.]”</w:t>
      </w:r>
      <w:r w:rsidRPr="00C50860">
        <w:rPr>
          <w:rStyle w:val="FootnoteReference"/>
          <w:position w:val="-1"/>
        </w:rPr>
        <w:footnoteReference w:id="177"/>
      </w:r>
    </w:p>
    <w:p w14:paraId="5B15558C" w14:textId="3AC56E67" w:rsidR="006F355C" w:rsidRPr="006F355C" w:rsidRDefault="00EC7962" w:rsidP="00A94D82">
      <w:pPr>
        <w:rPr>
          <w:rFonts w:eastAsia="Cambria"/>
        </w:rPr>
      </w:pPr>
      <w:r w:rsidRPr="00C50860">
        <w:rPr>
          <w:rFonts w:eastAsia="Cambria"/>
        </w:rPr>
        <w:t xml:space="preserve">In </w:t>
      </w:r>
      <w:r w:rsidRPr="00C50860">
        <w:rPr>
          <w:rFonts w:eastAsia="Cambria" w:cs="NewBaskerville-Italic"/>
          <w:i/>
          <w:iCs/>
        </w:rPr>
        <w:t>Sirois v</w:t>
      </w:r>
      <w:r w:rsidR="006F355C" w:rsidRPr="006F355C">
        <w:rPr>
          <w:rFonts w:eastAsia="Cambria" w:cs="NewBaskerville-Italic"/>
          <w:i/>
          <w:iCs/>
        </w:rPr>
        <w:t>. E</w:t>
      </w:r>
      <w:r w:rsidRPr="00C50860">
        <w:rPr>
          <w:rFonts w:eastAsia="Cambria" w:cs="NewBaskerville-Italic"/>
          <w:i/>
          <w:iCs/>
        </w:rPr>
        <w:t>ast West Partners, Inc.</w:t>
      </w:r>
      <w:r w:rsidRPr="00C50860">
        <w:rPr>
          <w:rFonts w:eastAsia="Cambria"/>
        </w:rPr>
        <w:t>, the federal district court denied a motion to dismiss for failure to state a claim filed by the human resources director and the chief executive officer.</w:t>
      </w:r>
      <w:r w:rsidRPr="00C50860">
        <w:rPr>
          <w:rFonts w:eastAsia="Cambria" w:cs="TimesNewRomanPSMT"/>
          <w:position w:val="-1"/>
          <w:vertAlign w:val="superscript"/>
        </w:rPr>
        <w:footnoteReference w:id="178"/>
      </w:r>
      <w:r w:rsidRPr="00C50860">
        <w:rPr>
          <w:rFonts w:eastAsia="Cambria"/>
        </w:rPr>
        <w:t xml:space="preserve"> The court ruled they could be held personally liable under Hawaii’s statute stating that “any person” may not “aid, abet, incite, compel, or coerce the doing of any discriminatory practice … or to attempt to do so[],” based on the plaintiff’s allegation that they failed to investigate her claim of a hostile work environment and, instead, terminated her employment.</w:t>
      </w:r>
      <w:r w:rsidRPr="00C50860">
        <w:rPr>
          <w:rFonts w:eastAsia="Cambria" w:cs="TimesNewRomanPSMT"/>
          <w:position w:val="-1"/>
          <w:vertAlign w:val="superscript"/>
        </w:rPr>
        <w:footnoteReference w:id="179"/>
      </w:r>
    </w:p>
    <w:p w14:paraId="44F6FA1B" w14:textId="68B9A440" w:rsidR="006F355C" w:rsidRPr="006F355C" w:rsidRDefault="00EC7962" w:rsidP="00A94D82">
      <w:pPr>
        <w:rPr>
          <w:rFonts w:eastAsia="Cambria"/>
        </w:rPr>
      </w:pPr>
      <w:r w:rsidRPr="00C50860">
        <w:rPr>
          <w:rFonts w:eastAsia="Cambria"/>
        </w:rPr>
        <w:t>The plaintiff performed office and clerical work, and she was the only full-time employee in Hawaii</w:t>
      </w:r>
      <w:r w:rsidR="006F355C" w:rsidRPr="006F355C">
        <w:rPr>
          <w:rFonts w:eastAsia="Cambria"/>
        </w:rPr>
        <w:t>. H</w:t>
      </w:r>
      <w:r w:rsidRPr="00C50860">
        <w:rPr>
          <w:rFonts w:eastAsia="Cambria"/>
        </w:rPr>
        <w:t>er employer was a Colorado-based company that developed luxury real estate on the Island of Kauai</w:t>
      </w:r>
      <w:r w:rsidR="006F355C" w:rsidRPr="006F355C">
        <w:rPr>
          <w:rFonts w:eastAsia="Cambria"/>
        </w:rPr>
        <w:t>. T</w:t>
      </w:r>
      <w:r w:rsidRPr="00C50860">
        <w:rPr>
          <w:rFonts w:eastAsia="Cambria"/>
        </w:rPr>
        <w:t>he only other Hawaii employee was the plaintiff’s supervisor, but he only worked part-time in the Kauai office</w:t>
      </w:r>
      <w:r w:rsidR="006F355C" w:rsidRPr="006F355C">
        <w:rPr>
          <w:rFonts w:eastAsia="Cambria"/>
        </w:rPr>
        <w:t>. T</w:t>
      </w:r>
      <w:r w:rsidRPr="00C50860">
        <w:rPr>
          <w:rFonts w:eastAsia="Cambria"/>
        </w:rPr>
        <w:t>he plaintiff alleged the supervisor created a hostile work environment by, among other things, “pimp[</w:t>
      </w:r>
      <w:proofErr w:type="spellStart"/>
      <w:r w:rsidRPr="00C50860">
        <w:rPr>
          <w:rFonts w:eastAsia="Cambria"/>
        </w:rPr>
        <w:t>ing</w:t>
      </w:r>
      <w:proofErr w:type="spellEnd"/>
      <w:r w:rsidRPr="00C50860">
        <w:rPr>
          <w:rFonts w:eastAsia="Cambria"/>
        </w:rPr>
        <w:t>] out” his wife to a wealthy customer, requiring plaintiff to cover up the affair, and demanding the plaintiff hire “hot” dancers for marketing events.</w:t>
      </w:r>
      <w:r w:rsidRPr="00C50860">
        <w:rPr>
          <w:rFonts w:eastAsia="Cambria" w:cs="TimesNewRomanPSMT"/>
          <w:position w:val="-1"/>
          <w:vertAlign w:val="superscript"/>
        </w:rPr>
        <w:footnoteReference w:id="180"/>
      </w:r>
    </w:p>
    <w:p w14:paraId="6355DF2C" w14:textId="215CA8CB" w:rsidR="006F355C" w:rsidRPr="006F355C" w:rsidRDefault="00EC7962" w:rsidP="00A94D82">
      <w:pPr>
        <w:rPr>
          <w:rFonts w:eastAsia="Cambria"/>
        </w:rPr>
      </w:pPr>
      <w:r w:rsidRPr="00C50860">
        <w:rPr>
          <w:rFonts w:eastAsia="Cambria"/>
        </w:rPr>
        <w:t>The plaintiff, a lesbian, reported her complaints to the human resources director based in Colorado and, subsequently, to the chief executive officer also based in Colorado</w:t>
      </w:r>
      <w:r w:rsidR="006F355C" w:rsidRPr="006F355C">
        <w:rPr>
          <w:rFonts w:eastAsia="Cambria"/>
        </w:rPr>
        <w:t>. A</w:t>
      </w:r>
      <w:r w:rsidRPr="00C50860">
        <w:rPr>
          <w:rFonts w:eastAsia="Cambria"/>
        </w:rPr>
        <w:t xml:space="preserve">ccording to her lawsuit, rather than </w:t>
      </w:r>
      <w:proofErr w:type="gramStart"/>
      <w:r w:rsidRPr="00C50860">
        <w:rPr>
          <w:rFonts w:eastAsia="Cambria"/>
        </w:rPr>
        <w:t>investigate</w:t>
      </w:r>
      <w:proofErr w:type="gramEnd"/>
      <w:r w:rsidRPr="00C50860">
        <w:rPr>
          <w:rFonts w:eastAsia="Cambria"/>
        </w:rPr>
        <w:t xml:space="preserve"> her complaint, they ignored her concerns and thereby aided and abetted the supervisor in creating a hostile work environment</w:t>
      </w:r>
      <w:r w:rsidR="006F355C" w:rsidRPr="006F355C">
        <w:rPr>
          <w:rFonts w:eastAsia="Cambria"/>
        </w:rPr>
        <w:t>. W</w:t>
      </w:r>
      <w:r w:rsidRPr="00C50860">
        <w:rPr>
          <w:rFonts w:eastAsia="Cambria"/>
        </w:rPr>
        <w:t>hen she persisted in her complaints, they terminated her employment.</w:t>
      </w:r>
      <w:r w:rsidRPr="00C50860">
        <w:rPr>
          <w:rFonts w:eastAsia="Cambria" w:cs="TimesNewRomanPSMT"/>
          <w:position w:val="-1"/>
          <w:vertAlign w:val="superscript"/>
        </w:rPr>
        <w:footnoteReference w:id="181"/>
      </w:r>
    </w:p>
    <w:p w14:paraId="7E031EB4" w14:textId="4EBD11DC" w:rsidR="006F355C" w:rsidRPr="006F355C" w:rsidRDefault="00EC7962" w:rsidP="00A94D82">
      <w:pPr>
        <w:rPr>
          <w:rFonts w:eastAsia="Cambria"/>
        </w:rPr>
      </w:pPr>
      <w:r w:rsidRPr="00C50860">
        <w:rPr>
          <w:rFonts w:eastAsia="Cambria"/>
        </w:rPr>
        <w:t xml:space="preserve">The court stated, “[t]o plead a valid claim under </w:t>
      </w:r>
      <w:r w:rsidRPr="00C50860">
        <w:rPr>
          <w:smallCaps/>
        </w:rPr>
        <w:t>Hawaii Revised Statute</w:t>
      </w:r>
      <w:r w:rsidRPr="00C50860">
        <w:rPr>
          <w:rFonts w:eastAsia="Cambria"/>
        </w:rPr>
        <w:t xml:space="preserve"> §378–2(a), a plaintiff need only identify (1) the allegedly aiding-and-abetting individual defendant ‘as the person who incited, compelled, or coerced the discriminatory actions’ against the plaintiff</w:t>
      </w:r>
      <w:r w:rsidR="006F355C" w:rsidRPr="006F355C">
        <w:rPr>
          <w:rFonts w:eastAsia="Cambria"/>
        </w:rPr>
        <w:t>; a</w:t>
      </w:r>
      <w:r w:rsidRPr="00C50860">
        <w:rPr>
          <w:rFonts w:eastAsia="Cambria"/>
        </w:rPr>
        <w:t>nd (2) another, different defendant or employee ‘as the person who was incited, compelled, or coerced into taking discriminatory actions’ against him.”</w:t>
      </w:r>
      <w:r w:rsidRPr="00C50860">
        <w:rPr>
          <w:rFonts w:eastAsia="Cambria" w:cs="TimesNewRomanPSMT"/>
          <w:position w:val="-1"/>
          <w:vertAlign w:val="superscript"/>
        </w:rPr>
        <w:footnoteReference w:id="182"/>
      </w:r>
      <w:r w:rsidRPr="00C50860">
        <w:rPr>
          <w:rFonts w:eastAsia="Cambria"/>
        </w:rPr>
        <w:t xml:space="preserve"> This test would be satisfied by “allegations involving ‘any communication by any of the individual defendants [that] led anyone else to discriminate or partake in unlawful practices’ against the plaintiff.”</w:t>
      </w:r>
      <w:r w:rsidRPr="00C50860">
        <w:rPr>
          <w:rFonts w:eastAsia="Cambria" w:cs="TimesNewRomanPSMT"/>
          <w:position w:val="-1"/>
          <w:vertAlign w:val="superscript"/>
        </w:rPr>
        <w:footnoteReference w:id="183"/>
      </w:r>
      <w:r w:rsidRPr="00C50860">
        <w:rPr>
          <w:rFonts w:eastAsia="Cambria"/>
        </w:rPr>
        <w:t xml:space="preserve"> The court rejected the defendants’ motion to dismiss, because “portions of the Complaint indicate that [supervisor’s] actions, and [human resources director] alike, were motivated by a goal to develop investors and clientele, and that [supervisor] was willing to do anything (including making his spouse available to those potential investors and clientele) to achieve this goal.”</w:t>
      </w:r>
      <w:r w:rsidRPr="00C50860">
        <w:rPr>
          <w:rFonts w:eastAsia="Cambria" w:cs="TimesNewRomanPSMT"/>
          <w:position w:val="-1"/>
          <w:vertAlign w:val="superscript"/>
        </w:rPr>
        <w:footnoteReference w:id="184"/>
      </w:r>
    </w:p>
    <w:p w14:paraId="6B5F9E2F" w14:textId="7AE4262C" w:rsidR="006F355C" w:rsidRPr="006F355C" w:rsidRDefault="00EC7962" w:rsidP="00C83813">
      <w:r w:rsidRPr="00C50860">
        <w:rPr>
          <w:rFonts w:eastAsia="Cambria"/>
        </w:rPr>
        <w:t xml:space="preserve">In </w:t>
      </w:r>
      <w:r w:rsidRPr="00C50860">
        <w:rPr>
          <w:rFonts w:eastAsia="Cambria"/>
          <w:i/>
          <w:iCs/>
        </w:rPr>
        <w:t>Begley v</w:t>
      </w:r>
      <w:r w:rsidR="006F355C" w:rsidRPr="006F355C">
        <w:rPr>
          <w:rFonts w:eastAsia="Cambria"/>
          <w:i/>
          <w:iCs/>
        </w:rPr>
        <w:t>. C</w:t>
      </w:r>
      <w:r w:rsidRPr="00C50860">
        <w:rPr>
          <w:rFonts w:eastAsia="Cambria"/>
          <w:i/>
          <w:iCs/>
        </w:rPr>
        <w:t>ounty of Kauai</w:t>
      </w:r>
      <w:r w:rsidRPr="00C50860">
        <w:rPr>
          <w:rFonts w:eastAsia="Cambria"/>
        </w:rPr>
        <w:t xml:space="preserve">, the federal court held that claims against individual defendants under </w:t>
      </w:r>
      <w:r w:rsidRPr="00C50860">
        <w:rPr>
          <w:rFonts w:eastAsia="Cambria"/>
          <w:smallCaps/>
          <w:color w:val="212121"/>
        </w:rPr>
        <w:t>Hawaii Revised Statutes</w:t>
      </w:r>
      <w:r w:rsidRPr="00C50860">
        <w:rPr>
          <w:rFonts w:eastAsia="Cambria"/>
          <w:color w:val="212121"/>
        </w:rPr>
        <w:t xml:space="preserve"> </w:t>
      </w:r>
      <w:r w:rsidRPr="00C50860">
        <w:rPr>
          <w:rFonts w:eastAsia="Cambria"/>
        </w:rPr>
        <w:t>§378-2(a)(3) are cognizable.</w:t>
      </w:r>
      <w:r w:rsidRPr="00C50860">
        <w:rPr>
          <w:rFonts w:eastAsia="Cambria" w:cs="TimesNewRomanPSMT"/>
          <w:vertAlign w:val="superscript"/>
        </w:rPr>
        <w:footnoteReference w:id="185"/>
      </w:r>
      <w:r w:rsidRPr="00C50860">
        <w:rPr>
          <w:rFonts w:eastAsia="Cambria"/>
        </w:rPr>
        <w:t xml:space="preserve"> Additionally, the court refused to grant the Kauai Chief of Police’s Motion for Summary Judgment because the plaintiff successfully established a prima facie case for his </w:t>
      </w:r>
      <w:r w:rsidRPr="00C50860">
        <w:rPr>
          <w:rFonts w:eastAsia="Cambria"/>
          <w:smallCaps/>
          <w:color w:val="212121"/>
        </w:rPr>
        <w:t>Hawaii Revised Statutes</w:t>
      </w:r>
      <w:r w:rsidRPr="00C50860">
        <w:rPr>
          <w:rFonts w:eastAsia="Cambria"/>
          <w:color w:val="212121"/>
        </w:rPr>
        <w:t xml:space="preserve"> </w:t>
      </w:r>
      <w:r w:rsidRPr="00C50860">
        <w:rPr>
          <w:rFonts w:eastAsia="Cambria"/>
        </w:rPr>
        <w:t>§378-2(a)(3) claim.</w:t>
      </w:r>
      <w:r w:rsidRPr="00C50860">
        <w:rPr>
          <w:rFonts w:eastAsia="Cambria" w:cs="TimesNewRomanPSMT"/>
          <w:vertAlign w:val="superscript"/>
        </w:rPr>
        <w:footnoteReference w:id="186"/>
      </w:r>
      <w:r w:rsidRPr="00C50860">
        <w:rPr>
          <w:rFonts w:eastAsia="Cambria"/>
        </w:rPr>
        <w:t xml:space="preserve"> It reasoned that “[t]his Court cannot weight the [defendant’s] evidence or make credibility determinations on summary judgment</w:t>
      </w:r>
      <w:r w:rsidR="006F355C" w:rsidRPr="006F355C">
        <w:rPr>
          <w:rFonts w:eastAsia="Cambria"/>
        </w:rPr>
        <w:t>. T</w:t>
      </w:r>
      <w:r w:rsidRPr="00C50860">
        <w:rPr>
          <w:rFonts w:eastAsia="Cambria"/>
        </w:rPr>
        <w:t>his Court therefore rejects [Defendant’s] arguments that Plaintiff has failed to establish the elements of his §378-2(a)(3) claim.”</w:t>
      </w:r>
      <w:r w:rsidRPr="00C50860">
        <w:rPr>
          <w:rFonts w:eastAsia="Cambria" w:cs="TimesNewRomanPSMT"/>
          <w:vertAlign w:val="superscript"/>
        </w:rPr>
        <w:footnoteReference w:id="187"/>
      </w:r>
    </w:p>
    <w:p w14:paraId="158D70D0" w14:textId="5630C133" w:rsidR="006F355C" w:rsidRPr="006F355C" w:rsidRDefault="00EC7962" w:rsidP="00A94D82">
      <w:r w:rsidRPr="00C50860">
        <w:t xml:space="preserve">In </w:t>
      </w:r>
      <w:r w:rsidRPr="00C50860">
        <w:rPr>
          <w:rFonts w:cs="NewBaskerville-Italic"/>
          <w:i/>
          <w:iCs/>
        </w:rPr>
        <w:t>Adams v</w:t>
      </w:r>
      <w:r w:rsidR="006F355C" w:rsidRPr="006F355C">
        <w:rPr>
          <w:rFonts w:cs="NewBaskerville-Italic"/>
          <w:i/>
          <w:iCs/>
        </w:rPr>
        <w:t>. C</w:t>
      </w:r>
      <w:r w:rsidRPr="00C50860">
        <w:rPr>
          <w:rFonts w:cs="NewBaskerville-Italic"/>
          <w:i/>
          <w:iCs/>
        </w:rPr>
        <w:t>DM Media USA, Inc.</w:t>
      </w:r>
      <w:r w:rsidRPr="00C50860">
        <w:t>,</w:t>
      </w:r>
      <w:r w:rsidRPr="00C50860">
        <w:rPr>
          <w:rFonts w:cs="NewBaskerville-Italic"/>
          <w:i/>
          <w:iCs/>
        </w:rPr>
        <w:t xml:space="preserve"> </w:t>
      </w:r>
      <w:r w:rsidRPr="00C50860">
        <w:t>a 59-year-old female filed an age discrimination lawsuit after her application for a sales position was denied.</w:t>
      </w:r>
      <w:r w:rsidRPr="00C50860">
        <w:rPr>
          <w:rStyle w:val="FootnoteReference"/>
          <w:position w:val="-1"/>
        </w:rPr>
        <w:footnoteReference w:id="188"/>
      </w:r>
      <w:r w:rsidRPr="00C50860">
        <w:t xml:space="preserve"> The trial court granted the employer’s summary judgment motion because the plaintiff failed to show that the employer’s stated nondiscriminatory reason was pretextual</w:t>
      </w:r>
      <w:r w:rsidR="006F355C" w:rsidRPr="006F355C">
        <w:t>. T</w:t>
      </w:r>
      <w:r w:rsidRPr="00C50860">
        <w:t>he Hawaii Supreme Court reversed and remanded the case to the trial court</w:t>
      </w:r>
      <w:r w:rsidR="006F355C" w:rsidRPr="006F355C">
        <w:t>. I</w:t>
      </w:r>
      <w:r w:rsidRPr="00C50860">
        <w:t xml:space="preserve">t </w:t>
      </w:r>
      <w:proofErr w:type="gramStart"/>
      <w:r w:rsidRPr="00C50860">
        <w:t>found</w:t>
      </w:r>
      <w:proofErr w:type="gramEnd"/>
      <w:r w:rsidRPr="00C50860">
        <w:t xml:space="preserve"> that the employer had not articulated a legitimate nondiscriminatory reason for refusing to hire the plaintiff.</w:t>
      </w:r>
    </w:p>
    <w:p w14:paraId="4319E342" w14:textId="0ECF93E3" w:rsidR="006F355C" w:rsidRPr="006F355C" w:rsidRDefault="00EC7962" w:rsidP="00A94D82">
      <w:r w:rsidRPr="00C50860">
        <w:t xml:space="preserve">Citing the </w:t>
      </w:r>
      <w:r w:rsidRPr="00C50860">
        <w:rPr>
          <w:rFonts w:cs="NewBaskerville-Italic"/>
          <w:i/>
          <w:iCs/>
        </w:rPr>
        <w:t>Shoppe v</w:t>
      </w:r>
      <w:r w:rsidR="006F355C" w:rsidRPr="006F355C">
        <w:rPr>
          <w:rFonts w:cs="NewBaskerville-Italic"/>
          <w:i/>
          <w:iCs/>
        </w:rPr>
        <w:t>. G</w:t>
      </w:r>
      <w:r w:rsidRPr="00C50860">
        <w:rPr>
          <w:rFonts w:cs="NewBaskerville-Italic"/>
          <w:i/>
          <w:iCs/>
        </w:rPr>
        <w:t>ucci America, Inc.</w:t>
      </w:r>
      <w:r w:rsidRPr="00C50860">
        <w:rPr>
          <w:rStyle w:val="FootnoteReference"/>
          <w:position w:val="-1"/>
        </w:rPr>
        <w:footnoteReference w:id="189"/>
      </w:r>
      <w:r w:rsidRPr="00C50860">
        <w:t xml:space="preserve"> decision, the </w:t>
      </w:r>
      <w:r w:rsidRPr="00C50860">
        <w:rPr>
          <w:rFonts w:cs="NewBaskerville-Italic"/>
          <w:i/>
          <w:iCs/>
        </w:rPr>
        <w:t>Adams</w:t>
      </w:r>
      <w:r w:rsidRPr="00C50860">
        <w:t xml:space="preserve"> court stated</w:t>
      </w:r>
      <w:r w:rsidR="006F355C" w:rsidRPr="006F355C">
        <w:t>: “</w:t>
      </w:r>
      <w:r w:rsidRPr="00C50860">
        <w:t xml:space="preserve">When analyzing a claim of age discrimination relying on circumstantial evidence, this court has set forth a three-step analysis, modifying the test adopted in </w:t>
      </w:r>
      <w:r w:rsidRPr="00C50860">
        <w:rPr>
          <w:rFonts w:cs="NewBaskerville-Italic"/>
          <w:i/>
          <w:iCs/>
        </w:rPr>
        <w:t>McDonnell Douglas Corp</w:t>
      </w:r>
      <w:r w:rsidR="006F355C" w:rsidRPr="006F355C">
        <w:rPr>
          <w:rFonts w:cs="NewBaskerville-Italic"/>
          <w:i/>
          <w:iCs/>
        </w:rPr>
        <w:t>. v. G</w:t>
      </w:r>
      <w:r w:rsidRPr="00C50860">
        <w:rPr>
          <w:rFonts w:cs="NewBaskerville-Italic"/>
          <w:i/>
          <w:iCs/>
        </w:rPr>
        <w:t>reen</w:t>
      </w:r>
      <w:r w:rsidRPr="00C50860">
        <w:t>.”</w:t>
      </w:r>
      <w:r w:rsidRPr="00C50860">
        <w:rPr>
          <w:rStyle w:val="FootnoteReference"/>
          <w:position w:val="-1"/>
        </w:rPr>
        <w:footnoteReference w:id="190"/>
      </w:r>
      <w:r w:rsidRPr="00C50860">
        <w:t xml:space="preserve"> Under the </w:t>
      </w:r>
      <w:r w:rsidRPr="00C50860">
        <w:rPr>
          <w:rFonts w:cs="NewBaskerville-Italic"/>
          <w:i/>
          <w:iCs/>
        </w:rPr>
        <w:t>McDonnell Douglas</w:t>
      </w:r>
      <w:r w:rsidRPr="00C50860">
        <w:t xml:space="preserve"> test</w:t>
      </w:r>
      <w:r w:rsidR="006F355C" w:rsidRPr="006F355C">
        <w:t>: “</w:t>
      </w:r>
      <w:r w:rsidRPr="00C50860">
        <w:t>First, the plaintiff must establish a prima facie case of discrimination by demonstrating, by a preponderance of the evidence, the following four elements</w:t>
      </w:r>
      <w:r w:rsidR="006F355C" w:rsidRPr="006F355C">
        <w:t>: (</w:t>
      </w:r>
      <w:r w:rsidRPr="00C50860">
        <w:t>1) that plaintiff is a member of a protected class</w:t>
      </w:r>
      <w:r w:rsidR="006F355C" w:rsidRPr="006F355C">
        <w:t>; (</w:t>
      </w:r>
      <w:r w:rsidRPr="00C50860">
        <w:t>2) that plaintiff is qualified for the position for which plaintiff has applied</w:t>
      </w:r>
      <w:r w:rsidR="006F355C" w:rsidRPr="006F355C">
        <w:t>; (</w:t>
      </w:r>
      <w:r w:rsidRPr="00C50860">
        <w:t>3) that plaintiff has suffered some adverse employment action</w:t>
      </w:r>
      <w:r w:rsidR="006F355C" w:rsidRPr="006F355C">
        <w:t>; a</w:t>
      </w:r>
      <w:r w:rsidRPr="00C50860">
        <w:t>nd (4) that the position still exists.”</w:t>
      </w:r>
      <w:r w:rsidRPr="00C50860">
        <w:rPr>
          <w:rStyle w:val="FootnoteReference"/>
          <w:position w:val="-1"/>
        </w:rPr>
        <w:footnoteReference w:id="191"/>
      </w:r>
      <w:r w:rsidRPr="00C50860">
        <w:t xml:space="preserve"> “[O]</w:t>
      </w:r>
      <w:proofErr w:type="spellStart"/>
      <w:r w:rsidRPr="00C50860">
        <w:t>nce</w:t>
      </w:r>
      <w:proofErr w:type="spellEnd"/>
      <w:r w:rsidRPr="00C50860">
        <w:t xml:space="preserve"> the plaintiff establishes a prima facie case of discrimination, the burden of production shifts to the defendant to articulate a legitimate, nondiscriminatory reason for the adverse employment action.”</w:t>
      </w:r>
      <w:r w:rsidRPr="00C50860">
        <w:rPr>
          <w:rStyle w:val="FootnoteReference"/>
          <w:position w:val="-1"/>
        </w:rPr>
        <w:footnoteReference w:id="192"/>
      </w:r>
      <w:r w:rsidRPr="00C50860">
        <w:t xml:space="preserve"> In the third step:</w:t>
      </w:r>
    </w:p>
    <w:p w14:paraId="31D9805E" w14:textId="77777777" w:rsidR="006F355C" w:rsidRPr="006F355C" w:rsidRDefault="00EC7962" w:rsidP="00A94D82">
      <w:pPr>
        <w:pStyle w:val="BlockQuote"/>
      </w:pPr>
      <w:r w:rsidRPr="00C50860">
        <w:t>[I]f the employer rebuts the prima facie case, the burden reverts to the plaintiff to demonstrate that the defendant’s proffered reasons were ‘pretextual.’ … A plaintiff may establish pretext by “persuading the court that a discriminatory reason more likely motivated the employer or by showing that the employer’s proffered explanation is unworthy of credence.</w:t>
      </w:r>
      <w:r w:rsidRPr="00C50860">
        <w:rPr>
          <w:rStyle w:val="FootnoteReference"/>
          <w:position w:val="-1"/>
        </w:rPr>
        <w:footnoteReference w:id="193"/>
      </w:r>
    </w:p>
    <w:p w14:paraId="363759C3" w14:textId="394A5198" w:rsidR="006F355C" w:rsidRPr="006F355C" w:rsidRDefault="00EC7962" w:rsidP="00A94D82">
      <w:pPr>
        <w:tabs>
          <w:tab w:val="left" w:pos="880"/>
        </w:tabs>
      </w:pPr>
      <w:r w:rsidRPr="00C50860">
        <w:t>Addressing the first prong, the court cited the trial court’s finding that the plaintiff had established a prima facie case</w:t>
      </w:r>
      <w:r w:rsidR="006F355C" w:rsidRPr="006F355C">
        <w:t>. “</w:t>
      </w:r>
      <w:r w:rsidRPr="00C50860">
        <w:t>First, Adams was fifty-nine years old at the time when she applied with CDM, so she is part of a protected class.”</w:t>
      </w:r>
      <w:r w:rsidRPr="00C50860">
        <w:rPr>
          <w:rStyle w:val="FootnoteReference"/>
          <w:position w:val="-1"/>
        </w:rPr>
        <w:footnoteReference w:id="194"/>
      </w:r>
      <w:r w:rsidRPr="00C50860">
        <w:t xml:space="preserve"> “Because sales experience was merely ‘preferred’ and Adams had extensive sales experience, Adams was qualified for the position and clearly satisfied the second element of the prima facie test.”</w:t>
      </w:r>
      <w:r w:rsidRPr="00C50860">
        <w:rPr>
          <w:rStyle w:val="FootnoteReference"/>
          <w:position w:val="-1"/>
        </w:rPr>
        <w:footnoteReference w:id="195"/>
      </w:r>
      <w:r w:rsidRPr="00C50860">
        <w:t xml:space="preserve"> “As to the third element, Adams suffered an adverse employment action when CDM decided not to hire her</w:t>
      </w:r>
      <w:r w:rsidR="006F355C" w:rsidRPr="006F355C">
        <w:t>. I</w:t>
      </w:r>
      <w:r w:rsidRPr="00C50860">
        <w:t>n regard to the fourth element, the position continued to exist after she received a rejection letter on March 1, 2009, because later that year CDM hired seven persons as [sales executives].”</w:t>
      </w:r>
      <w:r w:rsidRPr="00C50860">
        <w:rPr>
          <w:rStyle w:val="FootnoteReference"/>
          <w:position w:val="-1"/>
        </w:rPr>
        <w:footnoteReference w:id="196"/>
      </w:r>
    </w:p>
    <w:p w14:paraId="0529DB50" w14:textId="6C16DC39" w:rsidR="006F355C" w:rsidRPr="006F355C" w:rsidRDefault="00EC7962" w:rsidP="00A94D82">
      <w:pPr>
        <w:tabs>
          <w:tab w:val="left" w:pos="880"/>
        </w:tabs>
      </w:pPr>
      <w:r w:rsidRPr="00C50860">
        <w:t xml:space="preserve">Focusing on the second prong, the </w:t>
      </w:r>
      <w:r w:rsidRPr="00C50860">
        <w:rPr>
          <w:rFonts w:cs="NewBaskerville-Italic"/>
          <w:i/>
          <w:iCs/>
        </w:rPr>
        <w:t>Adams</w:t>
      </w:r>
      <w:r w:rsidRPr="00C50860">
        <w:t xml:space="preserve"> court broke new ground and ruled that the employer could satisfy its burden of production only if the “legitimate, nondiscriminatory reason” was one of the enumerated statutory exceptions to the general prohibition against employment discrimination.</w:t>
      </w:r>
      <w:r w:rsidRPr="00C50860">
        <w:rPr>
          <w:rStyle w:val="FootnoteReference"/>
          <w:position w:val="-1"/>
        </w:rPr>
        <w:footnoteReference w:id="197"/>
      </w:r>
      <w:r w:rsidRPr="00C50860">
        <w:t xml:space="preserve"> The court ruled that </w:t>
      </w:r>
      <w:r w:rsidRPr="00C50860">
        <w:rPr>
          <w:smallCaps/>
        </w:rPr>
        <w:t>Hawaii</w:t>
      </w:r>
      <w:r w:rsidRPr="00C50860">
        <w:t xml:space="preserve"> </w:t>
      </w:r>
      <w:r w:rsidRPr="00C50860">
        <w:rPr>
          <w:smallCaps/>
        </w:rPr>
        <w:t>Revised Statutes</w:t>
      </w:r>
      <w:r w:rsidRPr="00C50860">
        <w:t xml:space="preserve"> §378-3, which lists 11 exceptions to the general prohibition against employment discrimination, sets forth the exclusive list of reasons permitting lawful discrimination</w:t>
      </w:r>
      <w:r w:rsidR="006F355C" w:rsidRPr="006F355C">
        <w:t>. A</w:t>
      </w:r>
      <w:r w:rsidRPr="00C50860">
        <w:t>mong the listed exceptions is “[r]</w:t>
      </w:r>
      <w:proofErr w:type="spellStart"/>
      <w:r w:rsidRPr="00C50860">
        <w:t>efusing</w:t>
      </w:r>
      <w:proofErr w:type="spellEnd"/>
      <w:r w:rsidRPr="00C50860">
        <w:t xml:space="preserve"> to hire, refer, or discharge any individual for reasons relating to the ability of the individual to perform the work in question.”</w:t>
      </w:r>
      <w:r w:rsidRPr="00C50860">
        <w:rPr>
          <w:rStyle w:val="FootnoteReference"/>
          <w:position w:val="-1"/>
        </w:rPr>
        <w:footnoteReference w:id="198"/>
      </w:r>
    </w:p>
    <w:p w14:paraId="5C90D872" w14:textId="77777777" w:rsidR="006F355C" w:rsidRPr="006F355C" w:rsidRDefault="00EC7962" w:rsidP="00A94D82">
      <w:pPr>
        <w:tabs>
          <w:tab w:val="left" w:pos="880"/>
        </w:tabs>
      </w:pPr>
      <w:r w:rsidRPr="00C50860">
        <w:t xml:space="preserve">Applying this rubric, the </w:t>
      </w:r>
      <w:r w:rsidRPr="00C50860">
        <w:rPr>
          <w:rFonts w:cs="NewBaskerville-Italic"/>
          <w:i/>
          <w:iCs/>
        </w:rPr>
        <w:t>Adams</w:t>
      </w:r>
      <w:r w:rsidRPr="00C50860">
        <w:t xml:space="preserve"> court found that the defendant’s explanation that the plaintiff was not hired for the sales position because she lacked “sales experience in the last five years” raised a genuine issue of material fact that precluded summary judgment.</w:t>
      </w:r>
      <w:r w:rsidRPr="00C50860">
        <w:rPr>
          <w:rStyle w:val="FootnoteReference"/>
          <w:position w:val="-1"/>
        </w:rPr>
        <w:footnoteReference w:id="199"/>
      </w:r>
      <w:r w:rsidRPr="00C50860">
        <w:t xml:space="preserve"> While the announcement stated “sales experience preferred,” the court found that the employer could not rely upon this argument because the decision-maker specifically disavowed relying on any job posting criteria.</w:t>
      </w:r>
      <w:r w:rsidRPr="00C50860">
        <w:rPr>
          <w:rStyle w:val="FootnoteReference"/>
          <w:position w:val="-1"/>
        </w:rPr>
        <w:footnoteReference w:id="200"/>
      </w:r>
      <w:r w:rsidRPr="00C50860">
        <w:t xml:space="preserve"> Additionally, the court found that the job posting offered sales training to applicants, and so the “lack of sales experience in that last five years” was not related to the plaintiff’s ability to perform the work.</w:t>
      </w:r>
      <w:r w:rsidRPr="00C50860">
        <w:rPr>
          <w:rStyle w:val="FootnoteReference"/>
          <w:position w:val="-1"/>
        </w:rPr>
        <w:footnoteReference w:id="201"/>
      </w:r>
      <w:r w:rsidRPr="00C50860">
        <w:t xml:space="preserve"> Finally, the court pointed out that the record showed the plaintiff had sold “yellow pages” ads and even won several sales awards.</w:t>
      </w:r>
      <w:r w:rsidRPr="00C50860">
        <w:rPr>
          <w:rStyle w:val="FootnoteReference"/>
          <w:position w:val="-1"/>
        </w:rPr>
        <w:footnoteReference w:id="202"/>
      </w:r>
      <w:r w:rsidRPr="00C50860">
        <w:t xml:space="preserve"> Thus, the court found the employer failed to establish a legitimate, nondiscriminatory business reason “relating to the ability of the individual to perform the work in question.”</w:t>
      </w:r>
      <w:r w:rsidRPr="00C50860">
        <w:rPr>
          <w:rStyle w:val="FootnoteReference"/>
          <w:position w:val="-1"/>
        </w:rPr>
        <w:footnoteReference w:id="203"/>
      </w:r>
      <w:r w:rsidRPr="00C50860">
        <w:t xml:space="preserve"> The court also concluded that, since the employer produced no legitimate nondiscriminatory business reason for the rejection of the plaintiff’s application for employment, the plaintiff was not required to demonstrate that the employer’s reason was pretextual.</w:t>
      </w:r>
      <w:r w:rsidRPr="00C50860">
        <w:rPr>
          <w:rStyle w:val="FootnoteReference"/>
          <w:position w:val="-1"/>
        </w:rPr>
        <w:footnoteReference w:id="204"/>
      </w:r>
    </w:p>
    <w:p w14:paraId="720018EB" w14:textId="23B1FD85" w:rsidR="006F355C" w:rsidRPr="006F355C" w:rsidRDefault="00EC7962" w:rsidP="00A94D82">
      <w:pPr>
        <w:tabs>
          <w:tab w:val="left" w:pos="880"/>
        </w:tabs>
      </w:pPr>
      <w:r w:rsidRPr="00C50860">
        <w:t xml:space="preserve">In 2015, the Hawaii Supreme Court in </w:t>
      </w:r>
      <w:proofErr w:type="spellStart"/>
      <w:r w:rsidRPr="00C50860">
        <w:rPr>
          <w:rFonts w:cs="NewBaskerville-Italic"/>
          <w:i/>
          <w:iCs/>
        </w:rPr>
        <w:t>Shimose</w:t>
      </w:r>
      <w:proofErr w:type="spellEnd"/>
      <w:r w:rsidRPr="00C50860">
        <w:rPr>
          <w:rFonts w:cs="NewBaskerville-Italic"/>
          <w:i/>
          <w:iCs/>
        </w:rPr>
        <w:t xml:space="preserve"> v</w:t>
      </w:r>
      <w:r w:rsidR="006F355C" w:rsidRPr="006F355C">
        <w:rPr>
          <w:rFonts w:cs="NewBaskerville-Italic"/>
          <w:i/>
          <w:iCs/>
        </w:rPr>
        <w:t>. H</w:t>
      </w:r>
      <w:r w:rsidRPr="00C50860">
        <w:rPr>
          <w:rFonts w:cs="NewBaskerville-Italic"/>
          <w:i/>
          <w:iCs/>
        </w:rPr>
        <w:t>awaii Health Systems Corp</w:t>
      </w:r>
      <w:r w:rsidRPr="00C50860">
        <w:t>.,</w:t>
      </w:r>
      <w:r w:rsidRPr="00C50860">
        <w:rPr>
          <w:rStyle w:val="FootnoteReference"/>
          <w:position w:val="-1"/>
        </w:rPr>
        <w:footnoteReference w:id="205"/>
      </w:r>
      <w:r w:rsidRPr="00C50860">
        <w:rPr>
          <w:rFonts w:cs="NewBaskerville-Bold"/>
          <w:b/>
          <w:bCs/>
        </w:rPr>
        <w:t xml:space="preserve"> </w:t>
      </w:r>
      <w:r w:rsidRPr="00C50860">
        <w:t>expanded the rights of those convicted of a crime</w:t>
      </w:r>
      <w:r w:rsidR="006F355C" w:rsidRPr="006F355C">
        <w:t xml:space="preserve">. </w:t>
      </w:r>
      <w:proofErr w:type="spellStart"/>
      <w:r w:rsidR="006F355C" w:rsidRPr="006F355C">
        <w:t>S</w:t>
      </w:r>
      <w:r w:rsidRPr="00C50860">
        <w:t>himose</w:t>
      </w:r>
      <w:proofErr w:type="spellEnd"/>
      <w:r w:rsidRPr="00C50860">
        <w:t xml:space="preserve"> was convicted of possession with intent to distribute crystal methamphetamine in 2001.</w:t>
      </w:r>
      <w:r w:rsidRPr="00C50860">
        <w:rPr>
          <w:rStyle w:val="FootnoteReference"/>
          <w:position w:val="-1"/>
        </w:rPr>
        <w:footnoteReference w:id="206"/>
      </w:r>
      <w:r w:rsidRPr="00C50860">
        <w:t xml:space="preserve"> While in prison, he completed a bachelor’s degree in philosophy, and later, an associate degree in radiologic technology (</w:t>
      </w:r>
      <w:proofErr w:type="spellStart"/>
      <w:r w:rsidRPr="00C50860">
        <w:t>radtech</w:t>
      </w:r>
      <w:proofErr w:type="spellEnd"/>
      <w:r w:rsidRPr="00C50860">
        <w:t>).</w:t>
      </w:r>
      <w:r w:rsidRPr="00C50860">
        <w:rPr>
          <w:rStyle w:val="FootnoteReference"/>
          <w:position w:val="-1"/>
        </w:rPr>
        <w:footnoteReference w:id="207"/>
      </w:r>
      <w:r w:rsidRPr="00C50860">
        <w:t xml:space="preserve"> In 2007, he applied for employment with the defendant hospital as a </w:t>
      </w:r>
      <w:proofErr w:type="spellStart"/>
      <w:r w:rsidRPr="00C50860">
        <w:t>radtech</w:t>
      </w:r>
      <w:proofErr w:type="spellEnd"/>
      <w:r w:rsidRPr="00C50860">
        <w:t xml:space="preserve"> but was denied employment.</w:t>
      </w:r>
      <w:r w:rsidRPr="00C50860">
        <w:rPr>
          <w:rStyle w:val="FootnoteReference"/>
          <w:position w:val="-1"/>
        </w:rPr>
        <w:footnoteReference w:id="208"/>
      </w:r>
    </w:p>
    <w:p w14:paraId="0699A2FD" w14:textId="77777777" w:rsidR="006F355C" w:rsidRPr="006F355C" w:rsidRDefault="00EC7962" w:rsidP="00A94D82">
      <w:pPr>
        <w:tabs>
          <w:tab w:val="left" w:pos="880"/>
        </w:tabs>
      </w:pPr>
      <w:proofErr w:type="spellStart"/>
      <w:r w:rsidRPr="00C50860">
        <w:t>Shimose</w:t>
      </w:r>
      <w:proofErr w:type="spellEnd"/>
      <w:r w:rsidRPr="00C50860">
        <w:t xml:space="preserve"> filed a charge with the state enforcement agency alleging a violation of </w:t>
      </w:r>
      <w:r w:rsidRPr="00C50860">
        <w:rPr>
          <w:smallCaps/>
        </w:rPr>
        <w:t>Hawaii Revised Statutes</w:t>
      </w:r>
      <w:r w:rsidRPr="00C50860">
        <w:t xml:space="preserve"> §378-2, which prohibits employment discrimination based upon “arrest and court record.”</w:t>
      </w:r>
      <w:r w:rsidRPr="00C50860">
        <w:rPr>
          <w:rStyle w:val="FootnoteReference"/>
          <w:position w:val="-1"/>
        </w:rPr>
        <w:footnoteReference w:id="209"/>
      </w:r>
      <w:r w:rsidRPr="00C50860">
        <w:t xml:space="preserve"> The enforcement agency determined that “the medical center was lawfully entitled to consider </w:t>
      </w:r>
      <w:proofErr w:type="spellStart"/>
      <w:r w:rsidRPr="00C50860">
        <w:t>Shimose’s</w:t>
      </w:r>
      <w:proofErr w:type="spellEnd"/>
      <w:r w:rsidRPr="00C50860">
        <w:t xml:space="preserve"> 2001 felony drug conviction in accordance with §378–2.5(1), and the conviction disqualified </w:t>
      </w:r>
      <w:proofErr w:type="spellStart"/>
      <w:r w:rsidRPr="00C50860">
        <w:t>Shimose</w:t>
      </w:r>
      <w:proofErr w:type="spellEnd"/>
      <w:r w:rsidRPr="00C50860">
        <w:t xml:space="preserve"> from the position.”</w:t>
      </w:r>
      <w:r w:rsidRPr="00C50860">
        <w:rPr>
          <w:rStyle w:val="FootnoteReference"/>
          <w:position w:val="-1"/>
        </w:rPr>
        <w:footnoteReference w:id="210"/>
      </w:r>
      <w:r w:rsidRPr="00C50860">
        <w:t xml:space="preserve"> The trial court granted the hospital’s motion for summary judgment and the Intermediate Court of Appeals affirmed.</w:t>
      </w:r>
      <w:r w:rsidRPr="00C50860">
        <w:rPr>
          <w:rStyle w:val="FootnoteReference"/>
          <w:position w:val="-1"/>
        </w:rPr>
        <w:footnoteReference w:id="211"/>
      </w:r>
    </w:p>
    <w:p w14:paraId="51AA89EB" w14:textId="77777777" w:rsidR="006F355C" w:rsidRPr="006F355C" w:rsidRDefault="00EC7962" w:rsidP="00A94D82">
      <w:pPr>
        <w:tabs>
          <w:tab w:val="left" w:pos="880"/>
        </w:tabs>
      </w:pPr>
      <w:r w:rsidRPr="00C50860">
        <w:t>The Hawaii Supreme Court reversed.</w:t>
      </w:r>
      <w:r w:rsidRPr="00C50860">
        <w:rPr>
          <w:rStyle w:val="FootnoteReference"/>
          <w:position w:val="-1"/>
        </w:rPr>
        <w:footnoteReference w:id="212"/>
      </w:r>
      <w:r w:rsidRPr="00C50860">
        <w:t xml:space="preserve"> The court ruled that the term “rational relationship” in §378-2.5, which allows employers to deny employment based on an individual’s conviction record “provided that the conviction record bears a rational relationship to the duties and responsibilities of the position,” “is not coextensive with the ultra-deferential rational basis test that is used in some equal protection cases” and “the standard of rationality must find some footing in the realities of the subject.”</w:t>
      </w:r>
      <w:r w:rsidRPr="00C50860">
        <w:rPr>
          <w:rStyle w:val="FootnoteReference"/>
          <w:position w:val="-1"/>
        </w:rPr>
        <w:footnoteReference w:id="213"/>
      </w:r>
      <w:r w:rsidRPr="00C50860">
        <w:t xml:space="preserve"> According to the court:</w:t>
      </w:r>
    </w:p>
    <w:p w14:paraId="52ED9EBA" w14:textId="07D6A16F" w:rsidR="006F355C" w:rsidRPr="006F355C" w:rsidRDefault="00EC7962" w:rsidP="00A94D82">
      <w:pPr>
        <w:pStyle w:val="BlockQuote"/>
      </w:pPr>
      <w:r w:rsidRPr="00C50860">
        <w:t>When presented with cross-motions for summary judgment in the context of HRS §§378–2 and 378–2.5 the court’s task is two-fold</w:t>
      </w:r>
      <w:r w:rsidR="006F355C" w:rsidRPr="006F355C">
        <w:t>. F</w:t>
      </w:r>
      <w:r w:rsidRPr="00C50860">
        <w:t>irst, the court must appraise itself of the undisputed material facts relating to the duties and responsibilities of the position</w:t>
      </w:r>
      <w:r w:rsidR="006F355C" w:rsidRPr="006F355C">
        <w:t>. I</w:t>
      </w:r>
      <w:r w:rsidRPr="00C50860">
        <w:t>n so doing, the court is not necessarily limited to duties and responsibilities contained in a formal job description</w:t>
      </w:r>
      <w:r w:rsidR="006F355C" w:rsidRPr="006F355C">
        <w:t>. S</w:t>
      </w:r>
      <w:r w:rsidRPr="00C50860">
        <w:t>econd, the court must analyze the rationality of any relationship that the defendant has asserted between the conviction and the employee’s ability to perform his or her undisputed job duties</w:t>
      </w:r>
      <w:r w:rsidR="006F355C" w:rsidRPr="006F355C">
        <w:t>. W</w:t>
      </w:r>
      <w:r w:rsidRPr="00C50860">
        <w:t>here factual issues bearing on the rationality of an asserted relationship remain, neither party is entitled to summary judgment.</w:t>
      </w:r>
      <w:r w:rsidRPr="00C50860">
        <w:rPr>
          <w:rStyle w:val="FootnoteReference"/>
          <w:position w:val="-1"/>
        </w:rPr>
        <w:footnoteReference w:id="214"/>
      </w:r>
    </w:p>
    <w:p w14:paraId="1665A50B" w14:textId="77777777" w:rsidR="006F355C" w:rsidRPr="006F355C" w:rsidRDefault="00EC7962" w:rsidP="00A94D82">
      <w:pPr>
        <w:tabs>
          <w:tab w:val="left" w:pos="440"/>
        </w:tabs>
      </w:pPr>
      <w:r w:rsidRPr="00C50860">
        <w:t xml:space="preserve">Applying this test of “rational relationship,” the court found that there was no rational relationship between </w:t>
      </w:r>
      <w:proofErr w:type="spellStart"/>
      <w:r w:rsidRPr="00C50860">
        <w:t>Shimose’s</w:t>
      </w:r>
      <w:proofErr w:type="spellEnd"/>
      <w:r w:rsidRPr="00C50860">
        <w:t xml:space="preserve"> prior conviction of possession with intent to distribute crystal methamphetamine and a </w:t>
      </w:r>
      <w:proofErr w:type="spellStart"/>
      <w:r w:rsidRPr="00C50860">
        <w:t>radtech’s</w:t>
      </w:r>
      <w:proofErr w:type="spellEnd"/>
      <w:r w:rsidRPr="00C50860">
        <w:t xml:space="preserve"> core duties, because </w:t>
      </w:r>
      <w:proofErr w:type="spellStart"/>
      <w:r w:rsidRPr="00C50860">
        <w:t>radtechs</w:t>
      </w:r>
      <w:proofErr w:type="spellEnd"/>
      <w:r w:rsidRPr="00C50860">
        <w:t xml:space="preserve"> do not administer, assist or have access to any controlled drugs or patient charts which would disclose the nature of medications taken.</w:t>
      </w:r>
      <w:r w:rsidRPr="00C50860">
        <w:rPr>
          <w:rStyle w:val="FootnoteReference"/>
          <w:position w:val="-1"/>
        </w:rPr>
        <w:footnoteReference w:id="215"/>
      </w:r>
      <w:r w:rsidRPr="00C50860">
        <w:t xml:space="preserve"> Fact issues precluded summary judgment in favor of the hospital on the theory that there was a rational relationship between conviction and the risk that vulnerable patients having their medications taken from them or the possibility that these same patients might be sold illegal drugs.</w:t>
      </w:r>
      <w:r w:rsidRPr="00C50860">
        <w:rPr>
          <w:rStyle w:val="FootnoteReference"/>
          <w:position w:val="-1"/>
        </w:rPr>
        <w:footnoteReference w:id="216"/>
      </w:r>
    </w:p>
    <w:p w14:paraId="5A46B0AE" w14:textId="682513BF" w:rsidR="006F355C" w:rsidRPr="006F355C" w:rsidRDefault="00EC7962" w:rsidP="00A94D82">
      <w:pPr>
        <w:tabs>
          <w:tab w:val="left" w:pos="440"/>
        </w:tabs>
      </w:pPr>
      <w:r w:rsidRPr="00C50860">
        <w:t xml:space="preserve">In </w:t>
      </w:r>
      <w:r w:rsidRPr="00C50860">
        <w:rPr>
          <w:rFonts w:cs="NewBaskerville-Italic"/>
          <w:i/>
          <w:iCs/>
        </w:rPr>
        <w:t>Williamson v</w:t>
      </w:r>
      <w:r w:rsidR="006F355C" w:rsidRPr="006F355C">
        <w:rPr>
          <w:rFonts w:cs="NewBaskerville-Italic"/>
          <w:i/>
          <w:iCs/>
        </w:rPr>
        <w:t>. L</w:t>
      </w:r>
      <w:r w:rsidRPr="00C50860">
        <w:rPr>
          <w:rFonts w:cs="NewBaskerville-Italic"/>
          <w:i/>
          <w:iCs/>
        </w:rPr>
        <w:t>owe’s HIW, Inc.</w:t>
      </w:r>
      <w:r w:rsidRPr="00C50860">
        <w:t>,</w:t>
      </w:r>
      <w:r w:rsidRPr="00C50860">
        <w:rPr>
          <w:rStyle w:val="FootnoteReference"/>
          <w:position w:val="-1"/>
        </w:rPr>
        <w:footnoteReference w:id="217"/>
      </w:r>
      <w:r w:rsidRPr="00C50860">
        <w:t xml:space="preserve"> the plaintiff received a conditional offer of </w:t>
      </w:r>
      <w:proofErr w:type="gramStart"/>
      <w:r w:rsidRPr="00C50860">
        <w:t>employment</w:t>
      </w:r>
      <w:proofErr w:type="gramEnd"/>
      <w:r w:rsidRPr="00C50860">
        <w:t xml:space="preserve"> subject </w:t>
      </w:r>
      <w:proofErr w:type="gramStart"/>
      <w:r w:rsidRPr="00C50860">
        <w:t>to</w:t>
      </w:r>
      <w:proofErr w:type="gramEnd"/>
      <w:r w:rsidRPr="00C50860">
        <w:t xml:space="preserve"> passing a drug test and background check</w:t>
      </w:r>
      <w:r w:rsidR="006F355C" w:rsidRPr="006F355C">
        <w:t>. A</w:t>
      </w:r>
      <w:r w:rsidRPr="00C50860">
        <w:t>s part of this hiring process, the plaintiff disclosed a single felony conviction</w:t>
      </w:r>
      <w:r w:rsidR="006F355C" w:rsidRPr="006F355C">
        <w:t>. T</w:t>
      </w:r>
      <w:r w:rsidRPr="00C50860">
        <w:t>he background check revealed additional convictions for (1) felony assault (5 years in jail)</w:t>
      </w:r>
      <w:r w:rsidR="006F355C" w:rsidRPr="006F355C">
        <w:t>; (</w:t>
      </w:r>
      <w:r w:rsidRPr="00C50860">
        <w:t>2) harassment (20 days in jail)</w:t>
      </w:r>
      <w:r w:rsidR="006F355C" w:rsidRPr="006F355C">
        <w:t>; (</w:t>
      </w:r>
      <w:r w:rsidRPr="00C50860">
        <w:t>3) and assault</w:t>
      </w:r>
      <w:r w:rsidR="006F355C" w:rsidRPr="006F355C">
        <w:t>. W</w:t>
      </w:r>
      <w:r w:rsidRPr="00C50860">
        <w:t>hen his conditional offer of employment was rescinded, he filed a charge of discrimination, alleging a violation of “arrest and court record.” The court awarded the employer summary judgment.</w:t>
      </w:r>
      <w:r w:rsidRPr="00C50860">
        <w:rPr>
          <w:rStyle w:val="FootnoteReference"/>
          <w:position w:val="-1"/>
        </w:rPr>
        <w:footnoteReference w:id="218"/>
      </w:r>
      <w:r w:rsidRPr="00C50860">
        <w:t xml:space="preserve"> Citing the </w:t>
      </w:r>
      <w:proofErr w:type="spellStart"/>
      <w:r w:rsidRPr="00C50860">
        <w:rPr>
          <w:rFonts w:cs="NewBaskerville-Italic"/>
          <w:i/>
          <w:iCs/>
        </w:rPr>
        <w:t>Shimose</w:t>
      </w:r>
      <w:proofErr w:type="spellEnd"/>
      <w:r w:rsidRPr="00C50860">
        <w:t xml:space="preserve"> decision, the court found that a rational relationship existed between criminal assault convictions and the position of a receiver/stocker.</w:t>
      </w:r>
      <w:r w:rsidRPr="00C50860">
        <w:rPr>
          <w:rStyle w:val="FootnoteReference"/>
          <w:position w:val="-1"/>
        </w:rPr>
        <w:footnoteReference w:id="219"/>
      </w:r>
      <w:r w:rsidRPr="00C50860">
        <w:t xml:space="preserve"> “The need for someone who has convictions for crimes of violence to remain polite and professional while under pressure is at the center of the relationship Lowe’s drew between [plaintiff’s] convictions and the Receiver/Stocker position.”</w:t>
      </w:r>
      <w:r w:rsidRPr="00C50860">
        <w:rPr>
          <w:rStyle w:val="FootnoteReference"/>
          <w:position w:val="-1"/>
        </w:rPr>
        <w:footnoteReference w:id="220"/>
      </w:r>
    </w:p>
    <w:p w14:paraId="6F00AC06" w14:textId="6A735A87" w:rsidR="006F355C" w:rsidRPr="006F355C" w:rsidRDefault="00EC7962" w:rsidP="00A94D82">
      <w:pPr>
        <w:rPr>
          <w:szCs w:val="20"/>
        </w:rPr>
      </w:pPr>
      <w:r w:rsidRPr="00C50860">
        <w:t xml:space="preserve">In </w:t>
      </w:r>
      <w:r w:rsidRPr="00C50860">
        <w:rPr>
          <w:i/>
          <w:iCs/>
        </w:rPr>
        <w:t>BCI Coca-Cola Bottling Co</w:t>
      </w:r>
      <w:r w:rsidR="006F355C" w:rsidRPr="006F355C">
        <w:rPr>
          <w:i/>
          <w:iCs/>
        </w:rPr>
        <w:t>. o</w:t>
      </w:r>
      <w:r w:rsidRPr="00C50860">
        <w:rPr>
          <w:i/>
          <w:iCs/>
        </w:rPr>
        <w:t>f Los Angeles, Inc</w:t>
      </w:r>
      <w:r w:rsidR="006F355C" w:rsidRPr="006F355C">
        <w:rPr>
          <w:i/>
          <w:iCs/>
        </w:rPr>
        <w:t xml:space="preserve">. v. </w:t>
      </w:r>
      <w:proofErr w:type="spellStart"/>
      <w:r w:rsidR="006F355C" w:rsidRPr="006F355C">
        <w:rPr>
          <w:i/>
          <w:iCs/>
        </w:rPr>
        <w:t>H</w:t>
      </w:r>
      <w:r w:rsidRPr="00C50860">
        <w:rPr>
          <w:i/>
          <w:iCs/>
        </w:rPr>
        <w:t>oshijo</w:t>
      </w:r>
      <w:proofErr w:type="spellEnd"/>
      <w:r w:rsidRPr="00C50860">
        <w:t xml:space="preserve">, the Hawaii Intermediate Court of Appeals held that the employer </w:t>
      </w:r>
      <w:r w:rsidRPr="00C50860">
        <w:rPr>
          <w:color w:val="212121"/>
        </w:rPr>
        <w:t xml:space="preserve">did not violate </w:t>
      </w:r>
      <w:r w:rsidRPr="00C50860">
        <w:rPr>
          <w:smallCaps/>
          <w:color w:val="212121"/>
        </w:rPr>
        <w:t>Hawaii Revised Statute</w:t>
      </w:r>
      <w:r w:rsidRPr="00C50860">
        <w:rPr>
          <w:color w:val="212121"/>
        </w:rPr>
        <w:t xml:space="preserve"> </w:t>
      </w:r>
      <w:r w:rsidRPr="00C50860">
        <w:t>§378-32(a)(2) in not guaranteeing reinstatement to an employee, Tammy Josue (“Josue”), because her absence caused hardship to the company</w:t>
      </w:r>
      <w:r w:rsidRPr="00C50860">
        <w:rPr>
          <w:szCs w:val="21"/>
        </w:rPr>
        <w:t>.</w:t>
      </w:r>
      <w:r w:rsidRPr="00C50860">
        <w:rPr>
          <w:rFonts w:cs="TimesNewRomanPSMT"/>
          <w:vertAlign w:val="superscript"/>
        </w:rPr>
        <w:footnoteReference w:id="221"/>
      </w:r>
      <w:r w:rsidRPr="00C50860">
        <w:rPr>
          <w:szCs w:val="21"/>
        </w:rPr>
        <w:t xml:space="preserve"> </w:t>
      </w:r>
      <w:r w:rsidRPr="00C50860">
        <w:t>The court reasoned that the statute permits an employer to freely determine when it is no longer feasible to leave an employee’s pre-work injury position open</w:t>
      </w:r>
      <w:r w:rsidR="006F355C" w:rsidRPr="006F355C">
        <w:t xml:space="preserve">. </w:t>
      </w:r>
      <w:r w:rsidR="006F355C" w:rsidRPr="006F355C">
        <w:rPr>
          <w:rFonts w:cs="TimesNewRomanPSMT"/>
        </w:rPr>
        <w:footnoteReference w:id="222"/>
      </w:r>
      <w:r w:rsidRPr="00C50860">
        <w:rPr>
          <w:szCs w:val="20"/>
        </w:rPr>
        <w:t xml:space="preserve"> </w:t>
      </w:r>
      <w:r w:rsidRPr="00C50860">
        <w:t xml:space="preserve">However, in </w:t>
      </w:r>
      <w:r w:rsidRPr="00C50860">
        <w:rPr>
          <w:i/>
          <w:iCs/>
        </w:rPr>
        <w:t>BCI Coca-Cola v</w:t>
      </w:r>
      <w:r w:rsidR="006F355C" w:rsidRPr="006F355C">
        <w:rPr>
          <w:i/>
          <w:iCs/>
        </w:rPr>
        <w:t>. M</w:t>
      </w:r>
      <w:r w:rsidRPr="00C50860">
        <w:rPr>
          <w:i/>
          <w:iCs/>
        </w:rPr>
        <w:t>urakami</w:t>
      </w:r>
      <w:r w:rsidRPr="00C50860">
        <w:t>, the Supreme Court of Hawaii vacated and remanded the intermediate court’s decision.</w:t>
      </w:r>
      <w:r w:rsidRPr="00C50860">
        <w:rPr>
          <w:rFonts w:cs="TimesNewRomanPSMT"/>
          <w:vertAlign w:val="superscript"/>
        </w:rPr>
        <w:footnoteReference w:id="223"/>
      </w:r>
      <w:r w:rsidRPr="00C50860">
        <w:t xml:space="preserve"> The Hawaii Supreme Court held that the employer failed to meet its burden of showing that there were “no feasible alternatives to refusing to reinstate Josue to a position at least equivalent to the one she left because of her work injury.”</w:t>
      </w:r>
      <w:r w:rsidRPr="00C50860">
        <w:rPr>
          <w:rFonts w:cs="TimesNewRomanPSMT"/>
          <w:vertAlign w:val="superscript"/>
        </w:rPr>
        <w:footnoteReference w:id="224"/>
      </w:r>
      <w:r w:rsidRPr="00C50860">
        <w:t xml:space="preserve"> The court acknowledged that federal and state authority allow an employer to reassign an employee “to a position that is not a downgrade.”</w:t>
      </w:r>
      <w:r w:rsidRPr="00C50860">
        <w:rPr>
          <w:rFonts w:cs="TimesNewRomanPSMT"/>
          <w:vertAlign w:val="superscript"/>
        </w:rPr>
        <w:footnoteReference w:id="225"/>
      </w:r>
      <w:r w:rsidRPr="00C50860">
        <w:t xml:space="preserve"> Yet, “… preserving the injured employee’s right to return to the employee’s position or another position that is not a downgrade may not be feasible” in the case of an indefinitely absent employee.</w:t>
      </w:r>
      <w:r w:rsidRPr="00C50860">
        <w:rPr>
          <w:rFonts w:cs="TimesNewRomanPSMT"/>
          <w:vertAlign w:val="superscript"/>
        </w:rPr>
        <w:footnoteReference w:id="226"/>
      </w:r>
      <w:r w:rsidRPr="00C50860">
        <w:t xml:space="preserve"> Nonetheless, the employer is tasked with producing sufficient evidence to prove the existence of a “business impairment” </w:t>
      </w:r>
      <w:r w:rsidRPr="00C50860">
        <w:rPr>
          <w:i/>
          <w:iCs/>
        </w:rPr>
        <w:t>and</w:t>
      </w:r>
      <w:r w:rsidRPr="00C50860">
        <w:t xml:space="preserve"> that there were “no reasonable alternatives” to the adverse employment action.</w:t>
      </w:r>
      <w:r w:rsidRPr="00C50860">
        <w:rPr>
          <w:rFonts w:cs="TimesNewRomanPSMT"/>
          <w:vertAlign w:val="superscript"/>
        </w:rPr>
        <w:footnoteReference w:id="227"/>
      </w:r>
      <w:r w:rsidRPr="00C50860">
        <w:t xml:space="preserve"> The employer here failed to procure enough evidence to properly meet both prongs, thus, the court remanded the case.</w:t>
      </w:r>
      <w:r w:rsidRPr="00C50860">
        <w:rPr>
          <w:rFonts w:cs="TimesNewRomanPSMT"/>
          <w:vertAlign w:val="superscript"/>
        </w:rPr>
        <w:footnoteReference w:id="228"/>
      </w:r>
    </w:p>
    <w:p w14:paraId="14C83E6A" w14:textId="6F5F65B0" w:rsidR="006F355C" w:rsidRPr="006F355C" w:rsidRDefault="00EC7962" w:rsidP="00A94D82">
      <w:pPr>
        <w:tabs>
          <w:tab w:val="left" w:pos="440"/>
        </w:tabs>
        <w:rPr>
          <w:rFonts w:eastAsia="Cambria"/>
        </w:rPr>
      </w:pPr>
      <w:r w:rsidRPr="00C50860">
        <w:rPr>
          <w:rFonts w:eastAsia="Cambria"/>
          <w:color w:val="212121"/>
        </w:rPr>
        <w:t xml:space="preserve">In </w:t>
      </w:r>
      <w:proofErr w:type="spellStart"/>
      <w:r w:rsidRPr="00C50860">
        <w:rPr>
          <w:rFonts w:eastAsia="Cambria"/>
          <w:i/>
          <w:iCs/>
          <w:color w:val="212121"/>
        </w:rPr>
        <w:t>Assaye</w:t>
      </w:r>
      <w:proofErr w:type="spellEnd"/>
      <w:r w:rsidRPr="00C50860">
        <w:rPr>
          <w:rFonts w:eastAsia="Cambria"/>
          <w:i/>
          <w:iCs/>
          <w:color w:val="212121"/>
        </w:rPr>
        <w:t xml:space="preserve"> v</w:t>
      </w:r>
      <w:r w:rsidR="006F355C" w:rsidRPr="006F355C">
        <w:rPr>
          <w:rFonts w:eastAsia="Cambria"/>
          <w:i/>
          <w:iCs/>
          <w:color w:val="212121"/>
        </w:rPr>
        <w:t>. U</w:t>
      </w:r>
      <w:r w:rsidRPr="00C50860">
        <w:rPr>
          <w:rFonts w:eastAsia="Cambria"/>
          <w:i/>
          <w:iCs/>
          <w:color w:val="212121"/>
        </w:rPr>
        <w:t>nited Airlines, Inc.</w:t>
      </w:r>
      <w:r w:rsidRPr="00C50860">
        <w:rPr>
          <w:rFonts w:eastAsia="Cambria"/>
          <w:color w:val="212121"/>
        </w:rPr>
        <w:t>, the court</w:t>
      </w:r>
      <w:r w:rsidRPr="00C50860">
        <w:rPr>
          <w:rFonts w:eastAsia="Cambria"/>
          <w:i/>
          <w:iCs/>
          <w:color w:val="212121"/>
        </w:rPr>
        <w:t xml:space="preserve"> </w:t>
      </w:r>
      <w:r w:rsidRPr="00C50860">
        <w:rPr>
          <w:rFonts w:eastAsia="Cambria"/>
          <w:color w:val="212121"/>
        </w:rPr>
        <w:t xml:space="preserve">held that the plaintiff’s disability and reasonable accommodations claim under </w:t>
      </w:r>
      <w:r w:rsidRPr="00C50860">
        <w:rPr>
          <w:rFonts w:eastAsia="Cambria"/>
          <w:smallCaps/>
          <w:color w:val="212121"/>
        </w:rPr>
        <w:t>Hawaii Revised Statute</w:t>
      </w:r>
      <w:r w:rsidRPr="00C50860">
        <w:rPr>
          <w:rFonts w:eastAsia="Cambria"/>
          <w:color w:val="212121"/>
        </w:rPr>
        <w:t xml:space="preserve"> </w:t>
      </w:r>
      <w:r w:rsidRPr="00C50860">
        <w:rPr>
          <w:rFonts w:eastAsia="Cambria"/>
        </w:rPr>
        <w:t xml:space="preserve">§378-2 </w:t>
      </w:r>
      <w:r w:rsidRPr="00C50860">
        <w:rPr>
          <w:rFonts w:eastAsia="Cambria"/>
          <w:color w:val="212121"/>
        </w:rPr>
        <w:t>failed because he did not “sufficiently identify or describe” his alleged impairment.</w:t>
      </w:r>
      <w:r w:rsidRPr="00C50860">
        <w:rPr>
          <w:rFonts w:eastAsia="Cambria" w:cs="TimesNewRomanPSMT"/>
          <w:color w:val="212121"/>
          <w:vertAlign w:val="superscript"/>
        </w:rPr>
        <w:footnoteReference w:id="229"/>
      </w:r>
      <w:r w:rsidRPr="00C50860">
        <w:rPr>
          <w:rFonts w:eastAsia="Cambria"/>
          <w:color w:val="212121"/>
        </w:rPr>
        <w:t xml:space="preserve"> More specifically, the plaintiff inadequately identified the impairment and how that impairment affected his life, and thus he failed to allege a “disability” under state law.</w:t>
      </w:r>
      <w:r w:rsidRPr="00C50860">
        <w:rPr>
          <w:rFonts w:eastAsia="Cambria" w:cs="TimesNewRomanPSMT"/>
          <w:color w:val="212121"/>
          <w:vertAlign w:val="superscript"/>
        </w:rPr>
        <w:footnoteReference w:id="230"/>
      </w:r>
    </w:p>
    <w:p w14:paraId="3101AAD7" w14:textId="47A45679" w:rsidR="006F355C" w:rsidRPr="006F355C" w:rsidRDefault="00EC7962" w:rsidP="00DD471A">
      <w:pPr>
        <w:tabs>
          <w:tab w:val="left" w:pos="440"/>
        </w:tabs>
        <w:rPr>
          <w:rFonts w:eastAsia="Cambria"/>
        </w:rPr>
      </w:pPr>
      <w:r w:rsidRPr="00C50860">
        <w:rPr>
          <w:rFonts w:eastAsia="Cambria"/>
          <w:color w:val="212121"/>
        </w:rPr>
        <w:t xml:space="preserve">In </w:t>
      </w:r>
      <w:r w:rsidRPr="00C50860">
        <w:rPr>
          <w:rFonts w:eastAsia="Cambria"/>
          <w:i/>
          <w:iCs/>
          <w:color w:val="212121"/>
        </w:rPr>
        <w:t>Kim v</w:t>
      </w:r>
      <w:r w:rsidR="006F355C" w:rsidRPr="006F355C">
        <w:rPr>
          <w:rFonts w:eastAsia="Cambria"/>
          <w:i/>
          <w:iCs/>
          <w:color w:val="212121"/>
        </w:rPr>
        <w:t>. D</w:t>
      </w:r>
      <w:r w:rsidRPr="00C50860">
        <w:rPr>
          <w:rFonts w:eastAsia="Cambria"/>
          <w:i/>
          <w:iCs/>
          <w:color w:val="212121"/>
        </w:rPr>
        <w:t>isney Vacation Club Hawaii Management Company, LLC</w:t>
      </w:r>
      <w:r w:rsidRPr="00C50860">
        <w:rPr>
          <w:rFonts w:eastAsia="Cambria"/>
          <w:color w:val="212121"/>
        </w:rPr>
        <w:t>,</w:t>
      </w:r>
      <w:r w:rsidRPr="00C50860">
        <w:rPr>
          <w:rStyle w:val="FootnoteReference"/>
          <w:rFonts w:eastAsia="Cambria"/>
          <w:color w:val="212121"/>
        </w:rPr>
        <w:footnoteReference w:id="231"/>
      </w:r>
      <w:r w:rsidRPr="00C50860">
        <w:rPr>
          <w:rFonts w:eastAsia="Cambria"/>
          <w:color w:val="212121"/>
        </w:rPr>
        <w:t xml:space="preserve"> the federal district court granted summary judgment to the employer on the plaintiff’s discrimination and retaliation claims</w:t>
      </w:r>
      <w:r w:rsidR="006F355C" w:rsidRPr="006F355C">
        <w:rPr>
          <w:rFonts w:eastAsia="Cambria"/>
          <w:color w:val="212121"/>
        </w:rPr>
        <w:t>. I</w:t>
      </w:r>
      <w:r w:rsidRPr="00C50860">
        <w:rPr>
          <w:rFonts w:eastAsia="Cambria"/>
          <w:color w:val="212121"/>
        </w:rPr>
        <w:t xml:space="preserve">n granting summary judgment on plaintiff’s retaliation claims, the court applied the </w:t>
      </w:r>
      <w:r w:rsidRPr="00C50860">
        <w:rPr>
          <w:rFonts w:eastAsia="Cambria"/>
          <w:i/>
          <w:iCs/>
          <w:color w:val="212121"/>
        </w:rPr>
        <w:t>McDonnell Douglas</w:t>
      </w:r>
      <w:r w:rsidRPr="00C50860">
        <w:rPr>
          <w:rFonts w:eastAsia="Cambria"/>
          <w:color w:val="212121"/>
        </w:rPr>
        <w:t xml:space="preserve"> burden shifting requiring that Plaintiff show the employer’s reasons for terminating her were pretextual.</w:t>
      </w:r>
      <w:r w:rsidRPr="00C50860">
        <w:rPr>
          <w:rStyle w:val="FootnoteReference"/>
          <w:rFonts w:eastAsia="Cambria"/>
          <w:color w:val="212121"/>
        </w:rPr>
        <w:footnoteReference w:id="232"/>
      </w:r>
      <w:r w:rsidRPr="00C50860">
        <w:rPr>
          <w:rFonts w:eastAsia="Cambria"/>
          <w:color w:val="212121"/>
        </w:rPr>
        <w:t xml:space="preserve"> The court noted that “it is Plaintiff’s burden to show pretext, and she cannot defeat summary judgment by relying solely on the scant evidence she used to establish her prima facie case.”</w:t>
      </w:r>
      <w:r w:rsidRPr="00C50860">
        <w:rPr>
          <w:rStyle w:val="FootnoteReference"/>
          <w:rFonts w:eastAsia="Cambria"/>
          <w:color w:val="212121"/>
        </w:rPr>
        <w:footnoteReference w:id="233"/>
      </w:r>
      <w:r w:rsidRPr="00C50860">
        <w:rPr>
          <w:rFonts w:eastAsia="Cambria"/>
          <w:color w:val="212121"/>
        </w:rPr>
        <w:t xml:space="preserve"> The court also noted that “Temporal proximity alone is not usually enough to prove pretext.”</w:t>
      </w:r>
      <w:r w:rsidRPr="00C50860">
        <w:rPr>
          <w:rStyle w:val="FootnoteReference"/>
          <w:rFonts w:eastAsia="Cambria"/>
          <w:color w:val="212121"/>
        </w:rPr>
        <w:footnoteReference w:id="234"/>
      </w:r>
    </w:p>
    <w:p w14:paraId="6A957BFB" w14:textId="0FEED84E" w:rsidR="006F355C" w:rsidRPr="006F355C" w:rsidRDefault="00EC7962" w:rsidP="733FD9A8">
      <w:pPr>
        <w:tabs>
          <w:tab w:val="left" w:pos="440"/>
        </w:tabs>
        <w:rPr>
          <w:rFonts w:eastAsia="Cambria"/>
          <w:color w:val="212121"/>
        </w:rPr>
      </w:pPr>
      <w:r w:rsidRPr="00C50860">
        <w:rPr>
          <w:rFonts w:eastAsia="Cambria"/>
          <w:color w:val="212121"/>
        </w:rPr>
        <w:t>Hawaii Senate Bill 1057 was enacted following the 2023 legislative session, effective January 1, 2024, which (a) required most employers with 50 or more employees to disclose a position’s hourly rate or salary range in certain job postings</w:t>
      </w:r>
      <w:r w:rsidR="006F355C" w:rsidRPr="006F355C">
        <w:rPr>
          <w:rFonts w:eastAsia="Cambria"/>
          <w:color w:val="212121"/>
        </w:rPr>
        <w:t>; a</w:t>
      </w:r>
      <w:r w:rsidRPr="00C50860">
        <w:rPr>
          <w:rFonts w:eastAsia="Cambria"/>
          <w:color w:val="212121"/>
        </w:rPr>
        <w:t>nd (b) amended existing equal pay requirements by prohibiting an employer from paying employees in any protected category of the state’s employment discrimination statute less than it pays other employees for “substantially similar work,” instead of “equal work.”</w:t>
      </w:r>
      <w:r w:rsidRPr="00C50860">
        <w:rPr>
          <w:rStyle w:val="FootnoteReference"/>
          <w:rFonts w:eastAsia="Cambria"/>
          <w:color w:val="212121"/>
        </w:rPr>
        <w:footnoteReference w:id="235"/>
      </w:r>
    </w:p>
    <w:p w14:paraId="1A70B787" w14:textId="77777777" w:rsidR="006F355C" w:rsidRPr="006F355C" w:rsidRDefault="00EC7962" w:rsidP="00A94D82">
      <w:pPr>
        <w:pStyle w:val="Heading2"/>
      </w:pPr>
      <w:r w:rsidRPr="00C50860">
        <w:t>B.</w:t>
      </w:r>
      <w:r w:rsidRPr="00C50860">
        <w:tab/>
        <w:t>Whistleblowers’ Protection Act</w:t>
      </w:r>
    </w:p>
    <w:p w14:paraId="28EB818A" w14:textId="5C401503" w:rsidR="006F355C" w:rsidRPr="006F355C" w:rsidRDefault="00EC7962" w:rsidP="00A94D82">
      <w:r w:rsidRPr="00C50860">
        <w:t>Citing the</w:t>
      </w:r>
      <w:r w:rsidRPr="00C50860">
        <w:rPr>
          <w:rFonts w:cs="NewBaskerville-Italic"/>
          <w:i/>
          <w:iCs/>
        </w:rPr>
        <w:t xml:space="preserve"> Lales v</w:t>
      </w:r>
      <w:r w:rsidR="006F355C" w:rsidRPr="006F355C">
        <w:rPr>
          <w:rFonts w:cs="NewBaskerville-Italic"/>
          <w:i/>
          <w:iCs/>
        </w:rPr>
        <w:t>. W</w:t>
      </w:r>
      <w:r w:rsidRPr="00C50860">
        <w:rPr>
          <w:rFonts w:cs="NewBaskerville-Italic"/>
          <w:i/>
          <w:iCs/>
        </w:rPr>
        <w:t>holesale Motors Company</w:t>
      </w:r>
      <w:r w:rsidRPr="00C50860">
        <w:t>,</w:t>
      </w:r>
      <w:r w:rsidRPr="00C50860">
        <w:rPr>
          <w:rStyle w:val="FootnoteReference"/>
          <w:position w:val="-1"/>
        </w:rPr>
        <w:footnoteReference w:id="236"/>
      </w:r>
      <w:r w:rsidRPr="00C50860">
        <w:rPr>
          <w:rFonts w:cs="NewBaskerville-Bold"/>
          <w:b/>
          <w:bCs/>
        </w:rPr>
        <w:t xml:space="preserve"> </w:t>
      </w:r>
      <w:r w:rsidRPr="00C50860">
        <w:t xml:space="preserve">decision, the federal district court in </w:t>
      </w:r>
      <w:r w:rsidRPr="00C50860">
        <w:rPr>
          <w:rFonts w:cs="NewBaskerville-Italic"/>
          <w:i/>
          <w:iCs/>
        </w:rPr>
        <w:t>Onodera v</w:t>
      </w:r>
      <w:r w:rsidR="006F355C" w:rsidRPr="006F355C">
        <w:rPr>
          <w:rFonts w:cs="NewBaskerville-Italic"/>
          <w:i/>
          <w:iCs/>
        </w:rPr>
        <w:t>. K</w:t>
      </w:r>
      <w:r w:rsidRPr="00C50860">
        <w:rPr>
          <w:rFonts w:cs="NewBaskerville-Italic"/>
          <w:i/>
          <w:iCs/>
        </w:rPr>
        <w:t>uhio Motors Inc.</w:t>
      </w:r>
      <w:r w:rsidRPr="00C50860">
        <w:t>, ruled the individuals could not be held liable under the Hawaii Whistleblowers’ Protection Act, because the definition of “employer” under the employment discrimination act and the Whistleblowers’ Protection Act are identical.</w:t>
      </w:r>
      <w:r w:rsidRPr="00C50860">
        <w:rPr>
          <w:rStyle w:val="FootnoteReference"/>
          <w:position w:val="-1"/>
        </w:rPr>
        <w:footnoteReference w:id="237"/>
      </w:r>
      <w:r w:rsidRPr="00C50860">
        <w:t xml:space="preserve"> Thus the court granted dismissal of the Hawaii Whistleblowers’ Protection Act claim against the individual defendants.</w:t>
      </w:r>
      <w:r w:rsidRPr="00C50860">
        <w:rPr>
          <w:rStyle w:val="FootnoteReference"/>
          <w:position w:val="-1"/>
        </w:rPr>
        <w:footnoteReference w:id="238"/>
      </w:r>
    </w:p>
    <w:p w14:paraId="5ADD68BD" w14:textId="759D90D8" w:rsidR="006F355C" w:rsidRPr="006F355C" w:rsidRDefault="00EC7962" w:rsidP="00A94D82">
      <w:pPr>
        <w:tabs>
          <w:tab w:val="left" w:pos="880"/>
        </w:tabs>
      </w:pPr>
      <w:r w:rsidRPr="00C50860">
        <w:t xml:space="preserve">In </w:t>
      </w:r>
      <w:r w:rsidRPr="00C50860">
        <w:rPr>
          <w:i/>
          <w:iCs/>
        </w:rPr>
        <w:t>Bassett v</w:t>
      </w:r>
      <w:r w:rsidR="006F355C" w:rsidRPr="006F355C">
        <w:rPr>
          <w:i/>
          <w:iCs/>
        </w:rPr>
        <w:t>. H</w:t>
      </w:r>
      <w:r w:rsidRPr="00C50860">
        <w:rPr>
          <w:i/>
          <w:iCs/>
        </w:rPr>
        <w:t>awaii Disability Rights Center</w:t>
      </w:r>
      <w:r w:rsidRPr="00C50860">
        <w:t>,</w:t>
      </w:r>
      <w:r w:rsidRPr="00C50860">
        <w:rPr>
          <w:rStyle w:val="FootnoteReference"/>
        </w:rPr>
        <w:footnoteReference w:id="239"/>
      </w:r>
      <w:r w:rsidRPr="00C50860">
        <w:t xml:space="preserve"> the federal district court granted summary judgment to the employer after applying the McDonnell Douglas</w:t>
      </w:r>
      <w:r w:rsidRPr="00C50860">
        <w:rPr>
          <w:rStyle w:val="FootnoteReference"/>
        </w:rPr>
        <w:footnoteReference w:id="240"/>
      </w:r>
      <w:r w:rsidRPr="00C50860">
        <w:t xml:space="preserve"> burden-shifting framework to the plaintiff’s retaliation claims under the Hawaii Whistleblowers’ Protection Act.</w:t>
      </w:r>
      <w:r w:rsidRPr="00C50860">
        <w:rPr>
          <w:rStyle w:val="FootnoteReference"/>
        </w:rPr>
        <w:footnoteReference w:id="241"/>
      </w:r>
    </w:p>
    <w:p w14:paraId="05A45A41" w14:textId="7EB6A76C" w:rsidR="006F355C" w:rsidRPr="006F355C" w:rsidRDefault="00EC7962" w:rsidP="00A94D82">
      <w:pPr>
        <w:tabs>
          <w:tab w:val="left" w:pos="880"/>
        </w:tabs>
      </w:pPr>
      <w:r w:rsidRPr="00C50860">
        <w:t xml:space="preserve">In </w:t>
      </w:r>
      <w:r w:rsidRPr="00C50860">
        <w:rPr>
          <w:rFonts w:cs="NewBaskerville-Italic"/>
          <w:i/>
          <w:iCs/>
        </w:rPr>
        <w:t>Keanini v</w:t>
      </w:r>
      <w:r w:rsidR="006F355C" w:rsidRPr="006F355C">
        <w:rPr>
          <w:rFonts w:cs="NewBaskerville-Italic"/>
          <w:i/>
          <w:iCs/>
        </w:rPr>
        <w:t>. U</w:t>
      </w:r>
      <w:r w:rsidRPr="00C50860">
        <w:rPr>
          <w:rFonts w:cs="NewBaskerville-Italic"/>
          <w:i/>
          <w:iCs/>
        </w:rPr>
        <w:t>nited Healthcare Services, Inc.</w:t>
      </w:r>
      <w:r w:rsidRPr="00C50860">
        <w:t>, the plaintiff alleged age discrimination, violation of the Hawaii Whistleblowers’ Protection Act and various employment law torts.</w:t>
      </w:r>
      <w:r w:rsidRPr="00C50860">
        <w:rPr>
          <w:rStyle w:val="FootnoteReference"/>
          <w:position w:val="-1"/>
        </w:rPr>
        <w:footnoteReference w:id="242"/>
      </w:r>
      <w:r w:rsidRPr="00C50860">
        <w:t xml:space="preserve"> The employer moved to compel arbitration.</w:t>
      </w:r>
      <w:r w:rsidRPr="00C50860">
        <w:rPr>
          <w:rStyle w:val="FootnoteReference"/>
          <w:position w:val="-1"/>
        </w:rPr>
        <w:footnoteReference w:id="243"/>
      </w:r>
      <w:r w:rsidRPr="00C50860">
        <w:t xml:space="preserve"> Relying on state law, the court ruled “a valid arbitration agreement ‘must have the following three elements</w:t>
      </w:r>
      <w:r w:rsidR="006F355C" w:rsidRPr="006F355C">
        <w:t>: (</w:t>
      </w:r>
      <w:r w:rsidRPr="00C50860">
        <w:t>1) it must be in writing</w:t>
      </w:r>
      <w:r w:rsidR="006F355C" w:rsidRPr="006F355C">
        <w:t>; (</w:t>
      </w:r>
      <w:r w:rsidRPr="00C50860">
        <w:t>2) it must be unambiguous as to the intent to submit disputes or controversies to arbitration</w:t>
      </w:r>
      <w:r w:rsidR="006F355C" w:rsidRPr="006F355C">
        <w:t>; a</w:t>
      </w:r>
      <w:r w:rsidRPr="00C50860">
        <w:t>nd (3) there must be bilateral consideration.’ ”</w:t>
      </w:r>
      <w:r w:rsidRPr="00C50860">
        <w:rPr>
          <w:rStyle w:val="FootnoteReference"/>
          <w:position w:val="-1"/>
        </w:rPr>
        <w:footnoteReference w:id="244"/>
      </w:r>
    </w:p>
    <w:p w14:paraId="701D780F" w14:textId="77777777" w:rsidR="006F355C" w:rsidRPr="006F355C" w:rsidRDefault="00EC7962" w:rsidP="00A94D82">
      <w:pPr>
        <w:tabs>
          <w:tab w:val="left" w:pos="880"/>
        </w:tabs>
      </w:pPr>
      <w:r w:rsidRPr="00C50860">
        <w:t>According to the court, “[t]he party seeking to compel arbitration carries the initial burden of establishing that an arbitration agreement exists between the parties.”</w:t>
      </w:r>
      <w:r w:rsidRPr="00C50860">
        <w:rPr>
          <w:rStyle w:val="FootnoteReference"/>
          <w:position w:val="-1"/>
        </w:rPr>
        <w:footnoteReference w:id="245"/>
      </w:r>
      <w:r w:rsidRPr="00C50860">
        <w:t xml:space="preserve"> If this initial burden is satisfied, “the burden shifts to the opposing party to present evidence on its defenses to the arbitration agreement.”</w:t>
      </w:r>
      <w:r w:rsidRPr="00C50860">
        <w:rPr>
          <w:rStyle w:val="FootnoteReference"/>
          <w:position w:val="-1"/>
        </w:rPr>
        <w:footnoteReference w:id="246"/>
      </w:r>
    </w:p>
    <w:p w14:paraId="01C55D7D" w14:textId="77777777" w:rsidR="006F355C" w:rsidRPr="006F355C" w:rsidRDefault="00EC7962" w:rsidP="00A94D82">
      <w:pPr>
        <w:tabs>
          <w:tab w:val="left" w:pos="880"/>
        </w:tabs>
      </w:pPr>
      <w:r w:rsidRPr="00C50860">
        <w:t>The court found the arbitration policy was unenforceable because “it lacks bilateral consideration[.]”</w:t>
      </w:r>
      <w:r w:rsidRPr="00C50860">
        <w:rPr>
          <w:rStyle w:val="FootnoteReference"/>
          <w:position w:val="-1"/>
        </w:rPr>
        <w:footnoteReference w:id="247"/>
      </w:r>
      <w:r w:rsidRPr="00C50860">
        <w:t xml:space="preserve"> The court then stated:</w:t>
      </w:r>
    </w:p>
    <w:p w14:paraId="0294AFE5" w14:textId="77777777" w:rsidR="006F355C" w:rsidRPr="006F355C" w:rsidRDefault="00EC7962" w:rsidP="00A94D82">
      <w:pPr>
        <w:pStyle w:val="BlockQuote"/>
      </w:pPr>
      <w:r w:rsidRPr="00C50860">
        <w:t xml:space="preserve">[T]his court predicts that, if the Hawaii Supreme Court were faced with the issue before this court, the Hawaii Supreme Court would conclude that, because United Healthcare retains the ability to amend or terminate the Arbitration Policy even with respect to claims it knows have accrued, the Arbitration Policy is illusory notwithstanding its amendable provisions concerning notice, effective date, and </w:t>
      </w:r>
      <w:proofErr w:type="spellStart"/>
      <w:r w:rsidRPr="00C50860">
        <w:t>nonapplicability</w:t>
      </w:r>
      <w:proofErr w:type="spellEnd"/>
      <w:r w:rsidRPr="00C50860">
        <w:t xml:space="preserve"> to existing arbitration demands.</w:t>
      </w:r>
      <w:r w:rsidRPr="00C50860">
        <w:rPr>
          <w:rStyle w:val="FootnoteReference"/>
          <w:position w:val="-1"/>
        </w:rPr>
        <w:footnoteReference w:id="248"/>
      </w:r>
    </w:p>
    <w:p w14:paraId="2C6C207B" w14:textId="77777777" w:rsidR="006F355C" w:rsidRPr="006F355C" w:rsidRDefault="00EC7962" w:rsidP="00A94D82">
      <w:pPr>
        <w:pStyle w:val="Normal-NoIndent"/>
      </w:pPr>
      <w:r w:rsidRPr="00C50860">
        <w:t>The court also denied the motion to compel arbitration, because the employer asserted the plaintiff electronically acknowledged acceptance of the arbitration agreement while the plaintiff denied doing so.</w:t>
      </w:r>
      <w:r w:rsidRPr="00C50860">
        <w:rPr>
          <w:rStyle w:val="FootnoteReference"/>
          <w:position w:val="-1"/>
        </w:rPr>
        <w:footnoteReference w:id="249"/>
      </w:r>
      <w:r w:rsidRPr="00C50860">
        <w:t xml:space="preserve"> Given this factual dispute, a summary trial would be required to resolve the issue.</w:t>
      </w:r>
      <w:r w:rsidRPr="00C50860">
        <w:rPr>
          <w:rStyle w:val="FootnoteReference"/>
          <w:position w:val="-1"/>
        </w:rPr>
        <w:footnoteReference w:id="250"/>
      </w:r>
    </w:p>
    <w:p w14:paraId="6D9BE44C" w14:textId="0DC93DA3" w:rsidR="006F355C" w:rsidRPr="006F355C" w:rsidRDefault="00EC7962" w:rsidP="00A94D82">
      <w:r w:rsidRPr="00C50860">
        <w:t xml:space="preserve">In 2017, the Hawaii Supreme Court, in </w:t>
      </w:r>
      <w:r w:rsidRPr="00C50860">
        <w:rPr>
          <w:rFonts w:cs="NewBaskerville-Italic"/>
          <w:i/>
          <w:iCs/>
        </w:rPr>
        <w:t>Gabriel v</w:t>
      </w:r>
      <w:r w:rsidR="006F355C" w:rsidRPr="006F355C">
        <w:rPr>
          <w:rFonts w:cs="NewBaskerville-Italic"/>
          <w:i/>
          <w:iCs/>
        </w:rPr>
        <w:t>. I</w:t>
      </w:r>
      <w:r w:rsidRPr="00C50860">
        <w:rPr>
          <w:rFonts w:cs="NewBaskerville-Italic"/>
          <w:i/>
          <w:iCs/>
        </w:rPr>
        <w:t>sland Pacific Academy</w:t>
      </w:r>
      <w:r w:rsidRPr="00C50860">
        <w:t>,</w:t>
      </w:r>
      <w:r w:rsidRPr="00C50860">
        <w:rPr>
          <w:rStyle w:val="FootnoteReference"/>
          <w:position w:val="-1"/>
        </w:rPr>
        <w:footnoteReference w:id="251"/>
      </w:r>
      <w:r w:rsidRPr="00C50860">
        <w:t xml:space="preserve"> found that an arbitration agreement requiring an employee to pay half of the arbitration fee before the arbitration could be held was unconscionable because the arbitration fee would have equaled one-third of the </w:t>
      </w:r>
      <w:proofErr w:type="gramStart"/>
      <w:r w:rsidRPr="00C50860">
        <w:t>employees</w:t>
      </w:r>
      <w:proofErr w:type="gramEnd"/>
      <w:r w:rsidRPr="00C50860">
        <w:t xml:space="preserve"> former income and so the arbitration agreement would not be enforceable.</w:t>
      </w:r>
      <w:r w:rsidRPr="00C50860">
        <w:rPr>
          <w:rStyle w:val="FootnoteReference"/>
          <w:position w:val="-1"/>
        </w:rPr>
        <w:footnoteReference w:id="252"/>
      </w:r>
    </w:p>
    <w:p w14:paraId="386C1F5B" w14:textId="43B09F90" w:rsidR="006F355C" w:rsidRPr="006F355C" w:rsidRDefault="00EC7962" w:rsidP="00A94D82">
      <w:pPr>
        <w:pStyle w:val="Heading1"/>
        <w:tabs>
          <w:tab w:val="left" w:pos="440"/>
        </w:tabs>
        <w:rPr>
          <w:szCs w:val="24"/>
        </w:rPr>
      </w:pPr>
      <w:r w:rsidRPr="00C50860">
        <w:rPr>
          <w:szCs w:val="24"/>
        </w:rPr>
        <w:t>VIII</w:t>
      </w:r>
      <w:r w:rsidR="006F355C" w:rsidRPr="006F355C">
        <w:rPr>
          <w:szCs w:val="24"/>
        </w:rPr>
        <w:t>. A</w:t>
      </w:r>
      <w:r w:rsidRPr="00C50860">
        <w:rPr>
          <w:szCs w:val="24"/>
        </w:rPr>
        <w:t>dditional Topics</w:t>
      </w:r>
    </w:p>
    <w:p w14:paraId="52B7BCE6" w14:textId="77777777" w:rsidR="006F355C" w:rsidRPr="006F355C" w:rsidRDefault="00EC7962" w:rsidP="00A94D82">
      <w:pPr>
        <w:pStyle w:val="Heading2"/>
      </w:pPr>
      <w:r w:rsidRPr="00C50860">
        <w:t>A.</w:t>
      </w:r>
      <w:r w:rsidRPr="00C50860">
        <w:tab/>
        <w:t>Promissory Estoppel</w:t>
      </w:r>
    </w:p>
    <w:p w14:paraId="7F859CA7" w14:textId="715D4181" w:rsidR="006F355C" w:rsidRPr="006F355C" w:rsidRDefault="00EC7962" w:rsidP="00A94D82">
      <w:pPr>
        <w:tabs>
          <w:tab w:val="left" w:pos="880"/>
        </w:tabs>
      </w:pPr>
      <w:r w:rsidRPr="00C50860">
        <w:t xml:space="preserve">In 1983, the Hawaii Supreme Court in </w:t>
      </w:r>
      <w:r w:rsidRPr="00C50860">
        <w:rPr>
          <w:rFonts w:cs="NewBaskerville-Italic"/>
          <w:i/>
          <w:iCs/>
        </w:rPr>
        <w:t>Ravelo v</w:t>
      </w:r>
      <w:r w:rsidR="006F355C" w:rsidRPr="006F355C">
        <w:rPr>
          <w:rFonts w:cs="NewBaskerville-Italic"/>
          <w:i/>
          <w:iCs/>
        </w:rPr>
        <w:t>. C</w:t>
      </w:r>
      <w:r w:rsidRPr="00C50860">
        <w:rPr>
          <w:rFonts w:cs="NewBaskerville-Italic"/>
          <w:i/>
          <w:iCs/>
        </w:rPr>
        <w:t>ounty of Hawaii</w:t>
      </w:r>
      <w:r w:rsidRPr="00C50860">
        <w:rPr>
          <w:rStyle w:val="FootnoteReference"/>
          <w:position w:val="-1"/>
        </w:rPr>
        <w:footnoteReference w:id="253"/>
      </w:r>
      <w:r w:rsidRPr="00C50860">
        <w:t xml:space="preserve"> adopted the promissory estoppel doctrine</w:t>
      </w:r>
      <w:r w:rsidR="006F355C" w:rsidRPr="006F355C">
        <w:t>. I</w:t>
      </w:r>
      <w:r w:rsidRPr="00C50860">
        <w:t>n that case, the County of Hawaii issued a written offer of employment to a police officer employed on Oahu</w:t>
      </w:r>
      <w:r w:rsidR="006F355C" w:rsidRPr="006F355C">
        <w:t>. T</w:t>
      </w:r>
      <w:r w:rsidRPr="00C50860">
        <w:t>he court found that the county “could have anticipated the assurance of employment at a definite time would induce a reaction of that nature [i.e., plaintiff and his wife quitting jobs on the island of Oahu and preparing to move to the island of Hawaii].”</w:t>
      </w:r>
      <w:r w:rsidRPr="00C50860">
        <w:rPr>
          <w:rStyle w:val="FootnoteReference"/>
          <w:position w:val="-1"/>
        </w:rPr>
        <w:footnoteReference w:id="254"/>
      </w:r>
      <w:r w:rsidRPr="00C50860">
        <w:t xml:space="preserve"> The court stated that the </w:t>
      </w:r>
      <w:r w:rsidRPr="00C50860">
        <w:rPr>
          <w:rFonts w:cs="NewBaskerville-Italic"/>
          <w:smallCaps/>
        </w:rPr>
        <w:t>Restatement (Second) of Contracts</w:t>
      </w:r>
      <w:r w:rsidRPr="00C50860">
        <w:t xml:space="preserve"> §90 provided “a sounder legal foundation for the application of the doctrine.”</w:t>
      </w:r>
      <w:r w:rsidRPr="00C50860">
        <w:rPr>
          <w:rStyle w:val="FootnoteReference"/>
          <w:position w:val="-1"/>
        </w:rPr>
        <w:footnoteReference w:id="255"/>
      </w:r>
      <w:r w:rsidRPr="00C50860">
        <w:t xml:space="preserve"> Section 90 provides:</w:t>
      </w:r>
    </w:p>
    <w:p w14:paraId="30B9EF47" w14:textId="62D4E2ED" w:rsidR="006F355C" w:rsidRPr="006F355C" w:rsidRDefault="00EC7962" w:rsidP="00A94D82">
      <w:pPr>
        <w:pStyle w:val="BlockQuote"/>
      </w:pPr>
      <w:r w:rsidRPr="00C50860">
        <w:t xml:space="preserve">A promise which the promisor should reasonably expect to induce action or forbearance on the part of the </w:t>
      </w:r>
      <w:proofErr w:type="spellStart"/>
      <w:r w:rsidRPr="00C50860">
        <w:t>promisee</w:t>
      </w:r>
      <w:proofErr w:type="spellEnd"/>
      <w:r w:rsidRPr="00C50860">
        <w:t xml:space="preserve"> or a third </w:t>
      </w:r>
      <w:proofErr w:type="gramStart"/>
      <w:r w:rsidRPr="00C50860">
        <w:t>person</w:t>
      </w:r>
      <w:proofErr w:type="gramEnd"/>
      <w:r w:rsidRPr="00C50860">
        <w:t xml:space="preserve"> and which does induce such action or forbearance is binding if injustice can be avoided only by enforcement of the promise</w:t>
      </w:r>
      <w:r w:rsidR="006F355C" w:rsidRPr="006F355C">
        <w:t>. T</w:t>
      </w:r>
      <w:r w:rsidRPr="00C50860">
        <w:t>he remedy granted for breach may be limited as justice requires.</w:t>
      </w:r>
      <w:r w:rsidRPr="00C50860">
        <w:rPr>
          <w:rStyle w:val="FootnoteReference"/>
          <w:position w:val="-1"/>
        </w:rPr>
        <w:footnoteReference w:id="256"/>
      </w:r>
    </w:p>
    <w:p w14:paraId="71E9D9D2" w14:textId="77777777" w:rsidR="006F355C" w:rsidRPr="006F355C" w:rsidRDefault="00EC7962" w:rsidP="00A94D82">
      <w:pPr>
        <w:pStyle w:val="Normal-NoIndent"/>
        <w:tabs>
          <w:tab w:val="left" w:pos="840"/>
        </w:tabs>
      </w:pPr>
      <w:r w:rsidRPr="00C50860">
        <w:t xml:space="preserve">Thus, </w:t>
      </w:r>
      <w:r w:rsidRPr="00C50860">
        <w:rPr>
          <w:rFonts w:cs="NewBaskerville-Italic"/>
          <w:iCs/>
          <w:smallCaps/>
        </w:rPr>
        <w:t>Restatement</w:t>
      </w:r>
      <w:r w:rsidRPr="00C50860">
        <w:rPr>
          <w:rFonts w:cs="NewBaskerville-Italic"/>
          <w:i/>
          <w:iCs/>
          <w:smallCaps/>
        </w:rPr>
        <w:t xml:space="preserve"> </w:t>
      </w:r>
      <w:r w:rsidRPr="00C50860">
        <w:rPr>
          <w:rFonts w:cs="NewBaskerville-Italic"/>
          <w:iCs/>
          <w:smallCaps/>
        </w:rPr>
        <w:t>(Second) of Contracts</w:t>
      </w:r>
      <w:r w:rsidRPr="00C50860">
        <w:t xml:space="preserve"> §90 can be reduced to the following elements:</w:t>
      </w:r>
    </w:p>
    <w:p w14:paraId="70AE88BA" w14:textId="77777777" w:rsidR="006F355C" w:rsidRPr="006F355C" w:rsidRDefault="00EC7962" w:rsidP="00EC7962">
      <w:pPr>
        <w:pStyle w:val="ListNumber"/>
        <w:numPr>
          <w:ilvl w:val="0"/>
          <w:numId w:val="44"/>
        </w:numPr>
      </w:pPr>
      <w:r w:rsidRPr="00C50860">
        <w:t xml:space="preserve">There must be a </w:t>
      </w:r>
      <w:proofErr w:type="gramStart"/>
      <w:r w:rsidRPr="00C50860">
        <w:t>promise;</w:t>
      </w:r>
      <w:proofErr w:type="gramEnd"/>
    </w:p>
    <w:p w14:paraId="252000EC" w14:textId="77777777" w:rsidR="006F355C" w:rsidRPr="006F355C" w:rsidRDefault="00EC7962" w:rsidP="00EC7962">
      <w:pPr>
        <w:pStyle w:val="ListNumber"/>
        <w:tabs>
          <w:tab w:val="num" w:pos="1080"/>
        </w:tabs>
        <w:ind w:left="1080" w:hanging="360"/>
      </w:pPr>
      <w:r w:rsidRPr="00C50860">
        <w:t xml:space="preserve">The promisor must, at the time he or she made the promise, foresee that the </w:t>
      </w:r>
      <w:proofErr w:type="spellStart"/>
      <w:r w:rsidRPr="00C50860">
        <w:t>promisee</w:t>
      </w:r>
      <w:proofErr w:type="spellEnd"/>
      <w:r w:rsidRPr="00C50860">
        <w:t xml:space="preserve"> would rely upon the promise (foreseeability</w:t>
      </w:r>
      <w:proofErr w:type="gramStart"/>
      <w:r w:rsidRPr="00C50860">
        <w:t>);</w:t>
      </w:r>
      <w:proofErr w:type="gramEnd"/>
    </w:p>
    <w:p w14:paraId="6DD4B317" w14:textId="53E4863F" w:rsidR="006F355C" w:rsidRPr="006F355C" w:rsidRDefault="00EC7962" w:rsidP="00EC7962">
      <w:pPr>
        <w:pStyle w:val="ListNumber"/>
        <w:tabs>
          <w:tab w:val="num" w:pos="1080"/>
        </w:tabs>
        <w:ind w:left="1080" w:hanging="360"/>
      </w:pPr>
      <w:r w:rsidRPr="00C50860">
        <w:t xml:space="preserve">The </w:t>
      </w:r>
      <w:proofErr w:type="spellStart"/>
      <w:r w:rsidRPr="00C50860">
        <w:t>promisee</w:t>
      </w:r>
      <w:proofErr w:type="spellEnd"/>
      <w:r w:rsidRPr="00C50860">
        <w:t xml:space="preserve"> does in fact rely upon the promisor’s promise</w:t>
      </w:r>
      <w:r w:rsidR="006F355C" w:rsidRPr="006F355C">
        <w:t>; a</w:t>
      </w:r>
      <w:r w:rsidRPr="00C50860">
        <w:t>nd</w:t>
      </w:r>
    </w:p>
    <w:p w14:paraId="29DBC21D" w14:textId="77777777" w:rsidR="006F355C" w:rsidRPr="006F355C" w:rsidRDefault="00EC7962" w:rsidP="00EC7962">
      <w:pPr>
        <w:pStyle w:val="ListNumber"/>
        <w:tabs>
          <w:tab w:val="num" w:pos="1080"/>
        </w:tabs>
        <w:ind w:left="1080" w:hanging="360"/>
      </w:pPr>
      <w:r w:rsidRPr="00C50860">
        <w:t>Enforcement of the promise is necessary to avoid injustice.</w:t>
      </w:r>
      <w:r w:rsidRPr="00C50860">
        <w:rPr>
          <w:rStyle w:val="FootnoteReference"/>
          <w:position w:val="-1"/>
        </w:rPr>
        <w:footnoteReference w:id="257"/>
      </w:r>
    </w:p>
    <w:p w14:paraId="49D36377" w14:textId="77777777" w:rsidR="006F355C" w:rsidRPr="006F355C" w:rsidRDefault="00EC7962" w:rsidP="00A94D82">
      <w:pPr>
        <w:pStyle w:val="Normal-NoIndent"/>
      </w:pPr>
      <w:r w:rsidRPr="00C50860">
        <w:t>However, these statements do not constitute a promise of long-term employment, nor do they establish the type of clear and definite promise required for a cause of action for promissory estoppel.</w:t>
      </w:r>
      <w:r w:rsidRPr="00C50860">
        <w:rPr>
          <w:rStyle w:val="FootnoteReference"/>
          <w:position w:val="-1"/>
        </w:rPr>
        <w:footnoteReference w:id="258"/>
      </w:r>
      <w:r w:rsidRPr="00C50860">
        <w:t xml:space="preserve"> A promissory estoppel claim cannot be asserted if the promise is contrary to public policy.</w:t>
      </w:r>
      <w:r w:rsidRPr="00C50860">
        <w:rPr>
          <w:rStyle w:val="FootnoteReference"/>
          <w:position w:val="-1"/>
        </w:rPr>
        <w:footnoteReference w:id="259"/>
      </w:r>
    </w:p>
    <w:p w14:paraId="69699D6A" w14:textId="77777777" w:rsidR="006F355C" w:rsidRPr="006F355C" w:rsidRDefault="00EC7962" w:rsidP="00A94D82">
      <w:pPr>
        <w:tabs>
          <w:tab w:val="left" w:pos="720"/>
        </w:tabs>
        <w:ind w:left="720" w:hanging="720"/>
        <w:outlineLvl w:val="1"/>
        <w:rPr>
          <w:rFonts w:eastAsia="Cambria" w:cs="TimesNewRomanPS-BoldMT"/>
          <w:b/>
          <w:szCs w:val="23"/>
        </w:rPr>
      </w:pPr>
      <w:r w:rsidRPr="00C50860">
        <w:rPr>
          <w:rFonts w:eastAsia="Cambria" w:cs="TimesNewRomanPS-BoldMT"/>
          <w:b/>
          <w:szCs w:val="23"/>
        </w:rPr>
        <w:t>B.</w:t>
      </w:r>
      <w:r w:rsidRPr="00C50860">
        <w:rPr>
          <w:rFonts w:eastAsia="Cambria" w:cs="TimesNewRomanPS-BoldMT"/>
          <w:b/>
          <w:szCs w:val="23"/>
        </w:rPr>
        <w:tab/>
        <w:t>Workers’ Compensation Indemnity Agreements</w:t>
      </w:r>
    </w:p>
    <w:p w14:paraId="226BC91B" w14:textId="3372C527" w:rsidR="006F355C" w:rsidRPr="006F355C" w:rsidRDefault="00EC7962" w:rsidP="00A94D82">
      <w:pPr>
        <w:pStyle w:val="Normal-NoIndent"/>
        <w:ind w:firstLine="720"/>
        <w:rPr>
          <w:rStyle w:val="FootnoteReference"/>
          <w:position w:val="-1"/>
          <w:vertAlign w:val="baseline"/>
        </w:rPr>
      </w:pPr>
      <w:r w:rsidRPr="00C50860">
        <w:rPr>
          <w:rFonts w:eastAsia="Cambria"/>
        </w:rPr>
        <w:t xml:space="preserve">In </w:t>
      </w:r>
      <w:r w:rsidRPr="00C50860">
        <w:rPr>
          <w:rFonts w:eastAsia="Cambria"/>
          <w:i/>
          <w:iCs/>
        </w:rPr>
        <w:t>Hawaiian Dredging Construction Co</w:t>
      </w:r>
      <w:r w:rsidR="006F355C" w:rsidRPr="006F355C">
        <w:rPr>
          <w:rFonts w:eastAsia="Cambria"/>
          <w:i/>
          <w:iCs/>
        </w:rPr>
        <w:t>. v. F</w:t>
      </w:r>
      <w:r w:rsidRPr="00C50860">
        <w:rPr>
          <w:rFonts w:eastAsia="Cambria"/>
          <w:i/>
          <w:iCs/>
        </w:rPr>
        <w:t>ujikawa Associates, Inc.</w:t>
      </w:r>
      <w:r w:rsidRPr="00C50860">
        <w:rPr>
          <w:rFonts w:eastAsia="Cambria"/>
        </w:rPr>
        <w:t>, the Hawaii Supreme Court held that an indemnity clause provided by a subcontractor to a general contractor</w:t>
      </w:r>
      <w:r w:rsidRPr="00C50860">
        <w:rPr>
          <w:rFonts w:eastAsia="Cambria"/>
          <w:shd w:val="clear" w:color="auto" w:fill="FFFFFF"/>
        </w:rPr>
        <w:t xml:space="preserve"> was invalid to the extent that it gave the general contractor the ability to recover from the subcontractor the workers’ compensation benefits that the general contractor paid to its employee who was allegedly injured due to the subcontractor’s actions.</w:t>
      </w:r>
      <w:r w:rsidRPr="00C50860">
        <w:rPr>
          <w:rFonts w:eastAsia="Cambria" w:cs="TimesNewRomanPSMT"/>
          <w:shd w:val="clear" w:color="auto" w:fill="FFFFFF"/>
          <w:vertAlign w:val="superscript"/>
        </w:rPr>
        <w:footnoteReference w:id="260"/>
      </w:r>
      <w:r w:rsidRPr="00C50860">
        <w:rPr>
          <w:rFonts w:eastAsia="Cambria"/>
          <w:shd w:val="clear" w:color="auto" w:fill="FFFFFF"/>
        </w:rPr>
        <w:t xml:space="preserve"> </w:t>
      </w:r>
      <w:r w:rsidRPr="00C50860">
        <w:rPr>
          <w:rFonts w:eastAsia="Cambria"/>
        </w:rPr>
        <w:t>The court reasoned that “[b]</w:t>
      </w:r>
      <w:r w:rsidRPr="00C50860">
        <w:rPr>
          <w:rFonts w:eastAsia="Cambria"/>
          <w:color w:val="212121"/>
        </w:rPr>
        <w:t>y providing a specific reimbursement remedy and continuing to provide further specificity to the contours of that remedy, the legislature intended to exclude other forms of remedy for an employer's payment of workers' compensation benefits.”</w:t>
      </w:r>
      <w:r w:rsidRPr="00C50860">
        <w:rPr>
          <w:rFonts w:eastAsia="Cambria" w:cs="TimesNewRomanPSMT"/>
          <w:color w:val="212121"/>
          <w:vertAlign w:val="superscript"/>
        </w:rPr>
        <w:footnoteReference w:id="261"/>
      </w:r>
    </w:p>
    <w:p w14:paraId="6AD11112" w14:textId="1E25925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6631" w14:textId="77777777" w:rsidR="00CB0AD9" w:rsidRDefault="00CB0AD9" w:rsidP="002A47A4">
      <w:r>
        <w:separator/>
      </w:r>
    </w:p>
    <w:p w14:paraId="20D342CA" w14:textId="77777777" w:rsidR="00CB0AD9" w:rsidRDefault="00CB0AD9"/>
    <w:p w14:paraId="63B602D1" w14:textId="77777777" w:rsidR="00CB0AD9" w:rsidRDefault="00CB0AD9"/>
  </w:endnote>
  <w:endnote w:type="continuationSeparator" w:id="0">
    <w:p w14:paraId="32B6C252" w14:textId="77777777" w:rsidR="00CB0AD9" w:rsidRDefault="00CB0AD9" w:rsidP="002A47A4">
      <w:r>
        <w:continuationSeparator/>
      </w:r>
    </w:p>
    <w:p w14:paraId="28499517" w14:textId="77777777" w:rsidR="00CB0AD9" w:rsidRDefault="00CB0AD9"/>
    <w:p w14:paraId="29E949E8" w14:textId="77777777" w:rsidR="00CB0AD9" w:rsidRDefault="00CB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NewBaskerville-BoldItalic">
    <w:altName w:val="ITC New Baskerville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1993" w14:textId="77777777" w:rsidR="00CB0AD9" w:rsidRDefault="00CB0AD9" w:rsidP="002A47A4">
      <w:r>
        <w:separator/>
      </w:r>
    </w:p>
    <w:p w14:paraId="5C400BF8" w14:textId="77777777" w:rsidR="00CB0AD9" w:rsidRDefault="00CB0AD9"/>
    <w:p w14:paraId="201814B1" w14:textId="77777777" w:rsidR="00CB0AD9" w:rsidRDefault="00CB0AD9"/>
  </w:footnote>
  <w:footnote w:type="continuationSeparator" w:id="0">
    <w:p w14:paraId="355A559D" w14:textId="77777777" w:rsidR="00CB0AD9" w:rsidRDefault="00CB0AD9" w:rsidP="002A47A4">
      <w:r>
        <w:continuationSeparator/>
      </w:r>
    </w:p>
    <w:p w14:paraId="65934252" w14:textId="77777777" w:rsidR="00CB0AD9" w:rsidRDefault="00CB0AD9"/>
    <w:p w14:paraId="5D643F45" w14:textId="77777777" w:rsidR="00CB0AD9" w:rsidRDefault="00CB0AD9"/>
  </w:footnote>
  <w:footnote w:id="1">
    <w:p w14:paraId="0122BE25" w14:textId="2C8D27DA" w:rsidR="00EC7962" w:rsidRPr="00C50860" w:rsidRDefault="00EC7962" w:rsidP="00450E78">
      <w:pPr>
        <w:pStyle w:val="FootnoteText"/>
        <w:spacing w:after="0"/>
      </w:pPr>
      <w:r w:rsidRPr="00C50860">
        <w:rPr>
          <w:vertAlign w:val="superscript"/>
        </w:rPr>
        <w:footnoteRef/>
      </w:r>
      <w:r w:rsidRPr="00C50860">
        <w:t>Shoppe v</w:t>
      </w:r>
      <w:r w:rsidR="006F355C" w:rsidRPr="006F355C">
        <w:t>. G</w:t>
      </w:r>
      <w:r w:rsidRPr="00C50860">
        <w:t>ucci Am., Inc., 94 Haw</w:t>
      </w:r>
      <w:r w:rsidR="006F355C" w:rsidRPr="006F355C">
        <w:t>. 3</w:t>
      </w:r>
      <w:r w:rsidRPr="00C50860">
        <w:t>68, 383, 14 P.3d 1049, 1064 (2000) (“[I]n the absence of a written employment agreement, a collective bargaining agreement, or a statutorily-conferred right, employment is at-will.”).</w:t>
      </w:r>
    </w:p>
  </w:footnote>
  <w:footnote w:id="2">
    <w:p w14:paraId="2CE5375B" w14:textId="465BD82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382–83, 14 P.3d at 1063–64 (quoting Parnar v</w:t>
      </w:r>
      <w:r w:rsidR="006F355C" w:rsidRPr="006F355C">
        <w:t>. A</w:t>
      </w:r>
      <w:r w:rsidRPr="00C50860">
        <w:t>mericana Hotels, Inc., 65 Haw</w:t>
      </w:r>
      <w:r w:rsidR="006F355C" w:rsidRPr="006F355C">
        <w:t>. 3</w:t>
      </w:r>
      <w:r w:rsidRPr="00C50860">
        <w:t>70, 374–75, 652 P.2d 625, 628 (1982)).</w:t>
      </w:r>
    </w:p>
  </w:footnote>
  <w:footnote w:id="3">
    <w:p w14:paraId="70897473" w14:textId="77777777" w:rsidR="00EC7962" w:rsidRPr="00C50860" w:rsidRDefault="00EC7962" w:rsidP="00450E78">
      <w:pPr>
        <w:pStyle w:val="FootnoteText"/>
        <w:spacing w:after="0"/>
      </w:pPr>
      <w:r w:rsidRPr="00C50860">
        <w:rPr>
          <w:vertAlign w:val="superscript"/>
        </w:rPr>
        <w:footnoteRef/>
      </w:r>
      <w:r w:rsidRPr="00C50860">
        <w:t>Hawaii courts recognize the public policy (see IV) and implied-in-fact (see II(C)) exceptions to the doctrine.</w:t>
      </w:r>
    </w:p>
  </w:footnote>
  <w:footnote w:id="4">
    <w:p w14:paraId="644555AD" w14:textId="77777777" w:rsidR="00EC7962" w:rsidRPr="00C50860" w:rsidRDefault="00EC7962" w:rsidP="00450E78">
      <w:pPr>
        <w:pStyle w:val="FootnoteText"/>
        <w:spacing w:after="0"/>
      </w:pPr>
      <w:r w:rsidRPr="00C50860">
        <w:rPr>
          <w:vertAlign w:val="superscript"/>
        </w:rPr>
        <w:footnoteRef/>
      </w:r>
      <w:r w:rsidRPr="00C50860">
        <w:rPr>
          <w:i/>
          <w:iCs/>
        </w:rPr>
        <w:t>See</w:t>
      </w:r>
      <w:r w:rsidRPr="00C50860">
        <w:t xml:space="preserve"> VII.</w:t>
      </w:r>
    </w:p>
  </w:footnote>
  <w:footnote w:id="5">
    <w:p w14:paraId="52F4B3AD" w14:textId="3538358C" w:rsidR="00EC7962" w:rsidRPr="00C50860" w:rsidRDefault="00EC7962" w:rsidP="00450E78">
      <w:pPr>
        <w:pStyle w:val="FootnoteText"/>
        <w:spacing w:after="0"/>
      </w:pPr>
      <w:r w:rsidRPr="00C50860">
        <w:rPr>
          <w:vertAlign w:val="superscript"/>
        </w:rPr>
        <w:footnoteRef/>
      </w:r>
      <w:r w:rsidRPr="00C50860">
        <w:t>7</w:t>
      </w:r>
      <w:r w:rsidRPr="00C50860">
        <w:rPr>
          <w:lang w:val="sv-SE"/>
        </w:rPr>
        <w:t>21 F. Supp</w:t>
      </w:r>
      <w:r w:rsidR="006F355C" w:rsidRPr="006F355C">
        <w:rPr>
          <w:lang w:val="sv-SE"/>
        </w:rPr>
        <w:t>. 2</w:t>
      </w:r>
      <w:r w:rsidRPr="00C50860">
        <w:rPr>
          <w:lang w:val="sv-SE"/>
        </w:rPr>
        <w:t>d 968 (D. Haw</w:t>
      </w:r>
      <w:r w:rsidR="006F355C" w:rsidRPr="006F355C">
        <w:rPr>
          <w:lang w:val="sv-SE"/>
        </w:rPr>
        <w:t>. 2</w:t>
      </w:r>
      <w:r w:rsidRPr="00C50860">
        <w:rPr>
          <w:lang w:val="sv-SE"/>
        </w:rPr>
        <w:t>010) (</w:t>
      </w:r>
      <w:r w:rsidRPr="00C50860">
        <w:rPr>
          <w:rFonts w:cs="NewBaskerville-Italic"/>
          <w:i/>
          <w:iCs/>
          <w:lang w:val="sv-SE"/>
        </w:rPr>
        <w:t>Shahata I</w:t>
      </w:r>
      <w:r w:rsidRPr="00C50860">
        <w:rPr>
          <w:lang w:val="sv-SE"/>
        </w:rPr>
        <w:t>).</w:t>
      </w:r>
    </w:p>
  </w:footnote>
  <w:footnote w:id="6">
    <w:p w14:paraId="109DC7EC" w14:textId="0D270E8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974.</w:t>
      </w:r>
    </w:p>
  </w:footnote>
  <w:footnote w:id="7">
    <w:p w14:paraId="100B5492" w14:textId="523777A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977.</w:t>
      </w:r>
    </w:p>
  </w:footnote>
  <w:footnote w:id="8">
    <w:p w14:paraId="1DB8227C" w14:textId="6AAFFA9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987–89.</w:t>
      </w:r>
    </w:p>
  </w:footnote>
  <w:footnote w:id="9">
    <w:p w14:paraId="3C0FA06D" w14:textId="1F039EE7"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See </w:t>
      </w:r>
      <w:r w:rsidRPr="00C50860">
        <w:rPr>
          <w:rFonts w:cs="NewBaskerville-Italic"/>
        </w:rPr>
        <w:t>Shahata</w:t>
      </w:r>
      <w:r w:rsidRPr="00C50860">
        <w:t xml:space="preserve"> v</w:t>
      </w:r>
      <w:r w:rsidR="006F355C" w:rsidRPr="006F355C">
        <w:t>. W</w:t>
      </w:r>
      <w:r w:rsidRPr="00C50860">
        <w:t xml:space="preserve"> Steak Waikiki, LLC, Civ</w:t>
      </w:r>
      <w:r w:rsidR="006F355C" w:rsidRPr="006F355C">
        <w:t>. N</w:t>
      </w:r>
      <w:r w:rsidRPr="00C50860">
        <w:t>o</w:t>
      </w:r>
      <w:r w:rsidR="006F355C" w:rsidRPr="006F355C">
        <w:t>. 0</w:t>
      </w:r>
      <w:r w:rsidRPr="00C50860">
        <w:t>9-00231, 2010 WL 3905177, at *17 (D. Haw</w:t>
      </w:r>
      <w:r w:rsidR="006F355C" w:rsidRPr="006F355C">
        <w:t>. S</w:t>
      </w:r>
      <w:r w:rsidRPr="00C50860">
        <w:t>ept</w:t>
      </w:r>
      <w:r w:rsidR="006F355C" w:rsidRPr="006F355C">
        <w:t>. 2</w:t>
      </w:r>
      <w:r w:rsidRPr="00C50860">
        <w:t>4, 2010) (</w:t>
      </w:r>
      <w:r w:rsidRPr="00C50860">
        <w:rPr>
          <w:rFonts w:cs="NewBaskerville-Italic"/>
          <w:i/>
          <w:iCs/>
        </w:rPr>
        <w:t>Shahata II</w:t>
      </w:r>
      <w:r w:rsidRPr="00C50860">
        <w:t>).</w:t>
      </w:r>
    </w:p>
  </w:footnote>
  <w:footnote w:id="10">
    <w:p w14:paraId="3E8A43F9" w14:textId="101AEF96"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w:t>
      </w:r>
      <w:r w:rsidRPr="00C50860">
        <w:rPr>
          <w:rFonts w:cs="NewBaskerville-Italic"/>
        </w:rPr>
        <w:t>Shahata</w:t>
      </w:r>
      <w:r w:rsidRPr="00C50860">
        <w:t xml:space="preserve"> v</w:t>
      </w:r>
      <w:r w:rsidR="006F355C" w:rsidRPr="006F355C">
        <w:t>. W</w:t>
      </w:r>
      <w:r w:rsidRPr="00C50860">
        <w:t xml:space="preserve"> Steak Waikiki, LLC, No</w:t>
      </w:r>
      <w:r w:rsidR="006F355C" w:rsidRPr="006F355C">
        <w:t>. 1</w:t>
      </w:r>
      <w:r w:rsidRPr="00C50860">
        <w:t>0-17438, 494 F. App’x 729, 730 (</w:t>
      </w:r>
      <w:r w:rsidR="006F355C" w:rsidRPr="006F355C">
        <w:t>9th</w:t>
      </w:r>
      <w:r w:rsidRPr="00C50860">
        <w:t xml:space="preserve"> Cir</w:t>
      </w:r>
      <w:r w:rsidR="006F355C" w:rsidRPr="006F355C">
        <w:t>. 2</w:t>
      </w:r>
      <w:r w:rsidRPr="00C50860">
        <w:t>012).</w:t>
      </w:r>
    </w:p>
  </w:footnote>
  <w:footnote w:id="11">
    <w:p w14:paraId="595E8125" w14:textId="77777777" w:rsidR="00EC7962" w:rsidRPr="00C50860" w:rsidRDefault="00EC7962" w:rsidP="00450E78">
      <w:pPr>
        <w:pStyle w:val="FootnoteText"/>
        <w:spacing w:after="0"/>
      </w:pPr>
      <w:r w:rsidRPr="00C50860">
        <w:rPr>
          <w:vertAlign w:val="superscript"/>
        </w:rPr>
        <w:footnoteRef/>
      </w:r>
      <w:r w:rsidRPr="00C50860">
        <w:t xml:space="preserve">The factual summary of the case can be found in the court’s findings of fact, conclusions of law, and decision in </w:t>
      </w:r>
      <w:r w:rsidRPr="00C50860">
        <w:rPr>
          <w:rFonts w:cs="NewBaskerville-Italic"/>
          <w:i/>
          <w:iCs/>
        </w:rPr>
        <w:t>Shahata II</w:t>
      </w:r>
      <w:r w:rsidRPr="00C50860">
        <w:t>.</w:t>
      </w:r>
    </w:p>
  </w:footnote>
  <w:footnote w:id="12">
    <w:p w14:paraId="198D528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Shahata II</w:t>
      </w:r>
      <w:r w:rsidRPr="00C50860">
        <w:t>, 2010 WL 3905177, at *5.</w:t>
      </w:r>
    </w:p>
  </w:footnote>
  <w:footnote w:id="13">
    <w:p w14:paraId="5DA459C3" w14:textId="7AB9884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*14–15.</w:t>
      </w:r>
    </w:p>
  </w:footnote>
  <w:footnote w:id="14">
    <w:p w14:paraId="051481AF"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2010 WL 3905177, at *18.</w:t>
      </w:r>
    </w:p>
  </w:footnote>
  <w:footnote w:id="15">
    <w:p w14:paraId="7EBFC301" w14:textId="2D13AF6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*17.</w:t>
      </w:r>
    </w:p>
  </w:footnote>
  <w:footnote w:id="16">
    <w:p w14:paraId="1DA8F28E" w14:textId="539869F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*22.</w:t>
      </w:r>
    </w:p>
  </w:footnote>
  <w:footnote w:id="17">
    <w:p w14:paraId="756DE85B" w14:textId="2758D84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w:t>
      </w:r>
      <w:r w:rsidRPr="00C50860">
        <w:t>“[I]f [p]laintiff was employed pursuant to a fixed-term one-year contract, [p]laintiff’s promissory estoppel claim fails because of the existence of an adequate legal remedy (breach of contract)”).</w:t>
      </w:r>
    </w:p>
  </w:footnote>
  <w:footnote w:id="18">
    <w:p w14:paraId="1477E2CC" w14:textId="6FC66DF6" w:rsidR="00EC7962" w:rsidRPr="00C50860" w:rsidRDefault="00EC7962" w:rsidP="00450E78">
      <w:pPr>
        <w:pStyle w:val="FootnoteText"/>
        <w:spacing w:after="0"/>
      </w:pPr>
      <w:r w:rsidRPr="00C50860">
        <w:rPr>
          <w:vertAlign w:val="superscript"/>
        </w:rPr>
        <w:footnoteRef/>
      </w:r>
      <w:r w:rsidRPr="00C50860">
        <w:t>Haw</w:t>
      </w:r>
      <w:r w:rsidR="006F355C" w:rsidRPr="006F355C">
        <w:t>. 2</w:t>
      </w:r>
      <w:r w:rsidRPr="00C50860">
        <w:t>26, 229–30 (Haw</w:t>
      </w:r>
      <w:r w:rsidR="006F355C" w:rsidRPr="006F355C">
        <w:t>. T</w:t>
      </w:r>
      <w:r w:rsidRPr="00C50860">
        <w:t>err</w:t>
      </w:r>
      <w:r w:rsidR="006F355C" w:rsidRPr="006F355C">
        <w:t>. 1</w:t>
      </w:r>
      <w:r w:rsidRPr="00C50860">
        <w:t>919).</w:t>
      </w:r>
    </w:p>
  </w:footnote>
  <w:footnote w:id="19">
    <w:p w14:paraId="564469C6" w14:textId="305D347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226, 237–38.</w:t>
      </w:r>
    </w:p>
  </w:footnote>
  <w:footnote w:id="20">
    <w:p w14:paraId="199ABD94" w14:textId="536A3BA9"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229–30</w:t>
      </w:r>
      <w:r w:rsidR="006F355C" w:rsidRPr="006F355C">
        <w:t>. T</w:t>
      </w:r>
      <w:r w:rsidRPr="00C50860">
        <w:t xml:space="preserve">he </w:t>
      </w:r>
      <w:r w:rsidRPr="00C50860">
        <w:rPr>
          <w:rFonts w:cs="NewBaskerville-Italic"/>
          <w:i/>
          <w:iCs/>
        </w:rPr>
        <w:t xml:space="preserve">Crawford </w:t>
      </w:r>
      <w:r w:rsidRPr="00C50860">
        <w:t>decision was later reaffirmed in a footnote, stating that “</w:t>
      </w:r>
      <w:r w:rsidRPr="00C50860">
        <w:rPr>
          <w:rFonts w:cs="NewBaskerville-Italic"/>
          <w:i/>
          <w:iCs/>
        </w:rPr>
        <w:t>Crawford</w:t>
      </w:r>
      <w:r w:rsidRPr="00C50860">
        <w:t xml:space="preserve"> is for our purposes of historical interest only, although it accurately represents the state of our law on the question expressly decided there.” Parnar v</w:t>
      </w:r>
      <w:r w:rsidR="006F355C" w:rsidRPr="006F355C">
        <w:t>. A</w:t>
      </w:r>
      <w:r w:rsidRPr="00C50860">
        <w:t>mericana Hotels, Inc., 65 Haw</w:t>
      </w:r>
      <w:r w:rsidR="006F355C" w:rsidRPr="006F355C">
        <w:t>. 3</w:t>
      </w:r>
      <w:r w:rsidRPr="00C50860">
        <w:t>70, 380, 652 P.2d 625, 625 n.4 (1982)</w:t>
      </w:r>
      <w:r w:rsidR="006F355C" w:rsidRPr="006F355C">
        <w:t>. T</w:t>
      </w:r>
      <w:r w:rsidRPr="00C50860">
        <w:t xml:space="preserve">hereafter, in </w:t>
      </w:r>
      <w:r w:rsidRPr="00C50860">
        <w:rPr>
          <w:rFonts w:cs="NewBaskerville-Italic"/>
          <w:iCs/>
        </w:rPr>
        <w:t>Vlasaty v</w:t>
      </w:r>
      <w:r w:rsidR="006F355C" w:rsidRPr="006F355C">
        <w:rPr>
          <w:rFonts w:cs="NewBaskerville-Italic"/>
          <w:iCs/>
        </w:rPr>
        <w:t>. P</w:t>
      </w:r>
      <w:r w:rsidRPr="00C50860">
        <w:rPr>
          <w:rFonts w:cs="NewBaskerville-Italic"/>
          <w:iCs/>
        </w:rPr>
        <w:t>acific Club,</w:t>
      </w:r>
      <w:r w:rsidRPr="00C50860">
        <w:t xml:space="preserve"> 4 Haw</w:t>
      </w:r>
      <w:r w:rsidR="006F355C" w:rsidRPr="006F355C">
        <w:t>. A</w:t>
      </w:r>
      <w:r w:rsidRPr="00C50860">
        <w:t>pp</w:t>
      </w:r>
      <w:r w:rsidR="006F355C" w:rsidRPr="006F355C">
        <w:t>. 5</w:t>
      </w:r>
      <w:r w:rsidRPr="00C50860">
        <w:t>56, 670 P.2d 827 (1983), the Hawaii Intermediate Court of Appeals reaffirmed the vitality of the doctrine</w:t>
      </w:r>
      <w:r w:rsidR="006F355C" w:rsidRPr="006F355C">
        <w:t>; i</w:t>
      </w:r>
      <w:r w:rsidRPr="00C50860">
        <w:t xml:space="preserve">.e., a contract of infinite duration is “terminable at the will of either party, for any reason or no reason.” </w:t>
      </w:r>
      <w:r w:rsidRPr="00C50860">
        <w:rPr>
          <w:rFonts w:cs="NewBaskerville-Italic"/>
          <w:i/>
          <w:iCs/>
        </w:rPr>
        <w:t>Id</w:t>
      </w:r>
      <w:r w:rsidR="006F355C" w:rsidRPr="006F355C">
        <w:t>. a</w:t>
      </w:r>
      <w:r w:rsidRPr="00C50860">
        <w:t xml:space="preserve">t 564, 670 P.2d at 833 (quoting </w:t>
      </w:r>
      <w:r w:rsidRPr="00C50860">
        <w:rPr>
          <w:rFonts w:cs="NewBaskerville-Italic"/>
          <w:i/>
          <w:iCs/>
        </w:rPr>
        <w:t>Parnar</w:t>
      </w:r>
      <w:r w:rsidRPr="00C50860">
        <w:t>, 65 Haw</w:t>
      </w:r>
      <w:r w:rsidR="006F355C" w:rsidRPr="006F355C">
        <w:t>. a</w:t>
      </w:r>
      <w:r w:rsidRPr="00C50860">
        <w:t>t 374, 652 P.2d at 627).</w:t>
      </w:r>
    </w:p>
  </w:footnote>
  <w:footnote w:id="21">
    <w:p w14:paraId="606798C7" w14:textId="02FFB676" w:rsidR="00EC7962" w:rsidRPr="00C50860" w:rsidRDefault="00EC7962" w:rsidP="00450E78">
      <w:pPr>
        <w:pStyle w:val="FootnoteText"/>
        <w:spacing w:after="0"/>
      </w:pPr>
      <w:r w:rsidRPr="00C50860">
        <w:rPr>
          <w:vertAlign w:val="superscript"/>
        </w:rPr>
        <w:footnoteRef/>
      </w:r>
      <w:r w:rsidRPr="00C50860">
        <w:t>589 F. Supp</w:t>
      </w:r>
      <w:r w:rsidR="006F355C" w:rsidRPr="006F355C">
        <w:t>. 7</w:t>
      </w:r>
      <w:r w:rsidRPr="00C50860">
        <w:t>8 (D. Haw</w:t>
      </w:r>
      <w:r w:rsidR="006F355C" w:rsidRPr="006F355C">
        <w:t>. 1</w:t>
      </w:r>
      <w:r w:rsidRPr="00C50860">
        <w:t>984).</w:t>
      </w:r>
    </w:p>
  </w:footnote>
  <w:footnote w:id="22">
    <w:p w14:paraId="015CE51C" w14:textId="749DC5D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80.</w:t>
      </w:r>
    </w:p>
  </w:footnote>
  <w:footnote w:id="23">
    <w:p w14:paraId="63CE1C57" w14:textId="1D251B8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82.</w:t>
      </w:r>
    </w:p>
  </w:footnote>
  <w:footnote w:id="24">
    <w:p w14:paraId="75222625" w14:textId="4AE0234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82–83 (citations and footnote omitted).</w:t>
      </w:r>
    </w:p>
  </w:footnote>
  <w:footnote w:id="25">
    <w:p w14:paraId="3A1E5E5D" w14:textId="633B8A39"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83 (citations omitted)</w:t>
      </w:r>
      <w:r w:rsidR="006F355C" w:rsidRPr="006F355C">
        <w:t xml:space="preserve">; </w:t>
      </w:r>
      <w:r w:rsidR="006F355C" w:rsidRPr="006F355C">
        <w:rPr>
          <w:i/>
        </w:rPr>
        <w:t>s</w:t>
      </w:r>
      <w:r w:rsidRPr="00C50860">
        <w:rPr>
          <w:i/>
        </w:rPr>
        <w:t>ee also</w:t>
      </w:r>
      <w:r w:rsidRPr="00C50860">
        <w:t xml:space="preserve"> Petricevic v</w:t>
      </w:r>
      <w:r w:rsidR="006F355C" w:rsidRPr="006F355C">
        <w:t>. S</w:t>
      </w:r>
      <w:r w:rsidRPr="00C50860">
        <w:t>hin, CIV</w:t>
      </w:r>
      <w:r w:rsidR="006F355C" w:rsidRPr="006F355C">
        <w:t>. N</w:t>
      </w:r>
      <w:r w:rsidRPr="00C50860">
        <w:t>O</w:t>
      </w:r>
      <w:r w:rsidR="006F355C" w:rsidRPr="006F355C">
        <w:t>. 2</w:t>
      </w:r>
      <w:r w:rsidRPr="00C50860">
        <w:t>0-00283, 2021 WL 3130048, at *9 (D</w:t>
      </w:r>
      <w:r w:rsidR="006F355C" w:rsidRPr="006F355C">
        <w:t>. H</w:t>
      </w:r>
      <w:r w:rsidRPr="00C50860">
        <w:t>aw</w:t>
      </w:r>
      <w:r w:rsidR="006F355C" w:rsidRPr="006F355C">
        <w:t>. J</w:t>
      </w:r>
      <w:r w:rsidRPr="00C50860">
        <w:t>uly 23, 2021) (finding that because the employee failed to produce a written employment agreement, his employment is presumed to be at will and terminable by either party for any reason or no reason).</w:t>
      </w:r>
    </w:p>
  </w:footnote>
  <w:footnote w:id="26">
    <w:p w14:paraId="3A16F89E" w14:textId="5F492450" w:rsidR="00EC7962" w:rsidRPr="00C50860" w:rsidRDefault="00EC7962" w:rsidP="00450E78">
      <w:pPr>
        <w:pStyle w:val="FootnoteText"/>
        <w:spacing w:after="0"/>
      </w:pPr>
      <w:r w:rsidRPr="00C50860">
        <w:rPr>
          <w:vertAlign w:val="superscript"/>
        </w:rPr>
        <w:footnoteRef/>
      </w:r>
      <w:r w:rsidRPr="00C50860">
        <w:t>68 Haw</w:t>
      </w:r>
      <w:r w:rsidR="006F355C" w:rsidRPr="006F355C">
        <w:t>. 5</w:t>
      </w:r>
      <w:r w:rsidRPr="00C50860">
        <w:t>94, 724 P.2d 110 (1986).</w:t>
      </w:r>
    </w:p>
  </w:footnote>
  <w:footnote w:id="27">
    <w:p w14:paraId="1E4C8F48" w14:textId="20CCF5D4"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597–99, 724 P.2d at 113–14.</w:t>
      </w:r>
    </w:p>
  </w:footnote>
  <w:footnote w:id="28">
    <w:p w14:paraId="7A217460" w14:textId="2FCE359E" w:rsidR="00EC7962" w:rsidRPr="00C50860" w:rsidRDefault="00EC7962" w:rsidP="00450E78">
      <w:pPr>
        <w:pStyle w:val="FootnoteText"/>
        <w:spacing w:after="0"/>
      </w:pPr>
      <w:r w:rsidRPr="00C50860">
        <w:rPr>
          <w:vertAlign w:val="superscript"/>
        </w:rPr>
        <w:footnoteRef/>
      </w:r>
      <w:r w:rsidRPr="00C50860">
        <w:t>The employer issued a letter to each employee, stating that “our written employment arrangements with you … constitute an enforceable contract between us under the labour law of the state in which you work</w:t>
      </w:r>
      <w:r w:rsidR="006F355C" w:rsidRPr="006F355C">
        <w:t>. T</w:t>
      </w:r>
      <w:r w:rsidRPr="00C50860">
        <w:t>hus your rights in your employment arrangement are guaranteed.”</w:t>
      </w:r>
      <w:r w:rsidRPr="00C50860">
        <w:rPr>
          <w:rFonts w:cs="NewBaskerville-Italic"/>
          <w:i/>
          <w:iCs/>
        </w:rPr>
        <w:t xml:space="preserve"> Id</w:t>
      </w:r>
      <w:r w:rsidR="006F355C" w:rsidRPr="006F355C">
        <w:rPr>
          <w:rFonts w:cs="NewBaskerville-Italic"/>
          <w:i/>
          <w:iCs/>
        </w:rPr>
        <w:t xml:space="preserve">. </w:t>
      </w:r>
      <w:r w:rsidR="006F355C" w:rsidRPr="006F355C">
        <w:t>a</w:t>
      </w:r>
      <w:r w:rsidRPr="00C50860">
        <w:t>t 599, 724 P.2d at 115 (original brackets and footnote omitted).</w:t>
      </w:r>
    </w:p>
  </w:footnote>
  <w:footnote w:id="29">
    <w:p w14:paraId="707A820E" w14:textId="42BD673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599, 724 P.2d at 115.</w:t>
      </w:r>
    </w:p>
  </w:footnote>
  <w:footnote w:id="30">
    <w:p w14:paraId="26DC449B" w14:textId="06171AC9"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602–03, 724 P.2d at 116–17 (emphasis added).</w:t>
      </w:r>
    </w:p>
  </w:footnote>
  <w:footnote w:id="31">
    <w:p w14:paraId="6B40A8FA" w14:textId="55AB0B3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603–04, 724 P.2d at 117–18.</w:t>
      </w:r>
    </w:p>
  </w:footnote>
  <w:footnote w:id="32">
    <w:p w14:paraId="2A9F6147" w14:textId="354565F2" w:rsidR="00EC7962" w:rsidRPr="00C50860" w:rsidRDefault="00EC7962" w:rsidP="00450E78">
      <w:pPr>
        <w:pStyle w:val="FootnoteText"/>
        <w:spacing w:after="0"/>
      </w:pPr>
      <w:r w:rsidRPr="00C50860">
        <w:rPr>
          <w:vertAlign w:val="superscript"/>
        </w:rPr>
        <w:footnoteRef/>
      </w:r>
      <w:r w:rsidRPr="00C50860">
        <w:t>117 Haw</w:t>
      </w:r>
      <w:r w:rsidR="006F355C" w:rsidRPr="006F355C">
        <w:t>. 9</w:t>
      </w:r>
      <w:r w:rsidRPr="00C50860">
        <w:t>2, 176 P.3d 91 (2008).</w:t>
      </w:r>
    </w:p>
  </w:footnote>
  <w:footnote w:id="33">
    <w:p w14:paraId="3F63AE58" w14:textId="5C6305B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98, 176 P.3d at 97.</w:t>
      </w:r>
    </w:p>
  </w:footnote>
  <w:footnote w:id="34">
    <w:p w14:paraId="6E243FBB" w14:textId="63DF67F2"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119, 176 P.3d at 118.</w:t>
      </w:r>
    </w:p>
  </w:footnote>
  <w:footnote w:id="35">
    <w:p w14:paraId="7FADD9FF"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6">
    <w:p w14:paraId="4B910F96"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7">
    <w:p w14:paraId="170FC264"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8">
    <w:p w14:paraId="52A12216" w14:textId="170AE20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121, 176 P.3d at 120.</w:t>
      </w:r>
    </w:p>
  </w:footnote>
  <w:footnote w:id="39">
    <w:p w14:paraId="0AA582D5" w14:textId="08D57FA2" w:rsidR="00EC7962" w:rsidRPr="00C50860" w:rsidRDefault="00EC7962" w:rsidP="00450E78">
      <w:pPr>
        <w:pStyle w:val="FootnoteText"/>
        <w:spacing w:after="0"/>
      </w:pPr>
      <w:r w:rsidRPr="00C50860">
        <w:rPr>
          <w:vertAlign w:val="superscript"/>
        </w:rPr>
        <w:footnoteRef/>
      </w:r>
      <w:r w:rsidRPr="00C50860">
        <w:rPr>
          <w:rFonts w:cs="NewBaskerville-Italic"/>
          <w:i/>
          <w:iCs/>
        </w:rPr>
        <w:t>See also</w:t>
      </w:r>
      <w:r w:rsidRPr="00C50860">
        <w:t xml:space="preserve"> Shoppe v</w:t>
      </w:r>
      <w:r w:rsidR="006F355C" w:rsidRPr="006F355C">
        <w:t>. G</w:t>
      </w:r>
      <w:r w:rsidRPr="00C50860">
        <w:t>ucci Am., Inc., 94 Haw</w:t>
      </w:r>
      <w:r w:rsidR="006F355C" w:rsidRPr="006F355C">
        <w:t>. 3</w:t>
      </w:r>
      <w:r w:rsidRPr="00C50860">
        <w:t>68, 385, 14 P.3d 1049, 1066 (2000) (finding that where an employee handbook does not require a written warning before termination “[a]n employee may be terminated without receiving a written report if, in the estimation her supervisor, such discipline is warranted”) (internal quotation marks omitted)</w:t>
      </w:r>
      <w:r w:rsidR="006F355C" w:rsidRPr="006F355C">
        <w:t>; C</w:t>
      </w:r>
      <w:r w:rsidRPr="00C50860">
        <w:t>alleon v</w:t>
      </w:r>
      <w:r w:rsidR="006F355C" w:rsidRPr="006F355C">
        <w:t>. M</w:t>
      </w:r>
      <w:r w:rsidRPr="00C50860">
        <w:t>TL, Inc., 76 Haw</w:t>
      </w:r>
      <w:r w:rsidR="006F355C" w:rsidRPr="006F355C">
        <w:t>. 3</w:t>
      </w:r>
      <w:r w:rsidRPr="00C50860">
        <w:t>10, 317, 876 P.2d 1278, 1284 (1994) (finding that where implied contract of employment merely provides that employer must adhere to specific procedures in specific situations contained in employer-promulgated manual or handbook, such as termination procedures, upon which employee has relied, termination for good cause is not required</w:t>
      </w:r>
      <w:r w:rsidR="006F355C" w:rsidRPr="006F355C">
        <w:t>; a</w:t>
      </w:r>
      <w:r w:rsidRPr="00C50860">
        <w:t>ll that is required is that specific promulgated procedures be followed)</w:t>
      </w:r>
      <w:r w:rsidR="006F355C" w:rsidRPr="006F355C">
        <w:t>; M</w:t>
      </w:r>
      <w:r w:rsidRPr="00C50860">
        <w:t>orishige v</w:t>
      </w:r>
      <w:r w:rsidR="006F355C" w:rsidRPr="006F355C">
        <w:t>. S</w:t>
      </w:r>
      <w:r w:rsidRPr="00C50860">
        <w:t>pencecliff Corp.</w:t>
      </w:r>
      <w:r w:rsidRPr="00C50860">
        <w:rPr>
          <w:rFonts w:cs="NewBaskerville-Italic"/>
          <w:i/>
          <w:iCs/>
        </w:rPr>
        <w:t xml:space="preserve">, </w:t>
      </w:r>
      <w:r w:rsidRPr="00C50860">
        <w:t>720 F. Supp</w:t>
      </w:r>
      <w:r w:rsidR="006F355C" w:rsidRPr="006F355C">
        <w:t>. 8</w:t>
      </w:r>
      <w:r w:rsidRPr="00C50860">
        <w:t>29, 834 (D. Haw</w:t>
      </w:r>
      <w:r w:rsidR="006F355C" w:rsidRPr="006F355C">
        <w:t>. 1</w:t>
      </w:r>
      <w:r w:rsidRPr="00C50860">
        <w:t>989) (finding the existence of material issues of fact regarding the employee “Guidebook” and the circumstances surrounding its adoption precluded summary judgment of implied-in-fact contract claim).</w:t>
      </w:r>
    </w:p>
  </w:footnote>
  <w:footnote w:id="40">
    <w:p w14:paraId="0A98DAE2" w14:textId="45636EF7" w:rsidR="00EC7962" w:rsidRPr="00C50860" w:rsidRDefault="00EC7962" w:rsidP="00450E78">
      <w:pPr>
        <w:pStyle w:val="FootnoteText"/>
        <w:spacing w:after="0"/>
      </w:pPr>
      <w:r w:rsidRPr="00C50860">
        <w:rPr>
          <w:vertAlign w:val="superscript"/>
        </w:rPr>
        <w:footnoteRef/>
      </w:r>
      <w:r w:rsidRPr="00C50860">
        <w:t>65 Haw</w:t>
      </w:r>
      <w:r w:rsidR="006F355C" w:rsidRPr="006F355C">
        <w:t>. 3</w:t>
      </w:r>
      <w:r w:rsidRPr="00C50860">
        <w:t>70, 375, 652 P.2d 625, 628 (1982).</w:t>
      </w:r>
    </w:p>
  </w:footnote>
  <w:footnote w:id="41">
    <w:p w14:paraId="2511B7BE" w14:textId="23668B4E"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S</w:t>
      </w:r>
      <w:r w:rsidRPr="00C50860">
        <w:rPr>
          <w:rFonts w:cs="NewBaskerville-Italic"/>
          <w:i/>
          <w:iCs/>
        </w:rPr>
        <w:t xml:space="preserve">ee also </w:t>
      </w:r>
      <w:r w:rsidRPr="00C50860">
        <w:t>Beals v</w:t>
      </w:r>
      <w:r w:rsidR="006F355C" w:rsidRPr="006F355C">
        <w:t>. K</w:t>
      </w:r>
      <w:r w:rsidRPr="00C50860">
        <w:t>iewit Pac</w:t>
      </w:r>
      <w:r w:rsidR="006F355C" w:rsidRPr="006F355C">
        <w:t>. C</w:t>
      </w:r>
      <w:r w:rsidRPr="00C50860">
        <w:t>o., 825 F. Supp</w:t>
      </w:r>
      <w:r w:rsidR="006F355C" w:rsidRPr="006F355C">
        <w:t>. 9</w:t>
      </w:r>
      <w:r w:rsidRPr="00C50860">
        <w:t>26, 929 (D. Haw</w:t>
      </w:r>
      <w:r w:rsidR="006F355C" w:rsidRPr="006F355C">
        <w:t>. 1</w:t>
      </w:r>
      <w:r w:rsidRPr="00C50860">
        <w:t>993) (“Regardless if the claim is labelled [</w:t>
      </w:r>
      <w:r w:rsidRPr="00C50860">
        <w:rPr>
          <w:rFonts w:cs="NewBaskerville-Italic"/>
          <w:i/>
          <w:iCs/>
        </w:rPr>
        <w:t>sic</w:t>
      </w:r>
      <w:r w:rsidRPr="00C50860">
        <w:t xml:space="preserve">] bad faith termination or tortious breach of contract, </w:t>
      </w:r>
      <w:r w:rsidRPr="00C50860">
        <w:rPr>
          <w:rFonts w:cs="NewBaskerville-Italic"/>
          <w:i/>
          <w:iCs/>
        </w:rPr>
        <w:t>Parnar</w:t>
      </w:r>
      <w:r w:rsidRPr="00C50860">
        <w:t xml:space="preserve"> clearly states that a wrongfully discharged employee is not entitled to expand her rights by imposing upon an employer an implied duty to terminate in good faith [citation omitted].”).</w:t>
      </w:r>
    </w:p>
  </w:footnote>
  <w:footnote w:id="42">
    <w:p w14:paraId="33C2AADF" w14:textId="6C07C345" w:rsidR="00EC7962" w:rsidRPr="00C50860" w:rsidRDefault="00EC7962" w:rsidP="00450E78">
      <w:pPr>
        <w:pStyle w:val="FootnoteText"/>
        <w:spacing w:after="0"/>
      </w:pPr>
      <w:r w:rsidRPr="00C50860">
        <w:rPr>
          <w:vertAlign w:val="superscript"/>
        </w:rPr>
        <w:footnoteRef/>
      </w:r>
      <w:r w:rsidRPr="00C50860">
        <w:t>65 Haw</w:t>
      </w:r>
      <w:r w:rsidR="006F355C" w:rsidRPr="006F355C">
        <w:t>. 3</w:t>
      </w:r>
      <w:r w:rsidRPr="00C50860">
        <w:t>70, 652 P.2d 625 (1982).</w:t>
      </w:r>
    </w:p>
  </w:footnote>
  <w:footnote w:id="43">
    <w:p w14:paraId="4E22055A" w14:textId="6CEE10B8"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372–73, 652 P.2d at 627.</w:t>
      </w:r>
    </w:p>
  </w:footnote>
  <w:footnote w:id="44">
    <w:p w14:paraId="0A342D75" w14:textId="18A4B1E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380, 652 P.2d at 631 (footnote omitted).</w:t>
      </w:r>
    </w:p>
  </w:footnote>
  <w:footnote w:id="45">
    <w:p w14:paraId="0EC09A3A" w14:textId="4C31BF3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379–80, 652 P.2d at 631 (footnote omitted).</w:t>
      </w:r>
    </w:p>
  </w:footnote>
  <w:footnote w:id="46">
    <w:p w14:paraId="0DE969CE" w14:textId="4A5EEBC7"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380, 652 P.2d at 631.</w:t>
      </w:r>
    </w:p>
  </w:footnote>
  <w:footnote w:id="47">
    <w:p w14:paraId="4E8CC94B" w14:textId="1382ACFC" w:rsidR="00EC7962" w:rsidRPr="00C50860" w:rsidRDefault="00EC7962" w:rsidP="00450E78">
      <w:pPr>
        <w:pStyle w:val="FootnoteText"/>
        <w:spacing w:after="0"/>
      </w:pPr>
      <w:r w:rsidRPr="00C50860">
        <w:rPr>
          <w:vertAlign w:val="superscript"/>
        </w:rPr>
        <w:footnoteRef/>
      </w:r>
      <w:r w:rsidRPr="00C50860">
        <w:rPr>
          <w:i/>
        </w:rPr>
        <w:t>Id.</w:t>
      </w:r>
      <w:r w:rsidR="006F355C" w:rsidRPr="006F355C">
        <w:t xml:space="preserve">; </w:t>
      </w:r>
      <w:r w:rsidR="006F355C" w:rsidRPr="006F355C">
        <w:rPr>
          <w:i/>
        </w:rPr>
        <w:t>s</w:t>
      </w:r>
      <w:r w:rsidRPr="00C50860">
        <w:rPr>
          <w:i/>
        </w:rPr>
        <w:t>ee also</w:t>
      </w:r>
      <w:r w:rsidRPr="00C50860">
        <w:t xml:space="preserve"> Bald v</w:t>
      </w:r>
      <w:r w:rsidR="006F355C" w:rsidRPr="006F355C">
        <w:t>. K</w:t>
      </w:r>
      <w:r w:rsidRPr="00C50860">
        <w:t>uakini Med</w:t>
      </w:r>
      <w:r w:rsidR="006F355C" w:rsidRPr="006F355C">
        <w:t>. C</w:t>
      </w:r>
      <w:r w:rsidRPr="00C50860">
        <w:t>tr., Civil No</w:t>
      </w:r>
      <w:r w:rsidR="006F355C" w:rsidRPr="006F355C">
        <w:t>. 1</w:t>
      </w:r>
      <w:r w:rsidRPr="00C50860">
        <w:t>5-00525 RLP, 2017 WL 2117400, at *6 (D. Haw</w:t>
      </w:r>
      <w:r w:rsidR="006F355C" w:rsidRPr="006F355C">
        <w:t>. A</w:t>
      </w:r>
      <w:r w:rsidRPr="00C50860">
        <w:t>pr</w:t>
      </w:r>
      <w:r w:rsidR="006F355C" w:rsidRPr="006F355C">
        <w:t>. 1</w:t>
      </w:r>
      <w:r w:rsidRPr="00C50860">
        <w:t>0, 2017) (granting employer’s summary judgment motion as to breach of public policy termination claim because unionized employee did not engage in protected activity (e.g</w:t>
      </w:r>
      <w:r w:rsidR="006F355C" w:rsidRPr="006F355C">
        <w:t>. “</w:t>
      </w:r>
      <w:r w:rsidRPr="00C50860">
        <w:t>refusing to commit an unlawful act,” “performing an important public obligation,” or “exercising a statutory right or privilege”) when she recorded patient’s urine output as part of her regular job duties)</w:t>
      </w:r>
      <w:r w:rsidR="006F355C" w:rsidRPr="006F355C">
        <w:t>; M</w:t>
      </w:r>
      <w:r w:rsidRPr="00C50860">
        <w:t>orishige v</w:t>
      </w:r>
      <w:r w:rsidR="006F355C" w:rsidRPr="006F355C">
        <w:t>. S</w:t>
      </w:r>
      <w:r w:rsidRPr="00C50860">
        <w:t>pencecliff Corp.</w:t>
      </w:r>
      <w:r w:rsidRPr="00C50860">
        <w:rPr>
          <w:rFonts w:cs="NewBaskerville-Italic"/>
          <w:i/>
          <w:iCs/>
        </w:rPr>
        <w:t xml:space="preserve">, </w:t>
      </w:r>
      <w:r w:rsidRPr="00C50860">
        <w:t>720 F. Supp</w:t>
      </w:r>
      <w:r w:rsidR="006F355C" w:rsidRPr="006F355C">
        <w:t>. 8</w:t>
      </w:r>
      <w:r w:rsidRPr="00C50860">
        <w:t>29, 834 (D. Haw</w:t>
      </w:r>
      <w:r w:rsidR="006F355C" w:rsidRPr="006F355C">
        <w:t>. 1</w:t>
      </w:r>
      <w:r w:rsidRPr="00C50860">
        <w:t>989) (finding that public policy claim based upon city building codes and liquor laws represent important public policies upon which a public policy claim could be based, and therefore, summary judgment was denied).</w:t>
      </w:r>
    </w:p>
  </w:footnote>
  <w:footnote w:id="48">
    <w:p w14:paraId="0A132AB3" w14:textId="24486441" w:rsidR="00EC7962" w:rsidRPr="00C50860" w:rsidRDefault="00EC7962" w:rsidP="00450E78">
      <w:pPr>
        <w:pStyle w:val="FootnoteText"/>
        <w:spacing w:after="0"/>
      </w:pPr>
      <w:r w:rsidRPr="00C50860">
        <w:rPr>
          <w:vertAlign w:val="superscript"/>
        </w:rPr>
        <w:footnoteRef/>
      </w:r>
      <w:r w:rsidRPr="00C50860">
        <w:t>76 Haw</w:t>
      </w:r>
      <w:r w:rsidR="006F355C" w:rsidRPr="006F355C">
        <w:t>. 4</w:t>
      </w:r>
      <w:r w:rsidRPr="00C50860">
        <w:t>54, 879 P.2d 1037 (1994).</w:t>
      </w:r>
    </w:p>
  </w:footnote>
  <w:footnote w:id="49">
    <w:p w14:paraId="1C59D073" w14:textId="74FB1A2A"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455, 464, 879 P.2d at 1038, 1047.</w:t>
      </w:r>
    </w:p>
  </w:footnote>
  <w:footnote w:id="50">
    <w:p w14:paraId="3C9E80D4" w14:textId="2A72DDD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464, 879 P.2d at 1047 (original ellipsis, brackets, internal citations, and footnote omitted).</w:t>
      </w:r>
    </w:p>
  </w:footnote>
  <w:footnote w:id="51">
    <w:p w14:paraId="27C10F92" w14:textId="7211CEF4" w:rsidR="00EC7962" w:rsidRPr="00C50860" w:rsidRDefault="00EC7962" w:rsidP="00450E78">
      <w:pPr>
        <w:pStyle w:val="FootnoteText"/>
        <w:spacing w:after="0"/>
      </w:pPr>
      <w:r w:rsidRPr="00C50860">
        <w:rPr>
          <w:vertAlign w:val="superscript"/>
        </w:rPr>
        <w:footnoteRef/>
      </w:r>
      <w:r w:rsidRPr="00C50860">
        <w:rPr>
          <w:rFonts w:cs="NewBaskerville-Italic"/>
          <w:i/>
          <w:iCs/>
        </w:rPr>
        <w:t>See, e.g.,</w:t>
      </w:r>
      <w:r w:rsidRPr="00C50860">
        <w:t xml:space="preserve"> </w:t>
      </w:r>
      <w:r w:rsidRPr="00C50860">
        <w:rPr>
          <w:rFonts w:cs="NewBaskerville-Italic"/>
          <w:i/>
          <w:iCs/>
        </w:rPr>
        <w:t>Bald,</w:t>
      </w:r>
      <w:r w:rsidRPr="00C50860">
        <w:t xml:space="preserve"> 2017 WL 2117400, at *6 (granting summary judgment as to employee’s breach of public policy termination claim because unionized employee did not engage in protected activity (e.g</w:t>
      </w:r>
      <w:r w:rsidR="006F355C" w:rsidRPr="006F355C">
        <w:t>. “</w:t>
      </w:r>
      <w:r w:rsidRPr="00C50860">
        <w:t>refusing to commit an unlawful act,” “performing an important public obligation,” or “exercising a statutory right or privilege”) when she recorded patient’s urine output as part of her regular job duties)</w:t>
      </w:r>
      <w:r w:rsidR="006F355C" w:rsidRPr="006F355C">
        <w:t>; H</w:t>
      </w:r>
      <w:r w:rsidRPr="00C50860">
        <w:t>ughes v</w:t>
      </w:r>
      <w:r w:rsidR="006F355C" w:rsidRPr="006F355C">
        <w:t>. M</w:t>
      </w:r>
      <w:r w:rsidRPr="00C50860">
        <w:t>ayoral,</w:t>
      </w:r>
      <w:r w:rsidRPr="00C50860">
        <w:rPr>
          <w:lang w:val="sv-SE"/>
        </w:rPr>
        <w:t xml:space="preserve"> 721 F. Supp.2d 947, 962 (D. Haw</w:t>
      </w:r>
      <w:r w:rsidR="006F355C" w:rsidRPr="006F355C">
        <w:rPr>
          <w:lang w:val="sv-SE"/>
        </w:rPr>
        <w:t>. 2</w:t>
      </w:r>
      <w:r w:rsidRPr="00C50860">
        <w:rPr>
          <w:lang w:val="sv-SE"/>
        </w:rPr>
        <w:t>010) (</w:t>
      </w:r>
      <w:r w:rsidRPr="00C50860">
        <w:t xml:space="preserve">citing </w:t>
      </w:r>
      <w:r w:rsidRPr="00C50860">
        <w:rPr>
          <w:rFonts w:cs="NewBaskerville-Italic"/>
          <w:i/>
          <w:iCs/>
        </w:rPr>
        <w:t>Ross</w:t>
      </w:r>
      <w:r w:rsidRPr="00C50860">
        <w:t xml:space="preserve"> and ruling that the plaintiff, a bellman/security guard, could not assert a claim for breach of public policy based on Title VII or the Hawaii state law equivalent because the statute upon which the public policy claim was asserted provided its own remedy)</w:t>
      </w:r>
      <w:r w:rsidR="006F355C" w:rsidRPr="006F355C">
        <w:t>; A</w:t>
      </w:r>
      <w:r w:rsidRPr="00C50860">
        <w:t>bbey v</w:t>
      </w:r>
      <w:r w:rsidR="006F355C" w:rsidRPr="006F355C">
        <w:t>. H</w:t>
      </w:r>
      <w:r w:rsidRPr="00C50860">
        <w:t>awaii Emp’rs Mut</w:t>
      </w:r>
      <w:r w:rsidR="006F355C" w:rsidRPr="006F355C">
        <w:t>. I</w:t>
      </w:r>
      <w:r w:rsidRPr="00C50860">
        <w:t>ns</w:t>
      </w:r>
      <w:r w:rsidR="006F355C" w:rsidRPr="006F355C">
        <w:t>. C</w:t>
      </w:r>
      <w:r w:rsidRPr="00C50860">
        <w:t>o</w:t>
      </w:r>
      <w:r w:rsidR="006F355C" w:rsidRPr="006F355C">
        <w:t>. (</w:t>
      </w:r>
      <w:r w:rsidRPr="00C50860">
        <w:t>HEMIC), 760 F. Supp</w:t>
      </w:r>
      <w:r w:rsidR="006F355C" w:rsidRPr="006F355C">
        <w:t>. 2</w:t>
      </w:r>
      <w:r w:rsidRPr="00C50860">
        <w:t>d 1005, 1019–20 (D. Haw</w:t>
      </w:r>
      <w:r w:rsidR="006F355C" w:rsidRPr="006F355C">
        <w:t>. 2</w:t>
      </w:r>
      <w:r w:rsidRPr="00C50860">
        <w:t>010) (granting summary judgment and finding that “the employee bears the burden of proving that an allegedly unlawful employment action is a clear violation of the very public policy that employee relies upon” and that an internal directive was not a public policy)</w:t>
      </w:r>
      <w:r w:rsidR="006F355C" w:rsidRPr="006F355C">
        <w:t>; C</w:t>
      </w:r>
      <w:r w:rsidRPr="00C50860">
        <w:t>ambron v</w:t>
      </w:r>
      <w:r w:rsidR="006F355C" w:rsidRPr="006F355C">
        <w:t>. S</w:t>
      </w:r>
      <w:r w:rsidRPr="00C50860">
        <w:t>tarwood Vacation Ownership, Inc., 945 F. Supp</w:t>
      </w:r>
      <w:r w:rsidR="006F355C" w:rsidRPr="006F355C">
        <w:t>. 2</w:t>
      </w:r>
      <w:r w:rsidRPr="00C50860">
        <w:t>d 1133, 1141–42, 35 IER Cases 1177 (D. Haw</w:t>
      </w:r>
      <w:r w:rsidR="006F355C" w:rsidRPr="006F355C">
        <w:t>. 2</w:t>
      </w:r>
      <w:r w:rsidRPr="00C50860">
        <w:t>013) (The finding that plaintiff failed to state a wrongful discharge claim because (1) the facts as alleged by plaintiff “show that he abandoned his job” and therefore he was not terminated</w:t>
      </w:r>
      <w:r w:rsidR="006F355C" w:rsidRPr="006F355C">
        <w:t>; (</w:t>
      </w:r>
      <w:r w:rsidRPr="00C50860">
        <w:t>2) plaintiff “fails to allege a causal connection between [the] alleged termination and a protected activity” because plaintiff’s unwillingness to accept a severance agreement that included a release of the supervisor was not protected conduct</w:t>
      </w:r>
      <w:r w:rsidR="006F355C" w:rsidRPr="006F355C">
        <w:t>; a</w:t>
      </w:r>
      <w:r w:rsidRPr="00C50860">
        <w:t>nd, (3) the statutory provision (workers’ compensation) evidencing the public policy provides a remedy for the alleged wrongful discharge and therefore barred any claim under the public policy exception to the employment at-will doctrine)</w:t>
      </w:r>
      <w:r w:rsidR="006F355C" w:rsidRPr="006F355C">
        <w:t>; S</w:t>
      </w:r>
      <w:r w:rsidRPr="00C50860">
        <w:t>&amp;G Labs Hawaii, LLC v</w:t>
      </w:r>
      <w:r w:rsidR="006F355C" w:rsidRPr="006F355C">
        <w:t>. G</w:t>
      </w:r>
      <w:r w:rsidRPr="00C50860">
        <w:t>raves, CIV NO</w:t>
      </w:r>
      <w:r w:rsidR="006F355C" w:rsidRPr="006F355C">
        <w:t>. 1</w:t>
      </w:r>
      <w:r w:rsidRPr="00C50860">
        <w:t>9-00310, 2021 WL 4847430, at * (D</w:t>
      </w:r>
      <w:r w:rsidR="006F355C" w:rsidRPr="006F355C">
        <w:t>. H</w:t>
      </w:r>
      <w:r w:rsidRPr="00C50860">
        <w:t>aw</w:t>
      </w:r>
      <w:r w:rsidR="006F355C" w:rsidRPr="006F355C">
        <w:t>. O</w:t>
      </w:r>
      <w:r w:rsidRPr="00C50860">
        <w:t>ct</w:t>
      </w:r>
      <w:r w:rsidR="006F355C" w:rsidRPr="006F355C">
        <w:t>. 1</w:t>
      </w:r>
      <w:r w:rsidRPr="00C50860">
        <w:t xml:space="preserve">8, 2021) (finding that employee established prima facie case for </w:t>
      </w:r>
      <w:r w:rsidRPr="00C50860">
        <w:rPr>
          <w:i/>
        </w:rPr>
        <w:t>Parnar</w:t>
      </w:r>
      <w:r w:rsidRPr="00C50860">
        <w:t xml:space="preserve"> claim based on public policy identified in Hawai’i Whistleblower Protection Act)</w:t>
      </w:r>
      <w:r w:rsidR="006F355C" w:rsidRPr="006F355C">
        <w:t>; T</w:t>
      </w:r>
      <w:r w:rsidRPr="00C50860">
        <w:t>akaki v</w:t>
      </w:r>
      <w:r w:rsidR="006F355C" w:rsidRPr="006F355C">
        <w:t>. A</w:t>
      </w:r>
      <w:r w:rsidRPr="00C50860">
        <w:t>llied Mach</w:t>
      </w:r>
      <w:r w:rsidR="006F355C" w:rsidRPr="006F355C">
        <w:t>. C</w:t>
      </w:r>
      <w:r w:rsidRPr="00C50860">
        <w:t>orp.,</w:t>
      </w:r>
      <w:r w:rsidRPr="00C50860">
        <w:rPr>
          <w:rFonts w:cs="NewBaskerville-Italic"/>
          <w:i/>
          <w:iCs/>
        </w:rPr>
        <w:t xml:space="preserve"> </w:t>
      </w:r>
      <w:r w:rsidRPr="00C50860">
        <w:t>87 Haw</w:t>
      </w:r>
      <w:r w:rsidR="006F355C" w:rsidRPr="006F355C">
        <w:t>. 5</w:t>
      </w:r>
      <w:r w:rsidRPr="00C50860">
        <w:t>7, 64, 951 P.2d 507, 514 (Haw</w:t>
      </w:r>
      <w:r w:rsidR="006F355C" w:rsidRPr="006F355C">
        <w:t>. C</w:t>
      </w:r>
      <w:r w:rsidRPr="00C50860">
        <w:t>t</w:t>
      </w:r>
      <w:r w:rsidR="006F355C" w:rsidRPr="006F355C">
        <w:t>. A</w:t>
      </w:r>
      <w:r w:rsidRPr="00C50860">
        <w:t>pp</w:t>
      </w:r>
      <w:r w:rsidR="006F355C" w:rsidRPr="006F355C">
        <w:t>. 1</w:t>
      </w:r>
      <w:r w:rsidRPr="00C50860">
        <w:t xml:space="preserve">998) (guided by the </w:t>
      </w:r>
      <w:r w:rsidRPr="00C50860">
        <w:rPr>
          <w:rFonts w:cs="NewBaskerville-Italic"/>
          <w:i/>
          <w:iCs/>
        </w:rPr>
        <w:t xml:space="preserve">Ross </w:t>
      </w:r>
      <w:r w:rsidRPr="00C50860">
        <w:t>decision, barred claim for breach of public policy against termination of employees for compensable work injuries because workers’ compensation statute “evidence the public policy” and “the remedies for redress of its violation”)</w:t>
      </w:r>
      <w:r w:rsidR="006F355C" w:rsidRPr="006F355C">
        <w:t>; H</w:t>
      </w:r>
      <w:r w:rsidRPr="00C50860">
        <w:t>ew-Len v</w:t>
      </w:r>
      <w:r w:rsidR="006F355C" w:rsidRPr="006F355C">
        <w:t>. F</w:t>
      </w:r>
      <w:r w:rsidRPr="00C50860">
        <w:t>.W</w:t>
      </w:r>
      <w:r w:rsidR="006F355C" w:rsidRPr="006F355C">
        <w:t>. W</w:t>
      </w:r>
      <w:r w:rsidRPr="00C50860">
        <w:t>oolworth, 737 F. Supp</w:t>
      </w:r>
      <w:r w:rsidR="006F355C" w:rsidRPr="006F355C">
        <w:t>. 1</w:t>
      </w:r>
      <w:r w:rsidRPr="00C50860">
        <w:t>104, 1108 (D. Haw</w:t>
      </w:r>
      <w:r w:rsidR="006F355C" w:rsidRPr="006F355C">
        <w:t>. 1</w:t>
      </w:r>
      <w:r w:rsidRPr="00C50860">
        <w:t>990) (finding that plaintiff’s claim for sexual harassment, in violation of federal and state law, preempted a similar claim for violation of public policy and breach of the duty of good faith and fair dealing)</w:t>
      </w:r>
      <w:r w:rsidR="006F355C" w:rsidRPr="006F355C">
        <w:t>; H</w:t>
      </w:r>
      <w:r w:rsidRPr="00C50860">
        <w:t>oward v</w:t>
      </w:r>
      <w:r w:rsidR="006F355C" w:rsidRPr="006F355C">
        <w:t>. D</w:t>
      </w:r>
      <w:r w:rsidRPr="00C50860">
        <w:t>aiichiya-Love’s Bakery, Inc., 714 F. Supp</w:t>
      </w:r>
      <w:r w:rsidR="006F355C" w:rsidRPr="006F355C">
        <w:t>. 1</w:t>
      </w:r>
      <w:r w:rsidRPr="00C50860">
        <w:t>108, 1113 (D. Haw</w:t>
      </w:r>
      <w:r w:rsidR="006F355C" w:rsidRPr="006F355C">
        <w:t>. 1</w:t>
      </w:r>
      <w:r w:rsidRPr="00C50860">
        <w:t>989) (finding breach of public policy claim based upon an allegation of age discrimination preempted by federal and state law prohibiting age discrimination, which provided plaintiff’s sole remedy)</w:t>
      </w:r>
      <w:r w:rsidR="006F355C" w:rsidRPr="006F355C">
        <w:t>; L</w:t>
      </w:r>
      <w:r w:rsidRPr="00C50860">
        <w:t>apinad v</w:t>
      </w:r>
      <w:r w:rsidR="006F355C" w:rsidRPr="006F355C">
        <w:t>. P</w:t>
      </w:r>
      <w:r w:rsidRPr="00C50860">
        <w:t>acific Oldsmobile-GMC, Inc.,</w:t>
      </w:r>
      <w:r w:rsidRPr="00C50860">
        <w:rPr>
          <w:rFonts w:cs="NewBaskerville-Italic"/>
          <w:i/>
          <w:iCs/>
        </w:rPr>
        <w:t xml:space="preserve"> </w:t>
      </w:r>
      <w:r w:rsidRPr="00C50860">
        <w:t>679 F. Supp</w:t>
      </w:r>
      <w:r w:rsidR="006F355C" w:rsidRPr="006F355C">
        <w:t>. 9</w:t>
      </w:r>
      <w:r w:rsidRPr="00C50860">
        <w:t>91, 993 (D. Haw</w:t>
      </w:r>
      <w:r w:rsidR="006F355C" w:rsidRPr="006F355C">
        <w:t>. 1</w:t>
      </w:r>
      <w:r w:rsidRPr="00C50860">
        <w:t>988) (finding that if “the statutory or regulatory provisions which evidence the public policy themselves provide a remedy for the wrongful discharge, provision of a further remedy under the public policy exception is unnecessary”)</w:t>
      </w:r>
      <w:r w:rsidR="006F355C" w:rsidRPr="006F355C">
        <w:t>; P</w:t>
      </w:r>
      <w:r w:rsidRPr="00C50860">
        <w:t>agdilao v</w:t>
      </w:r>
      <w:r w:rsidR="006F355C" w:rsidRPr="006F355C">
        <w:t>. M</w:t>
      </w:r>
      <w:r w:rsidRPr="00C50860">
        <w:t>aui Intercontinental Hotel,</w:t>
      </w:r>
      <w:r w:rsidRPr="00C50860">
        <w:rPr>
          <w:rFonts w:cs="NewBaskerville-Italic"/>
          <w:i/>
          <w:iCs/>
        </w:rPr>
        <w:t xml:space="preserve"> </w:t>
      </w:r>
      <w:r w:rsidRPr="00C50860">
        <w:t>703 F. Supp</w:t>
      </w:r>
      <w:r w:rsidR="006F355C" w:rsidRPr="006F355C">
        <w:t>. 8</w:t>
      </w:r>
      <w:r w:rsidRPr="00C50860">
        <w:t>63, 868 (D. Haw</w:t>
      </w:r>
      <w:r w:rsidR="006F355C" w:rsidRPr="006F355C">
        <w:t>. 1</w:t>
      </w:r>
      <w:r w:rsidRPr="00C50860">
        <w:t>988) (finding no violation of any clear mandate of public policy by terminating plaintiff for profanity and insubordination because such behavior did not promote the values of freedom of speech or privacy)</w:t>
      </w:r>
      <w:r w:rsidR="006F355C" w:rsidRPr="006F355C">
        <w:t xml:space="preserve">. </w:t>
      </w:r>
      <w:r w:rsidR="006F355C" w:rsidRPr="006F355C">
        <w:rPr>
          <w:rFonts w:cs="NewBaskerville-Italic"/>
          <w:i/>
          <w:iCs/>
        </w:rPr>
        <w:t>B</w:t>
      </w:r>
      <w:r w:rsidRPr="00C50860">
        <w:rPr>
          <w:rFonts w:cs="NewBaskerville-Italic"/>
          <w:i/>
          <w:iCs/>
        </w:rPr>
        <w:t>ut see</w:t>
      </w:r>
      <w:r w:rsidRPr="00C50860">
        <w:t xml:space="preserve"> Smith v</w:t>
      </w:r>
      <w:r w:rsidR="006F355C" w:rsidRPr="006F355C">
        <w:t>. C</w:t>
      </w:r>
      <w:r w:rsidRPr="00C50860">
        <w:t>haney Brooks Realty, Inc.,</w:t>
      </w:r>
      <w:r w:rsidRPr="00C50860">
        <w:rPr>
          <w:rFonts w:cs="NewBaskerville-Italic"/>
          <w:i/>
          <w:iCs/>
        </w:rPr>
        <w:t xml:space="preserve"> </w:t>
      </w:r>
      <w:r w:rsidRPr="00C50860">
        <w:t>10 Haw</w:t>
      </w:r>
      <w:r w:rsidR="006F355C" w:rsidRPr="006F355C">
        <w:t>. A</w:t>
      </w:r>
      <w:r w:rsidRPr="00C50860">
        <w:t>pp</w:t>
      </w:r>
      <w:r w:rsidR="006F355C" w:rsidRPr="006F355C">
        <w:t>. 2</w:t>
      </w:r>
      <w:r w:rsidRPr="00C50860">
        <w:t xml:space="preserve">50, 260, 865 P.2d 170, 175 (1994) (finding that because </w:t>
      </w:r>
      <w:r w:rsidRPr="00C50860">
        <w:rPr>
          <w:smallCaps/>
        </w:rPr>
        <w:t>Haw</w:t>
      </w:r>
      <w:r w:rsidR="006F355C" w:rsidRPr="006F355C">
        <w:rPr>
          <w:smallCaps/>
        </w:rPr>
        <w:t>. R</w:t>
      </w:r>
      <w:r w:rsidRPr="00C50860">
        <w:rPr>
          <w:smallCaps/>
        </w:rPr>
        <w:t>ev</w:t>
      </w:r>
      <w:r w:rsidR="006F355C" w:rsidRPr="006F355C">
        <w:rPr>
          <w:smallCaps/>
        </w:rPr>
        <w:t>. S</w:t>
      </w:r>
      <w:r w:rsidRPr="00C50860">
        <w:rPr>
          <w:smallCaps/>
        </w:rPr>
        <w:t>tat</w:t>
      </w:r>
      <w:r w:rsidR="006F355C" w:rsidRPr="006F355C">
        <w:rPr>
          <w:smallCaps/>
        </w:rPr>
        <w:t xml:space="preserve">. </w:t>
      </w:r>
      <w:r w:rsidR="006F355C" w:rsidRPr="006F355C">
        <w:t>c</w:t>
      </w:r>
      <w:r w:rsidRPr="00C50860">
        <w:t>hapter 388, Payment of Wages statute, which requires employers to make regular payment of wages and to notify employees of deductions from their wages, failed to provide sufficient remedy for an employee discharged or threatened with discharge, the statute was not a bar to a public policy claim).</w:t>
      </w:r>
    </w:p>
  </w:footnote>
  <w:footnote w:id="52">
    <w:p w14:paraId="347F239D" w14:textId="5801177C" w:rsidR="00EC7962" w:rsidRPr="00C50860" w:rsidRDefault="00EC7962" w:rsidP="00450E78">
      <w:pPr>
        <w:pStyle w:val="FootnoteText"/>
        <w:spacing w:after="0"/>
      </w:pPr>
      <w:r w:rsidRPr="00C50860">
        <w:rPr>
          <w:vertAlign w:val="superscript"/>
        </w:rPr>
        <w:footnoteRef/>
      </w:r>
      <w:r w:rsidRPr="00C50860">
        <w:t>Parnar v</w:t>
      </w:r>
      <w:r w:rsidR="006F355C" w:rsidRPr="006F355C">
        <w:t>. A</w:t>
      </w:r>
      <w:r w:rsidRPr="00C50860">
        <w:t>mericana Hotels, Inc., 65 Haw</w:t>
      </w:r>
      <w:r w:rsidR="006F355C" w:rsidRPr="006F355C">
        <w:t>. 3</w:t>
      </w:r>
      <w:r w:rsidRPr="00C50860">
        <w:t>70, 380, 652 P.2d 625, 631 (1982)</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Crosby v</w:t>
      </w:r>
      <w:r w:rsidR="006F355C" w:rsidRPr="006F355C">
        <w:t>. S</w:t>
      </w:r>
      <w:r w:rsidRPr="00C50860">
        <w:t>tate Dep’t of Budget &amp; Fin., 76 Haw</w:t>
      </w:r>
      <w:r w:rsidR="006F355C" w:rsidRPr="006F355C">
        <w:t>. 3</w:t>
      </w:r>
      <w:r w:rsidRPr="00C50860">
        <w:t>32, 876 P.2d 1300 (1994) (interpreting the Hawaii Whistleblower Protection Act, “an employee has the burden of showing that his or her protected conduct was a “substantial or motivating factor” in the decision to terminate the employee”)</w:t>
      </w:r>
      <w:r w:rsidR="006F355C" w:rsidRPr="006F355C">
        <w:t xml:space="preserve">; </w:t>
      </w:r>
      <w:r w:rsidR="006F355C" w:rsidRPr="006F355C">
        <w:rPr>
          <w:rFonts w:cs="NewBaskerville-Italic"/>
          <w:i/>
          <w:iCs/>
        </w:rPr>
        <w:t>B</w:t>
      </w:r>
      <w:r w:rsidRPr="00C50860">
        <w:rPr>
          <w:rFonts w:cs="NewBaskerville-Italic"/>
          <w:i/>
          <w:iCs/>
        </w:rPr>
        <w:t>ald,</w:t>
      </w:r>
      <w:r w:rsidRPr="00C50860">
        <w:t xml:space="preserve"> 2017 WL 2117400, at *5</w:t>
      </w:r>
      <w:r w:rsidR="006F355C" w:rsidRPr="006F355C">
        <w:t xml:space="preserve">; </w:t>
      </w:r>
      <w:r w:rsidR="006F355C" w:rsidRPr="006F355C">
        <w:rPr>
          <w:rFonts w:cs="NewBaskerville-Italic"/>
          <w:i/>
          <w:iCs/>
        </w:rPr>
        <w:t>H</w:t>
      </w:r>
      <w:r w:rsidRPr="00C50860">
        <w:rPr>
          <w:rFonts w:cs="NewBaskerville-Italic"/>
          <w:i/>
          <w:iCs/>
        </w:rPr>
        <w:t>EMIC</w:t>
      </w:r>
      <w:r w:rsidRPr="00C50860">
        <w:t>, 760 F. Supp</w:t>
      </w:r>
      <w:r w:rsidR="006F355C" w:rsidRPr="006F355C">
        <w:t>. 2</w:t>
      </w:r>
      <w:r w:rsidRPr="00C50860">
        <w:t>d at 1019–20.</w:t>
      </w:r>
    </w:p>
  </w:footnote>
  <w:footnote w:id="53">
    <w:p w14:paraId="0C861422" w14:textId="1C4A5590" w:rsidR="00EC7962" w:rsidRPr="00C50860" w:rsidRDefault="00EC7962" w:rsidP="00450E78">
      <w:pPr>
        <w:pStyle w:val="FootnoteText"/>
        <w:spacing w:after="0"/>
      </w:pPr>
      <w:r w:rsidRPr="00C50860">
        <w:rPr>
          <w:vertAlign w:val="superscript"/>
        </w:rPr>
        <w:footnoteRef/>
      </w:r>
      <w:r w:rsidRPr="00C50860">
        <w:rPr>
          <w:rFonts w:cs="NewBaskerville-Italic"/>
          <w:i/>
          <w:iCs/>
        </w:rPr>
        <w:t>Parnar</w:t>
      </w:r>
      <w:r w:rsidRPr="00C50860">
        <w:t>, 65 Haw</w:t>
      </w:r>
      <w:r w:rsidR="006F355C" w:rsidRPr="006F355C">
        <w:t>. a</w:t>
      </w:r>
      <w:r w:rsidRPr="00C50860">
        <w:t>t 375, 652 P.2d at 628.</w:t>
      </w:r>
    </w:p>
  </w:footnote>
  <w:footnote w:id="54">
    <w:p w14:paraId="0EBF0484" w14:textId="1402BD78" w:rsidR="00EC7962" w:rsidRPr="00C50860" w:rsidRDefault="00EC7962" w:rsidP="00450E78">
      <w:pPr>
        <w:pStyle w:val="FootnoteText"/>
        <w:spacing w:after="0"/>
      </w:pPr>
      <w:r w:rsidRPr="00C50860">
        <w:rPr>
          <w:vertAlign w:val="superscript"/>
        </w:rPr>
        <w:footnoteRef/>
      </w:r>
      <w:r w:rsidRPr="00C50860">
        <w:t>100 Haw</w:t>
      </w:r>
      <w:r w:rsidR="006F355C" w:rsidRPr="006F355C">
        <w:t>. 1</w:t>
      </w:r>
      <w:r w:rsidRPr="00C50860">
        <w:t>49, 58 P.3d 1196 (2002).</w:t>
      </w:r>
    </w:p>
  </w:footnote>
  <w:footnote w:id="55">
    <w:p w14:paraId="511CFD37" w14:textId="7DE9F542"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167–68, 58 P.3d at 1214–15 (footnotes omitted).</w:t>
      </w:r>
    </w:p>
  </w:footnote>
  <w:footnote w:id="56">
    <w:p w14:paraId="602B08D6" w14:textId="10CD74A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166, 58 P.3d at 1213 (footnote omitted)</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Shoppe v</w:t>
      </w:r>
      <w:r w:rsidR="006F355C" w:rsidRPr="006F355C">
        <w:t>. G</w:t>
      </w:r>
      <w:r w:rsidRPr="00C50860">
        <w:t>ucci Am., Inc., 94 Haw</w:t>
      </w:r>
      <w:r w:rsidR="006F355C" w:rsidRPr="006F355C">
        <w:t>. 3</w:t>
      </w:r>
      <w:r w:rsidRPr="00C50860">
        <w:t>68, 385, 14 P.3d 1049, 1066 (2000) (noting that the employer’s handbook “clearly stated that [the p]laintiff’s employment was at-will and could be terminated at any time with or without notice”)</w:t>
      </w:r>
      <w:r w:rsidR="006F355C" w:rsidRPr="006F355C">
        <w:t>; C</w:t>
      </w:r>
      <w:r w:rsidRPr="00C50860">
        <w:t>ourtney v</w:t>
      </w:r>
      <w:r w:rsidR="006F355C" w:rsidRPr="006F355C">
        <w:t>. C</w:t>
      </w:r>
      <w:r w:rsidRPr="00C50860">
        <w:t>anyon Tel</w:t>
      </w:r>
      <w:r w:rsidR="006F355C" w:rsidRPr="006F355C">
        <w:t>. &amp;</w:t>
      </w:r>
      <w:r w:rsidRPr="00C50860">
        <w:t xml:space="preserve"> Appliance Rental, Inc., 899 F.2d 845, 850 (</w:t>
      </w:r>
      <w:r w:rsidR="006F355C" w:rsidRPr="006F355C">
        <w:t>9th</w:t>
      </w:r>
      <w:r w:rsidRPr="00C50860">
        <w:t xml:space="preserve"> Cir</w:t>
      </w:r>
      <w:r w:rsidR="006F355C" w:rsidRPr="006F355C">
        <w:t>. 1</w:t>
      </w:r>
      <w:r w:rsidRPr="00C50860">
        <w:t xml:space="preserve">990) (recognizing no cause of action where employer “explicitly stated that its handbook did </w:t>
      </w:r>
      <w:r w:rsidRPr="00C50860">
        <w:rPr>
          <w:rFonts w:cs="NewBaskerville-Italic"/>
          <w:i/>
          <w:iCs/>
        </w:rPr>
        <w:t xml:space="preserve">not </w:t>
      </w:r>
      <w:r w:rsidRPr="00C50860">
        <w:t>reflect contractual terms of employment, and that, at any time, management could make unilateral changes in or exceptions to the policies”)</w:t>
      </w:r>
      <w:r w:rsidR="006F355C" w:rsidRPr="006F355C">
        <w:t>; P</w:t>
      </w:r>
      <w:r w:rsidRPr="00C50860">
        <w:t>agdilao v</w:t>
      </w:r>
      <w:r w:rsidR="006F355C" w:rsidRPr="006F355C">
        <w:t>. M</w:t>
      </w:r>
      <w:r w:rsidRPr="00C50860">
        <w:t>aui Intercontinental Hotel,</w:t>
      </w:r>
      <w:r w:rsidRPr="00C50860">
        <w:rPr>
          <w:rFonts w:cs="NewBaskerville-Italic"/>
          <w:i/>
          <w:iCs/>
        </w:rPr>
        <w:t xml:space="preserve"> </w:t>
      </w:r>
      <w:r w:rsidRPr="00C50860">
        <w:t>703 F. Supp</w:t>
      </w:r>
      <w:r w:rsidR="006F355C" w:rsidRPr="006F355C">
        <w:t>. 8</w:t>
      </w:r>
      <w:r w:rsidRPr="00C50860">
        <w:t>63, 867 (D. Haw</w:t>
      </w:r>
      <w:r w:rsidR="006F355C" w:rsidRPr="006F355C">
        <w:t>. 1</w:t>
      </w:r>
      <w:r w:rsidRPr="00C50860">
        <w:t>988) (granting summary judgment to employer on claim for breach of implied contract where plaintiff had conceded that he was afforded an opportunity to pursue the “Kokua Procedure” in the handbook)</w:t>
      </w:r>
      <w:r w:rsidR="006F355C" w:rsidRPr="006F355C">
        <w:t>; E</w:t>
      </w:r>
      <w:r w:rsidRPr="00C50860">
        <w:t>ng v</w:t>
      </w:r>
      <w:r w:rsidR="006F355C" w:rsidRPr="006F355C">
        <w:t>. L</w:t>
      </w:r>
      <w:r w:rsidRPr="00C50860">
        <w:t>ongs Drugs, Inc., No</w:t>
      </w:r>
      <w:r w:rsidR="006F355C" w:rsidRPr="006F355C">
        <w:t>. 8</w:t>
      </w:r>
      <w:r w:rsidRPr="00C50860">
        <w:t>9–00742 HMF 1990 WL 302998 (D. Haw</w:t>
      </w:r>
      <w:r w:rsidR="006F355C" w:rsidRPr="006F355C">
        <w:t>. M</w:t>
      </w:r>
      <w:r w:rsidRPr="00C50860">
        <w:t>ar</w:t>
      </w:r>
      <w:r w:rsidR="006F355C" w:rsidRPr="006F355C">
        <w:t>. 2</w:t>
      </w:r>
      <w:r w:rsidRPr="00C50860">
        <w:t>2, 1990) (noting the express disclaimer on the inside of the back cover).</w:t>
      </w:r>
    </w:p>
  </w:footnote>
  <w:footnote w:id="57">
    <w:p w14:paraId="6DFEDC1F" w14:textId="18852FD9" w:rsidR="00EC7962" w:rsidRPr="00C50860" w:rsidRDefault="00EC7962" w:rsidP="00450E78">
      <w:pPr>
        <w:pStyle w:val="FootnoteText"/>
        <w:spacing w:after="0"/>
      </w:pPr>
      <w:r w:rsidRPr="00C50860">
        <w:rPr>
          <w:vertAlign w:val="superscript"/>
        </w:rPr>
        <w:footnoteRef/>
      </w:r>
      <w:r w:rsidRPr="00C50860">
        <w:t>Civ</w:t>
      </w:r>
      <w:r w:rsidR="006F355C" w:rsidRPr="006F355C">
        <w:t>. N</w:t>
      </w:r>
      <w:r w:rsidRPr="00C50860">
        <w:t>o</w:t>
      </w:r>
      <w:r w:rsidR="006F355C" w:rsidRPr="006F355C">
        <w:t>. 0</w:t>
      </w:r>
      <w:r w:rsidRPr="00C50860">
        <w:t>9-00231, 2010 WL 3905177, at *14–15 (D. Haw</w:t>
      </w:r>
      <w:r w:rsidR="006F355C" w:rsidRPr="006F355C">
        <w:t>. S</w:t>
      </w:r>
      <w:r w:rsidRPr="00C50860">
        <w:t>ept</w:t>
      </w:r>
      <w:r w:rsidR="006F355C" w:rsidRPr="006F355C">
        <w:t>. 2</w:t>
      </w:r>
      <w:r w:rsidRPr="00C50860">
        <w:t>4, 2010).</w:t>
      </w:r>
    </w:p>
  </w:footnote>
  <w:footnote w:id="58">
    <w:p w14:paraId="654F7E0E" w14:textId="3C1FAB07" w:rsidR="00EC7962" w:rsidRPr="00C50860" w:rsidRDefault="00EC7962" w:rsidP="00450E78">
      <w:pPr>
        <w:pStyle w:val="FootnoteText"/>
        <w:spacing w:after="0"/>
      </w:pPr>
      <w:r w:rsidRPr="00C50860">
        <w:rPr>
          <w:vertAlign w:val="superscript"/>
        </w:rPr>
        <w:footnoteRef/>
      </w:r>
      <w:r w:rsidRPr="00C50860">
        <w:t>2 Haw</w:t>
      </w:r>
      <w:r w:rsidR="006F355C" w:rsidRPr="006F355C">
        <w:t>. A</w:t>
      </w:r>
      <w:r w:rsidRPr="00C50860">
        <w:t>pp</w:t>
      </w:r>
      <w:r w:rsidR="006F355C" w:rsidRPr="006F355C">
        <w:t>. 2</w:t>
      </w:r>
      <w:r w:rsidRPr="00C50860">
        <w:t>37, 630 P.2d 120 (1981).</w:t>
      </w:r>
    </w:p>
  </w:footnote>
  <w:footnote w:id="59">
    <w:p w14:paraId="35A3D566" w14:textId="662D1AC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239, 630 P.2d at 123 (citations omitted).</w:t>
      </w:r>
    </w:p>
  </w:footnote>
  <w:footnote w:id="60">
    <w:p w14:paraId="693E7CA0" w14:textId="32EAD2F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240, 630 P.2d at 123 (citations and parenthesis omitted</w:t>
      </w:r>
      <w:r w:rsidR="006F355C" w:rsidRPr="006F355C">
        <w:t>; f</w:t>
      </w:r>
      <w:r w:rsidRPr="00C50860">
        <w:t>ormat altered).</w:t>
      </w:r>
    </w:p>
  </w:footnote>
  <w:footnote w:id="61">
    <w:p w14:paraId="1D3FE669" w14:textId="2C7308AF" w:rsidR="00EC7962" w:rsidRPr="00C50860" w:rsidRDefault="00EC7962" w:rsidP="00450E78">
      <w:pPr>
        <w:pStyle w:val="FootnoteText"/>
        <w:spacing w:after="0"/>
      </w:pPr>
      <w:r w:rsidRPr="00C50860">
        <w:rPr>
          <w:vertAlign w:val="superscript"/>
        </w:rPr>
        <w:footnoteRef/>
      </w:r>
      <w:r w:rsidRPr="00C50860">
        <w:t>2 Haw</w:t>
      </w:r>
      <w:r w:rsidR="006F355C" w:rsidRPr="006F355C">
        <w:t>. A</w:t>
      </w:r>
      <w:r w:rsidRPr="00C50860">
        <w:t>pp</w:t>
      </w:r>
      <w:r w:rsidR="006F355C" w:rsidRPr="006F355C">
        <w:t>. a</w:t>
      </w:r>
      <w:r w:rsidRPr="00C50860">
        <w:t>t 240, 630 P.2d at 123.</w:t>
      </w:r>
    </w:p>
  </w:footnote>
  <w:footnote w:id="62">
    <w:p w14:paraId="37770D48" w14:textId="7CCCC96E" w:rsidR="00EC7962" w:rsidRPr="00C50860" w:rsidRDefault="00EC7962" w:rsidP="00450E78">
      <w:pPr>
        <w:pStyle w:val="FootnoteText"/>
        <w:spacing w:after="0"/>
      </w:pPr>
      <w:r w:rsidRPr="00C50860">
        <w:rPr>
          <w:vertAlign w:val="superscript"/>
        </w:rPr>
        <w:footnoteRef/>
      </w:r>
      <w:r w:rsidRPr="00C50860">
        <w:t>89 Haw</w:t>
      </w:r>
      <w:r w:rsidR="006F355C" w:rsidRPr="006F355C">
        <w:t>. 2</w:t>
      </w:r>
      <w:r w:rsidRPr="00C50860">
        <w:t>34, 971 P.2d 707 (1999).</w:t>
      </w:r>
    </w:p>
  </w:footnote>
  <w:footnote w:id="63">
    <w:p w14:paraId="6D455367" w14:textId="4206B5A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 a</w:t>
      </w:r>
      <w:r w:rsidRPr="00C50860">
        <w:t>t 236, 971 P.2d at 709.</w:t>
      </w:r>
    </w:p>
  </w:footnote>
  <w:footnote w:id="64">
    <w:p w14:paraId="179D84DD" w14:textId="6DA6B76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w:t>
      </w:r>
      <w:r w:rsidRPr="00C50860">
        <w:t>internal quotation marks omitted).</w:t>
      </w:r>
    </w:p>
  </w:footnote>
  <w:footnote w:id="65">
    <w:p w14:paraId="10FEE23D" w14:textId="541A0F2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237, 239, 971 P.2d at 710, 712 (original brackets, internal quotation marks, and citations omitted).</w:t>
      </w:r>
    </w:p>
  </w:footnote>
  <w:footnote w:id="66">
    <w:p w14:paraId="1D39EA5F" w14:textId="5F8F3E65"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239, 971 P.2d at 712 (emphasis in original) (internal quotation marks, citations, and original brackets omitted).</w:t>
      </w:r>
    </w:p>
  </w:footnote>
  <w:footnote w:id="67">
    <w:p w14:paraId="51E0F86E" w14:textId="7D64667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240, 971 P.2d at 713 (emphasis in original).</w:t>
      </w:r>
    </w:p>
  </w:footnote>
  <w:footnote w:id="68">
    <w:p w14:paraId="3EA77D76" w14:textId="2ADB5C8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242, 971 P.2d at 715 (emphasis in original).</w:t>
      </w:r>
    </w:p>
  </w:footnote>
  <w:footnote w:id="69">
    <w:p w14:paraId="3A84E81E" w14:textId="29000F3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244, 971 P.2d at 717.</w:t>
      </w:r>
    </w:p>
  </w:footnote>
  <w:footnote w:id="70">
    <w:p w14:paraId="17C98EFB" w14:textId="78C03929" w:rsidR="00EC7962" w:rsidRPr="00C50860" w:rsidRDefault="00EC7962" w:rsidP="00450E78">
      <w:pPr>
        <w:pStyle w:val="FootnoteText"/>
        <w:spacing w:after="0"/>
      </w:pPr>
      <w:r w:rsidRPr="00C50860">
        <w:rPr>
          <w:vertAlign w:val="superscript"/>
        </w:rPr>
        <w:footnoteRef/>
      </w:r>
      <w:r w:rsidRPr="00C50860">
        <w:t>TSA Int’l, Ltd</w:t>
      </w:r>
      <w:r w:rsidR="006F355C" w:rsidRPr="006F355C">
        <w:t>. v. S</w:t>
      </w:r>
      <w:r w:rsidRPr="00C50860">
        <w:t>himizu Corp., 92 Haw</w:t>
      </w:r>
      <w:r w:rsidR="006F355C" w:rsidRPr="006F355C">
        <w:t>. 2</w:t>
      </w:r>
      <w:r w:rsidRPr="00C50860">
        <w:t>43, 255, 990 P.2d 713, 725 (1999) (citations omitted).</w:t>
      </w:r>
    </w:p>
  </w:footnote>
  <w:footnote w:id="71">
    <w:p w14:paraId="2A7F02FC" w14:textId="3B223E42" w:rsidR="00EC7962" w:rsidRPr="00C50860" w:rsidRDefault="00EC7962" w:rsidP="00450E78">
      <w:pPr>
        <w:pStyle w:val="FootnoteText"/>
        <w:spacing w:after="0"/>
      </w:pPr>
      <w:r w:rsidRPr="00C50860">
        <w:rPr>
          <w:vertAlign w:val="superscript"/>
        </w:rPr>
        <w:footnoteRef/>
      </w:r>
      <w:r w:rsidRPr="00C50860">
        <w:rPr>
          <w:i/>
        </w:rPr>
        <w:t>Id.</w:t>
      </w:r>
      <w:r w:rsidR="006F355C" w:rsidRPr="006F355C">
        <w:t xml:space="preserve">; </w:t>
      </w:r>
      <w:r w:rsidR="006F355C" w:rsidRPr="006F355C">
        <w:rPr>
          <w:i/>
        </w:rPr>
        <w:t>s</w:t>
      </w:r>
      <w:r w:rsidRPr="00C50860">
        <w:rPr>
          <w:i/>
        </w:rPr>
        <w:t>ee</w:t>
      </w:r>
      <w:r w:rsidRPr="00C50860">
        <w:t xml:space="preserve"> Stahl v</w:t>
      </w:r>
      <w:r w:rsidR="006F355C" w:rsidRPr="006F355C">
        <w:t>. B</w:t>
      </w:r>
      <w:r w:rsidRPr="00C50860">
        <w:t>alsara, 60 Haw</w:t>
      </w:r>
      <w:r w:rsidR="006F355C" w:rsidRPr="006F355C">
        <w:t>. 1</w:t>
      </w:r>
      <w:r w:rsidRPr="00C50860">
        <w:t>44, 149, 587 P.2d 1210, 1214 (1978) (citations omitted).</w:t>
      </w:r>
    </w:p>
  </w:footnote>
  <w:footnote w:id="72">
    <w:p w14:paraId="65A2422E" w14:textId="0BFC4345" w:rsidR="00EC7962" w:rsidRPr="00C50860" w:rsidRDefault="00EC7962" w:rsidP="00450E78">
      <w:pPr>
        <w:pStyle w:val="FootnoteText"/>
        <w:spacing w:after="0"/>
      </w:pPr>
      <w:r w:rsidRPr="00C50860">
        <w:rPr>
          <w:vertAlign w:val="superscript"/>
        </w:rPr>
        <w:footnoteRef/>
      </w:r>
      <w:r w:rsidRPr="00C50860">
        <w:t>94 Haw</w:t>
      </w:r>
      <w:r w:rsidR="006F355C" w:rsidRPr="006F355C">
        <w:t>. 3</w:t>
      </w:r>
      <w:r w:rsidRPr="00C50860">
        <w:t>68, 14 P.3d 1049 (2000).</w:t>
      </w:r>
    </w:p>
  </w:footnote>
  <w:footnote w:id="73">
    <w:p w14:paraId="1CD1C73D" w14:textId="00C46FA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386, 14 P.3d at 1067.</w:t>
      </w:r>
    </w:p>
  </w:footnote>
  <w:footnote w:id="74">
    <w:p w14:paraId="36D5318C" w14:textId="0A63BDA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387, 14 P.3d at 1067.</w:t>
      </w:r>
    </w:p>
  </w:footnote>
  <w:footnote w:id="75">
    <w:p w14:paraId="2BDA9F27"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76">
    <w:p w14:paraId="7D186618" w14:textId="498EFD2E"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386–87, 14 P.3d at 1067–68.</w:t>
      </w:r>
    </w:p>
  </w:footnote>
  <w:footnote w:id="77">
    <w:p w14:paraId="2C119923" w14:textId="2CA3AFD1" w:rsidR="00EC7962" w:rsidRPr="00C50860" w:rsidRDefault="00EC7962" w:rsidP="00450E78">
      <w:pPr>
        <w:pStyle w:val="FootnoteText"/>
        <w:spacing w:after="0"/>
      </w:pPr>
      <w:r w:rsidRPr="00C50860">
        <w:rPr>
          <w:vertAlign w:val="superscript"/>
        </w:rPr>
        <w:footnoteRef/>
      </w:r>
      <w:r w:rsidRPr="00C50860">
        <w:rPr>
          <w:i/>
        </w:rPr>
        <w:t>See</w:t>
      </w:r>
      <w:r w:rsidRPr="00C50860">
        <w:t xml:space="preserve"> </w:t>
      </w:r>
      <w:r w:rsidRPr="00C50860">
        <w:rPr>
          <w:smallCaps/>
        </w:rPr>
        <w:t>Brian M</w:t>
      </w:r>
      <w:r w:rsidR="006F355C" w:rsidRPr="006F355C">
        <w:rPr>
          <w:smallCaps/>
        </w:rPr>
        <w:t>. M</w:t>
      </w:r>
      <w:r w:rsidRPr="00C50860">
        <w:rPr>
          <w:smallCaps/>
        </w:rPr>
        <w:t>alsberger, Tortious Interference in the Employment Context</w:t>
      </w:r>
      <w:r w:rsidR="006F355C" w:rsidRPr="006F355C">
        <w:rPr>
          <w:smallCaps/>
        </w:rPr>
        <w:t>: A</w:t>
      </w:r>
      <w:r w:rsidRPr="00C50860">
        <w:rPr>
          <w:smallCaps/>
        </w:rPr>
        <w:t xml:space="preserve"> State-by-State Survey (</w:t>
      </w:r>
      <w:r w:rsidRPr="00C50860">
        <w:t>Arlington, Va.</w:t>
      </w:r>
      <w:r w:rsidR="006F355C" w:rsidRPr="006F355C">
        <w:t>: B</w:t>
      </w:r>
      <w:r w:rsidRPr="00C50860">
        <w:t xml:space="preserve">loomberg Law, </w:t>
      </w:r>
      <w:r w:rsidR="006F355C" w:rsidRPr="006F355C">
        <w:t>6th</w:t>
      </w:r>
      <w:r w:rsidRPr="00C50860">
        <w:t xml:space="preserve"> ed</w:t>
      </w:r>
      <w:r w:rsidR="006F355C" w:rsidRPr="006F355C">
        <w:t>. 2</w:t>
      </w:r>
      <w:r w:rsidRPr="00C50860">
        <w:t>019).</w:t>
      </w:r>
    </w:p>
  </w:footnote>
  <w:footnote w:id="78">
    <w:p w14:paraId="3A2C9547" w14:textId="5377C2BA" w:rsidR="00EC7962" w:rsidRPr="00C50860" w:rsidRDefault="00EC7962" w:rsidP="00450E78">
      <w:pPr>
        <w:pStyle w:val="FootnoteText"/>
        <w:spacing w:after="0"/>
      </w:pPr>
      <w:r w:rsidRPr="00C50860">
        <w:rPr>
          <w:vertAlign w:val="superscript"/>
        </w:rPr>
        <w:footnoteRef/>
      </w:r>
      <w:r w:rsidRPr="00C50860">
        <w:t>Robert’s Hawaii Sch</w:t>
      </w:r>
      <w:r w:rsidR="006F355C" w:rsidRPr="006F355C">
        <w:t>. B</w:t>
      </w:r>
      <w:r w:rsidRPr="00C50860">
        <w:t>us, Inc</w:t>
      </w:r>
      <w:r w:rsidR="006F355C" w:rsidRPr="006F355C">
        <w:t>. v. L</w:t>
      </w:r>
      <w:r w:rsidRPr="00C50860">
        <w:t>aupahoehoe Transp</w:t>
      </w:r>
      <w:r w:rsidR="006F355C" w:rsidRPr="006F355C">
        <w:t>. C</w:t>
      </w:r>
      <w:r w:rsidRPr="00C50860">
        <w:t>o., 91 Haw</w:t>
      </w:r>
      <w:r w:rsidR="006F355C" w:rsidRPr="006F355C">
        <w:t>. 2</w:t>
      </w:r>
      <w:r w:rsidRPr="00C50860">
        <w:t>24, 257, 982 P.2d 853, 886 (1999).</w:t>
      </w:r>
    </w:p>
  </w:footnote>
  <w:footnote w:id="79">
    <w:p w14:paraId="5B679C28" w14:textId="620CE31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258, 982 P.2d at 887 (emphasis in original).</w:t>
      </w:r>
    </w:p>
  </w:footnote>
  <w:footnote w:id="80">
    <w:p w14:paraId="30DEA2C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81">
    <w:p w14:paraId="68180DAD" w14:textId="19A1950F" w:rsidR="00EC7962" w:rsidRPr="00C50860" w:rsidRDefault="00EC7962" w:rsidP="00450E78">
      <w:pPr>
        <w:pStyle w:val="FootnoteText"/>
        <w:spacing w:after="0"/>
      </w:pPr>
      <w:r w:rsidRPr="00C50860">
        <w:rPr>
          <w:vertAlign w:val="superscript"/>
        </w:rPr>
        <w:footnoteRef/>
      </w:r>
      <w:r w:rsidRPr="00C50860">
        <w:t>Minton v</w:t>
      </w:r>
      <w:r w:rsidR="006F355C" w:rsidRPr="006F355C">
        <w:t>. Q</w:t>
      </w:r>
      <w:r w:rsidRPr="00C50860">
        <w:t>uintal, 131 Haw</w:t>
      </w:r>
      <w:r w:rsidR="006F355C" w:rsidRPr="006F355C">
        <w:t>. 1</w:t>
      </w:r>
      <w:r w:rsidRPr="00C50860">
        <w:t>67, 191, 17 P.3d 1, 25 (Haw</w:t>
      </w:r>
      <w:r w:rsidR="006F355C" w:rsidRPr="006F355C">
        <w:t>. 2</w:t>
      </w:r>
      <w:r w:rsidRPr="00C50860">
        <w:t>013)</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Kutcher v</w:t>
      </w:r>
      <w:r w:rsidR="006F355C" w:rsidRPr="006F355C">
        <w:t>. Z</w:t>
      </w:r>
      <w:r w:rsidRPr="00C50860">
        <w:t>immerman, 87 Haw</w:t>
      </w:r>
      <w:r w:rsidR="006F355C" w:rsidRPr="006F355C">
        <w:t>. 3</w:t>
      </w:r>
      <w:r w:rsidRPr="00C50860">
        <w:t>94, 405, 957 P.2d 1076, 1087 (Haw</w:t>
      </w:r>
      <w:r w:rsidR="006F355C" w:rsidRPr="006F355C">
        <w:t>. C</w:t>
      </w:r>
      <w:r w:rsidRPr="00C50860">
        <w:t>t</w:t>
      </w:r>
      <w:r w:rsidR="006F355C" w:rsidRPr="006F355C">
        <w:t>. A</w:t>
      </w:r>
      <w:r w:rsidRPr="00C50860">
        <w:t>pp</w:t>
      </w:r>
      <w:r w:rsidR="006F355C" w:rsidRPr="006F355C">
        <w:t>. 1</w:t>
      </w:r>
      <w:r w:rsidRPr="00C50860">
        <w:t>998) (recognizing the tort of “interference with existing contractual relations” which had a slightly different test).</w:t>
      </w:r>
    </w:p>
  </w:footnote>
  <w:footnote w:id="82">
    <w:p w14:paraId="7DD18E12" w14:textId="0E43B8F1" w:rsidR="00EC7962" w:rsidRPr="00C50860" w:rsidRDefault="00EC7962" w:rsidP="00450E78">
      <w:pPr>
        <w:pStyle w:val="FootnoteText"/>
        <w:spacing w:after="0"/>
      </w:pPr>
      <w:r w:rsidRPr="00C50860">
        <w:rPr>
          <w:vertAlign w:val="superscript"/>
        </w:rPr>
        <w:footnoteRef/>
      </w:r>
      <w:r w:rsidRPr="00C50860">
        <w:rPr>
          <w:rFonts w:cs="NewBaskerville-Italic"/>
          <w:i/>
          <w:iCs/>
        </w:rPr>
        <w:t>Roberts</w:t>
      </w:r>
      <w:r w:rsidRPr="00C50860">
        <w:t>,</w:t>
      </w:r>
      <w:r w:rsidRPr="00C50860">
        <w:rPr>
          <w:rFonts w:cs="NewBaskerville-Bold"/>
          <w:b/>
          <w:bCs/>
        </w:rPr>
        <w:t xml:space="preserve"> </w:t>
      </w:r>
      <w:r w:rsidRPr="00C50860">
        <w:t>91 Haw</w:t>
      </w:r>
      <w:r w:rsidR="006F355C" w:rsidRPr="006F355C">
        <w:t>. a</w:t>
      </w:r>
      <w:r w:rsidRPr="00C50860">
        <w:t>t 258, 982 P.2d at 887.</w:t>
      </w:r>
    </w:p>
  </w:footnote>
  <w:footnote w:id="83">
    <w:p w14:paraId="6B443BC7" w14:textId="6AD4CEF5" w:rsidR="00EC7962" w:rsidRPr="00C50860" w:rsidRDefault="00EC7962" w:rsidP="00450E78">
      <w:pPr>
        <w:pStyle w:val="FootnoteText"/>
        <w:spacing w:after="0"/>
      </w:pPr>
      <w:r w:rsidRPr="00C50860">
        <w:rPr>
          <w:vertAlign w:val="superscript"/>
        </w:rPr>
        <w:footnoteRef/>
      </w:r>
      <w:r w:rsidRPr="00C50860">
        <w:t>Hawaii Med</w:t>
      </w:r>
      <w:r w:rsidR="006F355C" w:rsidRPr="006F355C">
        <w:t>. A</w:t>
      </w:r>
      <w:r w:rsidRPr="00C50860">
        <w:t>ss’n v</w:t>
      </w:r>
      <w:r w:rsidR="006F355C" w:rsidRPr="006F355C">
        <w:t>. H</w:t>
      </w:r>
      <w:r w:rsidRPr="00C50860">
        <w:t>awaii Med</w:t>
      </w:r>
      <w:r w:rsidR="006F355C" w:rsidRPr="006F355C">
        <w:t>. S</w:t>
      </w:r>
      <w:r w:rsidRPr="00C50860">
        <w:t>erv</w:t>
      </w:r>
      <w:r w:rsidR="006F355C" w:rsidRPr="006F355C">
        <w:t>. A</w:t>
      </w:r>
      <w:r w:rsidRPr="00C50860">
        <w:t>ss’n, Inc., 113 Haw</w:t>
      </w:r>
      <w:r w:rsidR="006F355C" w:rsidRPr="006F355C">
        <w:t>. 7</w:t>
      </w:r>
      <w:r w:rsidRPr="00C50860">
        <w:t>7, 116, 148 P.3d 1179, 1218 (2006) (quoting Locricchio v</w:t>
      </w:r>
      <w:r w:rsidR="006F355C" w:rsidRPr="006F355C">
        <w:t>. L</w:t>
      </w:r>
      <w:r w:rsidRPr="00C50860">
        <w:t>egal Servs</w:t>
      </w:r>
      <w:r w:rsidR="006F355C" w:rsidRPr="006F355C">
        <w:t>. C</w:t>
      </w:r>
      <w:r w:rsidRPr="00C50860">
        <w:t>orp., 833 F.2d 1352, 1357 (</w:t>
      </w:r>
      <w:r w:rsidR="006F355C" w:rsidRPr="006F355C">
        <w:t>9th</w:t>
      </w:r>
      <w:r w:rsidRPr="00C50860">
        <w:t xml:space="preserve"> Cir</w:t>
      </w:r>
      <w:r w:rsidR="006F355C" w:rsidRPr="006F355C">
        <w:t>. 1</w:t>
      </w:r>
      <w:r w:rsidRPr="00C50860">
        <w:t>987)).</w:t>
      </w:r>
    </w:p>
  </w:footnote>
  <w:footnote w:id="84">
    <w:p w14:paraId="33B62938" w14:textId="71DBC0F8" w:rsidR="00EC7962" w:rsidRPr="00C50860" w:rsidRDefault="00EC7962" w:rsidP="00450E78">
      <w:pPr>
        <w:pStyle w:val="FootnoteText"/>
        <w:spacing w:after="0"/>
      </w:pPr>
      <w:r w:rsidRPr="00C50860">
        <w:rPr>
          <w:vertAlign w:val="superscript"/>
        </w:rPr>
        <w:footnoteRef/>
      </w:r>
      <w:r w:rsidRPr="00C50860">
        <w:t>131 Haw</w:t>
      </w:r>
      <w:r w:rsidR="006F355C" w:rsidRPr="006F355C">
        <w:t>. 1</w:t>
      </w:r>
      <w:r w:rsidRPr="00C50860">
        <w:t>67, 317 P.3d 1 (Haw</w:t>
      </w:r>
      <w:r w:rsidR="006F355C" w:rsidRPr="006F355C">
        <w:t>. 2</w:t>
      </w:r>
      <w:r w:rsidRPr="00C50860">
        <w:t>013).</w:t>
      </w:r>
    </w:p>
  </w:footnote>
  <w:footnote w:id="85">
    <w:p w14:paraId="6E5820C8" w14:textId="4DFB5CD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191, 317 P.3d at 25.</w:t>
      </w:r>
    </w:p>
  </w:footnote>
  <w:footnote w:id="86">
    <w:p w14:paraId="45EE97E2" w14:textId="66A95F54" w:rsidR="00EC7962" w:rsidRPr="00C50860" w:rsidRDefault="00EC7962" w:rsidP="00450E78">
      <w:pPr>
        <w:pStyle w:val="FootnoteText"/>
        <w:spacing w:after="0"/>
      </w:pPr>
      <w:r w:rsidRPr="00C50860">
        <w:rPr>
          <w:vertAlign w:val="superscript"/>
        </w:rPr>
        <w:footnoteRef/>
      </w:r>
      <w:r w:rsidRPr="00C50860">
        <w:rPr>
          <w:i/>
        </w:rPr>
        <w:t>Hawaii Med</w:t>
      </w:r>
      <w:r w:rsidR="006F355C" w:rsidRPr="006F355C">
        <w:rPr>
          <w:i/>
        </w:rPr>
        <w:t>. A</w:t>
      </w:r>
      <w:r w:rsidRPr="00C50860">
        <w:rPr>
          <w:i/>
        </w:rPr>
        <w:t>ss’n</w:t>
      </w:r>
      <w:r w:rsidRPr="00C50860">
        <w:t>, 113 Haw</w:t>
      </w:r>
      <w:r w:rsidR="006F355C" w:rsidRPr="006F355C">
        <w:t>. a</w:t>
      </w:r>
      <w:r w:rsidRPr="00C50860">
        <w:t>t 116, 148 P.3d at 1218 (quoting Kutcher v</w:t>
      </w:r>
      <w:r w:rsidR="006F355C" w:rsidRPr="006F355C">
        <w:t>. Z</w:t>
      </w:r>
      <w:r w:rsidRPr="00C50860">
        <w:t>immerman, 87 Haw</w:t>
      </w:r>
      <w:r w:rsidR="006F355C" w:rsidRPr="006F355C">
        <w:t>. 3</w:t>
      </w:r>
      <w:r w:rsidRPr="00C50860">
        <w:t>94, 406 n.16, 957 P.2d 1076, 1088 n.16 (App</w:t>
      </w:r>
      <w:r w:rsidR="006F355C" w:rsidRPr="006F355C">
        <w:t>. 1</w:t>
      </w:r>
      <w:r w:rsidRPr="00C50860">
        <w:t>998)) (citation and internal quotation marks omitted)).</w:t>
      </w:r>
    </w:p>
  </w:footnote>
  <w:footnote w:id="87">
    <w:p w14:paraId="6D45A36C" w14:textId="6EBA93E6" w:rsidR="00EC7962" w:rsidRPr="00C50860" w:rsidRDefault="00EC7962" w:rsidP="00450E78">
      <w:pPr>
        <w:pStyle w:val="FootnoteText"/>
        <w:spacing w:after="0"/>
      </w:pPr>
      <w:r w:rsidRPr="00C50860">
        <w:rPr>
          <w:vertAlign w:val="superscript"/>
        </w:rPr>
        <w:footnoteRef/>
      </w:r>
      <w:r w:rsidRPr="00C50860">
        <w:rPr>
          <w:i/>
        </w:rPr>
        <w:t>Minton</w:t>
      </w:r>
      <w:r w:rsidRPr="00C50860">
        <w:t>, 131 Haw</w:t>
      </w:r>
      <w:r w:rsidR="006F355C" w:rsidRPr="006F355C">
        <w:t>. a</w:t>
      </w:r>
      <w:r w:rsidRPr="00C50860">
        <w:t>t 191, 317 P.3d at 25.</w:t>
      </w:r>
    </w:p>
  </w:footnote>
  <w:footnote w:id="88">
    <w:p w14:paraId="239B5CC6" w14:textId="77777777" w:rsidR="00EC7962" w:rsidRPr="00C50860" w:rsidRDefault="00EC7962" w:rsidP="00450E78">
      <w:pPr>
        <w:pStyle w:val="FootnoteText"/>
        <w:spacing w:after="0"/>
      </w:pPr>
      <w:r w:rsidRPr="00C50860">
        <w:rPr>
          <w:vertAlign w:val="superscript"/>
        </w:rPr>
        <w:footnoteRef/>
      </w:r>
      <w:r w:rsidRPr="00C50860">
        <w:rPr>
          <w:i/>
        </w:rPr>
        <w:t>Id</w:t>
      </w:r>
      <w:r w:rsidRPr="00C50860">
        <w:t>., 317 P.3d at 25.</w:t>
      </w:r>
    </w:p>
  </w:footnote>
  <w:footnote w:id="89">
    <w:p w14:paraId="7F7A57F8" w14:textId="77777777" w:rsidR="006F355C" w:rsidRDefault="00EC7962" w:rsidP="00165C23">
      <w:pPr>
        <w:pStyle w:val="FootnoteText"/>
      </w:pPr>
      <w:r w:rsidRPr="00C50860">
        <w:rPr>
          <w:rStyle w:val="FootnoteReference"/>
        </w:rPr>
        <w:footnoteRef/>
      </w:r>
      <w:r w:rsidRPr="00C50860">
        <w:rPr>
          <w:i/>
        </w:rPr>
        <w:t>Id</w:t>
      </w:r>
      <w:r w:rsidRPr="00C50860">
        <w:t xml:space="preserve"> at 191–92, 317 P.3d at 25 –26,</w:t>
      </w:r>
    </w:p>
    <w:p w14:paraId="1A42D932" w14:textId="65A4D488" w:rsidR="00EC7962" w:rsidRPr="00C50860" w:rsidRDefault="00EC7962" w:rsidP="00165C23">
      <w:pPr>
        <w:pStyle w:val="FootnoteText"/>
      </w:pPr>
    </w:p>
  </w:footnote>
  <w:footnote w:id="90">
    <w:p w14:paraId="11930EA9" w14:textId="1D7FD5C1" w:rsidR="00EC7962" w:rsidRPr="00C50860" w:rsidRDefault="00EC7962" w:rsidP="00450E78">
      <w:pPr>
        <w:pStyle w:val="FootnoteText"/>
        <w:spacing w:after="0"/>
      </w:pPr>
      <w:r w:rsidRPr="00C50860">
        <w:rPr>
          <w:vertAlign w:val="superscript"/>
        </w:rPr>
        <w:footnoteRef/>
      </w:r>
      <w:r w:rsidRPr="00C50860">
        <w:rPr>
          <w:i/>
        </w:rPr>
        <w:t>Id</w:t>
      </w:r>
      <w:r w:rsidR="006F355C" w:rsidRPr="006F355C">
        <w:t>. a</w:t>
      </w:r>
      <w:r w:rsidRPr="00C50860">
        <w:t>t 192, 317 P.3d at 26.</w:t>
      </w:r>
    </w:p>
  </w:footnote>
  <w:footnote w:id="91">
    <w:p w14:paraId="51A62569" w14:textId="072B0D06" w:rsidR="00EC7962" w:rsidRPr="00C50860" w:rsidRDefault="00EC7962">
      <w:pPr>
        <w:pStyle w:val="FootnoteText"/>
      </w:pPr>
      <w:r w:rsidRPr="00C50860">
        <w:rPr>
          <w:rStyle w:val="FootnoteReference"/>
        </w:rPr>
        <w:footnoteRef/>
      </w:r>
      <w:r w:rsidRPr="00C50860">
        <w:rPr>
          <w:i/>
        </w:rPr>
        <w:t>Id</w:t>
      </w:r>
      <w:r w:rsidR="006F355C" w:rsidRPr="006F355C">
        <w:t>. a</w:t>
      </w:r>
      <w:r w:rsidRPr="00C50860">
        <w:t>t 191, 317 P.3d at 25.</w:t>
      </w:r>
    </w:p>
  </w:footnote>
  <w:footnote w:id="92">
    <w:p w14:paraId="6DF619F0" w14:textId="2B048875" w:rsidR="00EC7962" w:rsidRPr="00C50860" w:rsidRDefault="00EC7962" w:rsidP="00450E78">
      <w:pPr>
        <w:pStyle w:val="FootnoteText"/>
        <w:spacing w:after="0"/>
      </w:pPr>
      <w:r w:rsidRPr="00C50860">
        <w:rPr>
          <w:vertAlign w:val="superscript"/>
        </w:rPr>
        <w:footnoteRef/>
      </w:r>
      <w:r w:rsidRPr="00C50860">
        <w:rPr>
          <w:i/>
        </w:rPr>
        <w:t>Id</w:t>
      </w:r>
      <w:r w:rsidR="006F355C" w:rsidRPr="006F355C">
        <w:t>. a</w:t>
      </w:r>
      <w:r w:rsidRPr="00C50860">
        <w:t>t 192, 317 P.3d at 26.</w:t>
      </w:r>
    </w:p>
  </w:footnote>
  <w:footnote w:id="93">
    <w:p w14:paraId="154E0281" w14:textId="168BCB83" w:rsidR="00EC7962" w:rsidRPr="00C50860" w:rsidRDefault="00EC7962">
      <w:pPr>
        <w:pStyle w:val="FootnoteText"/>
      </w:pPr>
      <w:r w:rsidRPr="00C50860">
        <w:rPr>
          <w:rStyle w:val="FootnoteReference"/>
        </w:rPr>
        <w:footnoteRef/>
      </w:r>
      <w:r w:rsidRPr="00C50860">
        <w:rPr>
          <w:i/>
        </w:rPr>
        <w:t>Id</w:t>
      </w:r>
      <w:r w:rsidR="006F355C" w:rsidRPr="006F355C">
        <w:t>. a</w:t>
      </w:r>
      <w:r w:rsidRPr="00C50860">
        <w:t>t 191, 317 P.3d at 25.</w:t>
      </w:r>
    </w:p>
  </w:footnote>
  <w:footnote w:id="94">
    <w:p w14:paraId="6CC2BB25" w14:textId="503B0104" w:rsidR="00EC7962" w:rsidRPr="00C50860" w:rsidRDefault="00EC7962" w:rsidP="00450E78">
      <w:pPr>
        <w:pStyle w:val="FootnoteText"/>
        <w:spacing w:after="0"/>
      </w:pPr>
      <w:r w:rsidRPr="00C50860">
        <w:rPr>
          <w:vertAlign w:val="superscript"/>
        </w:rPr>
        <w:footnoteRef/>
      </w:r>
      <w:r w:rsidRPr="00C50860">
        <w:t>Weinberg v</w:t>
      </w:r>
      <w:r w:rsidR="006F355C" w:rsidRPr="006F355C">
        <w:t>. M</w:t>
      </w:r>
      <w:r w:rsidRPr="00C50860">
        <w:t>auch, 78 Haw</w:t>
      </w:r>
      <w:r w:rsidR="006F355C" w:rsidRPr="006F355C">
        <w:t>. 4</w:t>
      </w:r>
      <w:r w:rsidRPr="00C50860">
        <w:t>0, 50, 890 P.2d 277, 287 (1995).</w:t>
      </w:r>
    </w:p>
  </w:footnote>
  <w:footnote w:id="95">
    <w:p w14:paraId="059261B2" w14:textId="77D2A36E" w:rsidR="00EC7962" w:rsidRPr="00C50860" w:rsidRDefault="00EC7962" w:rsidP="00450E78">
      <w:pPr>
        <w:pStyle w:val="FootnoteText"/>
        <w:spacing w:after="0"/>
      </w:pPr>
      <w:r w:rsidRPr="00C50860">
        <w:rPr>
          <w:vertAlign w:val="superscript"/>
        </w:rPr>
        <w:footnoteRef/>
      </w:r>
      <w:r w:rsidRPr="00C50860">
        <w:rPr>
          <w:rFonts w:cs="NewBaskerville-Italic"/>
          <w:i/>
          <w:iCs/>
        </w:rPr>
        <w:t>Kutcher</w:t>
      </w:r>
      <w:r w:rsidRPr="00C50860">
        <w:t>, 87 Haw</w:t>
      </w:r>
      <w:r w:rsidR="006F355C" w:rsidRPr="006F355C">
        <w:t>. a</w:t>
      </w:r>
      <w:r w:rsidRPr="00C50860">
        <w:t>t 405, 957 P.2d at 1087 (internal citations omitted).</w:t>
      </w:r>
    </w:p>
  </w:footnote>
  <w:footnote w:id="96">
    <w:p w14:paraId="5BBAA8D4"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rPr>
          <w:rFonts w:cs="NewBaskerville-Italic"/>
          <w:iCs/>
        </w:rPr>
        <w:t>.</w:t>
      </w:r>
      <w:r w:rsidRPr="00C50860">
        <w:t>, 957 P.2d at 1087.</w:t>
      </w:r>
    </w:p>
  </w:footnote>
  <w:footnote w:id="97">
    <w:p w14:paraId="22EBAB94" w14:textId="34DBAB06" w:rsidR="00EC7962" w:rsidRPr="00C50860" w:rsidRDefault="00EC7962">
      <w:pPr>
        <w:pStyle w:val="FootnoteText"/>
      </w:pPr>
      <w:r w:rsidRPr="00C50860">
        <w:rPr>
          <w:rStyle w:val="FootnoteReference"/>
        </w:rPr>
        <w:footnoteRef/>
      </w:r>
      <w:r w:rsidRPr="00C50860">
        <w:rPr>
          <w:i/>
        </w:rPr>
        <w:t>Minton</w:t>
      </w:r>
      <w:r w:rsidRPr="00C50860">
        <w:t>, 131 Haw</w:t>
      </w:r>
      <w:r w:rsidR="006F355C" w:rsidRPr="006F355C">
        <w:t>. a</w:t>
      </w:r>
      <w:r w:rsidRPr="00C50860">
        <w:t>t 192, 317 P.3d at 26.</w:t>
      </w:r>
    </w:p>
  </w:footnote>
  <w:footnote w:id="98">
    <w:p w14:paraId="46220915" w14:textId="47CE51C1" w:rsidR="00EC7962" w:rsidRPr="00C50860" w:rsidRDefault="00EC7962" w:rsidP="00450E78">
      <w:pPr>
        <w:pStyle w:val="FootnoteText"/>
        <w:spacing w:after="0"/>
      </w:pPr>
      <w:r w:rsidRPr="00C50860">
        <w:rPr>
          <w:vertAlign w:val="superscript"/>
        </w:rPr>
        <w:footnoteRef/>
      </w:r>
      <w:r w:rsidRPr="00C50860">
        <w:t>Minton v</w:t>
      </w:r>
      <w:r w:rsidR="006F355C" w:rsidRPr="006F355C">
        <w:t>. Q</w:t>
      </w:r>
      <w:r w:rsidRPr="00C50860">
        <w:t>uintal, 137 Haw</w:t>
      </w:r>
      <w:r w:rsidR="006F355C" w:rsidRPr="006F355C">
        <w:t>. 2</w:t>
      </w:r>
      <w:r w:rsidRPr="00C50860">
        <w:t xml:space="preserve">70, 279, 369 </w:t>
      </w:r>
      <w:r w:rsidR="006F355C" w:rsidRPr="006F355C">
        <w:t>P.3d</w:t>
      </w:r>
      <w:r w:rsidRPr="00C50860">
        <w:t xml:space="preserve"> 853, 862 (Haw</w:t>
      </w:r>
      <w:r w:rsidR="006F355C" w:rsidRPr="006F355C">
        <w:t>. C</w:t>
      </w:r>
      <w:r w:rsidRPr="00C50860">
        <w:t>t</w:t>
      </w:r>
      <w:r w:rsidR="006F355C" w:rsidRPr="006F355C">
        <w:t>. A</w:t>
      </w:r>
      <w:r w:rsidRPr="00C50860">
        <w:t>pp</w:t>
      </w:r>
      <w:r w:rsidR="006F355C" w:rsidRPr="006F355C">
        <w:t>. 2</w:t>
      </w:r>
      <w:r w:rsidRPr="00C50860">
        <w:t>016).</w:t>
      </w:r>
    </w:p>
  </w:footnote>
  <w:footnote w:id="99">
    <w:p w14:paraId="22C34CF0"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w:t>
      </w:r>
      <w:r w:rsidRPr="00C50860">
        <w:rPr>
          <w:smallCaps/>
        </w:rPr>
        <w:t>Restatement (Second) of Torts</w:t>
      </w:r>
      <w:r w:rsidRPr="00C50860">
        <w:t xml:space="preserve"> §§568–570 (1977).</w:t>
      </w:r>
    </w:p>
  </w:footnote>
  <w:footnote w:id="100">
    <w:p w14:paraId="396B52A7" w14:textId="25A102DA" w:rsidR="00EC7962" w:rsidRPr="00C50860" w:rsidRDefault="00EC7962" w:rsidP="00450E78">
      <w:pPr>
        <w:pStyle w:val="FootnoteText"/>
        <w:spacing w:after="0"/>
      </w:pPr>
      <w:r w:rsidRPr="00C50860">
        <w:rPr>
          <w:vertAlign w:val="superscript"/>
        </w:rPr>
        <w:footnoteRef/>
      </w:r>
      <w:r w:rsidRPr="00C50860">
        <w:t>Gonsalves v</w:t>
      </w:r>
      <w:r w:rsidR="006F355C" w:rsidRPr="006F355C">
        <w:t>. N</w:t>
      </w:r>
      <w:r w:rsidRPr="00C50860">
        <w:t>issan Motor Corp</w:t>
      </w:r>
      <w:r w:rsidR="006F355C" w:rsidRPr="006F355C">
        <w:t>. i</w:t>
      </w:r>
      <w:r w:rsidRPr="00C50860">
        <w:t>n Haw., Ltd., 100 Haw</w:t>
      </w:r>
      <w:r w:rsidR="006F355C" w:rsidRPr="006F355C">
        <w:t>. 1</w:t>
      </w:r>
      <w:r w:rsidRPr="00C50860">
        <w:t>49, 171, 58 P.3d 1196, 1218 (2002)</w:t>
      </w:r>
      <w:r w:rsidR="006F355C" w:rsidRPr="006F355C">
        <w:t>; R</w:t>
      </w:r>
      <w:r w:rsidRPr="00C50860">
        <w:t>itchie v</w:t>
      </w:r>
      <w:r w:rsidR="006F355C" w:rsidRPr="006F355C">
        <w:t>. H</w:t>
      </w:r>
      <w:r w:rsidRPr="00C50860">
        <w:t>awaii, Civil No</w:t>
      </w:r>
      <w:r w:rsidR="006F355C" w:rsidRPr="006F355C">
        <w:t>. 1</w:t>
      </w:r>
      <w:r w:rsidRPr="00C50860">
        <w:t>4-00046 LEK-KJM 2016 WL 6775704 *14</w:t>
      </w:r>
      <w:r w:rsidRPr="00C50860">
        <w:rPr>
          <w:rFonts w:cs="NewBaskerville-Bold"/>
          <w:b/>
          <w:bCs/>
        </w:rPr>
        <w:t xml:space="preserve"> </w:t>
      </w:r>
      <w:r w:rsidRPr="00C50860">
        <w:t>(D. Haw</w:t>
      </w:r>
      <w:r w:rsidR="006F355C" w:rsidRPr="006F355C">
        <w:t>. J</w:t>
      </w:r>
      <w:r w:rsidRPr="00C50860">
        <w:t>une 27, 2016)</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Beamer v</w:t>
      </w:r>
      <w:r w:rsidR="006F355C" w:rsidRPr="006F355C">
        <w:t>. N</w:t>
      </w:r>
      <w:r w:rsidRPr="00C50860">
        <w:t>ishiki, 66 Haw</w:t>
      </w:r>
      <w:r w:rsidR="006F355C" w:rsidRPr="006F355C">
        <w:t>. 5</w:t>
      </w:r>
      <w:r w:rsidRPr="00C50860">
        <w:t xml:space="preserve">72, 578–79, 670 P.2d 1264, 1271 (1983) (citing the </w:t>
      </w:r>
      <w:r w:rsidRPr="00C50860">
        <w:rPr>
          <w:smallCaps/>
        </w:rPr>
        <w:t>Restatement (Second) of Torts</w:t>
      </w:r>
      <w:r w:rsidRPr="00C50860">
        <w:t xml:space="preserve"> §558 (1977)).</w:t>
      </w:r>
    </w:p>
  </w:footnote>
  <w:footnote w:id="101">
    <w:p w14:paraId="654EA4BC" w14:textId="09ED9D2C" w:rsidR="00EC7962" w:rsidRPr="00C50860" w:rsidRDefault="00EC7962" w:rsidP="00450E78">
      <w:pPr>
        <w:pStyle w:val="FootnoteText"/>
        <w:spacing w:after="0"/>
      </w:pPr>
      <w:r w:rsidRPr="00C50860">
        <w:rPr>
          <w:vertAlign w:val="superscript"/>
        </w:rPr>
        <w:footnoteRef/>
      </w:r>
      <w:r w:rsidRPr="00C50860">
        <w:t>88 Haw</w:t>
      </w:r>
      <w:r w:rsidR="006F355C" w:rsidRPr="006F355C">
        <w:t>. 9</w:t>
      </w:r>
      <w:r w:rsidRPr="00C50860">
        <w:t>4, 101, 962 P.2d 353, 359 (1998)</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w:t>
      </w:r>
      <w:r w:rsidRPr="00C50860">
        <w:rPr>
          <w:rFonts w:cs="NewBaskerville-Italic"/>
          <w:i/>
          <w:iCs/>
        </w:rPr>
        <w:t>Gonsalves,</w:t>
      </w:r>
      <w:r w:rsidRPr="00C50860">
        <w:t xml:space="preserve"> 100 Haw</w:t>
      </w:r>
      <w:r w:rsidR="006F355C" w:rsidRPr="006F355C">
        <w:t>. a</w:t>
      </w:r>
      <w:r w:rsidRPr="00C50860">
        <w:t>t 171, 58 P.3d at 1218 (recognizing that the tort of defamation protects the interest of reputation).</w:t>
      </w:r>
    </w:p>
  </w:footnote>
  <w:footnote w:id="102">
    <w:p w14:paraId="1512B8DC" w14:textId="69CF0355" w:rsidR="00EC7962" w:rsidRPr="00C50860" w:rsidRDefault="00EC7962" w:rsidP="00450E78">
      <w:pPr>
        <w:pStyle w:val="FootnoteText"/>
        <w:spacing w:after="0"/>
      </w:pPr>
      <w:r w:rsidRPr="00C50860">
        <w:rPr>
          <w:vertAlign w:val="superscript"/>
        </w:rPr>
        <w:footnoteRef/>
      </w:r>
      <w:r w:rsidRPr="00C50860">
        <w:t>Cahill v</w:t>
      </w:r>
      <w:r w:rsidR="006F355C" w:rsidRPr="006F355C">
        <w:t>. H</w:t>
      </w:r>
      <w:r w:rsidRPr="00C50860">
        <w:t>awaiian Paradise Park Corp., 56 Haw</w:t>
      </w:r>
      <w:r w:rsidR="006F355C" w:rsidRPr="006F355C">
        <w:t>. 5</w:t>
      </w:r>
      <w:r w:rsidRPr="00C50860">
        <w:t>22, 528, 543 P.2d 1356, 1361 (1975) (citation omitted).</w:t>
      </w:r>
    </w:p>
  </w:footnote>
  <w:footnote w:id="103">
    <w:p w14:paraId="0A4A8D5E" w14:textId="7CCEC53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w:t>
      </w:r>
      <w:r w:rsidRPr="00C50860">
        <w:t>internal quotation marks and citation omitted).</w:t>
      </w:r>
    </w:p>
  </w:footnote>
  <w:footnote w:id="104">
    <w:p w14:paraId="691E0086" w14:textId="2F0FA310" w:rsidR="00EC7962" w:rsidRPr="00C50860" w:rsidRDefault="00EC7962" w:rsidP="00450E78">
      <w:pPr>
        <w:pStyle w:val="FootnoteText"/>
        <w:spacing w:after="0"/>
      </w:pPr>
      <w:r w:rsidRPr="00C50860">
        <w:rPr>
          <w:vertAlign w:val="superscript"/>
        </w:rPr>
        <w:footnoteRef/>
      </w:r>
      <w:r w:rsidRPr="00C50860">
        <w:t>Fernandes v</w:t>
      </w:r>
      <w:r w:rsidR="006F355C" w:rsidRPr="006F355C">
        <w:t>. T</w:t>
      </w:r>
      <w:r w:rsidRPr="00C50860">
        <w:t>enbruggencate, 65 Haw</w:t>
      </w:r>
      <w:r w:rsidR="006F355C" w:rsidRPr="006F355C">
        <w:t>. 2</w:t>
      </w:r>
      <w:r w:rsidRPr="00C50860">
        <w:t>26, 228, 649 P.2d 1144, 1147 (1982) (internal quotation marks, and citation omitted).</w:t>
      </w:r>
    </w:p>
  </w:footnote>
  <w:footnote w:id="105">
    <w:p w14:paraId="3F07096B" w14:textId="062D6605" w:rsidR="00EC7962" w:rsidRPr="00C50860" w:rsidRDefault="00EC7962" w:rsidP="00450E78">
      <w:pPr>
        <w:pStyle w:val="FootnoteText"/>
        <w:spacing w:after="0"/>
      </w:pPr>
      <w:r w:rsidRPr="00C50860">
        <w:rPr>
          <w:vertAlign w:val="superscript"/>
        </w:rPr>
        <w:footnoteRef/>
      </w:r>
      <w:r w:rsidRPr="00C50860">
        <w:t>88 Haw</w:t>
      </w:r>
      <w:r w:rsidR="006F355C" w:rsidRPr="006F355C">
        <w:t>. a</w:t>
      </w:r>
      <w:r w:rsidRPr="00C50860">
        <w:t>t 101, 962 P.2d at 360 (emphasis, original brackets, and citations omitted).</w:t>
      </w:r>
    </w:p>
  </w:footnote>
  <w:footnote w:id="106">
    <w:p w14:paraId="0C012790" w14:textId="5000E529" w:rsidR="00EC7962" w:rsidRPr="00C50860" w:rsidRDefault="00EC7962" w:rsidP="00450E78">
      <w:pPr>
        <w:pStyle w:val="FootnoteText"/>
        <w:spacing w:after="0"/>
      </w:pPr>
      <w:r w:rsidRPr="00C50860">
        <w:rPr>
          <w:vertAlign w:val="superscript"/>
        </w:rPr>
        <w:footnoteRef/>
      </w:r>
      <w:r w:rsidRPr="00C50860">
        <w:t>141 Hawaiʻi 500, 413 P.3d 404 2018 FEP Cases 59534 (Ct</w:t>
      </w:r>
      <w:r w:rsidR="006F355C" w:rsidRPr="006F355C">
        <w:t>. A</w:t>
      </w:r>
      <w:r w:rsidRPr="00C50860">
        <w:t>pp</w:t>
      </w:r>
      <w:r w:rsidR="006F355C" w:rsidRPr="006F355C">
        <w:t>. 2</w:t>
      </w:r>
      <w:r w:rsidRPr="00C50860">
        <w:t>018).</w:t>
      </w:r>
    </w:p>
  </w:footnote>
  <w:footnote w:id="107">
    <w:p w14:paraId="2357830D"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Id., </w:t>
      </w:r>
      <w:r w:rsidRPr="00C50860">
        <w:t>2018 FEP Cases 59534 at *5.</w:t>
      </w:r>
    </w:p>
  </w:footnote>
  <w:footnote w:id="108">
    <w:p w14:paraId="6F4B44FD" w14:textId="385CBBC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rPr>
          <w:rFonts w:cs="NewBaskerville-Italic"/>
          <w:iCs/>
        </w:rPr>
        <w:t>a</w:t>
      </w:r>
      <w:r w:rsidRPr="00C50860">
        <w:rPr>
          <w:rFonts w:cs="NewBaskerville-Italic"/>
          <w:iCs/>
        </w:rPr>
        <w:t>t</w:t>
      </w:r>
      <w:r w:rsidRPr="00C50860">
        <w:rPr>
          <w:rFonts w:cs="NewBaskerville-Italic"/>
          <w:i/>
          <w:iCs/>
        </w:rPr>
        <w:t xml:space="preserve"> *6</w:t>
      </w:r>
      <w:r w:rsidRPr="00C50860">
        <w:t xml:space="preserve"> (citation omitted).</w:t>
      </w:r>
    </w:p>
  </w:footnote>
  <w:footnote w:id="109">
    <w:p w14:paraId="35A291C0" w14:textId="68AB8204" w:rsidR="00EC7962" w:rsidRPr="00C50860" w:rsidRDefault="00EC7962" w:rsidP="00450E78">
      <w:pPr>
        <w:pStyle w:val="FootnoteText"/>
        <w:spacing w:after="0"/>
        <w:ind w:right="720"/>
        <w:rPr>
          <w:sz w:val="24"/>
        </w:rPr>
      </w:pPr>
      <w:r w:rsidRPr="00C50860">
        <w:rPr>
          <w:rStyle w:val="FootnoteReference"/>
          <w:sz w:val="24"/>
        </w:rPr>
        <w:footnoteRef/>
      </w:r>
      <w:r w:rsidRPr="00C50860">
        <w:rPr>
          <w:rStyle w:val="Strong"/>
          <w:b w:val="0"/>
          <w:color w:val="05212A"/>
          <w:shd w:val="clear" w:color="auto" w:fill="FFFFFF"/>
        </w:rPr>
        <w:t>142 Haw</w:t>
      </w:r>
      <w:r w:rsidR="006F355C" w:rsidRPr="006F355C">
        <w:rPr>
          <w:rStyle w:val="Strong"/>
          <w:b w:val="0"/>
          <w:color w:val="05212A"/>
          <w:shd w:val="clear" w:color="auto" w:fill="FFFFFF"/>
        </w:rPr>
        <w:t>. 2</w:t>
      </w:r>
      <w:r w:rsidRPr="00C50860">
        <w:rPr>
          <w:rStyle w:val="Strong"/>
          <w:b w:val="0"/>
          <w:color w:val="05212A"/>
          <w:shd w:val="clear" w:color="auto" w:fill="FFFFFF"/>
        </w:rPr>
        <w:t>59, 271-72, 418 P.3d 600, 612</w:t>
      </w:r>
      <w:r w:rsidRPr="00C50860">
        <w:rPr>
          <w:bCs/>
          <w:color w:val="05212A"/>
          <w:shd w:val="clear" w:color="auto" w:fill="FFFFFF"/>
        </w:rPr>
        <w:t>–</w:t>
      </w:r>
      <w:r w:rsidRPr="00C50860">
        <w:rPr>
          <w:rStyle w:val="Strong"/>
          <w:b w:val="0"/>
          <w:color w:val="05212A"/>
          <w:shd w:val="clear" w:color="auto" w:fill="FFFFFF"/>
        </w:rPr>
        <w:t>13 (2018) (</w:t>
      </w:r>
      <w:r w:rsidRPr="00C50860">
        <w:t xml:space="preserve">“[W]e hold that harm to reputation is not a ‘personal injury’ under </w:t>
      </w:r>
      <w:r w:rsidRPr="00C50860">
        <w:rPr>
          <w:smallCaps/>
        </w:rPr>
        <w:t>Hawaii Rev</w:t>
      </w:r>
      <w:r w:rsidR="006F355C" w:rsidRPr="006F355C">
        <w:rPr>
          <w:smallCaps/>
        </w:rPr>
        <w:t>. S</w:t>
      </w:r>
      <w:r w:rsidRPr="00C50860">
        <w:rPr>
          <w:smallCaps/>
        </w:rPr>
        <w:t>tat</w:t>
      </w:r>
      <w:r w:rsidR="006F355C" w:rsidRPr="006F355C">
        <w:rPr>
          <w:smallCaps/>
        </w:rPr>
        <w:t xml:space="preserve">. </w:t>
      </w:r>
      <w:r w:rsidR="006F355C" w:rsidRPr="006F355C">
        <w:t>§</w:t>
      </w:r>
      <w:r w:rsidRPr="00C50860">
        <w:t>386-3</w:t>
      </w:r>
      <w:r w:rsidR="006F355C" w:rsidRPr="006F355C">
        <w:t>. B</w:t>
      </w:r>
      <w:r w:rsidRPr="00C50860">
        <w:t>ecause the purpose of defamation actions is to provide compensation for harm to reputation, and because a reputational injury is not a ‘personal injury,’ we hold that the torts of defamation and false light are beyond the ambit of the WCL’s exclusivity provision.”) (overruling Yang v</w:t>
      </w:r>
      <w:r w:rsidR="006F355C" w:rsidRPr="006F355C">
        <w:t>. A</w:t>
      </w:r>
      <w:r w:rsidRPr="00C50860">
        <w:t>bercrombie &amp; Fitch Stores, 128 Haw</w:t>
      </w:r>
      <w:r w:rsidR="006F355C" w:rsidRPr="006F355C">
        <w:t>. 1</w:t>
      </w:r>
      <w:r w:rsidRPr="00C50860">
        <w:t>73, 284 P.3d 946 (Ct</w:t>
      </w:r>
      <w:r w:rsidR="006F355C" w:rsidRPr="006F355C">
        <w:t>. A</w:t>
      </w:r>
      <w:r w:rsidRPr="00C50860">
        <w:t>pp</w:t>
      </w:r>
      <w:r w:rsidR="006F355C" w:rsidRPr="006F355C">
        <w:t>. 2</w:t>
      </w:r>
      <w:r w:rsidRPr="00C50860">
        <w:t xml:space="preserve">012)) </w:t>
      </w:r>
      <w:r w:rsidR="006F355C" w:rsidRPr="006F355C">
        <w:t xml:space="preserve">; </w:t>
      </w:r>
      <w:r w:rsidR="006F355C" w:rsidRPr="006F355C">
        <w:rPr>
          <w:i/>
        </w:rPr>
        <w:t>s</w:t>
      </w:r>
      <w:r w:rsidRPr="00C50860">
        <w:rPr>
          <w:i/>
        </w:rPr>
        <w:t>ee also</w:t>
      </w:r>
      <w:r w:rsidRPr="00C50860">
        <w:t xml:space="preserve"> Andrade v</w:t>
      </w:r>
      <w:r w:rsidR="006F355C" w:rsidRPr="006F355C">
        <w:t>. C</w:t>
      </w:r>
      <w:r w:rsidRPr="00C50860">
        <w:t>ounty of Hawai‘i, 145 Haw</w:t>
      </w:r>
      <w:r w:rsidR="006F355C" w:rsidRPr="006F355C">
        <w:t>. 2</w:t>
      </w:r>
      <w:r w:rsidRPr="00C50860">
        <w:t>65, 279, 451 P.3d 1, 15 (Haw</w:t>
      </w:r>
      <w:r w:rsidR="006F355C" w:rsidRPr="006F355C">
        <w:t>. C</w:t>
      </w:r>
      <w:r w:rsidRPr="00C50860">
        <w:t>t</w:t>
      </w:r>
      <w:r w:rsidR="006F355C" w:rsidRPr="006F355C">
        <w:t>. A</w:t>
      </w:r>
      <w:r w:rsidRPr="00C50860">
        <w:t>pp</w:t>
      </w:r>
      <w:r w:rsidR="006F355C" w:rsidRPr="006F355C">
        <w:t>. 2</w:t>
      </w:r>
      <w:r w:rsidRPr="00C50860">
        <w:t>019) (</w:t>
      </w:r>
      <w:r w:rsidRPr="00C50860">
        <w:rPr>
          <w:smallCaps/>
        </w:rPr>
        <w:t>Hawaii Rev</w:t>
      </w:r>
      <w:r w:rsidR="006F355C" w:rsidRPr="006F355C">
        <w:rPr>
          <w:smallCaps/>
        </w:rPr>
        <w:t>. S</w:t>
      </w:r>
      <w:r w:rsidRPr="00C50860">
        <w:rPr>
          <w:smallCaps/>
        </w:rPr>
        <w:t>tat</w:t>
      </w:r>
      <w:r w:rsidR="006F355C" w:rsidRPr="006F355C">
        <w:rPr>
          <w:smallCaps/>
        </w:rPr>
        <w:t xml:space="preserve">. </w:t>
      </w:r>
      <w:r w:rsidR="006F355C" w:rsidRPr="006F355C">
        <w:t>C</w:t>
      </w:r>
      <w:r w:rsidRPr="00C50860">
        <w:t>hapter 386 contemplates compensation for “personal injury” including physical and mental injuries, it does not contemplate harm to reputation).</w:t>
      </w:r>
    </w:p>
  </w:footnote>
  <w:footnote w:id="110">
    <w:p w14:paraId="38BE45B2" w14:textId="3492BE2F"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See </w:t>
      </w:r>
      <w:r w:rsidRPr="00C50860">
        <w:rPr>
          <w:smallCaps/>
        </w:rPr>
        <w:t>Restatement (Second) of Torts</w:t>
      </w:r>
      <w:r w:rsidRPr="00C50860">
        <w:t xml:space="preserve"> §564 cmt</w:t>
      </w:r>
      <w:r w:rsidR="006F355C" w:rsidRPr="006F355C">
        <w:t>. (</w:t>
      </w:r>
      <w:r w:rsidRPr="00C50860">
        <w:t>b) (“[I]t is not necessary that the plaintiff be designated by name</w:t>
      </w:r>
      <w:r w:rsidR="006F355C" w:rsidRPr="006F355C">
        <w:t>; i</w:t>
      </w:r>
      <w:r w:rsidRPr="00C50860">
        <w:t>t is enough that there is such a description or reference to him that those who hear or read reasonably understand the plaintiff to be the person intended”)</w:t>
      </w:r>
      <w:r w:rsidR="006F355C" w:rsidRPr="006F355C">
        <w:t>; W</w:t>
      </w:r>
      <w:r w:rsidRPr="00C50860">
        <w:t>ilson v</w:t>
      </w:r>
      <w:r w:rsidR="006F355C" w:rsidRPr="006F355C">
        <w:t>. F</w:t>
      </w:r>
      <w:r w:rsidRPr="00C50860">
        <w:t>reitas, 121 Haw</w:t>
      </w:r>
      <w:r w:rsidR="006F355C" w:rsidRPr="006F355C">
        <w:t>. 1</w:t>
      </w:r>
      <w:r w:rsidRPr="00C50860">
        <w:t>20, 214 P.3d 1110 (Haw</w:t>
      </w:r>
      <w:r w:rsidR="006F355C" w:rsidRPr="006F355C">
        <w:t>. C</w:t>
      </w:r>
      <w:r w:rsidRPr="00C50860">
        <w:t>t</w:t>
      </w:r>
      <w:r w:rsidR="006F355C" w:rsidRPr="006F355C">
        <w:t>. A</w:t>
      </w:r>
      <w:r w:rsidRPr="00C50860">
        <w:t>pp</w:t>
      </w:r>
      <w:r w:rsidR="006F355C" w:rsidRPr="006F355C">
        <w:t>. 2</w:t>
      </w:r>
      <w:r w:rsidRPr="00C50860">
        <w:t>009) (observing that the article conveyed to the reader that the plaintiff was the Kauai serial killer did not identify him by name, “but the details provided left no doubt that [the plaintiff] was the person discussed in the article”).</w:t>
      </w:r>
    </w:p>
  </w:footnote>
  <w:footnote w:id="111">
    <w:p w14:paraId="76849A6C" w14:textId="711437A2" w:rsidR="00EC7962" w:rsidRPr="00C50860" w:rsidRDefault="00EC7962" w:rsidP="00450E78">
      <w:pPr>
        <w:pStyle w:val="FootnoteText"/>
        <w:spacing w:after="0"/>
      </w:pPr>
      <w:r w:rsidRPr="00C50860">
        <w:rPr>
          <w:vertAlign w:val="superscript"/>
        </w:rPr>
        <w:footnoteRef/>
      </w:r>
      <w:r w:rsidRPr="00C50860">
        <w:t>Ritchie v</w:t>
      </w:r>
      <w:r w:rsidR="006F355C" w:rsidRPr="006F355C">
        <w:t>. H</w:t>
      </w:r>
      <w:r w:rsidRPr="00C50860">
        <w:t>awaii,</w:t>
      </w:r>
      <w:r w:rsidRPr="00C50860">
        <w:rPr>
          <w:rFonts w:cs="NewBaskerville-BoldItalic"/>
          <w:b/>
          <w:bCs/>
          <w:i/>
          <w:iCs/>
        </w:rPr>
        <w:t xml:space="preserve"> </w:t>
      </w:r>
      <w:r w:rsidRPr="00C50860">
        <w:t>Civil No</w:t>
      </w:r>
      <w:r w:rsidR="006F355C" w:rsidRPr="006F355C">
        <w:t>. 1</w:t>
      </w:r>
      <w:r w:rsidRPr="00C50860">
        <w:t>4-00046 LEK-KJM 2016 WL 6775704 *14 (D. Haw</w:t>
      </w:r>
      <w:r w:rsidR="006F355C" w:rsidRPr="006F355C">
        <w:t>. J</w:t>
      </w:r>
      <w:r w:rsidRPr="00C50860">
        <w:t>une 27, 2016) (“A statement or submission to the EEOC ‘cannot form the basis of a defamation claim.’ (citation omitted)” Nakamoto v</w:t>
      </w:r>
      <w:r w:rsidR="006F355C" w:rsidRPr="006F355C">
        <w:t>. K</w:t>
      </w:r>
      <w:r w:rsidRPr="00C50860">
        <w:t>awauchi, No</w:t>
      </w:r>
      <w:r w:rsidR="006F355C" w:rsidRPr="006F355C">
        <w:t>. C</w:t>
      </w:r>
      <w:r w:rsidRPr="00C50860">
        <w:t>AAP-13-0004947 2017 WL 986008, at *6–7 (D. Haw</w:t>
      </w:r>
      <w:r w:rsidR="006F355C" w:rsidRPr="006F355C">
        <w:t>. M</w:t>
      </w:r>
      <w:r w:rsidRPr="00C50860">
        <w:t>ar</w:t>
      </w:r>
      <w:r w:rsidR="006F355C" w:rsidRPr="006F355C">
        <w:t>. 1</w:t>
      </w:r>
      <w:r w:rsidRPr="00C50860">
        <w:t>4, 2017) (finding defamatory and false light statements by a co-employee made in the course and scope of employment were barred by the exclusivity remedy of workers compensation but statements made after termination were not barred).</w:t>
      </w:r>
    </w:p>
  </w:footnote>
  <w:footnote w:id="112">
    <w:p w14:paraId="58251C7E" w14:textId="27F6F8EF" w:rsidR="00EC7962" w:rsidRPr="00C50860" w:rsidRDefault="00EC7962" w:rsidP="00450E78">
      <w:pPr>
        <w:pStyle w:val="FootnoteText"/>
        <w:spacing w:after="0"/>
      </w:pPr>
      <w:r w:rsidRPr="00C50860">
        <w:rPr>
          <w:vertAlign w:val="superscript"/>
        </w:rPr>
        <w:footnoteRef/>
      </w:r>
      <w:r w:rsidRPr="00C50860">
        <w:t>56 Haw</w:t>
      </w:r>
      <w:r w:rsidR="006F355C" w:rsidRPr="006F355C">
        <w:t>. 1</w:t>
      </w:r>
      <w:r w:rsidRPr="00C50860">
        <w:t>, 525 P.2d 1125, 1126 (1974) (footnote omitted)</w:t>
      </w:r>
      <w:r w:rsidR="006F355C" w:rsidRPr="006F355C">
        <w:t>; V</w:t>
      </w:r>
      <w:r w:rsidRPr="00C50860">
        <w:t>lasaty v</w:t>
      </w:r>
      <w:r w:rsidR="006F355C" w:rsidRPr="006F355C">
        <w:t>. P</w:t>
      </w:r>
      <w:r w:rsidRPr="00C50860">
        <w:t>acific Club, 4 Haw</w:t>
      </w:r>
      <w:r w:rsidR="006F355C" w:rsidRPr="006F355C">
        <w:t>. A</w:t>
      </w:r>
      <w:r w:rsidRPr="00C50860">
        <w:t>pp</w:t>
      </w:r>
      <w:r w:rsidR="006F355C" w:rsidRPr="006F355C">
        <w:t>. 5</w:t>
      </w:r>
      <w:r w:rsidRPr="00C50860">
        <w:t>56, 560–61, 670 P.2d 827, 831 (1983) (“Since the law of defamation protects the interest of reputation, there is no actionable tort unless there has been a ‘publication’ of the defamatory matter</w:t>
      </w:r>
      <w:r w:rsidR="006F355C" w:rsidRPr="006F355C">
        <w:t>. ‘</w:t>
      </w:r>
      <w:r w:rsidRPr="00C50860">
        <w:t>Publication’ means a communication to some third party other than the person defamed.”).</w:t>
      </w:r>
    </w:p>
  </w:footnote>
  <w:footnote w:id="113">
    <w:p w14:paraId="22C2DFF9" w14:textId="2E2EF2FF"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Gonsalves v</w:t>
      </w:r>
      <w:r w:rsidR="006F355C" w:rsidRPr="006F355C">
        <w:t>. N</w:t>
      </w:r>
      <w:r w:rsidRPr="00C50860">
        <w:t>issan Motor Corp</w:t>
      </w:r>
      <w:r w:rsidR="006F355C" w:rsidRPr="006F355C">
        <w:t>. i</w:t>
      </w:r>
      <w:r w:rsidRPr="00C50860">
        <w:t>n Haw., Ltd., 100 Haw</w:t>
      </w:r>
      <w:r w:rsidR="006F355C" w:rsidRPr="006F355C">
        <w:t>. 1</w:t>
      </w:r>
      <w:r w:rsidRPr="00C50860">
        <w:t>49, 173, 58 P.3d 1196, 1220 (2002) (adopting majority rule rejecting the theory of “self-publication,” compelled publication by the employee and not the employer).</w:t>
      </w:r>
    </w:p>
  </w:footnote>
  <w:footnote w:id="114">
    <w:p w14:paraId="291710E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115">
    <w:p w14:paraId="74F01F4B" w14:textId="2B85A0D8" w:rsidR="00EC7962" w:rsidRPr="00C50860" w:rsidRDefault="00EC7962" w:rsidP="00450E78">
      <w:pPr>
        <w:pStyle w:val="FootnoteText"/>
        <w:spacing w:after="0"/>
      </w:pPr>
      <w:r w:rsidRPr="00C50860">
        <w:rPr>
          <w:vertAlign w:val="superscript"/>
        </w:rPr>
        <w:footnoteRef/>
      </w:r>
      <w:r w:rsidRPr="00C50860">
        <w:t>Beamer v</w:t>
      </w:r>
      <w:r w:rsidR="006F355C" w:rsidRPr="006F355C">
        <w:t>. N</w:t>
      </w:r>
      <w:r w:rsidRPr="00C50860">
        <w:t>ishiki, 66 Haw</w:t>
      </w:r>
      <w:r w:rsidR="006F355C" w:rsidRPr="006F355C">
        <w:t>. 5</w:t>
      </w:r>
      <w:r w:rsidRPr="00C50860">
        <w:t>72, 582, 670 P.2d 1264, 1272–73 (1983) (citation omitted).</w:t>
      </w:r>
    </w:p>
  </w:footnote>
  <w:footnote w:id="116">
    <w:p w14:paraId="3AED74FC" w14:textId="26888B6B" w:rsidR="00EC7962" w:rsidRPr="00C50860" w:rsidRDefault="00EC7962" w:rsidP="00450E78">
      <w:pPr>
        <w:pStyle w:val="FootnoteText"/>
        <w:spacing w:after="0"/>
      </w:pPr>
      <w:r w:rsidRPr="00C50860">
        <w:rPr>
          <w:vertAlign w:val="superscript"/>
        </w:rPr>
        <w:footnoteRef/>
      </w:r>
      <w:r w:rsidRPr="00C50860">
        <w:t>Tagawa v</w:t>
      </w:r>
      <w:r w:rsidR="006F355C" w:rsidRPr="006F355C">
        <w:t>. M</w:t>
      </w:r>
      <w:r w:rsidRPr="00C50860">
        <w:t>aui Publ’g Co., 50 Haw</w:t>
      </w:r>
      <w:r w:rsidR="006F355C" w:rsidRPr="006F355C">
        <w:t>. 6</w:t>
      </w:r>
      <w:r w:rsidRPr="00C50860">
        <w:t>48, 652, 448 P.2d 337, 340 (1968).</w:t>
      </w:r>
    </w:p>
  </w:footnote>
  <w:footnote w:id="117">
    <w:p w14:paraId="42ADC163" w14:textId="21B98F9D" w:rsidR="00EC7962" w:rsidRPr="00C50860" w:rsidRDefault="00EC7962" w:rsidP="00450E78">
      <w:pPr>
        <w:pStyle w:val="FootnoteText"/>
        <w:spacing w:after="0"/>
      </w:pPr>
      <w:r w:rsidRPr="00C50860">
        <w:rPr>
          <w:vertAlign w:val="superscript"/>
        </w:rPr>
        <w:footnoteRef/>
      </w:r>
      <w:r w:rsidRPr="00C50860">
        <w:rPr>
          <w:i/>
        </w:rPr>
        <w:t>See</w:t>
      </w:r>
      <w:r w:rsidRPr="00C50860">
        <w:t xml:space="preserve"> Aku v</w:t>
      </w:r>
      <w:r w:rsidR="006F355C" w:rsidRPr="006F355C">
        <w:t>. L</w:t>
      </w:r>
      <w:r w:rsidRPr="00C50860">
        <w:t>ewis, 52 Haw</w:t>
      </w:r>
      <w:r w:rsidR="006F355C" w:rsidRPr="006F355C">
        <w:t>. 3</w:t>
      </w:r>
      <w:r w:rsidRPr="00C50860">
        <w:t>66, 378, 477 P.2d 162, 169 (1970)</w:t>
      </w:r>
      <w:r w:rsidR="006F355C" w:rsidRPr="006F355C">
        <w:t>; C</w:t>
      </w:r>
      <w:r w:rsidRPr="00C50860">
        <w:t>ahill v</w:t>
      </w:r>
      <w:r w:rsidR="006F355C" w:rsidRPr="006F355C">
        <w:t>. H</w:t>
      </w:r>
      <w:r w:rsidRPr="00C50860">
        <w:t>awaiian Paradise Park Corp., 56 Haw</w:t>
      </w:r>
      <w:r w:rsidR="006F355C" w:rsidRPr="006F355C">
        <w:t>. 5</w:t>
      </w:r>
      <w:r w:rsidRPr="00C50860">
        <w:t>22, 536, 543 P.2d 1356, 1366 (1975).</w:t>
      </w:r>
    </w:p>
  </w:footnote>
  <w:footnote w:id="118">
    <w:p w14:paraId="3F473842" w14:textId="278BD321" w:rsidR="006F355C" w:rsidRDefault="00EC7962" w:rsidP="00450E78">
      <w:pPr>
        <w:pStyle w:val="FootnoteText"/>
        <w:spacing w:after="0"/>
      </w:pPr>
      <w:r w:rsidRPr="00C50860">
        <w:rPr>
          <w:vertAlign w:val="superscript"/>
        </w:rPr>
        <w:footnoteRef/>
      </w:r>
      <w:r w:rsidRPr="00C50860">
        <w:rPr>
          <w:i/>
        </w:rPr>
        <w:t>Gonsalves</w:t>
      </w:r>
      <w:r w:rsidRPr="00C50860">
        <w:t>,</w:t>
      </w:r>
      <w:r w:rsidRPr="00C50860">
        <w:rPr>
          <w:i/>
        </w:rPr>
        <w:t xml:space="preserve"> </w:t>
      </w:r>
      <w:r w:rsidRPr="00C50860">
        <w:t>100 Haw</w:t>
      </w:r>
      <w:r w:rsidR="006F355C" w:rsidRPr="006F355C">
        <w:t>. a</w:t>
      </w:r>
      <w:r w:rsidRPr="00C50860">
        <w:t>t 173, 58 P.3d at 1220</w:t>
      </w:r>
      <w:r w:rsidR="006F355C" w:rsidRPr="006F355C">
        <w:t xml:space="preserve">; </w:t>
      </w:r>
      <w:r w:rsidR="006F355C" w:rsidRPr="006F355C">
        <w:rPr>
          <w:i/>
        </w:rPr>
        <w:t>s</w:t>
      </w:r>
      <w:r w:rsidRPr="00C50860">
        <w:rPr>
          <w:i/>
        </w:rPr>
        <w:t>ee also</w:t>
      </w:r>
      <w:r w:rsidRPr="00C50860">
        <w:t xml:space="preserve"> Tuomela v</w:t>
      </w:r>
      <w:r w:rsidR="006F355C" w:rsidRPr="006F355C">
        <w:t>. W</w:t>
      </w:r>
      <w:r w:rsidRPr="00C50860">
        <w:t>aldorf-Astoria Grand Wailea Hotel, CIV</w:t>
      </w:r>
      <w:r w:rsidR="006F355C" w:rsidRPr="006F355C">
        <w:t>. N</w:t>
      </w:r>
      <w:r w:rsidRPr="00C50860">
        <w:t>O</w:t>
      </w:r>
      <w:r w:rsidR="006F355C" w:rsidRPr="006F355C">
        <w:t>. 2</w:t>
      </w:r>
      <w:r w:rsidRPr="00C50860">
        <w:t>0-00117, 2022 WL 14621133, at *4 (D</w:t>
      </w:r>
      <w:r w:rsidR="006F355C" w:rsidRPr="006F355C">
        <w:t>. H</w:t>
      </w:r>
      <w:r w:rsidRPr="00C50860">
        <w:t>aw</w:t>
      </w:r>
      <w:r w:rsidR="006F355C" w:rsidRPr="006F355C">
        <w:t>. O</w:t>
      </w:r>
      <w:r w:rsidRPr="00C50860">
        <w:t>ct</w:t>
      </w:r>
      <w:r w:rsidR="006F355C" w:rsidRPr="006F355C">
        <w:t>. 2</w:t>
      </w:r>
      <w:r w:rsidRPr="00C50860">
        <w:t>5, 2022) (granting summary judgment to employer where statements were truthful and employee’s conclusory denials failed to rebut employer’s showing of truthfulness).</w:t>
      </w:r>
    </w:p>
    <w:p w14:paraId="1EE0C4A4" w14:textId="138DBAE2" w:rsidR="00EC7962" w:rsidRPr="00C50860" w:rsidRDefault="00EC7962" w:rsidP="00450E78">
      <w:pPr>
        <w:pStyle w:val="FootnoteText"/>
        <w:spacing w:after="0"/>
      </w:pPr>
    </w:p>
  </w:footnote>
  <w:footnote w:id="119">
    <w:p w14:paraId="2FE47A9B" w14:textId="08DBEC44" w:rsidR="00EC7962" w:rsidRPr="00C50860" w:rsidRDefault="00EC7962" w:rsidP="00450E78">
      <w:pPr>
        <w:pStyle w:val="FootnoteText"/>
        <w:spacing w:after="0"/>
      </w:pPr>
      <w:r w:rsidRPr="00C50860">
        <w:rPr>
          <w:vertAlign w:val="superscript"/>
        </w:rPr>
        <w:footnoteRef/>
      </w:r>
      <w:r w:rsidRPr="00C50860">
        <w:t>Kohn v</w:t>
      </w:r>
      <w:r w:rsidR="006F355C" w:rsidRPr="006F355C">
        <w:t>. W</w:t>
      </w:r>
      <w:r w:rsidRPr="00C50860">
        <w:t>est Haw</w:t>
      </w:r>
      <w:r w:rsidR="006F355C" w:rsidRPr="006F355C">
        <w:t>. T</w:t>
      </w:r>
      <w:r w:rsidRPr="00C50860">
        <w:t>oday, Inc., 65 Haw</w:t>
      </w:r>
      <w:r w:rsidR="006F355C" w:rsidRPr="006F355C">
        <w:t>. 5</w:t>
      </w:r>
      <w:r w:rsidRPr="00C50860">
        <w:t>84, 589, 656 P.2d 79, 84 (1982) (citation omitted)</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Wilson v</w:t>
      </w:r>
      <w:r w:rsidR="006F355C" w:rsidRPr="006F355C">
        <w:t>. F</w:t>
      </w:r>
      <w:r w:rsidRPr="00C50860">
        <w:t>reitas, 121 Haw</w:t>
      </w:r>
      <w:r w:rsidR="006F355C" w:rsidRPr="006F355C">
        <w:t>. 1</w:t>
      </w:r>
      <w:r w:rsidRPr="00C50860">
        <w:t>20, 128, 214 P.3d 1110, 1118 (Haw</w:t>
      </w:r>
      <w:r w:rsidR="006F355C" w:rsidRPr="006F355C">
        <w:t>. C</w:t>
      </w:r>
      <w:r w:rsidRPr="00C50860">
        <w:t>t</w:t>
      </w:r>
      <w:r w:rsidR="006F355C" w:rsidRPr="006F355C">
        <w:t>. A</w:t>
      </w:r>
      <w:r w:rsidRPr="00C50860">
        <w:t>pp</w:t>
      </w:r>
      <w:r w:rsidR="006F355C" w:rsidRPr="006F355C">
        <w:t>. 2</w:t>
      </w:r>
      <w:r w:rsidRPr="00C50860">
        <w:t>009) (“[T]he literal truth of every word or detail of the challenged statement is not required</w:t>
      </w:r>
      <w:r w:rsidR="006F355C" w:rsidRPr="006F355C">
        <w:t>; t</w:t>
      </w:r>
      <w:r w:rsidRPr="00C50860">
        <w:t>he statement need only be substantially true”) (citations omitted).</w:t>
      </w:r>
    </w:p>
  </w:footnote>
  <w:footnote w:id="120">
    <w:p w14:paraId="6B405A88" w14:textId="6EC07FEA" w:rsidR="00EC7962" w:rsidRPr="00C50860" w:rsidRDefault="00EC7962" w:rsidP="00450E78">
      <w:pPr>
        <w:pStyle w:val="FootnoteText"/>
        <w:spacing w:after="0"/>
      </w:pPr>
      <w:r w:rsidRPr="00C50860">
        <w:rPr>
          <w:vertAlign w:val="superscript"/>
        </w:rPr>
        <w:footnoteRef/>
      </w:r>
      <w:r w:rsidRPr="00C50860">
        <w:rPr>
          <w:rFonts w:cs="NewBaskerville-Italic"/>
          <w:i/>
          <w:iCs/>
        </w:rPr>
        <w:t>See, e.g.,</w:t>
      </w:r>
      <w:r w:rsidRPr="00C50860">
        <w:t xml:space="preserve"> McCarthy v</w:t>
      </w:r>
      <w:r w:rsidR="006F355C" w:rsidRPr="006F355C">
        <w:t>. Y</w:t>
      </w:r>
      <w:r w:rsidRPr="00C50860">
        <w:t>empuku, 5 Haw</w:t>
      </w:r>
      <w:r w:rsidR="006F355C" w:rsidRPr="006F355C">
        <w:t>. A</w:t>
      </w:r>
      <w:r w:rsidRPr="00C50860">
        <w:t>pp</w:t>
      </w:r>
      <w:r w:rsidR="006F355C" w:rsidRPr="006F355C">
        <w:t>. 4</w:t>
      </w:r>
      <w:r w:rsidRPr="00C50860">
        <w:t xml:space="preserve">5, 48–49, 678 P.2d 11, 14 (1984) (“[A]n attorney at law is absolutely privileged to published defamatory matter concerning another in communications preliminary to a proposed judicial proceeding”) (quoting </w:t>
      </w:r>
      <w:r w:rsidRPr="00C50860">
        <w:rPr>
          <w:smallCaps/>
        </w:rPr>
        <w:t>Restatement (Second) of Torts</w:t>
      </w:r>
      <w:r w:rsidRPr="00C50860">
        <w:t xml:space="preserve"> §586).</w:t>
      </w:r>
    </w:p>
  </w:footnote>
  <w:footnote w:id="121">
    <w:p w14:paraId="1EDE0586" w14:textId="069ABE57" w:rsidR="00EC7962" w:rsidRPr="00C50860" w:rsidRDefault="00EC7962" w:rsidP="00450E78">
      <w:pPr>
        <w:pStyle w:val="FootnoteText"/>
        <w:spacing w:after="0"/>
      </w:pPr>
      <w:r w:rsidRPr="00C50860">
        <w:rPr>
          <w:vertAlign w:val="superscript"/>
        </w:rPr>
        <w:footnoteRef/>
      </w:r>
      <w:r w:rsidRPr="00C50860">
        <w:t>Russell v</w:t>
      </w:r>
      <w:r w:rsidR="006F355C" w:rsidRPr="006F355C">
        <w:t>. A</w:t>
      </w:r>
      <w:r w:rsidRPr="00C50860">
        <w:t>merican Guild of Variety Artists, 53 Haw</w:t>
      </w:r>
      <w:r w:rsidR="006F355C" w:rsidRPr="006F355C">
        <w:t>. 4</w:t>
      </w:r>
      <w:r w:rsidRPr="00C50860">
        <w:t>56, 460, 497 P.2d 40, 44 (1972)</w:t>
      </w:r>
      <w:r w:rsidR="006F355C" w:rsidRPr="006F355C">
        <w:t>; L</w:t>
      </w:r>
      <w:r w:rsidRPr="00C50860">
        <w:t>auer v</w:t>
      </w:r>
      <w:r w:rsidR="006F355C" w:rsidRPr="006F355C">
        <w:t>. Y</w:t>
      </w:r>
      <w:r w:rsidRPr="00C50860">
        <w:t>oung Men’s Christian Ass’n of Honolulu, 57 Haw</w:t>
      </w:r>
      <w:r w:rsidR="006F355C" w:rsidRPr="006F355C">
        <w:t>. 3</w:t>
      </w:r>
      <w:r w:rsidRPr="00C50860">
        <w:t>90, 396, 557 P.2d 1334, 1338 (1976)</w:t>
      </w:r>
      <w:r w:rsidR="006F355C" w:rsidRPr="006F355C">
        <w:t xml:space="preserve">; </w:t>
      </w:r>
      <w:r w:rsidR="006F355C" w:rsidRPr="006F355C">
        <w:rPr>
          <w:i/>
        </w:rPr>
        <w:t>s</w:t>
      </w:r>
      <w:r w:rsidRPr="00C50860">
        <w:rPr>
          <w:i/>
        </w:rPr>
        <w:t>ee also</w:t>
      </w:r>
      <w:r w:rsidRPr="00C50860">
        <w:t xml:space="preserve"> Tuomela, 2022 WL 14621133 at *6 (employer entitled to summary judgment based on qualified privilege where employer’s Director of Security’s statements to police reporting potential crime to law enforcement was discharging his duty and manager and staff had professional interest in manager’s statement that full server would not be returning to work).</w:t>
      </w:r>
    </w:p>
  </w:footnote>
  <w:footnote w:id="122">
    <w:p w14:paraId="4686B1BB" w14:textId="2245CC9D" w:rsidR="00EC7962" w:rsidRPr="00C50860" w:rsidRDefault="00EC7962" w:rsidP="00450E78">
      <w:pPr>
        <w:pStyle w:val="FootnoteText"/>
        <w:spacing w:after="0"/>
      </w:pPr>
      <w:r w:rsidRPr="00C50860">
        <w:rPr>
          <w:vertAlign w:val="superscript"/>
        </w:rPr>
        <w:footnoteRef/>
      </w:r>
      <w:r w:rsidRPr="00C50860">
        <w:t>Vlasaty v</w:t>
      </w:r>
      <w:r w:rsidR="006F355C" w:rsidRPr="006F355C">
        <w:t>. P</w:t>
      </w:r>
      <w:r w:rsidRPr="00C50860">
        <w:t>acific Club, 4 Haw</w:t>
      </w:r>
      <w:r w:rsidR="006F355C" w:rsidRPr="006F355C">
        <w:t>. A</w:t>
      </w:r>
      <w:r w:rsidRPr="00C50860">
        <w:t>pp</w:t>
      </w:r>
      <w:r w:rsidR="006F355C" w:rsidRPr="006F355C">
        <w:t>. 5</w:t>
      </w:r>
      <w:r w:rsidRPr="00C50860">
        <w:t>56, 561, 670 P.2d 827, 831 (1983) (citation omitted).</w:t>
      </w:r>
    </w:p>
  </w:footnote>
  <w:footnote w:id="123">
    <w:p w14:paraId="385D3AC9" w14:textId="238F8B9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564, 670 P.2d at 833 (citations omitted).</w:t>
      </w:r>
    </w:p>
  </w:footnote>
  <w:footnote w:id="124">
    <w:p w14:paraId="6BA5016A" w14:textId="7B78AB1A" w:rsidR="00EC7962" w:rsidRPr="00C50860" w:rsidRDefault="00EC7962" w:rsidP="00450E78">
      <w:pPr>
        <w:pStyle w:val="FootnoteText"/>
        <w:spacing w:after="0"/>
      </w:pPr>
      <w:r w:rsidRPr="00C50860">
        <w:rPr>
          <w:vertAlign w:val="superscript"/>
        </w:rPr>
        <w:footnoteRef/>
      </w:r>
      <w:r w:rsidRPr="00C50860">
        <w:t>Calleon v</w:t>
      </w:r>
      <w:r w:rsidR="006F355C" w:rsidRPr="006F355C">
        <w:t>. M</w:t>
      </w:r>
      <w:r w:rsidRPr="00C50860">
        <w:t>TL, Inc., 76 Haw</w:t>
      </w:r>
      <w:r w:rsidR="006F355C" w:rsidRPr="006F355C">
        <w:t>. 3</w:t>
      </w:r>
      <w:r w:rsidRPr="00C50860">
        <w:t>10, 320, 876 P.2d 1278, 1288 (1994).</w:t>
      </w:r>
    </w:p>
  </w:footnote>
  <w:footnote w:id="125">
    <w:p w14:paraId="34343BE4" w14:textId="6C838C8A" w:rsidR="00EC7962" w:rsidRPr="00C50860" w:rsidRDefault="00EC7962" w:rsidP="00450E78">
      <w:pPr>
        <w:pStyle w:val="FootnoteText"/>
        <w:spacing w:after="0"/>
      </w:pPr>
      <w:r w:rsidRPr="00C50860">
        <w:rPr>
          <w:vertAlign w:val="superscript"/>
        </w:rPr>
        <w:footnoteRef/>
      </w:r>
      <w:r w:rsidRPr="00C50860">
        <w:rPr>
          <w:iCs/>
        </w:rPr>
        <w:t>Hac v</w:t>
      </w:r>
      <w:r w:rsidR="006F355C" w:rsidRPr="006F355C">
        <w:rPr>
          <w:iCs/>
        </w:rPr>
        <w:t>. U</w:t>
      </w:r>
      <w:r w:rsidRPr="00C50860">
        <w:rPr>
          <w:iCs/>
        </w:rPr>
        <w:t>niversity of Haw.</w:t>
      </w:r>
      <w:r w:rsidRPr="00C50860">
        <w:t>, 102 Haw</w:t>
      </w:r>
      <w:r w:rsidR="006F355C" w:rsidRPr="006F355C">
        <w:t>. 9</w:t>
      </w:r>
      <w:r w:rsidRPr="00C50860">
        <w:t xml:space="preserve">2, 106–07, 73 P.3d 46, 60–61 (2003) (adopting the elements of intentional infliction of emotional distress prescribed by the </w:t>
      </w:r>
      <w:r w:rsidRPr="00C50860">
        <w:rPr>
          <w:rFonts w:cs="NewBaskerville-Italic"/>
          <w:iCs/>
          <w:smallCaps/>
        </w:rPr>
        <w:t>Restatement (Second) of Torts</w:t>
      </w:r>
      <w:r w:rsidRPr="00C50860">
        <w:t>)</w:t>
      </w:r>
      <w:r w:rsidR="006F355C" w:rsidRPr="006F355C">
        <w:t>. “</w:t>
      </w:r>
      <w:r w:rsidRPr="00C50860">
        <w:t>Outrageous” is construed as meaning “without just cause or excuse and beyond all bounds of decency.” Lee v</w:t>
      </w:r>
      <w:r w:rsidR="006F355C" w:rsidRPr="006F355C">
        <w:t>. A</w:t>
      </w:r>
      <w:r w:rsidRPr="00C50860">
        <w:t>iu, 85 Haw</w:t>
      </w:r>
      <w:r w:rsidR="006F355C" w:rsidRPr="006F355C">
        <w:t>. 1</w:t>
      </w:r>
      <w:r w:rsidRPr="00C50860">
        <w:t>9, 34 n.12, 936 P.2d 655, 670 n.12 (1997) (internal quotation marks and citation omitted)</w:t>
      </w:r>
      <w:r w:rsidR="006F355C" w:rsidRPr="006F355C">
        <w:t>. F</w:t>
      </w:r>
      <w:r w:rsidRPr="00C50860">
        <w:t xml:space="preserve">urther, “extreme emotional distress” constitutes, </w:t>
      </w:r>
      <w:r w:rsidRPr="00C50860">
        <w:rPr>
          <w:rFonts w:cs="NewBaskerville-Italic"/>
          <w:i/>
          <w:iCs/>
        </w:rPr>
        <w:t>inter alia</w:t>
      </w:r>
      <w:r w:rsidRPr="00C50860">
        <w:t xml:space="preserve">, mental suffering, mental anguish, nervous shock, and other “highly unpleasant mental reactions.” </w:t>
      </w:r>
      <w:r w:rsidRPr="00C50860">
        <w:rPr>
          <w:rFonts w:cs="NewBaskerville-Italic"/>
          <w:i/>
          <w:iCs/>
        </w:rPr>
        <w:t>Hac</w:t>
      </w:r>
      <w:r w:rsidRPr="00C50860">
        <w:t>, 102 Haw</w:t>
      </w:r>
      <w:r w:rsidR="006F355C" w:rsidRPr="006F355C">
        <w:t>. a</w:t>
      </w:r>
      <w:r w:rsidRPr="00C50860">
        <w:t>t 106, 73 P.3d at 60 (footnote and citation omitted)</w:t>
      </w:r>
      <w:r w:rsidR="006F355C" w:rsidRPr="006F355C">
        <w:t>. “</w:t>
      </w:r>
      <w:r w:rsidRPr="00C50860">
        <w:t>The question whether the actions of the alleged tortfeasor are unreasonable or outrageous is for the court in the first instance, although where reasonable people may differ on that question it should be left to the jury.”)</w:t>
      </w:r>
      <w:r w:rsidR="006F355C" w:rsidRPr="006F355C">
        <w:t>; T</w:t>
      </w:r>
      <w:r w:rsidRPr="00C50860">
        <w:t>akaki v</w:t>
      </w:r>
      <w:r w:rsidR="006F355C" w:rsidRPr="006F355C">
        <w:t>. A</w:t>
      </w:r>
      <w:r w:rsidRPr="00C50860">
        <w:t>llied Mach</w:t>
      </w:r>
      <w:r w:rsidR="006F355C" w:rsidRPr="006F355C">
        <w:t>. C</w:t>
      </w:r>
      <w:r w:rsidRPr="00C50860">
        <w:t>orp.,</w:t>
      </w:r>
      <w:r w:rsidRPr="00C50860">
        <w:rPr>
          <w:rFonts w:cs="NewBaskerville-Italic"/>
          <w:i/>
          <w:iCs/>
        </w:rPr>
        <w:t xml:space="preserve"> </w:t>
      </w:r>
      <w:r w:rsidRPr="00C50860">
        <w:t>87 Haw</w:t>
      </w:r>
      <w:r w:rsidR="006F355C" w:rsidRPr="006F355C">
        <w:t>. 5</w:t>
      </w:r>
      <w:r w:rsidRPr="00C50860">
        <w:t>7, 68, 951 P.2d 507, 518 (Haw</w:t>
      </w:r>
      <w:r w:rsidR="006F355C" w:rsidRPr="006F355C">
        <w:t>. C</w:t>
      </w:r>
      <w:r w:rsidRPr="00C50860">
        <w:t>t</w:t>
      </w:r>
      <w:r w:rsidR="006F355C" w:rsidRPr="006F355C">
        <w:t>. A</w:t>
      </w:r>
      <w:r w:rsidRPr="00C50860">
        <w:t>pp</w:t>
      </w:r>
      <w:r w:rsidR="006F355C" w:rsidRPr="006F355C">
        <w:t>. 1</w:t>
      </w:r>
      <w:r w:rsidRPr="00C50860">
        <w:t>998) (internal quotation marks and citation omitted).</w:t>
      </w:r>
    </w:p>
  </w:footnote>
  <w:footnote w:id="126">
    <w:p w14:paraId="52EA6162" w14:textId="3B1DD477" w:rsidR="00EC7962" w:rsidRPr="00C50860" w:rsidRDefault="00EC7962" w:rsidP="00450E78">
      <w:pPr>
        <w:pStyle w:val="FootnoteText"/>
        <w:spacing w:after="0"/>
      </w:pPr>
      <w:r w:rsidRPr="00C50860">
        <w:rPr>
          <w:vertAlign w:val="superscript"/>
        </w:rPr>
        <w:footnoteRef/>
      </w:r>
      <w:r w:rsidRPr="00C50860">
        <w:t>76 Haw</w:t>
      </w:r>
      <w:r w:rsidR="006F355C" w:rsidRPr="006F355C">
        <w:t>. 4</w:t>
      </w:r>
      <w:r w:rsidRPr="00C50860">
        <w:t>54, 465, 879 P.2d 1037, 1048 (1994)</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Courtney v</w:t>
      </w:r>
      <w:r w:rsidR="006F355C" w:rsidRPr="006F355C">
        <w:t>. C</w:t>
      </w:r>
      <w:r w:rsidRPr="00C50860">
        <w:t>anyon Tel</w:t>
      </w:r>
      <w:r w:rsidR="006F355C" w:rsidRPr="006F355C">
        <w:t>. &amp;</w:t>
      </w:r>
      <w:r w:rsidRPr="00C50860">
        <w:t xml:space="preserve"> Appliance Rental, Inc., 899 F.2d 845, 852 (</w:t>
      </w:r>
      <w:r w:rsidR="006F355C" w:rsidRPr="006F355C">
        <w:t>9th</w:t>
      </w:r>
      <w:r w:rsidRPr="00C50860">
        <w:t xml:space="preserve"> Cir</w:t>
      </w:r>
      <w:r w:rsidR="006F355C" w:rsidRPr="006F355C">
        <w:t>. 1</w:t>
      </w:r>
      <w:r w:rsidRPr="00C50860">
        <w:t>990) (finding that discharge, without evidence of more, does not create a case for emotional distress)</w:t>
      </w:r>
      <w:r w:rsidR="006F355C" w:rsidRPr="006F355C">
        <w:t>; F</w:t>
      </w:r>
      <w:r w:rsidRPr="00C50860">
        <w:t>awkner v</w:t>
      </w:r>
      <w:r w:rsidR="006F355C" w:rsidRPr="006F355C">
        <w:t>. A</w:t>
      </w:r>
      <w:r w:rsidRPr="00C50860">
        <w:t>tlantis Submarines, Inc., 135 F. Supp</w:t>
      </w:r>
      <w:r w:rsidR="006F355C" w:rsidRPr="006F355C">
        <w:t>. 2</w:t>
      </w:r>
      <w:r w:rsidRPr="00C50860">
        <w:t>d 1127, 1135 (D. Haw</w:t>
      </w:r>
      <w:r w:rsidR="006F355C" w:rsidRPr="006F355C">
        <w:t>. 2</w:t>
      </w:r>
      <w:r w:rsidRPr="00C50860">
        <w:t>001) (finding that failure to point to any evidence in the record indicating that the manner in which the employer discharged plaintiff, or its motivation for doing so, was unreasonable)</w:t>
      </w:r>
      <w:r w:rsidR="006F355C" w:rsidRPr="006F355C">
        <w:t>; K</w:t>
      </w:r>
      <w:r w:rsidRPr="00C50860">
        <w:t>ahale v</w:t>
      </w:r>
      <w:r w:rsidR="006F355C" w:rsidRPr="006F355C">
        <w:t>. A</w:t>
      </w:r>
      <w:r w:rsidRPr="00C50860">
        <w:t>DT Auto</w:t>
      </w:r>
      <w:r w:rsidR="006F355C" w:rsidRPr="006F355C">
        <w:t>. S</w:t>
      </w:r>
      <w:r w:rsidRPr="00C50860">
        <w:t>ervs., Inc., 2 F. Supp</w:t>
      </w:r>
      <w:r w:rsidR="006F355C" w:rsidRPr="006F355C">
        <w:t>. 2</w:t>
      </w:r>
      <w:r w:rsidRPr="00C50860">
        <w:t>d 1295, 1302 (D. Haw</w:t>
      </w:r>
      <w:r w:rsidR="006F355C" w:rsidRPr="006F355C">
        <w:t>. 1</w:t>
      </w:r>
      <w:r w:rsidRPr="00C50860">
        <w:t>998) (“[M]ental distress can only be found where a reasonable man would be unable to adequately cope with the mental stress engendered by the circumstances of the case”) (original ellipsis, internal quotation marks, and citation omitted)</w:t>
      </w:r>
      <w:r w:rsidR="006F355C" w:rsidRPr="006F355C">
        <w:t>; B</w:t>
      </w:r>
      <w:r w:rsidRPr="00C50860">
        <w:t>ragalone v</w:t>
      </w:r>
      <w:r w:rsidR="006F355C" w:rsidRPr="006F355C">
        <w:t>. K</w:t>
      </w:r>
      <w:r w:rsidRPr="00C50860">
        <w:t>ona Coast Resort &amp; Joint Venture, 866 F. Supp</w:t>
      </w:r>
      <w:r w:rsidR="006F355C" w:rsidRPr="006F355C">
        <w:t>. 1</w:t>
      </w:r>
      <w:r w:rsidRPr="00C50860">
        <w:t>285, 1294 (D. Haw</w:t>
      </w:r>
      <w:r w:rsidR="006F355C" w:rsidRPr="006F355C">
        <w:t>. 1</w:t>
      </w:r>
      <w:r w:rsidRPr="00C50860">
        <w:t>994) (finding that plaintiff’s IIED claim was insufficient as a matter of law because the alleged conduct did not rise to the level of outrageousness necessary to maintain such a claim under Hawaii law)</w:t>
      </w:r>
      <w:r w:rsidR="006F355C" w:rsidRPr="006F355C">
        <w:t>; L</w:t>
      </w:r>
      <w:r w:rsidRPr="00C50860">
        <w:t>apinad v</w:t>
      </w:r>
      <w:r w:rsidR="006F355C" w:rsidRPr="006F355C">
        <w:t>. P</w:t>
      </w:r>
      <w:r w:rsidRPr="00C50860">
        <w:t>acific Oldsmobile-GMC, Inc., 679 F. Supp</w:t>
      </w:r>
      <w:r w:rsidR="006F355C" w:rsidRPr="006F355C">
        <w:t>. 9</w:t>
      </w:r>
      <w:r w:rsidRPr="00C50860">
        <w:t>91, 996 (D. Haw</w:t>
      </w:r>
      <w:r w:rsidR="006F355C" w:rsidRPr="006F355C">
        <w:t>. 1</w:t>
      </w:r>
      <w:r w:rsidRPr="00C50860">
        <w:t>988) (finding that employer must have engaged in some conduct that goes beyond merely firing employee for purportedly unfair reasons).</w:t>
      </w:r>
    </w:p>
  </w:footnote>
  <w:footnote w:id="127">
    <w:p w14:paraId="04A6D85A" w14:textId="09839C00" w:rsidR="00EC7962" w:rsidRPr="00C50860" w:rsidRDefault="00EC7962" w:rsidP="00450E78">
      <w:pPr>
        <w:pStyle w:val="FootnoteText"/>
        <w:spacing w:after="0"/>
      </w:pPr>
      <w:r w:rsidRPr="00C50860">
        <w:rPr>
          <w:vertAlign w:val="superscript"/>
        </w:rPr>
        <w:footnoteRef/>
      </w:r>
      <w:r w:rsidRPr="00C50860">
        <w:t>128 Haw</w:t>
      </w:r>
      <w:r w:rsidR="006F355C" w:rsidRPr="006F355C">
        <w:t>. 1</w:t>
      </w:r>
      <w:r w:rsidRPr="00C50860">
        <w:t>73, 284 P.3d 946 (Ct</w:t>
      </w:r>
      <w:r w:rsidR="006F355C" w:rsidRPr="006F355C">
        <w:t>. A</w:t>
      </w:r>
      <w:r w:rsidRPr="00C50860">
        <w:t>pp</w:t>
      </w:r>
      <w:r w:rsidR="006F355C" w:rsidRPr="006F355C">
        <w:t>. 2</w:t>
      </w:r>
      <w:r w:rsidRPr="00C50860">
        <w:t>012).</w:t>
      </w:r>
    </w:p>
  </w:footnote>
  <w:footnote w:id="128">
    <w:p w14:paraId="0FC6AFD1" w14:textId="3AF5992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182–83, 284 P.3d at 955–56.</w:t>
      </w:r>
    </w:p>
  </w:footnote>
  <w:footnote w:id="129">
    <w:p w14:paraId="5453A477" w14:textId="7DE19A2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177, 181–82, 284 P.3d at 950, 954–55</w:t>
      </w:r>
      <w:r w:rsidR="006F355C" w:rsidRPr="006F355C">
        <w:t xml:space="preserve">; </w:t>
      </w:r>
      <w:r w:rsidR="006F355C" w:rsidRPr="006F355C">
        <w:rPr>
          <w:i/>
        </w:rPr>
        <w:t>S</w:t>
      </w:r>
      <w:r w:rsidRPr="00C50860">
        <w:rPr>
          <w:i/>
        </w:rPr>
        <w:t>ee</w:t>
      </w:r>
      <w:r w:rsidRPr="00C50860">
        <w:t xml:space="preserve"> Qin Li v</w:t>
      </w:r>
      <w:r w:rsidR="006F355C" w:rsidRPr="006F355C">
        <w:t>. C</w:t>
      </w:r>
      <w:r w:rsidRPr="00C50860">
        <w:t>ity &amp; Cnty</w:t>
      </w:r>
      <w:r w:rsidR="006F355C" w:rsidRPr="006F355C">
        <w:t>. o</w:t>
      </w:r>
      <w:r w:rsidRPr="00C50860">
        <w:t>f Honolulu, Civil No</w:t>
      </w:r>
      <w:r w:rsidR="006F355C" w:rsidRPr="006F355C">
        <w:t>. 1</w:t>
      </w:r>
      <w:r w:rsidRPr="00C50860">
        <w:t>4-00573 LEK-RLP 2017 WL 3015827, at *13 (D. Haw</w:t>
      </w:r>
      <w:r w:rsidR="006F355C" w:rsidRPr="006F355C">
        <w:t>. J</w:t>
      </w:r>
      <w:r w:rsidRPr="00C50860">
        <w:t>uly 14, 2017) (“Plaintiff’s IIED claim arises out of alleged employment discrimination on the basis of her national origin and because she made complaints about the national origin discrimination</w:t>
      </w:r>
      <w:r w:rsidR="006F355C" w:rsidRPr="006F355C">
        <w:t>. B</w:t>
      </w:r>
      <w:r w:rsidRPr="00C50860">
        <w:t>ecause her IIED claim does not relate to either sexual harassment or sexual assault, the claim is barred by §386-5.”)</w:t>
      </w:r>
      <w:r w:rsidR="006F355C" w:rsidRPr="006F355C">
        <w:t>; S</w:t>
      </w:r>
      <w:r w:rsidRPr="00C50860">
        <w:t>immons v</w:t>
      </w:r>
      <w:r w:rsidR="006F355C" w:rsidRPr="006F355C">
        <w:t>. A</w:t>
      </w:r>
      <w:r w:rsidRPr="00C50860">
        <w:t>qua Hotels &amp; Resorts, Inc., 130 Haw</w:t>
      </w:r>
      <w:r w:rsidR="006F355C" w:rsidRPr="006F355C">
        <w:t>. 3</w:t>
      </w:r>
      <w:r w:rsidRPr="00C50860">
        <w:t>25, 332, 310 P.3d 1026, 1033 (2013) (“[O]ur case law is clear that termination alone, even if based on discrimination, is not sufficient to support an [intentional infliction of emotional distress] claim without a showing of something outrageous about the manner or process of termination.”).</w:t>
      </w:r>
    </w:p>
  </w:footnote>
  <w:footnote w:id="130">
    <w:p w14:paraId="27D94445" w14:textId="6DC38C11" w:rsidR="00EC7962" w:rsidRPr="00C50860" w:rsidRDefault="00EC7962" w:rsidP="00450E78">
      <w:pPr>
        <w:pStyle w:val="FootnoteText"/>
        <w:spacing w:after="0"/>
      </w:pPr>
      <w:r w:rsidRPr="00C50860">
        <w:rPr>
          <w:rStyle w:val="FootnoteReference"/>
        </w:rPr>
        <w:footnoteRef/>
      </w:r>
      <w:r w:rsidRPr="00C50860">
        <w:t>CIVIL 16-00350 LEK-RLP, slip op</w:t>
      </w:r>
      <w:r w:rsidR="006F355C" w:rsidRPr="006F355C">
        <w:t>. a</w:t>
      </w:r>
      <w:r w:rsidRPr="00C50860">
        <w:t>t *13 (D</w:t>
      </w:r>
      <w:r w:rsidR="006F355C" w:rsidRPr="006F355C">
        <w:t>. H</w:t>
      </w:r>
      <w:r w:rsidRPr="00C50860">
        <w:t>aw</w:t>
      </w:r>
      <w:r w:rsidR="006F355C" w:rsidRPr="006F355C">
        <w:t>. A</w:t>
      </w:r>
      <w:r w:rsidRPr="00C50860">
        <w:t>pr</w:t>
      </w:r>
      <w:r w:rsidR="006F355C" w:rsidRPr="006F355C">
        <w:t>. 1</w:t>
      </w:r>
      <w:r w:rsidRPr="00C50860">
        <w:t>1, 2019).</w:t>
      </w:r>
    </w:p>
  </w:footnote>
  <w:footnote w:id="131">
    <w:p w14:paraId="551CD924" w14:textId="1392240E" w:rsidR="00EC7962" w:rsidRPr="00C50860" w:rsidRDefault="00EC7962" w:rsidP="00450E78">
      <w:pPr>
        <w:pStyle w:val="FootnoteText"/>
        <w:tabs>
          <w:tab w:val="left" w:pos="6143"/>
        </w:tabs>
        <w:spacing w:after="0"/>
      </w:pPr>
      <w:r w:rsidRPr="00C50860">
        <w:rPr>
          <w:rStyle w:val="FootnoteReference"/>
        </w:rPr>
        <w:footnoteRef/>
      </w:r>
      <w:r w:rsidRPr="00C50860">
        <w:rPr>
          <w:i/>
        </w:rPr>
        <w:t>Id</w:t>
      </w:r>
      <w:r w:rsidR="006F355C" w:rsidRPr="006F355C">
        <w:rPr>
          <w:i/>
        </w:rPr>
        <w:t xml:space="preserve">. </w:t>
      </w:r>
      <w:r w:rsidR="006F355C" w:rsidRPr="006F355C">
        <w:rPr>
          <w:color w:val="212121"/>
        </w:rPr>
        <w:t>a</w:t>
      </w:r>
      <w:r w:rsidRPr="00C50860">
        <w:rPr>
          <w:color w:val="212121"/>
        </w:rPr>
        <w:t>t *14.</w:t>
      </w:r>
    </w:p>
  </w:footnote>
  <w:footnote w:id="132">
    <w:p w14:paraId="4EC31E42" w14:textId="5873B1DC" w:rsidR="00EC7962" w:rsidRPr="00C50860" w:rsidRDefault="00EC7962" w:rsidP="00450E78">
      <w:pPr>
        <w:pStyle w:val="FootnoteText"/>
        <w:spacing w:after="0"/>
      </w:pPr>
      <w:r w:rsidRPr="00C50860">
        <w:rPr>
          <w:vertAlign w:val="superscript"/>
        </w:rPr>
        <w:footnoteRef/>
      </w:r>
      <w:r w:rsidRPr="00C50860">
        <w:t>Laeroc Waikiki Parkside, LLC v</w:t>
      </w:r>
      <w:r w:rsidR="006F355C" w:rsidRPr="006F355C">
        <w:t>. K</w:t>
      </w:r>
      <w:r w:rsidRPr="00C50860">
        <w:t>.S.K</w:t>
      </w:r>
      <w:r w:rsidR="006F355C" w:rsidRPr="006F355C">
        <w:t>. (</w:t>
      </w:r>
      <w:r w:rsidRPr="00C50860">
        <w:t>Oahu) Ltd</w:t>
      </w:r>
      <w:r w:rsidR="006F355C" w:rsidRPr="006F355C">
        <w:t>. P</w:t>
      </w:r>
      <w:r w:rsidRPr="00C50860">
        <w:t>’ship, 115 Haw</w:t>
      </w:r>
      <w:r w:rsidR="006F355C" w:rsidRPr="006F355C">
        <w:t>. 2</w:t>
      </w:r>
      <w:r w:rsidRPr="00C50860">
        <w:t>01, 228, 166 P.3d 961, 988 (2007).</w:t>
      </w:r>
    </w:p>
  </w:footnote>
  <w:footnote w:id="133">
    <w:p w14:paraId="2E6C9E33" w14:textId="2D20BF57" w:rsidR="00EC7962" w:rsidRPr="00C50860" w:rsidRDefault="00EC7962" w:rsidP="00450E78">
      <w:pPr>
        <w:pStyle w:val="FootnoteText"/>
        <w:spacing w:after="0"/>
      </w:pPr>
      <w:r w:rsidRPr="00C50860">
        <w:rPr>
          <w:vertAlign w:val="superscript"/>
        </w:rPr>
        <w:footnoteRef/>
      </w:r>
      <w:r w:rsidRPr="00C50860">
        <w:t>Blair v</w:t>
      </w:r>
      <w:r w:rsidR="006F355C" w:rsidRPr="006F355C">
        <w:t>. I</w:t>
      </w:r>
      <w:r w:rsidRPr="00C50860">
        <w:t>ng, 95 Haw</w:t>
      </w:r>
      <w:r w:rsidR="006F355C" w:rsidRPr="006F355C">
        <w:t>. 2</w:t>
      </w:r>
      <w:r w:rsidRPr="00C50860">
        <w:t xml:space="preserve">47, 269, 21 P.3d 452, 474 (2001) (citing </w:t>
      </w:r>
      <w:r w:rsidRPr="00C50860">
        <w:rPr>
          <w:smallCaps/>
        </w:rPr>
        <w:t>Restatement (Second) of Torts</w:t>
      </w:r>
      <w:r w:rsidRPr="00C50860">
        <w:t xml:space="preserve"> §552 (1977)).</w:t>
      </w:r>
    </w:p>
  </w:footnote>
  <w:footnote w:id="134">
    <w:p w14:paraId="17FDC44D" w14:textId="0C902EEB" w:rsidR="00EC7962" w:rsidRPr="00C50860" w:rsidRDefault="00EC7962" w:rsidP="00450E78">
      <w:pPr>
        <w:pStyle w:val="FootnoteText"/>
        <w:spacing w:after="0"/>
      </w:pPr>
      <w:r w:rsidRPr="00C50860">
        <w:rPr>
          <w:vertAlign w:val="superscript"/>
        </w:rPr>
        <w:footnoteRef/>
      </w:r>
      <w:r w:rsidRPr="00C50860">
        <w:t>14 F.3d 892 (</w:t>
      </w:r>
      <w:r w:rsidR="006F355C" w:rsidRPr="006F355C">
        <w:t>9th</w:t>
      </w:r>
      <w:r w:rsidRPr="00C50860">
        <w:t xml:space="preserve"> Cir</w:t>
      </w:r>
      <w:r w:rsidR="006F355C" w:rsidRPr="006F355C">
        <w:t>. 1</w:t>
      </w:r>
      <w:r w:rsidRPr="00C50860">
        <w:t>997).</w:t>
      </w:r>
    </w:p>
  </w:footnote>
  <w:footnote w:id="135">
    <w:p w14:paraId="7D60732B" w14:textId="22A4CC2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 a</w:t>
      </w:r>
      <w:r w:rsidRPr="00C50860">
        <w:t>t 895 (brackets added</w:t>
      </w:r>
      <w:r w:rsidR="006F355C" w:rsidRPr="006F355C">
        <w:t>; c</w:t>
      </w:r>
      <w:r w:rsidRPr="00C50860">
        <w:t>iting Bronster v</w:t>
      </w:r>
      <w:r w:rsidR="006F355C" w:rsidRPr="006F355C">
        <w:t>. U</w:t>
      </w:r>
      <w:r w:rsidRPr="00C50860">
        <w:t>.S</w:t>
      </w:r>
      <w:r w:rsidR="006F355C" w:rsidRPr="006F355C">
        <w:t>. S</w:t>
      </w:r>
      <w:r w:rsidRPr="00C50860">
        <w:t>teel Corp., 82 Haw</w:t>
      </w:r>
      <w:r w:rsidR="006F355C" w:rsidRPr="006F355C">
        <w:t>. 3</w:t>
      </w:r>
      <w:r w:rsidRPr="00C50860">
        <w:t>2, 919 P.2d 294, 304 (1996))</w:t>
      </w:r>
      <w:r w:rsidR="006F355C" w:rsidRPr="006F355C">
        <w:t>; W</w:t>
      </w:r>
      <w:r w:rsidRPr="00C50860">
        <w:t>ong v</w:t>
      </w:r>
      <w:r w:rsidR="006F355C" w:rsidRPr="006F355C">
        <w:t>. H</w:t>
      </w:r>
      <w:r w:rsidRPr="00C50860">
        <w:t>awaiian Airlines, Inc., 137 Haw</w:t>
      </w:r>
      <w:r w:rsidR="006F355C" w:rsidRPr="006F355C">
        <w:t>. 2</w:t>
      </w:r>
      <w:r w:rsidRPr="00C50860">
        <w:t>58, 266, 369 P.3d 841, 849 (Haw</w:t>
      </w:r>
      <w:r w:rsidR="006F355C" w:rsidRPr="006F355C">
        <w:t>. 2</w:t>
      </w:r>
      <w:r w:rsidRPr="00C50860">
        <w:t>016) (denying employer’s motion for summary judgment as to claim for negligence and negligent misrepresentation, because a genuine issue of material fact as to whether employer owed retiree a duty to accurately inform retiree of obligation to timely enroll in Medicare to avoid late enrollment penalties).</w:t>
      </w:r>
    </w:p>
  </w:footnote>
  <w:footnote w:id="136">
    <w:p w14:paraId="782F3779" w14:textId="680BEB0A" w:rsidR="00EC7962" w:rsidRPr="00C50860" w:rsidRDefault="00EC7962" w:rsidP="00450E78">
      <w:pPr>
        <w:pStyle w:val="FootnoteText"/>
        <w:spacing w:after="0"/>
      </w:pPr>
      <w:r w:rsidRPr="00C50860">
        <w:rPr>
          <w:vertAlign w:val="superscript"/>
        </w:rPr>
        <w:footnoteRef/>
      </w:r>
      <w:r w:rsidRPr="00C50860">
        <w:t>54 F. Supp</w:t>
      </w:r>
      <w:r w:rsidR="006F355C" w:rsidRPr="006F355C">
        <w:t>. 3</w:t>
      </w:r>
      <w:r w:rsidRPr="00C50860">
        <w:t>d 981, 996–97 (D. Haw</w:t>
      </w:r>
      <w:r w:rsidR="006F355C" w:rsidRPr="006F355C">
        <w:t>. 2</w:t>
      </w:r>
      <w:r w:rsidRPr="00C50860">
        <w:t>015).</w:t>
      </w:r>
    </w:p>
  </w:footnote>
  <w:footnote w:id="137">
    <w:p w14:paraId="46700ABA" w14:textId="099BFF62"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w:t>
      </w:r>
      <w:r w:rsidRPr="00C50860">
        <w:t>citing</w:t>
      </w:r>
      <w:r w:rsidRPr="00C50860">
        <w:rPr>
          <w:rFonts w:cs="NewBaskerville-Italic"/>
          <w:i/>
          <w:iCs/>
        </w:rPr>
        <w:t xml:space="preserve"> </w:t>
      </w:r>
      <w:r w:rsidRPr="00C50860">
        <w:t>Ono v</w:t>
      </w:r>
      <w:r w:rsidR="006F355C" w:rsidRPr="006F355C">
        <w:t>. A</w:t>
      </w:r>
      <w:r w:rsidRPr="00C50860">
        <w:t>pplegate, 62 Haw</w:t>
      </w:r>
      <w:r w:rsidR="006F355C" w:rsidRPr="006F355C">
        <w:t>. 1</w:t>
      </w:r>
      <w:r w:rsidRPr="00C50860">
        <w:t>31, 612 P.2d 533, 538–39 (1980)).</w:t>
      </w:r>
    </w:p>
  </w:footnote>
  <w:footnote w:id="138">
    <w:p w14:paraId="53585F74" w14:textId="09285817" w:rsidR="00EC7962" w:rsidRPr="00C50860" w:rsidRDefault="00EC7962" w:rsidP="00450E78">
      <w:pPr>
        <w:pStyle w:val="FootnoteText"/>
        <w:spacing w:after="0"/>
      </w:pPr>
      <w:r w:rsidRPr="00C50860">
        <w:rPr>
          <w:vertAlign w:val="superscript"/>
        </w:rPr>
        <w:footnoteRef/>
      </w:r>
      <w:r w:rsidRPr="00C50860">
        <w:t>Maguire v</w:t>
      </w:r>
      <w:r w:rsidR="006F355C" w:rsidRPr="006F355C">
        <w:t>. H</w:t>
      </w:r>
      <w:r w:rsidRPr="00C50860">
        <w:t>ilton Hotels Corp., 79 Hawaii 110, 112, 899 P.2d 393, 395 (Haw</w:t>
      </w:r>
      <w:r w:rsidR="006F355C" w:rsidRPr="006F355C">
        <w:t>. 1</w:t>
      </w:r>
      <w:r w:rsidRPr="00C50860">
        <w:t>995).</w:t>
      </w:r>
    </w:p>
  </w:footnote>
  <w:footnote w:id="139">
    <w:p w14:paraId="0052D5D6" w14:textId="3E46E280" w:rsidR="00EC7962" w:rsidRPr="00C50860" w:rsidRDefault="00EC7962" w:rsidP="00450E78">
      <w:pPr>
        <w:pStyle w:val="FootnoteText"/>
        <w:spacing w:after="0"/>
      </w:pPr>
      <w:r w:rsidRPr="00C50860">
        <w:rPr>
          <w:vertAlign w:val="superscript"/>
        </w:rPr>
        <w:footnoteRef/>
      </w:r>
      <w:r w:rsidRPr="00C50860">
        <w:t>Lee v</w:t>
      </w:r>
      <w:r w:rsidR="006F355C" w:rsidRPr="006F355C">
        <w:t>. C</w:t>
      </w:r>
      <w:r w:rsidRPr="00C50860">
        <w:t>orregedore, 83 Hawaii 154, 925 P.2d 324, 329 (Haw</w:t>
      </w:r>
      <w:r w:rsidR="006F355C" w:rsidRPr="006F355C">
        <w:t>. 1</w:t>
      </w:r>
      <w:r w:rsidRPr="00C50860">
        <w:t>996)</w:t>
      </w:r>
      <w:r w:rsidR="006F355C" w:rsidRPr="006F355C">
        <w:t>; H</w:t>
      </w:r>
      <w:r w:rsidRPr="00C50860">
        <w:t>anakahi v</w:t>
      </w:r>
      <w:r w:rsidR="006F355C" w:rsidRPr="006F355C">
        <w:t>. U</w:t>
      </w:r>
      <w:r w:rsidRPr="00C50860">
        <w:t>nited States, 325 F. Supp</w:t>
      </w:r>
      <w:r w:rsidR="006F355C" w:rsidRPr="006F355C">
        <w:t>. 2</w:t>
      </w:r>
      <w:r w:rsidRPr="00C50860">
        <w:t>d 1125, 1131 (D. Haw</w:t>
      </w:r>
      <w:r w:rsidR="006F355C" w:rsidRPr="006F355C">
        <w:t>. 2</w:t>
      </w:r>
      <w:r w:rsidRPr="00C50860">
        <w:t>002).</w:t>
      </w:r>
    </w:p>
  </w:footnote>
  <w:footnote w:id="140">
    <w:p w14:paraId="04E22D6A" w14:textId="1F780712" w:rsidR="00EC7962" w:rsidRPr="00C50860" w:rsidRDefault="00EC7962">
      <w:pPr>
        <w:pStyle w:val="FootnoteText"/>
      </w:pPr>
      <w:r w:rsidRPr="00C50860">
        <w:rPr>
          <w:rStyle w:val="FootnoteReference"/>
        </w:rPr>
        <w:footnoteRef/>
      </w:r>
      <w:r w:rsidRPr="00C50860">
        <w:rPr>
          <w:i/>
        </w:rPr>
        <w:t>Wada</w:t>
      </w:r>
      <w:r w:rsidRPr="00C50860">
        <w:t xml:space="preserve">, 154 </w:t>
      </w:r>
      <w:r w:rsidR="006F355C" w:rsidRPr="006F355C">
        <w:t>F. Supp. 3d</w:t>
      </w:r>
      <w:r w:rsidRPr="00C50860">
        <w:t xml:space="preserve"> at 997.</w:t>
      </w:r>
    </w:p>
  </w:footnote>
  <w:footnote w:id="141">
    <w:p w14:paraId="73F4F799" w14:textId="50807441" w:rsidR="00EC7962" w:rsidRPr="00C50860" w:rsidRDefault="00EC7962" w:rsidP="00450E78">
      <w:pPr>
        <w:pStyle w:val="FootnoteText"/>
        <w:spacing w:after="0"/>
      </w:pPr>
      <w:r w:rsidRPr="00C50860">
        <w:rPr>
          <w:vertAlign w:val="superscript"/>
        </w:rPr>
        <w:footnoteRef/>
      </w:r>
      <w:r w:rsidRPr="00C50860">
        <w:t>Janssen v</w:t>
      </w:r>
      <w:r w:rsidR="006F355C" w:rsidRPr="006F355C">
        <w:t>. A</w:t>
      </w:r>
      <w:r w:rsidRPr="00C50860">
        <w:t>merican Haw</w:t>
      </w:r>
      <w:r w:rsidR="006F355C" w:rsidRPr="006F355C">
        <w:t>. C</w:t>
      </w:r>
      <w:r w:rsidRPr="00C50860">
        <w:t>ruises, Inc., 69 Haw</w:t>
      </w:r>
      <w:r w:rsidR="006F355C" w:rsidRPr="006F355C">
        <w:t>. 3</w:t>
      </w:r>
      <w:r w:rsidRPr="00C50860">
        <w:t>1, 34, 731 P.2d 163, 166 (1987) (applying these standards and ruling that employer was not liable for a homosexual rape committed by a co-employee, who was a convicted felon, because it was not foreseeable that they would agree to share a room after the ship was unexpectedly dry-docked for repair).</w:t>
      </w:r>
    </w:p>
  </w:footnote>
  <w:footnote w:id="142">
    <w:p w14:paraId="17CBAAB9" w14:textId="1DD47237" w:rsidR="00EC7962" w:rsidRPr="00C50860" w:rsidRDefault="00EC7962" w:rsidP="00450E78">
      <w:pPr>
        <w:pStyle w:val="FootnoteText"/>
        <w:spacing w:after="0"/>
      </w:pPr>
      <w:r w:rsidRPr="00C50860">
        <w:rPr>
          <w:vertAlign w:val="superscript"/>
        </w:rPr>
        <w:footnoteRef/>
      </w:r>
      <w:r w:rsidRPr="00C50860">
        <w:rPr>
          <w:i/>
        </w:rPr>
        <w:t>Wada</w:t>
      </w:r>
      <w:r w:rsidRPr="00C50860">
        <w:t>, 154 F. Supp</w:t>
      </w:r>
      <w:r w:rsidR="006F355C" w:rsidRPr="006F355C">
        <w:t>. 3</w:t>
      </w:r>
      <w:r w:rsidRPr="00C50860">
        <w:t>d at 997.</w:t>
      </w:r>
    </w:p>
  </w:footnote>
  <w:footnote w:id="143">
    <w:p w14:paraId="7B612B62" w14:textId="2B67963B" w:rsidR="00EC7962" w:rsidRPr="00C50860" w:rsidRDefault="00EC7962">
      <w:pPr>
        <w:pStyle w:val="FootnoteText"/>
      </w:pPr>
      <w:r w:rsidRPr="00C50860">
        <w:rPr>
          <w:rStyle w:val="FootnoteReference"/>
        </w:rPr>
        <w:footnoteRef/>
      </w:r>
      <w:r w:rsidRPr="00C50860">
        <w:t>Taylor v</w:t>
      </w:r>
      <w:r w:rsidR="006F355C" w:rsidRPr="006F355C">
        <w:t>. C</w:t>
      </w:r>
      <w:r w:rsidRPr="00C50860">
        <w:t>ity &amp; Cnty</w:t>
      </w:r>
      <w:r w:rsidR="006F355C" w:rsidRPr="006F355C">
        <w:t>. o</w:t>
      </w:r>
      <w:r w:rsidRPr="00C50860">
        <w:t>f Honolulu, No</w:t>
      </w:r>
      <w:r w:rsidR="006F355C" w:rsidRPr="006F355C">
        <w:t>. C</w:t>
      </w:r>
      <w:r w:rsidRPr="00C50860">
        <w:t>V 22-00013 HG-KJM at *18 (D</w:t>
      </w:r>
      <w:r w:rsidR="006F355C" w:rsidRPr="006F355C">
        <w:t>. H</w:t>
      </w:r>
      <w:r w:rsidRPr="00C50860">
        <w:t>aw</w:t>
      </w:r>
      <w:r w:rsidR="006F355C" w:rsidRPr="006F355C">
        <w:t>. M</w:t>
      </w:r>
      <w:r w:rsidRPr="00C50860">
        <w:t>ar</w:t>
      </w:r>
      <w:r w:rsidR="006F355C" w:rsidRPr="006F355C">
        <w:t>. 3</w:t>
      </w:r>
      <w:r w:rsidRPr="00C50860">
        <w:t>1, 2023).</w:t>
      </w:r>
    </w:p>
  </w:footnote>
  <w:footnote w:id="144">
    <w:p w14:paraId="59CA46EF" w14:textId="580A8C8A" w:rsidR="00EC7962" w:rsidRPr="00C50860" w:rsidRDefault="00EC7962" w:rsidP="005B23DD">
      <w:pPr>
        <w:pStyle w:val="FootnoteText"/>
      </w:pPr>
      <w:r w:rsidRPr="00C50860">
        <w:rPr>
          <w:rStyle w:val="FootnoteReference"/>
        </w:rPr>
        <w:footnoteRef/>
      </w:r>
      <w:r w:rsidRPr="00C50860">
        <w:t>Vargas v</w:t>
      </w:r>
      <w:r w:rsidR="006F355C" w:rsidRPr="006F355C">
        <w:t>. C</w:t>
      </w:r>
      <w:r w:rsidRPr="00C50860">
        <w:t>ity and Cnty</w:t>
      </w:r>
      <w:r w:rsidR="006F355C" w:rsidRPr="006F355C">
        <w:t>. o</w:t>
      </w:r>
      <w:r w:rsidRPr="00C50860">
        <w:t>f Honolulu, No</w:t>
      </w:r>
      <w:r w:rsidR="006F355C" w:rsidRPr="006F355C">
        <w:t>. C</w:t>
      </w:r>
      <w:r w:rsidRPr="00C50860">
        <w:t>V 19-00116 LEK-WRP at *21 (D</w:t>
      </w:r>
      <w:r w:rsidR="006F355C" w:rsidRPr="006F355C">
        <w:t>. H</w:t>
      </w:r>
      <w:r w:rsidRPr="00C50860">
        <w:t>aw</w:t>
      </w:r>
      <w:r w:rsidR="006F355C" w:rsidRPr="006F355C">
        <w:t>. J</w:t>
      </w:r>
      <w:r w:rsidRPr="00C50860">
        <w:t>une 30, 2020)</w:t>
      </w:r>
      <w:r w:rsidR="006F355C" w:rsidRPr="006F355C">
        <w:t xml:space="preserve">; </w:t>
      </w:r>
      <w:r w:rsidR="006F355C" w:rsidRPr="006F355C">
        <w:rPr>
          <w:i/>
        </w:rPr>
        <w:t>s</w:t>
      </w:r>
      <w:r w:rsidRPr="00C50860">
        <w:rPr>
          <w:i/>
        </w:rPr>
        <w:t>ee</w:t>
      </w:r>
      <w:r w:rsidRPr="00C50860">
        <w:t xml:space="preserve"> Park v</w:t>
      </w:r>
      <w:r w:rsidR="006F355C" w:rsidRPr="006F355C">
        <w:t>. C</w:t>
      </w:r>
      <w:r w:rsidRPr="00C50860">
        <w:t>ity &amp; Cnty</w:t>
      </w:r>
      <w:r w:rsidR="006F355C" w:rsidRPr="006F355C">
        <w:t>. o</w:t>
      </w:r>
      <w:r w:rsidRPr="00C50860">
        <w:t>f Honolulu, 292 F</w:t>
      </w:r>
      <w:r w:rsidR="006F355C" w:rsidRPr="006F355C">
        <w:t>. S</w:t>
      </w:r>
      <w:r w:rsidRPr="00C50860">
        <w:t>upp</w:t>
      </w:r>
      <w:r w:rsidR="006F355C" w:rsidRPr="006F355C">
        <w:t>. 3</w:t>
      </w:r>
      <w:r w:rsidRPr="00C50860">
        <w:t>d 1080, 1102 (D</w:t>
      </w:r>
      <w:r w:rsidR="006F355C" w:rsidRPr="006F355C">
        <w:t>. H</w:t>
      </w:r>
      <w:r w:rsidRPr="00C50860">
        <w:t>aw</w:t>
      </w:r>
      <w:r w:rsidR="006F355C" w:rsidRPr="006F355C">
        <w:t>. 2</w:t>
      </w:r>
      <w:r w:rsidRPr="00C50860">
        <w:t>018)</w:t>
      </w:r>
      <w:r w:rsidR="006F355C" w:rsidRPr="006F355C">
        <w:t>; O</w:t>
      </w:r>
      <w:r w:rsidRPr="00C50860">
        <w:t>tani v</w:t>
      </w:r>
      <w:r w:rsidR="006F355C" w:rsidRPr="006F355C">
        <w:t>. C</w:t>
      </w:r>
      <w:r w:rsidRPr="00C50860">
        <w:t>ity &amp; Cnty</w:t>
      </w:r>
      <w:r w:rsidR="006F355C" w:rsidRPr="006F355C">
        <w:t>. o</w:t>
      </w:r>
      <w:r w:rsidRPr="00C50860">
        <w:t>f Haw., 126 F</w:t>
      </w:r>
      <w:r w:rsidR="006F355C" w:rsidRPr="006F355C">
        <w:t>. S</w:t>
      </w:r>
      <w:r w:rsidRPr="00C50860">
        <w:t>upp</w:t>
      </w:r>
      <w:r w:rsidR="006F355C" w:rsidRPr="006F355C">
        <w:t>. 2</w:t>
      </w:r>
      <w:r w:rsidRPr="00C50860">
        <w:t>d 1299, 1308 (D</w:t>
      </w:r>
      <w:r w:rsidR="006F355C" w:rsidRPr="006F355C">
        <w:t>. H</w:t>
      </w:r>
      <w:r w:rsidRPr="00C50860">
        <w:t>aw</w:t>
      </w:r>
      <w:r w:rsidR="006F355C" w:rsidRPr="006F355C">
        <w:t>. 1</w:t>
      </w:r>
      <w:r w:rsidRPr="00C50860">
        <w:t>998).</w:t>
      </w:r>
    </w:p>
  </w:footnote>
  <w:footnote w:id="145">
    <w:p w14:paraId="5D49E9E6" w14:textId="53EB6027" w:rsidR="006F355C" w:rsidRDefault="00EC7962">
      <w:pPr>
        <w:pStyle w:val="FootnoteText"/>
      </w:pPr>
      <w:r w:rsidRPr="00C50860">
        <w:rPr>
          <w:rStyle w:val="FootnoteReference"/>
        </w:rPr>
        <w:footnoteRef/>
      </w:r>
      <w:r w:rsidRPr="00C50860">
        <w:rPr>
          <w:i/>
        </w:rPr>
        <w:t>Park</w:t>
      </w:r>
      <w:r w:rsidRPr="00C50860">
        <w:t>, 292 F</w:t>
      </w:r>
      <w:r w:rsidR="006F355C" w:rsidRPr="006F355C">
        <w:t>. S</w:t>
      </w:r>
      <w:r w:rsidRPr="00C50860">
        <w:t>upp</w:t>
      </w:r>
      <w:r w:rsidR="006F355C" w:rsidRPr="006F355C">
        <w:t>. 3</w:t>
      </w:r>
      <w:r w:rsidRPr="00C50860">
        <w:t>d at 1102 (D</w:t>
      </w:r>
      <w:r w:rsidR="006F355C" w:rsidRPr="006F355C">
        <w:t>. H</w:t>
      </w:r>
      <w:r w:rsidRPr="00C50860">
        <w:t>aw</w:t>
      </w:r>
      <w:r w:rsidR="006F355C" w:rsidRPr="006F355C">
        <w:t>. 2</w:t>
      </w:r>
      <w:r w:rsidRPr="00C50860">
        <w:t xml:space="preserve">018) (citing </w:t>
      </w:r>
      <w:r w:rsidRPr="00C50860">
        <w:rPr>
          <w:i/>
        </w:rPr>
        <w:t>Otani</w:t>
      </w:r>
      <w:r w:rsidRPr="00C50860">
        <w:t xml:space="preserve">, 126 </w:t>
      </w:r>
      <w:r w:rsidR="006F355C" w:rsidRPr="006F355C">
        <w:t>F. Supp. 2d</w:t>
      </w:r>
      <w:r w:rsidRPr="00C50860">
        <w:t xml:space="preserve"> 1299, 1308 (D</w:t>
      </w:r>
      <w:r w:rsidR="006F355C" w:rsidRPr="006F355C">
        <w:t>. H</w:t>
      </w:r>
      <w:r w:rsidRPr="00C50860">
        <w:t>aw</w:t>
      </w:r>
      <w:r w:rsidR="006F355C" w:rsidRPr="006F355C">
        <w:t>. 1</w:t>
      </w:r>
      <w:r w:rsidRPr="00C50860">
        <w:t>998).</w:t>
      </w:r>
    </w:p>
    <w:p w14:paraId="4010343D" w14:textId="2A4612BF" w:rsidR="00EC7962" w:rsidRPr="00C50860" w:rsidRDefault="00EC7962">
      <w:pPr>
        <w:pStyle w:val="FootnoteText"/>
      </w:pPr>
    </w:p>
  </w:footnote>
  <w:footnote w:id="146">
    <w:p w14:paraId="48B0D3D6" w14:textId="330FBB4D" w:rsidR="00EC7962" w:rsidRPr="00C50860" w:rsidRDefault="00EC7962">
      <w:pPr>
        <w:pStyle w:val="FootnoteText"/>
      </w:pPr>
      <w:r w:rsidRPr="00C50860">
        <w:rPr>
          <w:rStyle w:val="FootnoteReference"/>
        </w:rPr>
        <w:footnoteRef/>
      </w:r>
      <w:r w:rsidRPr="00C50860">
        <w:rPr>
          <w:i/>
        </w:rPr>
        <w:t>Id</w:t>
      </w:r>
      <w:r w:rsidR="006F355C" w:rsidRPr="006F355C">
        <w:t>. (</w:t>
      </w:r>
      <w:r w:rsidRPr="00C50860">
        <w:t>citations omitted).</w:t>
      </w:r>
    </w:p>
  </w:footnote>
  <w:footnote w:id="147">
    <w:p w14:paraId="42BBA41D" w14:textId="35C52EF1" w:rsidR="00EC7962" w:rsidRPr="00C50860" w:rsidRDefault="00EC7962">
      <w:pPr>
        <w:pStyle w:val="FootnoteText"/>
      </w:pPr>
      <w:r w:rsidRPr="00C50860">
        <w:rPr>
          <w:rStyle w:val="FootnoteReference"/>
        </w:rPr>
        <w:footnoteRef/>
      </w:r>
      <w:r w:rsidRPr="00C50860">
        <w:t>50 Haw</w:t>
      </w:r>
      <w:r w:rsidR="006F355C" w:rsidRPr="006F355C">
        <w:t>. 6</w:t>
      </w:r>
      <w:r w:rsidRPr="00C50860">
        <w:t>28, 633–34, 446 P.2d 821, 826 (1968).</w:t>
      </w:r>
    </w:p>
  </w:footnote>
  <w:footnote w:id="148">
    <w:p w14:paraId="3393D18A" w14:textId="0B5101AE" w:rsidR="00EC7962" w:rsidRPr="00C50860" w:rsidRDefault="00EC7962">
      <w:pPr>
        <w:pStyle w:val="FootnoteText"/>
      </w:pPr>
      <w:r w:rsidRPr="00C50860">
        <w:rPr>
          <w:rStyle w:val="FootnoteReference"/>
        </w:rPr>
        <w:footnoteRef/>
      </w:r>
      <w:r w:rsidRPr="00C50860">
        <w:rPr>
          <w:i/>
        </w:rPr>
        <w:t>Id</w:t>
      </w:r>
      <w:r w:rsidR="006F355C" w:rsidRPr="006F355C">
        <w:rPr>
          <w:i/>
        </w:rPr>
        <w:t xml:space="preserve">. </w:t>
      </w:r>
      <w:r w:rsidR="006F355C" w:rsidRPr="006F355C">
        <w:t>(</w:t>
      </w:r>
      <w:r w:rsidRPr="00C50860">
        <w:t>citations omitted).</w:t>
      </w:r>
    </w:p>
  </w:footnote>
  <w:footnote w:id="149">
    <w:p w14:paraId="48DA6F47" w14:textId="49502D5D" w:rsidR="00EC7962" w:rsidRPr="00C50860" w:rsidRDefault="00EC7962" w:rsidP="733FD9A8">
      <w:pPr>
        <w:pStyle w:val="FootnoteText"/>
        <w:spacing w:after="0"/>
      </w:pPr>
      <w:r w:rsidRPr="00C50860">
        <w:rPr>
          <w:vertAlign w:val="superscript"/>
        </w:rPr>
        <w:footnoteRef/>
      </w:r>
      <w:r w:rsidRPr="00C50860">
        <w:t>50 Haw</w:t>
      </w:r>
      <w:r w:rsidR="006F355C" w:rsidRPr="006F355C">
        <w:t>. 6</w:t>
      </w:r>
      <w:r w:rsidRPr="00C50860">
        <w:t>28, 446 P.2d 821 (1968).</w:t>
      </w:r>
    </w:p>
  </w:footnote>
  <w:footnote w:id="150">
    <w:p w14:paraId="7EEBCFF4" w14:textId="1BAFCC96" w:rsidR="00EC7962" w:rsidRPr="00C50860" w:rsidRDefault="00EC7962" w:rsidP="00450E78">
      <w:pPr>
        <w:pStyle w:val="FootnoteText"/>
        <w:spacing w:after="0"/>
      </w:pPr>
      <w:r w:rsidRPr="00C50860">
        <w:rPr>
          <w:vertAlign w:val="superscript"/>
        </w:rPr>
        <w:footnoteRef/>
      </w:r>
      <w:r w:rsidRPr="00C50860">
        <w:rPr>
          <w:i/>
        </w:rPr>
        <w:t>Id</w:t>
      </w:r>
      <w:r w:rsidR="006F355C" w:rsidRPr="006F355C">
        <w:t>. a</w:t>
      </w:r>
      <w:r w:rsidRPr="00C50860">
        <w:t>t 662, 446 P.2d at 825.</w:t>
      </w:r>
    </w:p>
  </w:footnote>
  <w:footnote w:id="151">
    <w:p w14:paraId="3795C9B0" w14:textId="0E49AE0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663, 446 P.2d at 826</w:t>
      </w:r>
      <w:r w:rsidR="006F355C" w:rsidRPr="006F355C">
        <w:t xml:space="preserve">. </w:t>
      </w:r>
      <w:r w:rsidR="006F355C" w:rsidRPr="006F355C">
        <w:rPr>
          <w:rFonts w:cs="NewBaskerville-Italic"/>
          <w:i/>
          <w:iCs/>
        </w:rPr>
        <w:t>C</w:t>
      </w:r>
      <w:r w:rsidRPr="00C50860">
        <w:rPr>
          <w:rFonts w:cs="NewBaskerville-Italic"/>
          <w:i/>
          <w:iCs/>
        </w:rPr>
        <w:t>f</w:t>
      </w:r>
      <w:r w:rsidR="006F355C" w:rsidRPr="006F355C">
        <w:rPr>
          <w:rFonts w:cs="NewBaskerville-Italic"/>
          <w:i/>
          <w:iCs/>
        </w:rPr>
        <w:t xml:space="preserve">. </w:t>
      </w:r>
      <w:r w:rsidR="006F355C" w:rsidRPr="006F355C">
        <w:t>D</w:t>
      </w:r>
      <w:r w:rsidRPr="00C50860">
        <w:t>oe Parents No</w:t>
      </w:r>
      <w:r w:rsidR="006F355C" w:rsidRPr="006F355C">
        <w:t>. 1</w:t>
      </w:r>
      <w:r w:rsidRPr="00C50860">
        <w:t xml:space="preserve"> v</w:t>
      </w:r>
      <w:r w:rsidR="006F355C" w:rsidRPr="006F355C">
        <w:t>. S</w:t>
      </w:r>
      <w:r w:rsidRPr="00C50860">
        <w:t>tate, Dep’t of Educ., 100 Haw</w:t>
      </w:r>
      <w:r w:rsidR="006F355C" w:rsidRPr="006F355C">
        <w:t>. 3</w:t>
      </w:r>
      <w:r w:rsidRPr="00C50860">
        <w:t xml:space="preserve">4, 68, 58 P.3d 545, 579 (2002) (“[W]here the plaintiff’s negligence claim seeks to hold the State liable for the conduct of state employees other than the alleged intentional tortfeasor, pursuant to theories of negligent hiring, retention, supervision, or the like, … if the State knew, or reasonably should have anticipated, that one of its employees would commit an intentional tort against a person to whom the State owed a duty of care, the State </w:t>
      </w:r>
      <w:r w:rsidRPr="00C50860">
        <w:rPr>
          <w:rFonts w:cs="NewBaskerville-Italic"/>
          <w:i/>
          <w:iCs/>
        </w:rPr>
        <w:t>is liable for the negligence of those employees</w:t>
      </w:r>
      <w:r w:rsidRPr="00C50860">
        <w:t xml:space="preserve"> who were </w:t>
      </w:r>
      <w:r w:rsidRPr="00C50860">
        <w:rPr>
          <w:rFonts w:cs="NewBaskerville-Italic"/>
          <w:i/>
          <w:iCs/>
        </w:rPr>
        <w:t xml:space="preserve">in a position to take reasonable precautions </w:t>
      </w:r>
      <w:r w:rsidRPr="00C50860">
        <w:t xml:space="preserve">against the </w:t>
      </w:r>
      <w:r w:rsidRPr="00C50860">
        <w:rPr>
          <w:rFonts w:cs="NewBaskerville-Italic"/>
          <w:i/>
          <w:iCs/>
        </w:rPr>
        <w:t>anticipated harm</w:t>
      </w:r>
      <w:r w:rsidRPr="00C50860">
        <w:t>.” (emphasis added)).</w:t>
      </w:r>
    </w:p>
  </w:footnote>
  <w:footnote w:id="152">
    <w:p w14:paraId="08673D22" w14:textId="2251A1F6" w:rsidR="00EC7962" w:rsidRPr="00C50860" w:rsidRDefault="00EC7962" w:rsidP="00450E78">
      <w:pPr>
        <w:pStyle w:val="FootnoteText"/>
        <w:spacing w:after="0"/>
      </w:pPr>
      <w:r w:rsidRPr="00C50860">
        <w:rPr>
          <w:vertAlign w:val="superscript"/>
        </w:rPr>
        <w:footnoteRef/>
      </w:r>
      <w:r w:rsidRPr="00C50860">
        <w:rPr>
          <w:rFonts w:cs="NewBaskerville-Italic"/>
          <w:i/>
          <w:iCs/>
        </w:rPr>
        <w:t>Abraham</w:t>
      </w:r>
      <w:r w:rsidRPr="00C50860">
        <w:t>, 50 Haw</w:t>
      </w:r>
      <w:r w:rsidR="006F355C" w:rsidRPr="006F355C">
        <w:t>. a</w:t>
      </w:r>
      <w:r w:rsidRPr="00C50860">
        <w:t>t 633–34, 446 P.2d at 826.</w:t>
      </w:r>
    </w:p>
  </w:footnote>
  <w:footnote w:id="153">
    <w:p w14:paraId="7BA0ECCF" w14:textId="442FA4F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634, 446 P.2d at 826.</w:t>
      </w:r>
    </w:p>
  </w:footnote>
  <w:footnote w:id="154">
    <w:p w14:paraId="67A9A886" w14:textId="6CCC4AA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O</w:t>
      </w:r>
      <w:r w:rsidRPr="00C50860">
        <w:t>tani v</w:t>
      </w:r>
      <w:r w:rsidR="006F355C" w:rsidRPr="006F355C">
        <w:t>. C</w:t>
      </w:r>
      <w:r w:rsidRPr="00C50860">
        <w:t>ity &amp; Cnty</w:t>
      </w:r>
      <w:r w:rsidR="006F355C" w:rsidRPr="006F355C">
        <w:t>. o</w:t>
      </w:r>
      <w:r w:rsidRPr="00C50860">
        <w:t>f Haw., 126 F. Supp</w:t>
      </w:r>
      <w:r w:rsidR="006F355C" w:rsidRPr="006F355C">
        <w:t>. 2</w:t>
      </w:r>
      <w:r w:rsidRPr="00C50860">
        <w:t>d 1299, 1308 (D. Haw</w:t>
      </w:r>
      <w:r w:rsidR="006F355C" w:rsidRPr="006F355C">
        <w:t>. 1</w:t>
      </w:r>
      <w:r w:rsidRPr="00C50860">
        <w:t>998) (“[I]f an employer has not been put on notice of the necessity for exercising a greater degree of control or supervision over a particular employee, the employer cannot be held liable as a matter of law”)</w:t>
      </w:r>
      <w:r w:rsidR="006F355C" w:rsidRPr="006F355C">
        <w:t>; F</w:t>
      </w:r>
      <w:r w:rsidRPr="00C50860">
        <w:t>raser v</w:t>
      </w:r>
      <w:r w:rsidR="006F355C" w:rsidRPr="006F355C">
        <w:t>. C</w:t>
      </w:r>
      <w:r w:rsidRPr="00C50860">
        <w:t>ounty of Maui, 855 F. Supp</w:t>
      </w:r>
      <w:r w:rsidR="006F355C" w:rsidRPr="006F355C">
        <w:t>. 1</w:t>
      </w:r>
      <w:r w:rsidRPr="00C50860">
        <w:t>167, 1184 (D. Haw</w:t>
      </w:r>
      <w:r w:rsidR="006F355C" w:rsidRPr="006F355C">
        <w:t>. 1</w:t>
      </w:r>
      <w:r w:rsidRPr="00C50860">
        <w:t>994) (“[T]he Hawaii Supreme Court imposes a foreseeability requirement with regard to the negligent supervision claim.”)</w:t>
      </w:r>
      <w:r w:rsidR="006F355C" w:rsidRPr="006F355C">
        <w:t>; K</w:t>
      </w:r>
      <w:r w:rsidRPr="00C50860">
        <w:t>rizek v</w:t>
      </w:r>
      <w:r w:rsidR="006F355C" w:rsidRPr="006F355C">
        <w:t>. Q</w:t>
      </w:r>
      <w:r w:rsidRPr="00C50860">
        <w:t>ueens Med</w:t>
      </w:r>
      <w:r w:rsidR="006F355C" w:rsidRPr="006F355C">
        <w:t>. C</w:t>
      </w:r>
      <w:r w:rsidRPr="00C50860">
        <w:t>tr., CIV</w:t>
      </w:r>
      <w:r w:rsidR="006F355C" w:rsidRPr="006F355C">
        <w:t>. N</w:t>
      </w:r>
      <w:r w:rsidRPr="00C50860">
        <w:t>O</w:t>
      </w:r>
      <w:r w:rsidR="006F355C" w:rsidRPr="006F355C">
        <w:t>. 1</w:t>
      </w:r>
      <w:r w:rsidRPr="00C50860">
        <w:t>8-00293, 2021 WL 2115428, at *7 (D</w:t>
      </w:r>
      <w:r w:rsidR="006F355C" w:rsidRPr="006F355C">
        <w:t>. H</w:t>
      </w:r>
      <w:r w:rsidRPr="00C50860">
        <w:t>aw</w:t>
      </w:r>
      <w:r w:rsidR="006F355C" w:rsidRPr="006F355C">
        <w:t>. M</w:t>
      </w:r>
      <w:r w:rsidRPr="00C50860">
        <w:t>ay 25, 2021) (no issue of fact for negligent supervision where plaintiff provided no evidence that defendant knew or should have known residents would likely provide negligent care).</w:t>
      </w:r>
    </w:p>
  </w:footnote>
  <w:footnote w:id="155">
    <w:p w14:paraId="72B30919" w14:textId="1C399AF1" w:rsidR="00EC7962" w:rsidRPr="00C50860" w:rsidRDefault="00EC7962" w:rsidP="00450E78">
      <w:pPr>
        <w:pStyle w:val="FootnoteText"/>
        <w:spacing w:after="0"/>
      </w:pPr>
      <w:r w:rsidRPr="00C50860">
        <w:rPr>
          <w:vertAlign w:val="superscript"/>
        </w:rPr>
        <w:footnoteRef/>
      </w:r>
      <w:r w:rsidRPr="00C50860">
        <w:t>Beaulieu v</w:t>
      </w:r>
      <w:r w:rsidR="006F355C" w:rsidRPr="006F355C">
        <w:t>. N</w:t>
      </w:r>
      <w:r w:rsidRPr="00C50860">
        <w:t>orthrop Grumman Corp., 161 F. Supp</w:t>
      </w:r>
      <w:r w:rsidR="006F355C" w:rsidRPr="006F355C">
        <w:t>. 2</w:t>
      </w:r>
      <w:r w:rsidRPr="00C50860">
        <w:t>d 1135, 1148 (D. Haw</w:t>
      </w:r>
      <w:r w:rsidR="006F355C" w:rsidRPr="006F355C">
        <w:t>. 2</w:t>
      </w:r>
      <w:r w:rsidRPr="00C50860">
        <w:t>000) (finding that workers compensation bars a claim of negligent retention).</w:t>
      </w:r>
    </w:p>
  </w:footnote>
  <w:footnote w:id="156">
    <w:p w14:paraId="5970FDEA" w14:textId="3D810B2B" w:rsidR="00EC7962" w:rsidRPr="00C50860" w:rsidRDefault="00EC7962" w:rsidP="00450E78">
      <w:pPr>
        <w:pStyle w:val="FootnoteText"/>
        <w:spacing w:after="0"/>
      </w:pPr>
      <w:r w:rsidRPr="00C50860">
        <w:rPr>
          <w:vertAlign w:val="superscript"/>
        </w:rPr>
        <w:footnoteRef/>
      </w:r>
      <w:r w:rsidRPr="00C50860">
        <w:t>Ross v</w:t>
      </w:r>
      <w:r w:rsidR="006F355C" w:rsidRPr="006F355C">
        <w:t>. S</w:t>
      </w:r>
      <w:r w:rsidRPr="00C50860">
        <w:t>touffer Hotel Co</w:t>
      </w:r>
      <w:r w:rsidR="006F355C" w:rsidRPr="006F355C">
        <w:t>. (</w:t>
      </w:r>
      <w:r w:rsidRPr="00C50860">
        <w:rPr>
          <w:rFonts w:cs="NewBaskerville-Italic"/>
          <w:iCs/>
        </w:rPr>
        <w:t>Hawai’i</w:t>
      </w:r>
      <w:r w:rsidRPr="00C50860">
        <w:t>) Ltd., Inc., 76 Haw</w:t>
      </w:r>
      <w:r w:rsidR="006F355C" w:rsidRPr="006F355C">
        <w:t>. 4</w:t>
      </w:r>
      <w:r w:rsidRPr="00C50860">
        <w:t>54, 465–66, 879 P.2d 1037, 1048–49 (1994) (citation omitted)</w:t>
      </w:r>
      <w:r w:rsidR="006F355C" w:rsidRPr="006F355C">
        <w:t>; S</w:t>
      </w:r>
      <w:r w:rsidRPr="00C50860">
        <w:t>t</w:t>
      </w:r>
      <w:r w:rsidR="006F355C" w:rsidRPr="006F355C">
        <w:t>. C</w:t>
      </w:r>
      <w:r w:rsidRPr="00C50860">
        <w:t>lassis Brown v</w:t>
      </w:r>
      <w:r w:rsidR="006F355C" w:rsidRPr="006F355C">
        <w:t>. D</w:t>
      </w:r>
      <w:r w:rsidRPr="00C50860">
        <w:t>CK Worldwide LLC, Civil No</w:t>
      </w:r>
      <w:r w:rsidR="006F355C" w:rsidRPr="006F355C">
        <w:t>. 1</w:t>
      </w:r>
      <w:r w:rsidRPr="00C50860">
        <w:t>4-00573 LEK-RLP 2017 WL 62515 *7 (D. Haw</w:t>
      </w:r>
      <w:r w:rsidR="006F355C" w:rsidRPr="006F355C">
        <w:t>. J</w:t>
      </w:r>
      <w:r w:rsidRPr="00C50860">
        <w:t>an</w:t>
      </w:r>
      <w:r w:rsidR="006F355C" w:rsidRPr="006F355C">
        <w:t>. 4</w:t>
      </w:r>
      <w:r w:rsidRPr="00C50860">
        <w:t>, 2017).</w:t>
      </w:r>
    </w:p>
  </w:footnote>
  <w:footnote w:id="157">
    <w:p w14:paraId="5EC9E155" w14:textId="0A28024B" w:rsidR="00EC7962" w:rsidRPr="00C50860" w:rsidRDefault="00EC7962" w:rsidP="00450E78">
      <w:pPr>
        <w:pStyle w:val="FootnoteText"/>
        <w:spacing w:after="0"/>
      </w:pPr>
      <w:r w:rsidRPr="00C50860">
        <w:rPr>
          <w:vertAlign w:val="superscript"/>
        </w:rPr>
        <w:footnoteRef/>
      </w:r>
      <w:r w:rsidRPr="00C50860">
        <w:rPr>
          <w:smallCaps/>
        </w:rPr>
        <w:t>Hawaii Rev</w:t>
      </w:r>
      <w:r w:rsidR="006F355C" w:rsidRPr="006F355C">
        <w:rPr>
          <w:smallCaps/>
        </w:rPr>
        <w:t>. S</w:t>
      </w:r>
      <w:r w:rsidRPr="00C50860">
        <w:rPr>
          <w:smallCaps/>
        </w:rPr>
        <w:t>tat</w:t>
      </w:r>
      <w:r w:rsidR="006F355C" w:rsidRPr="006F355C">
        <w:rPr>
          <w:smallCaps/>
        </w:rPr>
        <w:t xml:space="preserve">. </w:t>
      </w:r>
      <w:r w:rsidR="006F355C" w:rsidRPr="006F355C">
        <w:t>§</w:t>
      </w:r>
      <w:r w:rsidRPr="00C50860">
        <w:t>§378-1, -2.</w:t>
      </w:r>
    </w:p>
  </w:footnote>
  <w:footnote w:id="158">
    <w:p w14:paraId="01D6663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w:t>
      </w:r>
    </w:p>
  </w:footnote>
  <w:footnote w:id="159">
    <w:p w14:paraId="191C8B93"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§378-2.7.</w:t>
      </w:r>
    </w:p>
  </w:footnote>
  <w:footnote w:id="160">
    <w:p w14:paraId="77234B5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§378-1.</w:t>
      </w:r>
    </w:p>
  </w:footnote>
  <w:footnote w:id="161">
    <w:p w14:paraId="200E1748"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§378-2(a)(1).</w:t>
      </w:r>
    </w:p>
  </w:footnote>
  <w:footnote w:id="162">
    <w:p w14:paraId="579FF481"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§398A-4.</w:t>
      </w:r>
    </w:p>
  </w:footnote>
  <w:footnote w:id="163">
    <w:p w14:paraId="2E73E06A" w14:textId="77777777" w:rsidR="00EC7962" w:rsidRPr="00C50860" w:rsidRDefault="00EC7962" w:rsidP="004D7551">
      <w:pPr>
        <w:pStyle w:val="FootnoteText"/>
        <w:spacing w:after="0"/>
      </w:pPr>
      <w:r w:rsidRPr="00C50860">
        <w:rPr>
          <w:vertAlign w:val="superscript"/>
        </w:rPr>
        <w:footnoteRef/>
      </w:r>
      <w:r w:rsidRPr="00C50860">
        <w:rPr>
          <w:rFonts w:cs="NewBaskerville-Italic"/>
          <w:i/>
          <w:iCs/>
        </w:rPr>
        <w:t>Id.,</w:t>
      </w:r>
      <w:r w:rsidRPr="00C50860">
        <w:t xml:space="preserve"> §377-6(14).</w:t>
      </w:r>
    </w:p>
  </w:footnote>
  <w:footnote w:id="164">
    <w:p w14:paraId="2E751D6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§378-26.5(2).</w:t>
      </w:r>
    </w:p>
  </w:footnote>
  <w:footnote w:id="165">
    <w:p w14:paraId="5DF59231"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§378-32(1).</w:t>
      </w:r>
    </w:p>
  </w:footnote>
  <w:footnote w:id="166">
    <w:p w14:paraId="30F64E39"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§378-32(2).</w:t>
      </w:r>
    </w:p>
  </w:footnote>
  <w:footnote w:id="167">
    <w:p w14:paraId="7423B42D"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§378-32(3).</w:t>
      </w:r>
    </w:p>
  </w:footnote>
  <w:footnote w:id="168">
    <w:p w14:paraId="18C40987"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§378-32(4).</w:t>
      </w:r>
    </w:p>
  </w:footnote>
  <w:footnote w:id="169">
    <w:p w14:paraId="33AE382A"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§378-62.</w:t>
      </w:r>
    </w:p>
  </w:footnote>
  <w:footnote w:id="170">
    <w:p w14:paraId="3DAD7EF8"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§398-7.</w:t>
      </w:r>
    </w:p>
  </w:footnote>
  <w:footnote w:id="171">
    <w:p w14:paraId="43ECD685"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§396-8(e).</w:t>
      </w:r>
    </w:p>
  </w:footnote>
  <w:footnote w:id="172">
    <w:p w14:paraId="6FEE91C4" w14:textId="375A3761" w:rsidR="00EC7962" w:rsidRPr="00C50860" w:rsidRDefault="00EC7962" w:rsidP="00450E78">
      <w:pPr>
        <w:pStyle w:val="FootnoteText"/>
        <w:spacing w:after="0"/>
      </w:pPr>
      <w:r w:rsidRPr="00C50860">
        <w:rPr>
          <w:vertAlign w:val="superscript"/>
        </w:rPr>
        <w:footnoteRef/>
      </w:r>
      <w:r w:rsidRPr="00C50860">
        <w:t>133 Haw</w:t>
      </w:r>
      <w:r w:rsidR="006F355C" w:rsidRPr="006F355C">
        <w:t>. 3</w:t>
      </w:r>
      <w:r w:rsidRPr="00C50860">
        <w:t>32, 347, 328 P.3d 341, 356, 121 FEP Cases 1225 (2014).</w:t>
      </w:r>
    </w:p>
  </w:footnote>
  <w:footnote w:id="173">
    <w:p w14:paraId="2E5B0A29" w14:textId="760A698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 a</w:t>
      </w:r>
      <w:r w:rsidRPr="00C50860">
        <w:t>t 347, 328 P.3 at 356.</w:t>
      </w:r>
    </w:p>
  </w:footnote>
  <w:footnote w:id="174">
    <w:p w14:paraId="75A18768" w14:textId="0B4E6F53" w:rsidR="00EC7962" w:rsidRPr="00C50860" w:rsidRDefault="00EC7962" w:rsidP="00450E78">
      <w:pPr>
        <w:pStyle w:val="FootnoteText"/>
        <w:spacing w:after="0"/>
      </w:pPr>
      <w:r w:rsidRPr="00C50860">
        <w:rPr>
          <w:vertAlign w:val="superscript"/>
        </w:rPr>
        <w:footnoteRef/>
      </w:r>
      <w:r w:rsidRPr="00C50860">
        <w:t>Faragher v</w:t>
      </w:r>
      <w:r w:rsidR="006F355C" w:rsidRPr="006F355C">
        <w:t>. C</w:t>
      </w:r>
      <w:r w:rsidRPr="00C50860">
        <w:t>ity of Boca Raton, 524 U.S</w:t>
      </w:r>
      <w:r w:rsidR="006F355C" w:rsidRPr="006F355C">
        <w:t>. 7</w:t>
      </w:r>
      <w:r w:rsidRPr="00C50860">
        <w:t>75 (1998).</w:t>
      </w:r>
    </w:p>
  </w:footnote>
  <w:footnote w:id="175">
    <w:p w14:paraId="50D489AE" w14:textId="6FD50E07" w:rsidR="00EC7962" w:rsidRPr="00C50860" w:rsidRDefault="00EC7962" w:rsidP="00450E78">
      <w:pPr>
        <w:pStyle w:val="FootnoteText"/>
        <w:spacing w:after="0"/>
      </w:pPr>
      <w:r w:rsidRPr="00C50860">
        <w:rPr>
          <w:vertAlign w:val="superscript"/>
        </w:rPr>
        <w:footnoteRef/>
      </w:r>
      <w:r w:rsidRPr="00C50860">
        <w:rPr>
          <w:smallCaps/>
        </w:rPr>
        <w:t>Haw</w:t>
      </w:r>
      <w:r w:rsidR="006F355C" w:rsidRPr="006F355C">
        <w:rPr>
          <w:smallCaps/>
        </w:rPr>
        <w:t>. A</w:t>
      </w:r>
      <w:r w:rsidRPr="00C50860">
        <w:rPr>
          <w:smallCaps/>
        </w:rPr>
        <w:t>dm</w:t>
      </w:r>
      <w:r w:rsidR="006F355C" w:rsidRPr="006F355C">
        <w:rPr>
          <w:smallCaps/>
        </w:rPr>
        <w:t xml:space="preserve">. R. </w:t>
      </w:r>
      <w:r w:rsidR="006F355C" w:rsidRPr="006F355C">
        <w:t>§</w:t>
      </w:r>
      <w:r w:rsidRPr="00C50860">
        <w:t>12-46-175 (d) (“An employer is responsible for its acts and those of its agents and supervisory employees with respect to harassment on the basis of ancestry regardless of whether the specific acts complained of were authorized or even forbidden by the employer and regardless of whether the employer knew or should have known of their occurrence</w:t>
      </w:r>
      <w:r w:rsidR="006F355C" w:rsidRPr="006F355C">
        <w:t>. T</w:t>
      </w:r>
      <w:r w:rsidRPr="00C50860">
        <w:t>he [HCRC] will examine the circumstances of the particular employment relationship and the job functions performed by the individual in determining whether an individual acts in a supervisory or agency capacity.”).</w:t>
      </w:r>
    </w:p>
  </w:footnote>
  <w:footnote w:id="176">
    <w:p w14:paraId="04B2BD71" w14:textId="503012A0" w:rsidR="00EC7962" w:rsidRPr="00C50860" w:rsidRDefault="00EC7962" w:rsidP="00450E78">
      <w:pPr>
        <w:pStyle w:val="FootnoteText"/>
        <w:spacing w:after="0"/>
      </w:pPr>
      <w:r w:rsidRPr="00C50860">
        <w:rPr>
          <w:vertAlign w:val="superscript"/>
        </w:rPr>
        <w:footnoteRef/>
      </w:r>
      <w:r w:rsidRPr="00C50860">
        <w:rPr>
          <w:rFonts w:cs="NewBaskerville-Italic"/>
          <w:i/>
          <w:iCs/>
        </w:rPr>
        <w:t>Lales</w:t>
      </w:r>
      <w:r w:rsidRPr="00C50860">
        <w:t>, 133 Haw</w:t>
      </w:r>
      <w:r w:rsidR="006F355C" w:rsidRPr="006F355C">
        <w:t>. a</w:t>
      </w:r>
      <w:r w:rsidRPr="00C50860">
        <w:t>t 356, 328 P.3d at 365.</w:t>
      </w:r>
    </w:p>
  </w:footnote>
  <w:footnote w:id="177">
    <w:p w14:paraId="581A5ABC" w14:textId="67B6B01C" w:rsidR="00EC7962" w:rsidRPr="00C50860" w:rsidRDefault="00EC7962" w:rsidP="00450E78">
      <w:pPr>
        <w:pStyle w:val="FootnoteText"/>
        <w:spacing w:after="0"/>
      </w:pPr>
      <w:r w:rsidRPr="00C50860">
        <w:rPr>
          <w:vertAlign w:val="superscript"/>
        </w:rPr>
        <w:footnoteRef/>
      </w:r>
      <w:r w:rsidRPr="00C50860">
        <w:rPr>
          <w:smallCaps/>
        </w:rPr>
        <w:t>Hawaii Rev</w:t>
      </w:r>
      <w:r w:rsidR="006F355C" w:rsidRPr="006F355C">
        <w:rPr>
          <w:smallCaps/>
        </w:rPr>
        <w:t>. S</w:t>
      </w:r>
      <w:r w:rsidRPr="00C50860">
        <w:rPr>
          <w:smallCaps/>
        </w:rPr>
        <w:t>tat</w:t>
      </w:r>
      <w:r w:rsidR="006F355C" w:rsidRPr="006F355C">
        <w:t>. §</w:t>
      </w:r>
      <w:r w:rsidRPr="00C50860">
        <w:t>378-2(a)(3).</w:t>
      </w:r>
    </w:p>
  </w:footnote>
  <w:footnote w:id="178">
    <w:p w14:paraId="0617D177" w14:textId="705104E8" w:rsidR="00EC7962" w:rsidRPr="00C50860" w:rsidRDefault="00EC7962" w:rsidP="00450E78">
      <w:pPr>
        <w:pStyle w:val="FootnoteText"/>
        <w:spacing w:after="0"/>
      </w:pPr>
      <w:r w:rsidRPr="00C50860">
        <w:rPr>
          <w:vertAlign w:val="superscript"/>
        </w:rPr>
        <w:footnoteRef/>
      </w:r>
      <w:r w:rsidRPr="00C50860">
        <w:t>285 F. Supp</w:t>
      </w:r>
      <w:r w:rsidR="006F355C" w:rsidRPr="006F355C">
        <w:t>. 3</w:t>
      </w:r>
      <w:r w:rsidRPr="00C50860">
        <w:t>d 1152, 1165 (D. Haw</w:t>
      </w:r>
      <w:r w:rsidR="006F355C" w:rsidRPr="006F355C">
        <w:t>. 2</w:t>
      </w:r>
      <w:r w:rsidRPr="00C50860">
        <w:t>018).</w:t>
      </w:r>
    </w:p>
  </w:footnote>
  <w:footnote w:id="179">
    <w:p w14:paraId="5ACB7CAC" w14:textId="202AB51C"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1164.</w:t>
      </w:r>
    </w:p>
  </w:footnote>
  <w:footnote w:id="180">
    <w:p w14:paraId="4B7AC666" w14:textId="5194DE3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1157.</w:t>
      </w:r>
    </w:p>
  </w:footnote>
  <w:footnote w:id="181">
    <w:p w14:paraId="401A10D2" w14:textId="50F19D4D"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1158.</w:t>
      </w:r>
    </w:p>
  </w:footnote>
  <w:footnote w:id="182">
    <w:p w14:paraId="430412FE" w14:textId="1B04033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1165 (citation omitted).</w:t>
      </w:r>
    </w:p>
  </w:footnote>
  <w:footnote w:id="183">
    <w:p w14:paraId="0E5977CA" w14:textId="34D47166"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w:t>
      </w:r>
      <w:r w:rsidRPr="00C50860">
        <w:t>citation omitted).</w:t>
      </w:r>
    </w:p>
  </w:footnote>
  <w:footnote w:id="184">
    <w:p w14:paraId="195527DF" w14:textId="03EE159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1165–66.</w:t>
      </w:r>
    </w:p>
  </w:footnote>
  <w:footnote w:id="185">
    <w:p w14:paraId="72E76548" w14:textId="68A92593" w:rsidR="00EC7962" w:rsidRPr="00C50860" w:rsidRDefault="00EC7962" w:rsidP="00450E78">
      <w:pPr>
        <w:pStyle w:val="FootnoteText"/>
        <w:spacing w:after="0"/>
      </w:pPr>
      <w:r w:rsidRPr="00C50860">
        <w:rPr>
          <w:rStyle w:val="FootnoteReference"/>
        </w:rPr>
        <w:footnoteRef/>
      </w:r>
      <w:r w:rsidRPr="00C50860">
        <w:rPr>
          <w:i/>
        </w:rPr>
        <w:t xml:space="preserve">Begley, </w:t>
      </w:r>
      <w:r w:rsidRPr="00C50860">
        <w:t>slip op</w:t>
      </w:r>
      <w:r w:rsidR="006F355C" w:rsidRPr="006F355C">
        <w:t>. a</w:t>
      </w:r>
      <w:r w:rsidRPr="00C50860">
        <w:t>t *14 (D</w:t>
      </w:r>
      <w:r w:rsidR="006F355C" w:rsidRPr="006F355C">
        <w:t>. H</w:t>
      </w:r>
      <w:r w:rsidRPr="00C50860">
        <w:t>aw</w:t>
      </w:r>
      <w:r w:rsidR="006F355C" w:rsidRPr="006F355C">
        <w:t xml:space="preserve">. </w:t>
      </w:r>
      <w:r w:rsidR="006F355C" w:rsidRPr="006F355C">
        <w:rPr>
          <w:szCs w:val="24"/>
        </w:rPr>
        <w:t>A</w:t>
      </w:r>
      <w:r w:rsidRPr="00C50860">
        <w:rPr>
          <w:szCs w:val="24"/>
        </w:rPr>
        <w:t>pr</w:t>
      </w:r>
      <w:r w:rsidR="006F355C" w:rsidRPr="006F355C">
        <w:rPr>
          <w:szCs w:val="24"/>
        </w:rPr>
        <w:t>. 1</w:t>
      </w:r>
      <w:r w:rsidRPr="00C50860">
        <w:rPr>
          <w:szCs w:val="24"/>
        </w:rPr>
        <w:t>1, 2019).</w:t>
      </w:r>
    </w:p>
  </w:footnote>
  <w:footnote w:id="186">
    <w:p w14:paraId="2AA1185F" w14:textId="77777777" w:rsidR="006F355C" w:rsidRDefault="00EC7962" w:rsidP="00450E78">
      <w:pPr>
        <w:pStyle w:val="FootnoteText"/>
        <w:spacing w:after="0"/>
        <w:rPr>
          <w:i/>
        </w:rPr>
      </w:pPr>
      <w:r w:rsidRPr="00C50860">
        <w:rPr>
          <w:rStyle w:val="FootnoteReference"/>
        </w:rPr>
        <w:footnoteRef/>
      </w:r>
      <w:r w:rsidRPr="00C50860">
        <w:rPr>
          <w:i/>
        </w:rPr>
        <w:t>Id.</w:t>
      </w:r>
    </w:p>
    <w:p w14:paraId="3225821A" w14:textId="779F0574" w:rsidR="00EC7962" w:rsidRPr="00C50860" w:rsidRDefault="00EC7962" w:rsidP="00450E78">
      <w:pPr>
        <w:pStyle w:val="FootnoteText"/>
        <w:spacing w:after="0"/>
      </w:pPr>
    </w:p>
  </w:footnote>
  <w:footnote w:id="187">
    <w:p w14:paraId="44F3CC33" w14:textId="77777777" w:rsidR="006F355C" w:rsidRDefault="00EC7962" w:rsidP="00450E78">
      <w:pPr>
        <w:pStyle w:val="BTKLitOuCont2"/>
        <w:spacing w:after="0"/>
        <w:ind w:left="0" w:firstLine="720"/>
        <w:rPr>
          <w:sz w:val="20"/>
          <w:szCs w:val="24"/>
        </w:rPr>
      </w:pPr>
      <w:r w:rsidRPr="00C50860">
        <w:rPr>
          <w:rStyle w:val="FootnoteReference"/>
        </w:rPr>
        <w:footnoteRef/>
      </w:r>
      <w:r w:rsidRPr="00C50860">
        <w:rPr>
          <w:i/>
          <w:sz w:val="20"/>
          <w:szCs w:val="24"/>
        </w:rPr>
        <w:t>Id.</w:t>
      </w:r>
    </w:p>
    <w:p w14:paraId="63FCFE87" w14:textId="0130B747" w:rsidR="00EC7962" w:rsidRPr="00C50860" w:rsidRDefault="00EC7962" w:rsidP="00450E78">
      <w:pPr>
        <w:pStyle w:val="BTKLitOuCont2"/>
        <w:spacing w:after="0"/>
        <w:ind w:left="0" w:firstLine="720"/>
      </w:pPr>
    </w:p>
  </w:footnote>
  <w:footnote w:id="188">
    <w:p w14:paraId="7BBD6E23" w14:textId="0275F42B" w:rsidR="00EC7962" w:rsidRPr="00C50860" w:rsidRDefault="00EC7962" w:rsidP="00450E78">
      <w:pPr>
        <w:pStyle w:val="FootnoteText"/>
        <w:spacing w:after="0"/>
      </w:pPr>
      <w:r w:rsidRPr="00C50860">
        <w:rPr>
          <w:vertAlign w:val="superscript"/>
        </w:rPr>
        <w:footnoteRef/>
      </w:r>
      <w:r w:rsidRPr="00C50860">
        <w:t>135 Haw</w:t>
      </w:r>
      <w:r w:rsidR="006F355C" w:rsidRPr="006F355C">
        <w:t>. 1</w:t>
      </w:r>
      <w:r w:rsidRPr="00C50860">
        <w:t>, 346 P.3d 70, 126 FEP Cases 560 (2015).</w:t>
      </w:r>
    </w:p>
  </w:footnote>
  <w:footnote w:id="189">
    <w:p w14:paraId="2D37208A" w14:textId="1B7280B7" w:rsidR="00EC7962" w:rsidRPr="00C50860" w:rsidRDefault="00EC7962" w:rsidP="00450E78">
      <w:pPr>
        <w:pStyle w:val="FootnoteText"/>
        <w:spacing w:after="0"/>
      </w:pPr>
      <w:r w:rsidRPr="00C50860">
        <w:rPr>
          <w:vertAlign w:val="superscript"/>
        </w:rPr>
        <w:footnoteRef/>
      </w:r>
      <w:r w:rsidRPr="00C50860">
        <w:t>94 Haw</w:t>
      </w:r>
      <w:r w:rsidR="006F355C" w:rsidRPr="006F355C">
        <w:t>. 3</w:t>
      </w:r>
      <w:r w:rsidRPr="00C50860">
        <w:t>68, 378–79, 14 P.3d 1049, 1059–60 (2000).</w:t>
      </w:r>
    </w:p>
  </w:footnote>
  <w:footnote w:id="190">
    <w:p w14:paraId="36E8104C" w14:textId="4AE30183" w:rsidR="00EC7962" w:rsidRPr="00C50860" w:rsidRDefault="00EC7962" w:rsidP="00450E78">
      <w:pPr>
        <w:pStyle w:val="FootnoteText"/>
        <w:spacing w:after="0"/>
      </w:pPr>
      <w:r w:rsidRPr="00C50860">
        <w:rPr>
          <w:vertAlign w:val="superscript"/>
        </w:rPr>
        <w:footnoteRef/>
      </w:r>
      <w:r w:rsidRPr="00C50860">
        <w:t>411 U.S</w:t>
      </w:r>
      <w:r w:rsidR="006F355C" w:rsidRPr="006F355C">
        <w:t>. 7</w:t>
      </w:r>
      <w:r w:rsidRPr="00C50860">
        <w:t>92 (1973).</w:t>
      </w:r>
    </w:p>
  </w:footnote>
  <w:footnote w:id="191">
    <w:p w14:paraId="7FC5F5FE" w14:textId="26AC8BF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W</w:t>
      </w:r>
      <w:r w:rsidRPr="00C50860">
        <w:t>hen a plaintiff “alleges that he or she has suffered an adverse employment action but continued to be employed by the employer,” the plaintiff may generally “satisfy the fourth element of the prima facie case for discrimination” by establishing that an employee “subject to the same policies and subordinate to the same decision-maker as the plaintiff” but “outside of his or her protected class was treated more favorably.” Kaloi v</w:t>
      </w:r>
      <w:r w:rsidR="006F355C" w:rsidRPr="006F355C">
        <w:t>. C</w:t>
      </w:r>
      <w:r w:rsidRPr="00C50860">
        <w:t>ounty of Hawai’i, No</w:t>
      </w:r>
      <w:r w:rsidR="006F355C" w:rsidRPr="006F355C">
        <w:t>. C</w:t>
      </w:r>
      <w:r w:rsidRPr="00C50860">
        <w:t>AAP-15-0000308, 2016 WL 3199477, at *3 n.9 (Haw</w:t>
      </w:r>
      <w:r w:rsidR="006F355C" w:rsidRPr="006F355C">
        <w:t>. C</w:t>
      </w:r>
      <w:r w:rsidRPr="00C50860">
        <w:t>t</w:t>
      </w:r>
      <w:r w:rsidR="006F355C" w:rsidRPr="006F355C">
        <w:t>. A</w:t>
      </w:r>
      <w:r w:rsidRPr="00C50860">
        <w:t>pp</w:t>
      </w:r>
      <w:r w:rsidR="006F355C" w:rsidRPr="006F355C">
        <w:t>. J</w:t>
      </w:r>
      <w:r w:rsidRPr="00C50860">
        <w:t>une 8, 2016).</w:t>
      </w:r>
    </w:p>
  </w:footnote>
  <w:footnote w:id="192">
    <w:p w14:paraId="687B0EED" w14:textId="085BA771" w:rsidR="00EC7962" w:rsidRPr="00C50860" w:rsidRDefault="00EC7962" w:rsidP="00450E78">
      <w:pPr>
        <w:pStyle w:val="FootnoteText"/>
        <w:spacing w:after="0"/>
      </w:pPr>
      <w:r w:rsidRPr="00C50860">
        <w:rPr>
          <w:vertAlign w:val="superscript"/>
        </w:rPr>
        <w:footnoteRef/>
      </w:r>
      <w:r w:rsidRPr="00C50860">
        <w:rPr>
          <w:i/>
        </w:rPr>
        <w:t>Adams</w:t>
      </w:r>
      <w:r w:rsidRPr="00C50860">
        <w:t>, 135 Haw</w:t>
      </w:r>
      <w:r w:rsidR="006F355C" w:rsidRPr="006F355C">
        <w:t>. a</w:t>
      </w:r>
      <w:r w:rsidRPr="00C50860">
        <w:t>t 13, 346 P.3d at 82.</w:t>
      </w:r>
    </w:p>
  </w:footnote>
  <w:footnote w:id="193">
    <w:p w14:paraId="53F88B77" w14:textId="77777777" w:rsidR="00EC7962" w:rsidRPr="00C50860" w:rsidRDefault="00EC7962" w:rsidP="00450E78">
      <w:pPr>
        <w:pStyle w:val="FootnoteText"/>
        <w:spacing w:after="0"/>
      </w:pPr>
      <w:r w:rsidRPr="00C50860">
        <w:rPr>
          <w:vertAlign w:val="superscript"/>
        </w:rPr>
        <w:footnoteRef/>
      </w:r>
      <w:r w:rsidRPr="00C50860">
        <w:rPr>
          <w:i/>
        </w:rPr>
        <w:t>Id</w:t>
      </w:r>
      <w:r w:rsidRPr="00C50860">
        <w:t>., 346 P.3d at 83.</w:t>
      </w:r>
    </w:p>
  </w:footnote>
  <w:footnote w:id="194">
    <w:p w14:paraId="010B2741"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5">
    <w:p w14:paraId="23EDA5FB"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6">
    <w:p w14:paraId="6F055EF4"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7">
    <w:p w14:paraId="3C18BB01"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8">
    <w:p w14:paraId="1BCAD714" w14:textId="2CA0D897" w:rsidR="00EC7962" w:rsidRPr="00C50860" w:rsidRDefault="00EC7962" w:rsidP="00450E78">
      <w:pPr>
        <w:pStyle w:val="FootnoteText"/>
        <w:spacing w:after="0"/>
      </w:pPr>
      <w:r w:rsidRPr="00C50860">
        <w:rPr>
          <w:vertAlign w:val="superscript"/>
        </w:rPr>
        <w:footnoteRef/>
      </w:r>
      <w:r w:rsidRPr="00C50860">
        <w:rPr>
          <w:i/>
        </w:rPr>
        <w:t>Id</w:t>
      </w:r>
      <w:r w:rsidRPr="00C50860">
        <w:t>., 135 Haw</w:t>
      </w:r>
      <w:r w:rsidR="006F355C" w:rsidRPr="006F355C">
        <w:t>. a</w:t>
      </w:r>
      <w:r w:rsidRPr="00C50860">
        <w:t>t 16, 346 P.3d at 85.</w:t>
      </w:r>
    </w:p>
  </w:footnote>
  <w:footnote w:id="199">
    <w:p w14:paraId="4FA9D934" w14:textId="02597309"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22, 346 P.3d at 91.</w:t>
      </w:r>
    </w:p>
  </w:footnote>
  <w:footnote w:id="200">
    <w:p w14:paraId="41FE8FE9"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1">
    <w:p w14:paraId="5DE3A653"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2">
    <w:p w14:paraId="01709F57" w14:textId="5FBBA6D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15, 346 P.3d at 84.</w:t>
      </w:r>
    </w:p>
  </w:footnote>
  <w:footnote w:id="203">
    <w:p w14:paraId="589D7045" w14:textId="05624532"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19, 346 P.3d at 88.</w:t>
      </w:r>
    </w:p>
  </w:footnote>
  <w:footnote w:id="204">
    <w:p w14:paraId="51B5205F" w14:textId="7988D7BC" w:rsidR="006F355C"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32 n.39, 346 P.3d at 101</w:t>
      </w:r>
      <w:r w:rsidR="006F355C" w:rsidRPr="006F355C">
        <w:t xml:space="preserve">. </w:t>
      </w:r>
      <w:r w:rsidR="006F355C" w:rsidRPr="006F355C">
        <w:rPr>
          <w:i/>
          <w:iCs/>
        </w:rPr>
        <w:t>S</w:t>
      </w:r>
      <w:r w:rsidRPr="00C50860">
        <w:rPr>
          <w:i/>
          <w:iCs/>
        </w:rPr>
        <w:t>ee also</w:t>
      </w:r>
      <w:r w:rsidRPr="00C50860">
        <w:t xml:space="preserve"> </w:t>
      </w:r>
      <w:r w:rsidRPr="00C50860">
        <w:rPr>
          <w:iCs/>
        </w:rPr>
        <w:t>Tavares v</w:t>
      </w:r>
      <w:r w:rsidR="006F355C" w:rsidRPr="006F355C">
        <w:rPr>
          <w:iCs/>
        </w:rPr>
        <w:t>. U</w:t>
      </w:r>
      <w:r w:rsidRPr="00C50860">
        <w:rPr>
          <w:iCs/>
        </w:rPr>
        <w:t>niversity of Haw.,</w:t>
      </w:r>
      <w:r w:rsidRPr="00C50860">
        <w:t xml:space="preserve"> 141 Hawaiʻi 500, 413 P.3d 404 at *4 (Ct</w:t>
      </w:r>
      <w:r w:rsidR="006F355C" w:rsidRPr="006F355C">
        <w:t>. A</w:t>
      </w:r>
      <w:r w:rsidRPr="00C50860">
        <w:t>pp</w:t>
      </w:r>
      <w:r w:rsidR="006F355C" w:rsidRPr="006F355C">
        <w:t>. 2</w:t>
      </w:r>
      <w:r w:rsidRPr="00C50860">
        <w:t>018)</w:t>
      </w:r>
      <w:r w:rsidR="006F355C" w:rsidRPr="006F355C">
        <w:t>. (</w:t>
      </w:r>
      <w:r w:rsidRPr="00C50860">
        <w:t>affirming employer’s argument that an arbitration decision finding it had just cause to terminate plaintiff’s employment established a legitimate non-discriminatory business reason for the plaintiff’s termination that the plaintiff failed to demonstrate was pretextual)</w:t>
      </w:r>
      <w:r w:rsidR="006F355C" w:rsidRPr="006F355C">
        <w:t xml:space="preserve">; </w:t>
      </w:r>
      <w:r w:rsidR="006F355C" w:rsidRPr="006F355C">
        <w:rPr>
          <w:iCs/>
        </w:rPr>
        <w:t>N</w:t>
      </w:r>
      <w:r w:rsidRPr="00C50860">
        <w:rPr>
          <w:iCs/>
        </w:rPr>
        <w:t>ozawa v</w:t>
      </w:r>
      <w:r w:rsidR="006F355C" w:rsidRPr="006F355C">
        <w:rPr>
          <w:iCs/>
        </w:rPr>
        <w:t>. O</w:t>
      </w:r>
      <w:r w:rsidRPr="00C50860">
        <w:rPr>
          <w:iCs/>
        </w:rPr>
        <w:t>perating Eng’rs Local Union No</w:t>
      </w:r>
      <w:r w:rsidR="006F355C" w:rsidRPr="006F355C">
        <w:rPr>
          <w:iCs/>
        </w:rPr>
        <w:t>. 3</w:t>
      </w:r>
      <w:r w:rsidRPr="00C50860">
        <w:rPr>
          <w:iCs/>
        </w:rPr>
        <w:t>,</w:t>
      </w:r>
      <w:r w:rsidRPr="00C50860">
        <w:rPr>
          <w:i/>
        </w:rPr>
        <w:t xml:space="preserve"> </w:t>
      </w:r>
      <w:r w:rsidRPr="00C50860">
        <w:t>142 Haw</w:t>
      </w:r>
      <w:r w:rsidR="006F355C" w:rsidRPr="006F355C">
        <w:t>. 3</w:t>
      </w:r>
      <w:r w:rsidRPr="00C50860">
        <w:t>31, 344, 418 P.3d 1187, 1200 (2018) (evidence demonstrates there is a “genuine issue as to whether Local 3’s reasons for terminating [employee] … were pretextual.”).</w:t>
      </w:r>
    </w:p>
    <w:p w14:paraId="2AE8F297" w14:textId="57ED9D37" w:rsidR="00EC7962" w:rsidRPr="00C50860" w:rsidRDefault="00EC7962" w:rsidP="00450E78">
      <w:pPr>
        <w:pStyle w:val="FootnoteText"/>
        <w:spacing w:after="0"/>
      </w:pPr>
    </w:p>
  </w:footnote>
  <w:footnote w:id="205">
    <w:p w14:paraId="45AF62E5" w14:textId="2CB6495D" w:rsidR="00EC7962" w:rsidRPr="00C50860" w:rsidRDefault="00EC7962" w:rsidP="00450E78">
      <w:pPr>
        <w:pStyle w:val="FootnoteText"/>
        <w:spacing w:after="0"/>
      </w:pPr>
      <w:r w:rsidRPr="00C50860">
        <w:rPr>
          <w:vertAlign w:val="superscript"/>
        </w:rPr>
        <w:footnoteRef/>
      </w:r>
      <w:r w:rsidRPr="00C50860">
        <w:t>134 Haw</w:t>
      </w:r>
      <w:r w:rsidR="006F355C" w:rsidRPr="006F355C">
        <w:t>. 4</w:t>
      </w:r>
      <w:r w:rsidRPr="00C50860">
        <w:t>79, 345 P.3d 145 (2015).</w:t>
      </w:r>
    </w:p>
  </w:footnote>
  <w:footnote w:id="206">
    <w:p w14:paraId="7471D570" w14:textId="5FE93A1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481, 345 P.3d at 146.</w:t>
      </w:r>
    </w:p>
  </w:footnote>
  <w:footnote w:id="207">
    <w:p w14:paraId="4E161941"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8">
    <w:p w14:paraId="40D3BE49"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9">
    <w:p w14:paraId="1637D109" w14:textId="471D091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485, 345 P.3d at 151.</w:t>
      </w:r>
    </w:p>
  </w:footnote>
  <w:footnote w:id="210">
    <w:p w14:paraId="765B09ED" w14:textId="0FBEF21D"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482, 345 P.3d at 148.</w:t>
      </w:r>
    </w:p>
  </w:footnote>
  <w:footnote w:id="211">
    <w:p w14:paraId="1D98CA20" w14:textId="2C88D1E8"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483, 345 P.3d at 149.</w:t>
      </w:r>
    </w:p>
  </w:footnote>
  <w:footnote w:id="212">
    <w:p w14:paraId="098EFF60" w14:textId="6D3E7C4F"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484, 345 P.3d at 150.</w:t>
      </w:r>
    </w:p>
  </w:footnote>
  <w:footnote w:id="213">
    <w:p w14:paraId="4DE7BFDE"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14">
    <w:p w14:paraId="4EB8981D" w14:textId="421E4FFD" w:rsidR="00EC7962" w:rsidRPr="00C50860" w:rsidRDefault="00EC7962" w:rsidP="00450E78">
      <w:pPr>
        <w:pStyle w:val="FootnoteText"/>
        <w:spacing w:after="0"/>
      </w:pPr>
      <w:r w:rsidRPr="00C50860">
        <w:rPr>
          <w:vertAlign w:val="superscript"/>
        </w:rPr>
        <w:footnoteRef/>
      </w:r>
      <w:r w:rsidRPr="00C50860">
        <w:rPr>
          <w:i/>
        </w:rPr>
        <w:t>Id.,</w:t>
      </w:r>
      <w:r w:rsidRPr="00C50860">
        <w:t xml:space="preserve"> 134 Haw</w:t>
      </w:r>
      <w:r w:rsidR="006F355C" w:rsidRPr="006F355C">
        <w:t>. a</w:t>
      </w:r>
      <w:r w:rsidRPr="00C50860">
        <w:t>t 486, 345 P.3d at 152.</w:t>
      </w:r>
    </w:p>
  </w:footnote>
  <w:footnote w:id="215">
    <w:p w14:paraId="1AB08307" w14:textId="7C480B54"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487, 345 P.3d at 153.</w:t>
      </w:r>
    </w:p>
  </w:footnote>
  <w:footnote w:id="216">
    <w:p w14:paraId="009F6C01" w14:textId="717FBEB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488, 345 P.3d at 154.</w:t>
      </w:r>
    </w:p>
  </w:footnote>
  <w:footnote w:id="217">
    <w:p w14:paraId="7EFF0846" w14:textId="2D175B2D" w:rsidR="00EC7962" w:rsidRPr="00C50860" w:rsidRDefault="00EC7962" w:rsidP="00450E78">
      <w:pPr>
        <w:pStyle w:val="FootnoteText"/>
        <w:spacing w:after="0"/>
      </w:pPr>
      <w:r w:rsidRPr="00C50860">
        <w:rPr>
          <w:vertAlign w:val="superscript"/>
        </w:rPr>
        <w:footnoteRef/>
      </w:r>
      <w:r w:rsidRPr="00C50860">
        <w:t>Civil No</w:t>
      </w:r>
      <w:r w:rsidR="006F355C" w:rsidRPr="006F355C">
        <w:t>. 1</w:t>
      </w:r>
      <w:r w:rsidRPr="00C50860">
        <w:t>4–00025 SOM/RLP</w:t>
      </w:r>
      <w:r w:rsidRPr="00C50860">
        <w:rPr>
          <w:rFonts w:cs="ArialMT"/>
        </w:rPr>
        <w:t xml:space="preserve"> </w:t>
      </w:r>
      <w:r w:rsidRPr="00C50860">
        <w:t>2015 WL 470288 (D. Haw</w:t>
      </w:r>
      <w:r w:rsidR="006F355C" w:rsidRPr="006F355C">
        <w:t>. F</w:t>
      </w:r>
      <w:r w:rsidRPr="00C50860">
        <w:t>eb</w:t>
      </w:r>
      <w:r w:rsidR="006F355C" w:rsidRPr="006F355C">
        <w:t>. 4</w:t>
      </w:r>
      <w:r w:rsidRPr="00C50860">
        <w:t>, 2015).</w:t>
      </w:r>
    </w:p>
  </w:footnote>
  <w:footnote w:id="218">
    <w:p w14:paraId="18ED6230"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19">
    <w:p w14:paraId="65DC9B16" w14:textId="16BBC0F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*6.</w:t>
      </w:r>
    </w:p>
  </w:footnote>
  <w:footnote w:id="220">
    <w:p w14:paraId="5B36780D" w14:textId="5ABB003D"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 xml:space="preserve">. </w:t>
      </w:r>
      <w:r w:rsidR="006F355C" w:rsidRPr="006F355C">
        <w:t>a</w:t>
      </w:r>
      <w:r w:rsidRPr="00C50860">
        <w:t>t *7.</w:t>
      </w:r>
    </w:p>
  </w:footnote>
  <w:footnote w:id="221">
    <w:p w14:paraId="53A87B7D" w14:textId="2BD19397" w:rsidR="00EC7962" w:rsidRPr="00C50860" w:rsidRDefault="00EC7962" w:rsidP="00450E78">
      <w:pPr>
        <w:pStyle w:val="FootnoteText"/>
        <w:spacing w:after="0"/>
      </w:pPr>
      <w:r w:rsidRPr="00C50860">
        <w:rPr>
          <w:rStyle w:val="FootnoteReference"/>
        </w:rPr>
        <w:footnoteRef/>
      </w:r>
      <w:r w:rsidRPr="00C50860">
        <w:t>143 Haw</w:t>
      </w:r>
      <w:r w:rsidR="006F355C" w:rsidRPr="006F355C">
        <w:t>. 2</w:t>
      </w:r>
      <w:r w:rsidRPr="00C50860">
        <w:t>35, 426 P.3d 459 at *7 (Ct</w:t>
      </w:r>
      <w:r w:rsidR="006F355C" w:rsidRPr="006F355C">
        <w:t>. A</w:t>
      </w:r>
      <w:r w:rsidRPr="00C50860">
        <w:t>pp</w:t>
      </w:r>
      <w:r w:rsidR="006F355C" w:rsidRPr="006F355C">
        <w:t>. 2</w:t>
      </w:r>
      <w:r w:rsidRPr="00C50860">
        <w:t>018).</w:t>
      </w:r>
    </w:p>
  </w:footnote>
  <w:footnote w:id="222">
    <w:p w14:paraId="2AE41BB4" w14:textId="77777777" w:rsidR="006F355C" w:rsidRPr="00C50860" w:rsidRDefault="006F355C" w:rsidP="00450E78">
      <w:pPr>
        <w:pStyle w:val="FootnoteText"/>
        <w:spacing w:after="0"/>
      </w:pPr>
      <w:r w:rsidRPr="00C50860">
        <w:rPr>
          <w:rStyle w:val="FootnoteReference"/>
        </w:rPr>
        <w:footnoteRef/>
      </w:r>
      <w:r w:rsidRPr="00C50860">
        <w:rPr>
          <w:rFonts w:cs="NewBaskerville-Italic"/>
          <w:i/>
          <w:iCs/>
        </w:rPr>
        <w:t>Id.</w:t>
      </w:r>
    </w:p>
  </w:footnote>
  <w:footnote w:id="223">
    <w:p w14:paraId="374DE06A" w14:textId="51A52E8D" w:rsidR="006F355C" w:rsidRDefault="00EC7962" w:rsidP="00450E78">
      <w:pPr>
        <w:pStyle w:val="FootnoteText"/>
        <w:spacing w:after="0"/>
      </w:pPr>
      <w:r w:rsidRPr="00C50860">
        <w:rPr>
          <w:rStyle w:val="FootnoteReference"/>
        </w:rPr>
        <w:footnoteRef/>
      </w:r>
      <w:r w:rsidRPr="00C50860">
        <w:t>SCWC-14-0001135, 2019 WL 2417429 (Haw</w:t>
      </w:r>
      <w:r w:rsidR="006F355C" w:rsidRPr="006F355C">
        <w:t>. J</w:t>
      </w:r>
      <w:r w:rsidRPr="00C50860">
        <w:t>une 10, 2019).</w:t>
      </w:r>
    </w:p>
    <w:p w14:paraId="7EE4647A" w14:textId="2CA7AABD" w:rsidR="00EC7962" w:rsidRPr="00C50860" w:rsidRDefault="00EC7962" w:rsidP="00450E78">
      <w:pPr>
        <w:pStyle w:val="FootnoteText"/>
        <w:spacing w:after="0"/>
      </w:pPr>
    </w:p>
  </w:footnote>
  <w:footnote w:id="224">
    <w:p w14:paraId="1AEF9077" w14:textId="0F3B20BD"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*7.</w:t>
      </w:r>
    </w:p>
  </w:footnote>
  <w:footnote w:id="225">
    <w:p w14:paraId="7385D2B6" w14:textId="147A7D93"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*9 n.10.</w:t>
      </w:r>
    </w:p>
  </w:footnote>
  <w:footnote w:id="226">
    <w:p w14:paraId="40E38BEE" w14:textId="58A6742A" w:rsidR="006F355C"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*7.</w:t>
      </w:r>
    </w:p>
    <w:p w14:paraId="6FF173C5" w14:textId="41A70E7C" w:rsidR="00EC7962" w:rsidRPr="00C50860" w:rsidRDefault="00EC7962" w:rsidP="00450E78">
      <w:pPr>
        <w:pStyle w:val="FootnoteText"/>
        <w:spacing w:after="0"/>
      </w:pPr>
    </w:p>
  </w:footnote>
  <w:footnote w:id="227">
    <w:p w14:paraId="1CF33CE3" w14:textId="77777777" w:rsidR="00EC7962" w:rsidRPr="00C50860" w:rsidRDefault="00EC7962" w:rsidP="00450E78">
      <w:pPr>
        <w:pStyle w:val="FootnoteText"/>
        <w:spacing w:after="0"/>
      </w:pPr>
      <w:r w:rsidRPr="00C50860">
        <w:rPr>
          <w:rStyle w:val="FootnoteReference"/>
        </w:rPr>
        <w:footnoteRef/>
      </w:r>
      <w:r w:rsidRPr="00C50860">
        <w:rPr>
          <w:i/>
        </w:rPr>
        <w:t>Id.</w:t>
      </w:r>
    </w:p>
  </w:footnote>
  <w:footnote w:id="228">
    <w:p w14:paraId="53CB5BD3" w14:textId="1899F74C" w:rsidR="006F355C" w:rsidRDefault="00EC7962" w:rsidP="00450E78">
      <w:pPr>
        <w:pStyle w:val="FootnoteText"/>
        <w:spacing w:after="0"/>
      </w:pPr>
      <w:r w:rsidRPr="00C50860">
        <w:rPr>
          <w:rStyle w:val="FootnoteReference"/>
        </w:rPr>
        <w:footnoteRef/>
      </w:r>
      <w:r w:rsidRPr="00C50860">
        <w:rPr>
          <w:i/>
        </w:rPr>
        <w:t>See id</w:t>
      </w:r>
      <w:r w:rsidR="006F355C" w:rsidRPr="006F355C">
        <w:rPr>
          <w:i/>
        </w:rPr>
        <w:t xml:space="preserve">. </w:t>
      </w:r>
      <w:r w:rsidR="006F355C" w:rsidRPr="006F355C">
        <w:t>a</w:t>
      </w:r>
      <w:r w:rsidRPr="00C50860">
        <w:t>t *8–9 (holding that there was no “clear evidence” to prove that the employee’s absence was creating a “business impairment” nor that any alternatives, such as a temporary employee, would not have alleviated the employer’s concerns).</w:t>
      </w:r>
    </w:p>
    <w:p w14:paraId="3A738EBB" w14:textId="747BFDFA" w:rsidR="00EC7962" w:rsidRPr="00C50860" w:rsidRDefault="00EC7962" w:rsidP="00450E78">
      <w:pPr>
        <w:pStyle w:val="FootnoteText"/>
        <w:spacing w:after="0"/>
      </w:pPr>
    </w:p>
  </w:footnote>
  <w:footnote w:id="229">
    <w:p w14:paraId="7E377399" w14:textId="0697882B" w:rsidR="00EC7962" w:rsidRPr="00C50860" w:rsidRDefault="00EC7962" w:rsidP="00450E78">
      <w:pPr>
        <w:pStyle w:val="FootnoteText"/>
        <w:spacing w:after="0"/>
      </w:pPr>
      <w:r w:rsidRPr="00C50860">
        <w:rPr>
          <w:rStyle w:val="FootnoteReference"/>
        </w:rPr>
        <w:footnoteRef/>
      </w:r>
      <w:r w:rsidRPr="00C50860">
        <w:rPr>
          <w:color w:val="212121"/>
          <w:szCs w:val="21"/>
        </w:rPr>
        <w:t>Civ</w:t>
      </w:r>
      <w:r w:rsidR="006F355C" w:rsidRPr="006F355C">
        <w:rPr>
          <w:color w:val="212121"/>
          <w:szCs w:val="21"/>
        </w:rPr>
        <w:t>. N</w:t>
      </w:r>
      <w:r w:rsidRPr="00C50860">
        <w:rPr>
          <w:color w:val="212121"/>
          <w:szCs w:val="21"/>
        </w:rPr>
        <w:t>o</w:t>
      </w:r>
      <w:r w:rsidR="006F355C" w:rsidRPr="006F355C">
        <w:rPr>
          <w:color w:val="212121"/>
          <w:szCs w:val="21"/>
        </w:rPr>
        <w:t>. 1</w:t>
      </w:r>
      <w:r w:rsidRPr="00C50860">
        <w:rPr>
          <w:color w:val="212121"/>
          <w:szCs w:val="21"/>
        </w:rPr>
        <w:t>7-00495 DKW-KSC, 2018 WL 1975678 (D</w:t>
      </w:r>
      <w:r w:rsidR="006F355C" w:rsidRPr="006F355C">
        <w:rPr>
          <w:color w:val="212121"/>
          <w:szCs w:val="21"/>
        </w:rPr>
        <w:t>. H</w:t>
      </w:r>
      <w:r w:rsidRPr="00C50860">
        <w:rPr>
          <w:color w:val="212121"/>
          <w:szCs w:val="21"/>
        </w:rPr>
        <w:t>aw</w:t>
      </w:r>
      <w:r w:rsidR="006F355C" w:rsidRPr="006F355C">
        <w:rPr>
          <w:color w:val="212121"/>
          <w:szCs w:val="21"/>
        </w:rPr>
        <w:t>. A</w:t>
      </w:r>
      <w:r w:rsidRPr="00C50860">
        <w:rPr>
          <w:color w:val="212121"/>
          <w:szCs w:val="21"/>
        </w:rPr>
        <w:t>pr</w:t>
      </w:r>
      <w:r w:rsidR="006F355C" w:rsidRPr="006F355C">
        <w:rPr>
          <w:color w:val="212121"/>
          <w:szCs w:val="21"/>
        </w:rPr>
        <w:t>. 2</w:t>
      </w:r>
      <w:r w:rsidRPr="00C50860">
        <w:rPr>
          <w:color w:val="212121"/>
          <w:szCs w:val="21"/>
        </w:rPr>
        <w:t>6, 2018).</w:t>
      </w:r>
    </w:p>
  </w:footnote>
  <w:footnote w:id="230">
    <w:p w14:paraId="305AA25A" w14:textId="04613902" w:rsidR="00EC7962" w:rsidRPr="00C50860" w:rsidRDefault="00EC7962" w:rsidP="00450E78">
      <w:pPr>
        <w:pStyle w:val="FootnoteText"/>
        <w:spacing w:after="0"/>
      </w:pPr>
      <w:r w:rsidRPr="00C50860">
        <w:rPr>
          <w:rStyle w:val="FootnoteReference"/>
        </w:rPr>
        <w:footnoteRef/>
      </w:r>
      <w:r w:rsidRPr="00C50860">
        <w:rPr>
          <w:i/>
          <w:color w:val="212121"/>
        </w:rPr>
        <w:t>Id</w:t>
      </w:r>
      <w:r w:rsidR="006F355C" w:rsidRPr="006F355C">
        <w:rPr>
          <w:i/>
          <w:color w:val="212121"/>
        </w:rPr>
        <w:t xml:space="preserve">. </w:t>
      </w:r>
      <w:r w:rsidR="006F355C" w:rsidRPr="006F355C">
        <w:rPr>
          <w:color w:val="212121"/>
        </w:rPr>
        <w:t>a</w:t>
      </w:r>
      <w:r w:rsidRPr="00C50860">
        <w:rPr>
          <w:color w:val="212121"/>
        </w:rPr>
        <w:t>t *6 (D</w:t>
      </w:r>
      <w:r w:rsidR="006F355C" w:rsidRPr="006F355C">
        <w:rPr>
          <w:color w:val="212121"/>
        </w:rPr>
        <w:t>. H</w:t>
      </w:r>
      <w:r w:rsidRPr="00C50860">
        <w:rPr>
          <w:color w:val="212121"/>
        </w:rPr>
        <w:t>aw</w:t>
      </w:r>
      <w:r w:rsidR="006F355C" w:rsidRPr="006F355C">
        <w:rPr>
          <w:color w:val="212121"/>
        </w:rPr>
        <w:t>. A</w:t>
      </w:r>
      <w:r w:rsidRPr="00C50860">
        <w:rPr>
          <w:color w:val="212121"/>
        </w:rPr>
        <w:t>pr</w:t>
      </w:r>
      <w:r w:rsidR="006F355C" w:rsidRPr="006F355C">
        <w:rPr>
          <w:color w:val="212121"/>
        </w:rPr>
        <w:t>. 2</w:t>
      </w:r>
      <w:r w:rsidRPr="00C50860">
        <w:rPr>
          <w:color w:val="212121"/>
        </w:rPr>
        <w:t>6, 2018).</w:t>
      </w:r>
    </w:p>
  </w:footnote>
  <w:footnote w:id="231">
    <w:p w14:paraId="20133495" w14:textId="0218D1D0" w:rsidR="00EC7962" w:rsidRPr="00C50860" w:rsidRDefault="00EC7962" w:rsidP="00450E78">
      <w:pPr>
        <w:pStyle w:val="FootnoteText"/>
        <w:spacing w:after="0"/>
      </w:pPr>
      <w:r w:rsidRPr="00C50860">
        <w:rPr>
          <w:rStyle w:val="FootnoteReference"/>
        </w:rPr>
        <w:footnoteRef/>
      </w:r>
      <w:r w:rsidRPr="00C50860">
        <w:t xml:space="preserve">2021 WL 1652949 </w:t>
      </w:r>
      <w:r w:rsidRPr="00C50860">
        <w:rPr>
          <w:color w:val="212121"/>
        </w:rPr>
        <w:t>(D</w:t>
      </w:r>
      <w:r w:rsidR="006F355C" w:rsidRPr="006F355C">
        <w:rPr>
          <w:color w:val="212121"/>
        </w:rPr>
        <w:t>. H</w:t>
      </w:r>
      <w:r w:rsidRPr="00C50860">
        <w:rPr>
          <w:color w:val="212121"/>
        </w:rPr>
        <w:t>aw</w:t>
      </w:r>
      <w:r w:rsidR="006F355C" w:rsidRPr="006F355C">
        <w:rPr>
          <w:color w:val="212121"/>
        </w:rPr>
        <w:t>. A</w:t>
      </w:r>
      <w:r w:rsidRPr="00C50860">
        <w:rPr>
          <w:color w:val="212121"/>
        </w:rPr>
        <w:t>pr</w:t>
      </w:r>
      <w:r w:rsidR="006F355C" w:rsidRPr="006F355C">
        <w:rPr>
          <w:color w:val="212121"/>
        </w:rPr>
        <w:t>. 2</w:t>
      </w:r>
      <w:r w:rsidRPr="00C50860">
        <w:rPr>
          <w:color w:val="212121"/>
        </w:rPr>
        <w:t>7, 2021).</w:t>
      </w:r>
    </w:p>
  </w:footnote>
  <w:footnote w:id="232">
    <w:p w14:paraId="1BD50276" w14:textId="08E3925C" w:rsidR="00EC7962" w:rsidRPr="00C50860" w:rsidRDefault="00EC7962" w:rsidP="00450E78">
      <w:pPr>
        <w:pStyle w:val="FootnoteText"/>
        <w:spacing w:after="0"/>
      </w:pPr>
      <w:r w:rsidRPr="00C50860">
        <w:rPr>
          <w:rStyle w:val="FootnoteReference"/>
        </w:rPr>
        <w:footnoteRef/>
      </w:r>
      <w:r w:rsidRPr="00C50860">
        <w:rPr>
          <w:i/>
          <w:iCs/>
        </w:rPr>
        <w:t>Id</w:t>
      </w:r>
      <w:r w:rsidR="006F355C" w:rsidRPr="006F355C">
        <w:rPr>
          <w:i/>
          <w:iCs/>
        </w:rPr>
        <w:t xml:space="preserve">. </w:t>
      </w:r>
      <w:r w:rsidR="006F355C" w:rsidRPr="006F355C">
        <w:t>a</w:t>
      </w:r>
      <w:r w:rsidRPr="00C50860">
        <w:t>t *9.</w:t>
      </w:r>
    </w:p>
  </w:footnote>
  <w:footnote w:id="233">
    <w:p w14:paraId="55CC2389" w14:textId="10149052"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*11 (citing Wallis v</w:t>
      </w:r>
      <w:r w:rsidR="006F355C" w:rsidRPr="006F355C">
        <w:t>. J</w:t>
      </w:r>
      <w:r w:rsidRPr="00C50860">
        <w:t>.R</w:t>
      </w:r>
      <w:r w:rsidR="006F355C" w:rsidRPr="006F355C">
        <w:t>. S</w:t>
      </w:r>
      <w:r w:rsidRPr="00C50860">
        <w:t>implot Co., 26 F.3d 885, 889–90 (</w:t>
      </w:r>
      <w:r w:rsidR="006F355C" w:rsidRPr="006F355C">
        <w:t>9th</w:t>
      </w:r>
      <w:r w:rsidRPr="00C50860">
        <w:t xml:space="preserve"> Cir</w:t>
      </w:r>
      <w:r w:rsidR="006F355C" w:rsidRPr="006F355C">
        <w:t>. 1</w:t>
      </w:r>
      <w:r w:rsidRPr="00C50860">
        <w:t>994)).</w:t>
      </w:r>
    </w:p>
  </w:footnote>
  <w:footnote w:id="234">
    <w:p w14:paraId="137C213A" w14:textId="2867CAA3"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*9 (citations omitted).</w:t>
      </w:r>
    </w:p>
  </w:footnote>
  <w:footnote w:id="235">
    <w:p w14:paraId="1C137B79" w14:textId="36E90716" w:rsidR="00EC7962" w:rsidRPr="00C50860" w:rsidRDefault="00EC7962" w:rsidP="00165C23">
      <w:pPr>
        <w:pStyle w:val="FootnoteText"/>
      </w:pPr>
      <w:r w:rsidRPr="00C50860">
        <w:rPr>
          <w:rStyle w:val="FootnoteReference"/>
        </w:rPr>
        <w:footnoteRef/>
      </w:r>
      <w:r w:rsidRPr="00C50860">
        <w:t>S</w:t>
      </w:r>
      <w:r w:rsidR="006F355C" w:rsidRPr="006F355C">
        <w:t>. B. 1</w:t>
      </w:r>
      <w:r w:rsidRPr="00C50860">
        <w:t>057, 32nd Leg., Reg</w:t>
      </w:r>
      <w:r w:rsidR="006F355C" w:rsidRPr="006F355C">
        <w:t>. S</w:t>
      </w:r>
      <w:r w:rsidRPr="00C50860">
        <w:t>ess</w:t>
      </w:r>
      <w:r w:rsidR="006F355C" w:rsidRPr="006F355C">
        <w:t>. (</w:t>
      </w:r>
      <w:r w:rsidRPr="00C50860">
        <w:t>Haw</w:t>
      </w:r>
      <w:r w:rsidR="006F355C" w:rsidRPr="006F355C">
        <w:t>. 2</w:t>
      </w:r>
      <w:r w:rsidRPr="00C50860">
        <w:t>023).</w:t>
      </w:r>
    </w:p>
  </w:footnote>
  <w:footnote w:id="236">
    <w:p w14:paraId="32749CC9" w14:textId="2926E77F" w:rsidR="00EC7962" w:rsidRPr="00C50860" w:rsidRDefault="00EC7962" w:rsidP="00450E78">
      <w:pPr>
        <w:pStyle w:val="FootnoteText"/>
        <w:spacing w:after="0"/>
      </w:pPr>
      <w:r w:rsidRPr="00C50860">
        <w:rPr>
          <w:vertAlign w:val="superscript"/>
        </w:rPr>
        <w:footnoteRef/>
      </w:r>
      <w:r w:rsidRPr="00C50860">
        <w:t>133 Haw</w:t>
      </w:r>
      <w:r w:rsidR="006F355C" w:rsidRPr="006F355C">
        <w:t>. 3</w:t>
      </w:r>
      <w:r w:rsidRPr="00C50860">
        <w:t>32, 347, 328 P.3d 341, 356, 121 FEP Cases (BNA) 1225 (2014).</w:t>
      </w:r>
    </w:p>
  </w:footnote>
  <w:footnote w:id="237">
    <w:p w14:paraId="3EAF9DF7" w14:textId="279A22EF" w:rsidR="00EC7962" w:rsidRPr="00C50860" w:rsidRDefault="00EC7962" w:rsidP="00450E78">
      <w:pPr>
        <w:pStyle w:val="FootnoteText"/>
        <w:spacing w:after="0"/>
      </w:pPr>
      <w:r w:rsidRPr="00C50860">
        <w:rPr>
          <w:vertAlign w:val="superscript"/>
        </w:rPr>
        <w:footnoteRef/>
      </w:r>
      <w:r w:rsidRPr="00C50860">
        <w:t>Civil No</w:t>
      </w:r>
      <w:r w:rsidR="006F355C" w:rsidRPr="006F355C">
        <w:t>. 1</w:t>
      </w:r>
      <w:r w:rsidRPr="00C50860">
        <w:t>3–00044 DKW–RLP, 2014 WL 1031039 (D. Haw</w:t>
      </w:r>
      <w:r w:rsidR="006F355C" w:rsidRPr="006F355C">
        <w:t>. M</w:t>
      </w:r>
      <w:r w:rsidRPr="00C50860">
        <w:t>ar</w:t>
      </w:r>
      <w:r w:rsidR="006F355C" w:rsidRPr="006F355C">
        <w:t>. 1</w:t>
      </w:r>
      <w:r w:rsidRPr="00C50860">
        <w:t>3, 2014).</w:t>
      </w:r>
    </w:p>
  </w:footnote>
  <w:footnote w:id="238">
    <w:p w14:paraId="724BE97D" w14:textId="0FB53ADF" w:rsidR="00EC7962" w:rsidRPr="00C50860" w:rsidRDefault="00EC7962" w:rsidP="00450E78">
      <w:pPr>
        <w:pStyle w:val="FootnoteText"/>
        <w:spacing w:after="0"/>
      </w:pPr>
      <w:r w:rsidRPr="00C50860">
        <w:rPr>
          <w:vertAlign w:val="superscript"/>
        </w:rPr>
        <w:footnoteRef/>
      </w:r>
      <w:r w:rsidRPr="00C50860">
        <w:t>Civil No</w:t>
      </w:r>
      <w:r w:rsidR="006F355C" w:rsidRPr="006F355C">
        <w:t>. 1</w:t>
      </w:r>
      <w:r w:rsidRPr="00C50860">
        <w:t>3–00044 DKW–RLP 2014, WL 1031039, at *8 (D. Haw</w:t>
      </w:r>
      <w:r w:rsidR="006F355C" w:rsidRPr="006F355C">
        <w:t>. M</w:t>
      </w:r>
      <w:r w:rsidRPr="00C50860">
        <w:t>ar</w:t>
      </w:r>
      <w:r w:rsidR="006F355C" w:rsidRPr="006F355C">
        <w:t>. 1</w:t>
      </w:r>
      <w:r w:rsidRPr="00C50860">
        <w:t>3, 2014).</w:t>
      </w:r>
    </w:p>
  </w:footnote>
  <w:footnote w:id="239">
    <w:p w14:paraId="65495BAA" w14:textId="1F2705BD" w:rsidR="00EC7962" w:rsidRPr="00C50860" w:rsidRDefault="00EC7962" w:rsidP="00450E78">
      <w:pPr>
        <w:pStyle w:val="FootnoteText"/>
        <w:spacing w:after="0"/>
      </w:pPr>
      <w:r w:rsidRPr="00C50860">
        <w:rPr>
          <w:rStyle w:val="FootnoteReference"/>
        </w:rPr>
        <w:footnoteRef/>
      </w:r>
      <w:r w:rsidRPr="00C50860">
        <w:t>2020 WL 7351113 (D. Haw</w:t>
      </w:r>
      <w:r w:rsidR="006F355C" w:rsidRPr="006F355C">
        <w:t>. N</w:t>
      </w:r>
      <w:r w:rsidRPr="00C50860">
        <w:t>ov</w:t>
      </w:r>
      <w:r w:rsidR="006F355C" w:rsidRPr="006F355C">
        <w:t>. 2</w:t>
      </w:r>
      <w:r w:rsidRPr="00C50860">
        <w:t>0, 2020).</w:t>
      </w:r>
    </w:p>
  </w:footnote>
  <w:footnote w:id="240">
    <w:p w14:paraId="4A4E8151" w14:textId="611359E3" w:rsidR="00EC7962" w:rsidRPr="00C50860" w:rsidRDefault="00EC7962" w:rsidP="00450E78">
      <w:pPr>
        <w:pStyle w:val="FootnoteText"/>
        <w:spacing w:after="0"/>
      </w:pPr>
      <w:r w:rsidRPr="00C50860">
        <w:rPr>
          <w:rStyle w:val="FootnoteReference"/>
        </w:rPr>
        <w:footnoteRef/>
      </w:r>
      <w:r w:rsidRPr="00C50860">
        <w:t>411 U.S</w:t>
      </w:r>
      <w:r w:rsidR="006F355C" w:rsidRPr="006F355C">
        <w:t>. 7</w:t>
      </w:r>
      <w:r w:rsidRPr="00C50860">
        <w:t>92 (1973).</w:t>
      </w:r>
    </w:p>
  </w:footnote>
  <w:footnote w:id="241">
    <w:p w14:paraId="40C3E43B" w14:textId="2C9A6E0D" w:rsidR="00EC7962" w:rsidRPr="00C50860" w:rsidRDefault="00EC7962" w:rsidP="00450E78">
      <w:pPr>
        <w:pStyle w:val="FootnoteText"/>
        <w:spacing w:after="0"/>
      </w:pPr>
      <w:r w:rsidRPr="00C50860">
        <w:rPr>
          <w:rStyle w:val="FootnoteReference"/>
        </w:rPr>
        <w:footnoteRef/>
      </w:r>
      <w:r w:rsidRPr="00C50860">
        <w:t>2020 WL 7351113, at *16 (citing Grilho v</w:t>
      </w:r>
      <w:r w:rsidR="006F355C" w:rsidRPr="006F355C">
        <w:t>. P</w:t>
      </w:r>
      <w:r w:rsidRPr="00C50860">
        <w:t>ioneer Hi-Bred Int'l, Inc., 2020 WL 2086486, at *3 (D</w:t>
      </w:r>
      <w:r w:rsidR="006F355C" w:rsidRPr="006F355C">
        <w:t>. H</w:t>
      </w:r>
      <w:r w:rsidRPr="00C50860">
        <w:t>aw</w:t>
      </w:r>
      <w:r w:rsidR="006F355C" w:rsidRPr="006F355C">
        <w:t>. A</w:t>
      </w:r>
      <w:r w:rsidRPr="00C50860">
        <w:t>pr</w:t>
      </w:r>
      <w:r w:rsidR="006F355C" w:rsidRPr="006F355C">
        <w:t>. 3</w:t>
      </w:r>
      <w:r w:rsidRPr="00C50860">
        <w:t>0, 2020) (“In Crosby v</w:t>
      </w:r>
      <w:r w:rsidR="006F355C" w:rsidRPr="006F355C">
        <w:t>. S</w:t>
      </w:r>
      <w:r w:rsidRPr="00C50860">
        <w:t>tate Department of Budget &amp; Finance, 76 Haw</w:t>
      </w:r>
      <w:r w:rsidR="006F355C" w:rsidRPr="006F355C">
        <w:t>. 3</w:t>
      </w:r>
      <w:r w:rsidRPr="00C50860">
        <w:t>32, 342, 876 P.2d 1300, 1310 (1994), the Hawaii Supreme Court essentially adopted the familiar McDonnell Douglas burden-shifting framework for claims under Hawaii’s Whistleblowers’ Protection Act.”).</w:t>
      </w:r>
    </w:p>
  </w:footnote>
  <w:footnote w:id="242">
    <w:p w14:paraId="3617832D" w14:textId="0E30B08C" w:rsidR="00EC7962" w:rsidRPr="00C50860" w:rsidRDefault="00EC7962" w:rsidP="00450E78">
      <w:pPr>
        <w:pStyle w:val="FootnoteText"/>
        <w:spacing w:after="0"/>
      </w:pPr>
      <w:r w:rsidRPr="00C50860">
        <w:rPr>
          <w:vertAlign w:val="superscript"/>
        </w:rPr>
        <w:footnoteRef/>
      </w:r>
      <w:r w:rsidRPr="00C50860">
        <w:t>33 F. Supp</w:t>
      </w:r>
      <w:r w:rsidR="006F355C" w:rsidRPr="006F355C">
        <w:t>. 3</w:t>
      </w:r>
      <w:r w:rsidRPr="00C50860">
        <w:t>d 1191, 1195 (D. Haw</w:t>
      </w:r>
      <w:r w:rsidR="006F355C" w:rsidRPr="006F355C">
        <w:t>. 2</w:t>
      </w:r>
      <w:r w:rsidRPr="00C50860">
        <w:t>014).</w:t>
      </w:r>
    </w:p>
  </w:footnote>
  <w:footnote w:id="243">
    <w:p w14:paraId="3F1023B9" w14:textId="5AA23B1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1193.</w:t>
      </w:r>
    </w:p>
  </w:footnote>
  <w:footnote w:id="244">
    <w:p w14:paraId="693749E5" w14:textId="619D27C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1193–94 (quoting Douglass v</w:t>
      </w:r>
      <w:r w:rsidR="006F355C" w:rsidRPr="006F355C">
        <w:t>. P</w:t>
      </w:r>
      <w:r w:rsidRPr="00C50860">
        <w:t>flueger Haw</w:t>
      </w:r>
      <w:r w:rsidR="006F355C" w:rsidRPr="006F355C">
        <w:t>. I</w:t>
      </w:r>
      <w:r w:rsidRPr="00C50860">
        <w:t>nc., 110 Haw</w:t>
      </w:r>
      <w:r w:rsidR="006F355C" w:rsidRPr="006F355C">
        <w:t>. 5</w:t>
      </w:r>
      <w:r w:rsidRPr="00C50860">
        <w:t>20, 531, 135 P.3d 129, 140 (2006)).</w:t>
      </w:r>
    </w:p>
  </w:footnote>
  <w:footnote w:id="245">
    <w:p w14:paraId="091AC04B" w14:textId="699FA9A7"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1194.</w:t>
      </w:r>
    </w:p>
  </w:footnote>
  <w:footnote w:id="246">
    <w:p w14:paraId="624FB883"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47">
    <w:p w14:paraId="27666D6E"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48">
    <w:p w14:paraId="1F80E7C2" w14:textId="2254949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1199.</w:t>
      </w:r>
    </w:p>
  </w:footnote>
  <w:footnote w:id="249">
    <w:p w14:paraId="2F47CC4D" w14:textId="570F952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 xml:space="preserve">. </w:t>
      </w:r>
      <w:r w:rsidR="006F355C" w:rsidRPr="006F355C">
        <w:t>a</w:t>
      </w:r>
      <w:r w:rsidRPr="00C50860">
        <w:t>t 1200.</w:t>
      </w:r>
    </w:p>
  </w:footnote>
  <w:footnote w:id="250">
    <w:p w14:paraId="7075831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1">
    <w:p w14:paraId="67339A8B" w14:textId="0D7D1BF4" w:rsidR="00EC7962" w:rsidRPr="00C50860" w:rsidRDefault="00EC7962" w:rsidP="00450E78">
      <w:pPr>
        <w:pStyle w:val="FootnoteText"/>
        <w:spacing w:after="0"/>
      </w:pPr>
      <w:r w:rsidRPr="00C50860">
        <w:rPr>
          <w:vertAlign w:val="superscript"/>
        </w:rPr>
        <w:footnoteRef/>
      </w:r>
      <w:r w:rsidRPr="00C50860">
        <w:t>SCAP-15-00009122017 WL 2554778, at *10 (Haw</w:t>
      </w:r>
      <w:r w:rsidR="006F355C" w:rsidRPr="006F355C">
        <w:t>. J</w:t>
      </w:r>
      <w:r w:rsidRPr="00C50860">
        <w:t>une 13, 2017).</w:t>
      </w:r>
    </w:p>
  </w:footnote>
  <w:footnote w:id="252">
    <w:p w14:paraId="41BCAA87"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3">
    <w:p w14:paraId="7DE6C352" w14:textId="65A7AC76" w:rsidR="00EC7962" w:rsidRPr="00C50860" w:rsidRDefault="00EC7962" w:rsidP="00450E78">
      <w:pPr>
        <w:pStyle w:val="FootnoteText"/>
        <w:spacing w:after="0"/>
      </w:pPr>
      <w:r w:rsidRPr="00C50860">
        <w:rPr>
          <w:vertAlign w:val="superscript"/>
        </w:rPr>
        <w:footnoteRef/>
      </w:r>
      <w:r w:rsidRPr="00C50860">
        <w:t>66 Haw</w:t>
      </w:r>
      <w:r w:rsidR="006F355C" w:rsidRPr="006F355C">
        <w:t>. 1</w:t>
      </w:r>
      <w:r w:rsidRPr="00C50860">
        <w:t>94, 658 P.2d 883 (1983).</w:t>
      </w:r>
    </w:p>
  </w:footnote>
  <w:footnote w:id="254">
    <w:p w14:paraId="18E02F88" w14:textId="798F8452" w:rsidR="00EC7962" w:rsidRPr="00C50860" w:rsidRDefault="00EC7962" w:rsidP="00450E78">
      <w:pPr>
        <w:pStyle w:val="FootnoteText"/>
        <w:spacing w:after="0"/>
      </w:pPr>
      <w:r w:rsidRPr="00C50860">
        <w:rPr>
          <w:vertAlign w:val="superscript"/>
        </w:rPr>
        <w:footnoteRef/>
      </w:r>
      <w:r w:rsidRPr="00C50860">
        <w:rPr>
          <w:i/>
        </w:rPr>
        <w:t>Id</w:t>
      </w:r>
      <w:r w:rsidR="006F355C" w:rsidRPr="006F355C">
        <w:t>. a</w:t>
      </w:r>
      <w:r w:rsidRPr="00C50860">
        <w:t>t 199, 658 P.2d at 887.</w:t>
      </w:r>
    </w:p>
  </w:footnote>
  <w:footnote w:id="255">
    <w:p w14:paraId="6B8C28EE"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6">
    <w:p w14:paraId="7B0B18F6" w14:textId="13A20AAE" w:rsidR="00EC7962" w:rsidRPr="00C50860" w:rsidRDefault="00EC7962" w:rsidP="00450E78">
      <w:pPr>
        <w:pStyle w:val="FootnoteText"/>
        <w:spacing w:after="0"/>
      </w:pPr>
      <w:r w:rsidRPr="00C50860">
        <w:rPr>
          <w:vertAlign w:val="superscript"/>
        </w:rPr>
        <w:footnoteRef/>
      </w:r>
      <w:r w:rsidRPr="00C50860">
        <w:rPr>
          <w:rFonts w:cs="NewBaskerville-Italic"/>
          <w:i/>
          <w:iCs/>
        </w:rPr>
        <w:t>See id</w:t>
      </w:r>
      <w:r w:rsidR="006F355C" w:rsidRPr="006F355C">
        <w:rPr>
          <w:rFonts w:cs="NewBaskerville-Italic"/>
          <w:i/>
          <w:iCs/>
        </w:rPr>
        <w:t xml:space="preserve">. </w:t>
      </w:r>
      <w:r w:rsidR="006F355C" w:rsidRPr="006F355C">
        <w:t>a</w:t>
      </w:r>
      <w:r w:rsidRPr="00C50860">
        <w:t xml:space="preserve">t 200, 658 P.2d at 887 (quoting </w:t>
      </w:r>
      <w:r w:rsidRPr="00C50860">
        <w:rPr>
          <w:smallCaps/>
        </w:rPr>
        <w:t>Restatement (Second) of Contracts</w:t>
      </w:r>
      <w:r w:rsidRPr="00C50860">
        <w:t xml:space="preserve"> §90).</w:t>
      </w:r>
    </w:p>
  </w:footnote>
  <w:footnote w:id="257">
    <w:p w14:paraId="73C981C9" w14:textId="4C24AED7" w:rsidR="00EC7962" w:rsidRPr="00C50860" w:rsidRDefault="00EC7962" w:rsidP="00450E78">
      <w:pPr>
        <w:pStyle w:val="FootnoteText"/>
        <w:spacing w:after="0"/>
      </w:pPr>
      <w:r w:rsidRPr="00C50860">
        <w:rPr>
          <w:vertAlign w:val="superscript"/>
        </w:rPr>
        <w:footnoteRef/>
      </w:r>
      <w:r w:rsidRPr="00C50860">
        <w:t>Application of Herrick, 82 Haw</w:t>
      </w:r>
      <w:r w:rsidR="006F355C" w:rsidRPr="006F355C">
        <w:t>. 3</w:t>
      </w:r>
      <w:r w:rsidRPr="00C50860">
        <w:t>29, 337–38, 922 P.2d 942, 950–51 (1996) (citation omitted)</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Kahale v</w:t>
      </w:r>
      <w:r w:rsidR="006F355C" w:rsidRPr="006F355C">
        <w:t>. A</w:t>
      </w:r>
      <w:r w:rsidRPr="00C50860">
        <w:t>DT Auto</w:t>
      </w:r>
      <w:r w:rsidR="006F355C" w:rsidRPr="006F355C">
        <w:t>. S</w:t>
      </w:r>
      <w:r w:rsidRPr="00C50860">
        <w:t>ervs., Inc., 2 F. Supp</w:t>
      </w:r>
      <w:r w:rsidR="006F355C" w:rsidRPr="006F355C">
        <w:t>. 2</w:t>
      </w:r>
      <w:r w:rsidRPr="00C50860">
        <w:t>d 1295, 1301 (D. Haw</w:t>
      </w:r>
      <w:r w:rsidR="006F355C" w:rsidRPr="006F355C">
        <w:t>. 1</w:t>
      </w:r>
      <w:r w:rsidRPr="00C50860">
        <w:t>998) (“In his deposition, [supervisor] testified that he told [employee] that the [company] was here to stay and that he should remain with the company.”).</w:t>
      </w:r>
    </w:p>
  </w:footnote>
  <w:footnote w:id="258">
    <w:p w14:paraId="1484F5EE" w14:textId="3F19C452" w:rsidR="00EC7962" w:rsidRPr="00C50860" w:rsidRDefault="00EC7962" w:rsidP="00450E78">
      <w:pPr>
        <w:pStyle w:val="FootnoteText"/>
        <w:spacing w:after="0"/>
      </w:pPr>
      <w:r w:rsidRPr="00C50860">
        <w:rPr>
          <w:vertAlign w:val="superscript"/>
        </w:rPr>
        <w:footnoteRef/>
      </w:r>
      <w:r w:rsidRPr="00C50860">
        <w:t>Morishige v</w:t>
      </w:r>
      <w:r w:rsidR="006F355C" w:rsidRPr="006F355C">
        <w:t>. S</w:t>
      </w:r>
      <w:r w:rsidRPr="00C50860">
        <w:t>pencecliff Corp., 720 F. Supp</w:t>
      </w:r>
      <w:r w:rsidR="006F355C" w:rsidRPr="006F355C">
        <w:t>. 8</w:t>
      </w:r>
      <w:r w:rsidRPr="00C50860">
        <w:t>29, 836 (D. Haw</w:t>
      </w:r>
      <w:r w:rsidR="006F355C" w:rsidRPr="006F355C">
        <w:t>. 1</w:t>
      </w:r>
      <w:r w:rsidRPr="00C50860">
        <w:t>989) (denying summary judgment as to promissory estoppel claim for continued employment because “[t]his court can find no rational basis for distinguishing promises for new employment and promises for continued job security provided the requisite elements of [promissory estoppel] are satisfied”)</w:t>
      </w:r>
      <w:r w:rsidR="006F355C" w:rsidRPr="006F355C">
        <w:t>; M</w:t>
      </w:r>
      <w:r w:rsidRPr="00C50860">
        <w:t>cIntosh v</w:t>
      </w:r>
      <w:r w:rsidR="006F355C" w:rsidRPr="006F355C">
        <w:t>. M</w:t>
      </w:r>
      <w:r w:rsidRPr="00C50860">
        <w:t>urphy,</w:t>
      </w:r>
      <w:r w:rsidRPr="00C50860">
        <w:rPr>
          <w:rFonts w:cs="NewBaskerville-Italic"/>
          <w:i/>
          <w:iCs/>
        </w:rPr>
        <w:t xml:space="preserve"> </w:t>
      </w:r>
      <w:r w:rsidRPr="00C50860">
        <w:t>52 Haw</w:t>
      </w:r>
      <w:r w:rsidR="006F355C" w:rsidRPr="006F355C">
        <w:t>. 2</w:t>
      </w:r>
      <w:r w:rsidRPr="00C50860">
        <w:t>9, 469 P.2d 177 (1970) (finding that action of plaintiff in moving from Los Angeles to Hawaii was foreseeable by employer and where plaintiff performed oral contract for two and a half months, injustice could only be avoided by enforcing contract and granting money damages, notwithstanding that oral contract allegedly violated statute of frauds).</w:t>
      </w:r>
    </w:p>
  </w:footnote>
  <w:footnote w:id="259">
    <w:p w14:paraId="4BDB7351" w14:textId="63EECBE3" w:rsidR="00EC7962" w:rsidRPr="00C50860" w:rsidRDefault="00EC7962" w:rsidP="00450E78">
      <w:pPr>
        <w:pStyle w:val="FootnoteText"/>
        <w:spacing w:after="0"/>
      </w:pPr>
      <w:r w:rsidRPr="00C50860">
        <w:rPr>
          <w:vertAlign w:val="superscript"/>
        </w:rPr>
        <w:footnoteRef/>
      </w:r>
      <w:r w:rsidRPr="00C50860">
        <w:rPr>
          <w:rFonts w:cs="NewBaskerville-Italic"/>
          <w:i/>
          <w:iCs/>
        </w:rPr>
        <w:t>Gonsalves,</w:t>
      </w:r>
      <w:r w:rsidRPr="00C50860">
        <w:t xml:space="preserve"> 100 Haw</w:t>
      </w:r>
      <w:r w:rsidR="006F355C" w:rsidRPr="006F355C">
        <w:t>. a</w:t>
      </w:r>
      <w:r w:rsidRPr="00C50860">
        <w:t>t 165, 58 P.3d at 1212 (finding that vice president’s alleged statement to plaintiff, accused of sexual harassment, that he would not lose his job and did not need an attorney was contrary to public policy and therefore unenforceable)</w:t>
      </w:r>
      <w:r w:rsidR="006F355C" w:rsidRPr="006F355C">
        <w:t>; K</w:t>
      </w:r>
      <w:r w:rsidRPr="00C50860">
        <w:t>onno v</w:t>
      </w:r>
      <w:r w:rsidR="006F355C" w:rsidRPr="006F355C">
        <w:t>. C</w:t>
      </w:r>
      <w:r w:rsidRPr="00C50860">
        <w:t>ounty of Hawaii, 85 Haw</w:t>
      </w:r>
      <w:r w:rsidR="006F355C" w:rsidRPr="006F355C">
        <w:t>. 6</w:t>
      </w:r>
      <w:r w:rsidRPr="00C50860">
        <w:t>1, 73–79, 937 P.2d 397, 408–15 (1997) (refusing to enforce contracts that are against public policy).</w:t>
      </w:r>
    </w:p>
  </w:footnote>
  <w:footnote w:id="260">
    <w:p w14:paraId="3CE3CBAF" w14:textId="57486EB8" w:rsidR="00EC7962" w:rsidRPr="00C50860" w:rsidRDefault="00EC7962" w:rsidP="00450E78">
      <w:pPr>
        <w:pStyle w:val="FootnoteText"/>
        <w:spacing w:after="0"/>
      </w:pPr>
      <w:r w:rsidRPr="00C50860">
        <w:rPr>
          <w:rStyle w:val="FootnoteReference"/>
        </w:rPr>
        <w:footnoteRef/>
      </w:r>
      <w:r w:rsidRPr="00C50860">
        <w:t>142 Haw</w:t>
      </w:r>
      <w:r w:rsidR="006F355C" w:rsidRPr="006F355C">
        <w:t xml:space="preserve">. </w:t>
      </w:r>
      <w:r w:rsidR="006F355C" w:rsidRPr="006F355C">
        <w:rPr>
          <w:rStyle w:val="Strong"/>
          <w:b w:val="0"/>
          <w:shd w:val="clear" w:color="auto" w:fill="FFFFFF"/>
        </w:rPr>
        <w:t>4</w:t>
      </w:r>
      <w:r w:rsidRPr="00C50860">
        <w:rPr>
          <w:rStyle w:val="Strong"/>
          <w:b w:val="0"/>
          <w:shd w:val="clear" w:color="auto" w:fill="FFFFFF"/>
        </w:rPr>
        <w:t>29, 434, 420 P.3d 360, 365 (2018).</w:t>
      </w:r>
    </w:p>
  </w:footnote>
  <w:footnote w:id="261">
    <w:p w14:paraId="0A09C993" w14:textId="2CCEB135" w:rsidR="00EC7962" w:rsidRPr="00C018AE" w:rsidRDefault="00EC7962" w:rsidP="00450E78">
      <w:pPr>
        <w:pStyle w:val="FootnoteText"/>
        <w:spacing w:after="0"/>
      </w:pPr>
      <w:r w:rsidRPr="00C50860">
        <w:rPr>
          <w:rStyle w:val="FootnoteReference"/>
        </w:rPr>
        <w:footnoteRef/>
      </w:r>
      <w:r w:rsidRPr="00C50860">
        <w:rPr>
          <w:i/>
        </w:rPr>
        <w:t>Id</w:t>
      </w:r>
      <w:r w:rsidR="006F355C" w:rsidRPr="006F355C">
        <w:rPr>
          <w:i/>
        </w:rPr>
        <w:t xml:space="preserve">. </w:t>
      </w:r>
      <w:r w:rsidR="006F355C" w:rsidRPr="006F355C">
        <w:t>a</w:t>
      </w:r>
      <w:r w:rsidRPr="00C50860">
        <w:t>t 436</w:t>
      </w:r>
      <w:r w:rsidRPr="00C50860">
        <w:rPr>
          <w:i/>
        </w:rPr>
        <w:t xml:space="preserve">, </w:t>
      </w:r>
      <w:r w:rsidRPr="00C50860">
        <w:rPr>
          <w:rStyle w:val="Strong"/>
          <w:b w:val="0"/>
          <w:shd w:val="clear" w:color="auto" w:fill="FFFFFF"/>
        </w:rPr>
        <w:t>420 P.3d at 367.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8C04A62"/>
    <w:multiLevelType w:val="hybridMultilevel"/>
    <w:tmpl w:val="D0B083CE"/>
    <w:lvl w:ilvl="0" w:tplc="F0A22B08">
      <w:start w:val="1"/>
      <w:numFmt w:val="decimal"/>
      <w:pStyle w:val="ListNumber"/>
      <w:lvlText w:val="%1."/>
      <w:lvlJc w:val="left"/>
      <w:pPr>
        <w:tabs>
          <w:tab w:val="num" w:pos="1080"/>
        </w:tabs>
        <w:ind w:left="1080" w:hanging="360"/>
      </w:pPr>
    </w:lvl>
    <w:lvl w:ilvl="1" w:tplc="45C4D534" w:tentative="1">
      <w:start w:val="1"/>
      <w:numFmt w:val="lowerLetter"/>
      <w:lvlText w:val="%2."/>
      <w:lvlJc w:val="left"/>
      <w:pPr>
        <w:ind w:left="2160" w:hanging="360"/>
      </w:pPr>
    </w:lvl>
    <w:lvl w:ilvl="2" w:tplc="DA080576" w:tentative="1">
      <w:start w:val="1"/>
      <w:numFmt w:val="lowerRoman"/>
      <w:lvlText w:val="%3."/>
      <w:lvlJc w:val="right"/>
      <w:pPr>
        <w:ind w:left="2880" w:hanging="180"/>
      </w:pPr>
    </w:lvl>
    <w:lvl w:ilvl="3" w:tplc="B9CEBC30" w:tentative="1">
      <w:start w:val="1"/>
      <w:numFmt w:val="decimal"/>
      <w:lvlText w:val="%4."/>
      <w:lvlJc w:val="left"/>
      <w:pPr>
        <w:ind w:left="3600" w:hanging="360"/>
      </w:pPr>
    </w:lvl>
    <w:lvl w:ilvl="4" w:tplc="0650AEA8" w:tentative="1">
      <w:start w:val="1"/>
      <w:numFmt w:val="lowerLetter"/>
      <w:lvlText w:val="%5."/>
      <w:lvlJc w:val="left"/>
      <w:pPr>
        <w:ind w:left="4320" w:hanging="360"/>
      </w:pPr>
    </w:lvl>
    <w:lvl w:ilvl="5" w:tplc="D85CC788" w:tentative="1">
      <w:start w:val="1"/>
      <w:numFmt w:val="lowerRoman"/>
      <w:lvlText w:val="%6."/>
      <w:lvlJc w:val="right"/>
      <w:pPr>
        <w:ind w:left="5040" w:hanging="180"/>
      </w:pPr>
    </w:lvl>
    <w:lvl w:ilvl="6" w:tplc="32E49EFE" w:tentative="1">
      <w:start w:val="1"/>
      <w:numFmt w:val="decimal"/>
      <w:lvlText w:val="%7."/>
      <w:lvlJc w:val="left"/>
      <w:pPr>
        <w:ind w:left="5760" w:hanging="360"/>
      </w:pPr>
    </w:lvl>
    <w:lvl w:ilvl="7" w:tplc="F1144F3C" w:tentative="1">
      <w:start w:val="1"/>
      <w:numFmt w:val="lowerLetter"/>
      <w:lvlText w:val="%8."/>
      <w:lvlJc w:val="left"/>
      <w:pPr>
        <w:ind w:left="6480" w:hanging="360"/>
      </w:pPr>
    </w:lvl>
    <w:lvl w:ilvl="8" w:tplc="49F23F50" w:tentative="1">
      <w:start w:val="1"/>
      <w:numFmt w:val="lowerRoman"/>
      <w:lvlText w:val="%9."/>
      <w:lvlJc w:val="right"/>
      <w:pPr>
        <w:ind w:left="7200" w:hanging="180"/>
      </w:pPr>
    </w:lvl>
  </w:abstractNum>
  <w:abstractNum w:abstractNumId="2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35F49"/>
    <w:multiLevelType w:val="hybridMultilevel"/>
    <w:tmpl w:val="608A0D6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1244A"/>
    <w:multiLevelType w:val="hybridMultilevel"/>
    <w:tmpl w:val="267E1CC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D110FB3E"/>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9"/>
  </w:num>
  <w:num w:numId="2" w16cid:durableId="1796212711">
    <w:abstractNumId w:val="43"/>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41"/>
  </w:num>
  <w:num w:numId="9" w16cid:durableId="1709836850">
    <w:abstractNumId w:val="31"/>
  </w:num>
  <w:num w:numId="10" w16cid:durableId="1514031139">
    <w:abstractNumId w:val="8"/>
  </w:num>
  <w:num w:numId="11" w16cid:durableId="439372092">
    <w:abstractNumId w:val="17"/>
  </w:num>
  <w:num w:numId="12" w16cid:durableId="1176964315">
    <w:abstractNumId w:val="11"/>
  </w:num>
  <w:num w:numId="13" w16cid:durableId="57481982">
    <w:abstractNumId w:val="38"/>
  </w:num>
  <w:num w:numId="14" w16cid:durableId="616182069">
    <w:abstractNumId w:val="35"/>
  </w:num>
  <w:num w:numId="15" w16cid:durableId="1331370395">
    <w:abstractNumId w:val="33"/>
  </w:num>
  <w:num w:numId="16" w16cid:durableId="2048220565">
    <w:abstractNumId w:val="18"/>
  </w:num>
  <w:num w:numId="17" w16cid:durableId="1376926949">
    <w:abstractNumId w:val="42"/>
  </w:num>
  <w:num w:numId="18" w16cid:durableId="353920111">
    <w:abstractNumId w:val="19"/>
  </w:num>
  <w:num w:numId="19" w16cid:durableId="1125343429">
    <w:abstractNumId w:val="28"/>
  </w:num>
  <w:num w:numId="20" w16cid:durableId="72313112">
    <w:abstractNumId w:val="21"/>
  </w:num>
  <w:num w:numId="21" w16cid:durableId="1413089690">
    <w:abstractNumId w:val="23"/>
  </w:num>
  <w:num w:numId="22" w16cid:durableId="1946451628">
    <w:abstractNumId w:val="29"/>
  </w:num>
  <w:num w:numId="23" w16cid:durableId="1714229662">
    <w:abstractNumId w:val="30"/>
  </w:num>
  <w:num w:numId="24" w16cid:durableId="1864049548">
    <w:abstractNumId w:val="43"/>
  </w:num>
  <w:num w:numId="25" w16cid:durableId="1312754695">
    <w:abstractNumId w:val="43"/>
  </w:num>
  <w:num w:numId="26" w16cid:durableId="1166363704">
    <w:abstractNumId w:val="20"/>
  </w:num>
  <w:num w:numId="27" w16cid:durableId="789670048">
    <w:abstractNumId w:val="27"/>
  </w:num>
  <w:num w:numId="28" w16cid:durableId="971784460">
    <w:abstractNumId w:val="32"/>
  </w:num>
  <w:num w:numId="29" w16cid:durableId="1803688727">
    <w:abstractNumId w:val="13"/>
  </w:num>
  <w:num w:numId="30" w16cid:durableId="154415689">
    <w:abstractNumId w:val="37"/>
  </w:num>
  <w:num w:numId="31" w16cid:durableId="109083732">
    <w:abstractNumId w:val="9"/>
  </w:num>
  <w:num w:numId="32" w16cid:durableId="1136098287">
    <w:abstractNumId w:val="25"/>
  </w:num>
  <w:num w:numId="33" w16cid:durableId="329909884">
    <w:abstractNumId w:val="22"/>
  </w:num>
  <w:num w:numId="34" w16cid:durableId="1326783886">
    <w:abstractNumId w:val="40"/>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350645739">
    <w:abstractNumId w:val="26"/>
  </w:num>
  <w:num w:numId="44" w16cid:durableId="1647316151">
    <w:abstractNumId w:val="26"/>
    <w:lvlOverride w:ilvl="0">
      <w:startOverride w:val="1"/>
    </w:lvlOverride>
  </w:num>
  <w:num w:numId="45" w16cid:durableId="1232501577">
    <w:abstractNumId w:val="34"/>
  </w:num>
  <w:num w:numId="46" w16cid:durableId="37311636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A4"/>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68D0"/>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610"/>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B7D29"/>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80B"/>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1144"/>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21F0"/>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479E2"/>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0C58"/>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55C"/>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3819"/>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0BF"/>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EC2"/>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871"/>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0AD9"/>
    <w:rsid w:val="00CB1F6B"/>
    <w:rsid w:val="00CB2116"/>
    <w:rsid w:val="00CB219A"/>
    <w:rsid w:val="00CB2A14"/>
    <w:rsid w:val="00CB2A54"/>
    <w:rsid w:val="00CB357E"/>
    <w:rsid w:val="00CB3999"/>
    <w:rsid w:val="00CB3FED"/>
    <w:rsid w:val="00CB44DC"/>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27BEA"/>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3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457C6"/>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962"/>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E852"/>
  <w15:docId w15:val="{DD9A14C3-C97E-4545-91B6-892022D9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9"/>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9"/>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9"/>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9"/>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9"/>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uiPriority w:val="99"/>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ChapterTitle">
    <w:name w:val="Chapter Title"/>
    <w:basedOn w:val="Normal-NoIndent"/>
    <w:uiPriority w:val="99"/>
    <w:rsid w:val="00EC7962"/>
    <w:pPr>
      <w:spacing w:after="480" w:line="280" w:lineRule="atLeast"/>
    </w:pPr>
    <w:rPr>
      <w:sz w:val="48"/>
      <w:szCs w:val="28"/>
    </w:rPr>
  </w:style>
  <w:style w:type="paragraph" w:customStyle="1" w:styleId="TOCHeading1">
    <w:name w:val="TOC Heading 1"/>
    <w:basedOn w:val="Normal"/>
    <w:uiPriority w:val="99"/>
    <w:rsid w:val="00EC7962"/>
    <w:pPr>
      <w:widowControl w:val="0"/>
      <w:tabs>
        <w:tab w:val="right" w:pos="480"/>
        <w:tab w:val="left" w:pos="600"/>
        <w:tab w:val="left" w:pos="960"/>
        <w:tab w:val="right" w:leader="dot" w:pos="7920"/>
        <w:tab w:val="right" w:pos="8640"/>
        <w:tab w:val="right" w:pos="9360"/>
      </w:tabs>
      <w:suppressAutoHyphens/>
      <w:autoSpaceDE w:val="0"/>
      <w:autoSpaceDN w:val="0"/>
      <w:adjustRightInd w:val="0"/>
      <w:spacing w:before="0" w:after="0" w:line="240" w:lineRule="atLeast"/>
      <w:ind w:left="600" w:hanging="600"/>
      <w:textAlignment w:val="center"/>
    </w:pPr>
    <w:rPr>
      <w:rFonts w:eastAsia="Times New Roman" w:cs="TimesNewRomanPSMT"/>
      <w:color w:val="000000"/>
      <w:kern w:val="0"/>
      <w:sz w:val="22"/>
      <w:szCs w:val="22"/>
      <w:lang w:bidi="ar-SA"/>
    </w:rPr>
  </w:style>
  <w:style w:type="paragraph" w:customStyle="1" w:styleId="TOCHeading2">
    <w:name w:val="TOC Heading 2"/>
    <w:basedOn w:val="TOCHeading1"/>
    <w:uiPriority w:val="99"/>
    <w:rsid w:val="00EC7962"/>
    <w:pPr>
      <w:tabs>
        <w:tab w:val="clear" w:pos="480"/>
        <w:tab w:val="clear" w:pos="600"/>
      </w:tabs>
      <w:ind w:left="960" w:hanging="360"/>
    </w:pPr>
  </w:style>
  <w:style w:type="paragraph" w:customStyle="1" w:styleId="TOCHeading3">
    <w:name w:val="TOC Heading 3"/>
    <w:basedOn w:val="TOCHeading2"/>
    <w:uiPriority w:val="99"/>
    <w:rsid w:val="00EC7962"/>
    <w:pPr>
      <w:tabs>
        <w:tab w:val="clear" w:pos="960"/>
      </w:tabs>
      <w:ind w:left="1340"/>
    </w:pPr>
  </w:style>
  <w:style w:type="paragraph" w:customStyle="1" w:styleId="BlockQuote">
    <w:name w:val="BlockQuote"/>
    <w:basedOn w:val="Normal-NoIndent"/>
    <w:uiPriority w:val="99"/>
    <w:rsid w:val="00EC7962"/>
    <w:pPr>
      <w:tabs>
        <w:tab w:val="left" w:pos="1440"/>
      </w:tabs>
      <w:ind w:left="720" w:right="720"/>
    </w:pPr>
    <w:rPr>
      <w:sz w:val="20"/>
    </w:rPr>
  </w:style>
  <w:style w:type="paragraph" w:styleId="ListNumber">
    <w:name w:val="List Number"/>
    <w:basedOn w:val="Normal"/>
    <w:uiPriority w:val="99"/>
    <w:rsid w:val="00EC7962"/>
    <w:pPr>
      <w:widowControl w:val="0"/>
      <w:numPr>
        <w:numId w:val="43"/>
      </w:numPr>
      <w:tabs>
        <w:tab w:val="clear" w:pos="1080"/>
        <w:tab w:val="left" w:pos="1440"/>
      </w:tabs>
      <w:suppressAutoHyphens/>
      <w:spacing w:before="0" w:after="240"/>
      <w:ind w:left="0" w:firstLine="0"/>
    </w:pPr>
    <w:rPr>
      <w:rFonts w:eastAsia="Times New Roman"/>
      <w:kern w:val="0"/>
      <w:lang w:bidi="ar-SA"/>
    </w:rPr>
  </w:style>
  <w:style w:type="paragraph" w:customStyle="1" w:styleId="BlockQuote-l2">
    <w:name w:val="BlockQuote-l2"/>
    <w:basedOn w:val="BlockQuote"/>
    <w:uiPriority w:val="99"/>
    <w:rsid w:val="00EC7962"/>
    <w:pPr>
      <w:tabs>
        <w:tab w:val="clear" w:pos="1440"/>
        <w:tab w:val="left" w:pos="2160"/>
      </w:tabs>
      <w:spacing w:after="60"/>
      <w:ind w:left="1920" w:hanging="480"/>
    </w:pPr>
  </w:style>
  <w:style w:type="paragraph" w:customStyle="1" w:styleId="Normal-NoIndent">
    <w:name w:val="Normal-NoIndent"/>
    <w:basedOn w:val="Normal"/>
    <w:uiPriority w:val="99"/>
    <w:rsid w:val="00EC7962"/>
    <w:pPr>
      <w:widowControl w:val="0"/>
      <w:suppressAutoHyphens/>
      <w:spacing w:before="0" w:after="240"/>
    </w:pPr>
    <w:rPr>
      <w:rFonts w:eastAsia="Times New Roman"/>
      <w:kern w:val="0"/>
      <w:lang w:bidi="ar-SA"/>
    </w:rPr>
  </w:style>
  <w:style w:type="paragraph" w:customStyle="1" w:styleId="BTKLitOuCont2">
    <w:name w:val="BTKLitOu Cont 2"/>
    <w:basedOn w:val="Normal"/>
    <w:rsid w:val="00EC7962"/>
    <w:pPr>
      <w:spacing w:before="0" w:after="240"/>
      <w:ind w:left="1440"/>
    </w:pPr>
    <w:rPr>
      <w:rFonts w:eastAsia="Times New Roman"/>
      <w:kern w:val="0"/>
      <w:szCs w:val="20"/>
      <w:lang w:bidi="ar-SA"/>
    </w:rPr>
  </w:style>
  <w:style w:type="paragraph" w:customStyle="1" w:styleId="board-authorFrontMatter">
    <w:name w:val="board-author (Front Matter)"/>
    <w:basedOn w:val="Normal-NoIndent"/>
    <w:uiPriority w:val="99"/>
    <w:rsid w:val="00EC7962"/>
    <w:pPr>
      <w:tabs>
        <w:tab w:val="center" w:pos="1680"/>
        <w:tab w:val="center" w:pos="5280"/>
      </w:tabs>
      <w:spacing w:after="0" w:line="240" w:lineRule="atLeast"/>
      <w:jc w:val="center"/>
    </w:pPr>
    <w:rPr>
      <w:smallCaps/>
      <w:sz w:val="22"/>
      <w:szCs w:val="22"/>
    </w:rPr>
  </w:style>
  <w:style w:type="paragraph" w:customStyle="1" w:styleId="board-firmFrontMatter">
    <w:name w:val="board-firm (Front Matter)"/>
    <w:basedOn w:val="Normal-NoIndent"/>
    <w:uiPriority w:val="99"/>
    <w:rsid w:val="00EC7962"/>
    <w:pPr>
      <w:tabs>
        <w:tab w:val="center" w:pos="1680"/>
        <w:tab w:val="center" w:pos="5280"/>
      </w:tabs>
      <w:spacing w:after="0" w:line="240" w:lineRule="atLeast"/>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sglaw.com/attorneys/kenneth-m-nakason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1198D2-17D5-4E52-B3E4-BD43B8F2EAFC}"/>
      </w:docPartPr>
      <w:docPartBody>
        <w:p w:rsidR="003723DB" w:rsidRDefault="003723DB">
          <w:r w:rsidRPr="005478F4">
            <w:rPr>
              <w:rStyle w:val="PlaceholderText"/>
            </w:rPr>
            <w:t>Click or tap here to enter text.</w:t>
          </w:r>
        </w:p>
      </w:docPartBody>
    </w:docPart>
    <w:docPart>
      <w:docPartPr>
        <w:name w:val="309C5AB7FEFE4B94B6740C6100AF4054"/>
        <w:category>
          <w:name w:val="General"/>
          <w:gallery w:val="placeholder"/>
        </w:category>
        <w:types>
          <w:type w:val="bbPlcHdr"/>
        </w:types>
        <w:behaviors>
          <w:behavior w:val="content"/>
        </w:behaviors>
        <w:guid w:val="{81477D93-7A37-4182-8E81-0BF74E3BB5BE}"/>
      </w:docPartPr>
      <w:docPartBody>
        <w:p w:rsidR="003723DB" w:rsidRDefault="003723DB">
          <w:r w:rsidRPr="005478F4">
            <w:rPr>
              <w:rStyle w:val="PlaceholderText"/>
            </w:rPr>
            <w:t>Unit.Start</w:t>
          </w:r>
        </w:p>
      </w:docPartBody>
    </w:docPart>
    <w:docPart>
      <w:docPartPr>
        <w:name w:val="C65117270C174559857F5A8AB7C5C147"/>
        <w:category>
          <w:name w:val="General"/>
          <w:gallery w:val="placeholder"/>
        </w:category>
        <w:types>
          <w:type w:val="bbPlcHdr"/>
        </w:types>
        <w:behaviors>
          <w:behavior w:val="content"/>
        </w:behaviors>
        <w:guid w:val="{B7ABDC18-1018-4F14-B264-C92A18BFF912}"/>
      </w:docPartPr>
      <w:docPartBody>
        <w:p w:rsidR="003723DB" w:rsidRDefault="003723DB">
          <w:r w:rsidRPr="005478F4">
            <w:rPr>
              <w:rStyle w:val="PlaceholderText"/>
            </w:rPr>
            <w:t>Document</w:t>
          </w:r>
        </w:p>
      </w:docPartBody>
    </w:docPart>
    <w:docPart>
      <w:docPartPr>
        <w:name w:val="4EA63C2B205145448D85372223C47863"/>
        <w:category>
          <w:name w:val="General"/>
          <w:gallery w:val="placeholder"/>
        </w:category>
        <w:types>
          <w:type w:val="bbPlcHdr"/>
        </w:types>
        <w:behaviors>
          <w:behavior w:val="content"/>
        </w:behaviors>
        <w:guid w:val="{37018404-060B-4966-92BA-4A301F023A67}"/>
      </w:docPartPr>
      <w:docPartBody>
        <w:p w:rsidR="003723DB" w:rsidRDefault="003723DB">
          <w:r w:rsidRPr="005478F4">
            <w:rPr>
              <w:rStyle w:val="PlaceholderText"/>
            </w:rPr>
            <w:t>enter text</w:t>
          </w:r>
        </w:p>
      </w:docPartBody>
    </w:docPart>
    <w:docPart>
      <w:docPartPr>
        <w:name w:val="C36029EED1734677BD56C5CAC5EB27DF"/>
        <w:category>
          <w:name w:val="General"/>
          <w:gallery w:val="placeholder"/>
        </w:category>
        <w:types>
          <w:type w:val="bbPlcHdr"/>
        </w:types>
        <w:behaviors>
          <w:behavior w:val="content"/>
        </w:behaviors>
        <w:guid w:val="{D8CA9BC7-05B2-444B-B5C7-50622910FC7F}"/>
      </w:docPartPr>
      <w:docPartBody>
        <w:p w:rsidR="003723DB" w:rsidRDefault="003723DB">
          <w:r w:rsidRPr="005478F4">
            <w:rPr>
              <w:rStyle w:val="PlaceholderText"/>
            </w:rPr>
            <w:t>enter text</w:t>
          </w:r>
        </w:p>
      </w:docPartBody>
    </w:docPart>
    <w:docPart>
      <w:docPartPr>
        <w:name w:val="8DACDD43ABE842CA8A29848D8D341C05"/>
        <w:category>
          <w:name w:val="General"/>
          <w:gallery w:val="placeholder"/>
        </w:category>
        <w:types>
          <w:type w:val="bbPlcHdr"/>
        </w:types>
        <w:behaviors>
          <w:behavior w:val="content"/>
        </w:behaviors>
        <w:guid w:val="{1F6F45CF-9397-4003-AAEC-E38BF2ED0ED1}"/>
      </w:docPartPr>
      <w:docPartBody>
        <w:p w:rsidR="003723DB" w:rsidRDefault="003723DB">
          <w:r w:rsidRPr="005478F4">
            <w:rPr>
              <w:rStyle w:val="PlaceholderText"/>
            </w:rPr>
            <w:t>enter REQUIRED text</w:t>
          </w:r>
        </w:p>
      </w:docPartBody>
    </w:docPart>
    <w:docPart>
      <w:docPartPr>
        <w:name w:val="02B66DFCA3354ED3A707F9F6BD3B17DD"/>
        <w:category>
          <w:name w:val="General"/>
          <w:gallery w:val="placeholder"/>
        </w:category>
        <w:types>
          <w:type w:val="bbPlcHdr"/>
        </w:types>
        <w:behaviors>
          <w:behavior w:val="content"/>
        </w:behaviors>
        <w:guid w:val="{DEB99F55-DC2D-4B33-9098-30E01ABE8497}"/>
      </w:docPartPr>
      <w:docPartBody>
        <w:p w:rsidR="003723DB" w:rsidRDefault="003723DB">
          <w:r w:rsidRPr="005478F4">
            <w:rPr>
              <w:rStyle w:val="PlaceholderText"/>
            </w:rPr>
            <w:t>enter REQUIRED text</w:t>
          </w:r>
        </w:p>
      </w:docPartBody>
    </w:docPart>
    <w:docPart>
      <w:docPartPr>
        <w:name w:val="749D6D18C8CE4725BD72D3DA2A57001B"/>
        <w:category>
          <w:name w:val="General"/>
          <w:gallery w:val="placeholder"/>
        </w:category>
        <w:types>
          <w:type w:val="bbPlcHdr"/>
        </w:types>
        <w:behaviors>
          <w:behavior w:val="content"/>
        </w:behaviors>
        <w:guid w:val="{592AF57A-A369-4C7A-9653-D51DC37C09B7}"/>
      </w:docPartPr>
      <w:docPartBody>
        <w:p w:rsidR="003723DB" w:rsidRDefault="003723DB">
          <w:r w:rsidRPr="005478F4">
            <w:rPr>
              <w:rStyle w:val="PlaceholderText"/>
            </w:rPr>
            <w:t>enter text</w:t>
          </w:r>
        </w:p>
      </w:docPartBody>
    </w:docPart>
    <w:docPart>
      <w:docPartPr>
        <w:name w:val="EE3870E60F9C40AE802A4228416692B1"/>
        <w:category>
          <w:name w:val="General"/>
          <w:gallery w:val="placeholder"/>
        </w:category>
        <w:types>
          <w:type w:val="bbPlcHdr"/>
        </w:types>
        <w:behaviors>
          <w:behavior w:val="content"/>
        </w:behaviors>
        <w:guid w:val="{F9995F72-A0F8-476B-9B47-91A7C5EDCFE5}"/>
      </w:docPartPr>
      <w:docPartBody>
        <w:p w:rsidR="003723DB" w:rsidRDefault="003723DB">
          <w:r w:rsidRPr="005478F4">
            <w:rPr>
              <w:rStyle w:val="PlaceholderText"/>
            </w:rPr>
            <w:t>enter text</w:t>
          </w:r>
        </w:p>
      </w:docPartBody>
    </w:docPart>
    <w:docPart>
      <w:docPartPr>
        <w:name w:val="A52DF99EF42D43B3B59A50F2A8832934"/>
        <w:category>
          <w:name w:val="General"/>
          <w:gallery w:val="placeholder"/>
        </w:category>
        <w:types>
          <w:type w:val="bbPlcHdr"/>
        </w:types>
        <w:behaviors>
          <w:behavior w:val="content"/>
        </w:behaviors>
        <w:guid w:val="{9A459170-EB7C-4586-821C-117070EEA157}"/>
      </w:docPartPr>
      <w:docPartBody>
        <w:p w:rsidR="003723DB" w:rsidRDefault="003723DB">
          <w:r w:rsidRPr="005478F4">
            <w:rPr>
              <w:rStyle w:val="PlaceholderText"/>
            </w:rPr>
            <w:t>enter text</w:t>
          </w:r>
        </w:p>
      </w:docPartBody>
    </w:docPart>
    <w:docPart>
      <w:docPartPr>
        <w:name w:val="679AF983F3E44882B1A9ECE960A0F949"/>
        <w:category>
          <w:name w:val="General"/>
          <w:gallery w:val="placeholder"/>
        </w:category>
        <w:types>
          <w:type w:val="bbPlcHdr"/>
        </w:types>
        <w:behaviors>
          <w:behavior w:val="content"/>
        </w:behaviors>
        <w:guid w:val="{21E5B25E-25BA-4A40-BD12-36CC0A3ABA10}"/>
      </w:docPartPr>
      <w:docPartBody>
        <w:p w:rsidR="003723DB" w:rsidRDefault="003723DB">
          <w:r w:rsidRPr="005478F4">
            <w:rPr>
              <w:rStyle w:val="PlaceholderText"/>
            </w:rPr>
            <w:t>enter text</w:t>
          </w:r>
        </w:p>
      </w:docPartBody>
    </w:docPart>
    <w:docPart>
      <w:docPartPr>
        <w:name w:val="D6C230F3F95B45019295B6DEAB10CB5C"/>
        <w:category>
          <w:name w:val="General"/>
          <w:gallery w:val="placeholder"/>
        </w:category>
        <w:types>
          <w:type w:val="bbPlcHdr"/>
        </w:types>
        <w:behaviors>
          <w:behavior w:val="content"/>
        </w:behaviors>
        <w:guid w:val="{E3395062-FED6-4819-BB67-B61A3637A334}"/>
      </w:docPartPr>
      <w:docPartBody>
        <w:p w:rsidR="003723DB" w:rsidRDefault="003723DB">
          <w:r w:rsidRPr="005478F4">
            <w:rPr>
              <w:rStyle w:val="PlaceholderText"/>
            </w:rPr>
            <w:t>enter text</w:t>
          </w:r>
        </w:p>
      </w:docPartBody>
    </w:docPart>
    <w:docPart>
      <w:docPartPr>
        <w:name w:val="19DB320DD3464BE4AC5B5A2E97C28014"/>
        <w:category>
          <w:name w:val="General"/>
          <w:gallery w:val="placeholder"/>
        </w:category>
        <w:types>
          <w:type w:val="bbPlcHdr"/>
        </w:types>
        <w:behaviors>
          <w:behavior w:val="content"/>
        </w:behaviors>
        <w:guid w:val="{998F4F90-2902-48E1-8425-62F74520202B}"/>
      </w:docPartPr>
      <w:docPartBody>
        <w:p w:rsidR="003723DB" w:rsidRDefault="003723DB">
          <w:r w:rsidRPr="005478F4">
            <w:rPr>
              <w:rStyle w:val="PlaceholderText"/>
            </w:rPr>
            <w:t>enter text</w:t>
          </w:r>
        </w:p>
      </w:docPartBody>
    </w:docPart>
    <w:docPart>
      <w:docPartPr>
        <w:name w:val="02628051CC8D4435A16F80E14CD41EC0"/>
        <w:category>
          <w:name w:val="General"/>
          <w:gallery w:val="placeholder"/>
        </w:category>
        <w:types>
          <w:type w:val="bbPlcHdr"/>
        </w:types>
        <w:behaviors>
          <w:behavior w:val="content"/>
        </w:behaviors>
        <w:guid w:val="{B4A0E45F-49B5-4B0A-BB06-7173ED874196}"/>
      </w:docPartPr>
      <w:docPartBody>
        <w:p w:rsidR="003723DB" w:rsidRDefault="003723DB">
          <w:r w:rsidRPr="005478F4">
            <w:rPr>
              <w:rStyle w:val="PlaceholderText"/>
            </w:rPr>
            <w:t>enter text</w:t>
          </w:r>
        </w:p>
      </w:docPartBody>
    </w:docPart>
    <w:docPart>
      <w:docPartPr>
        <w:name w:val="A7070FD3607947CABF5317A5CF9DB20F"/>
        <w:category>
          <w:name w:val="General"/>
          <w:gallery w:val="placeholder"/>
        </w:category>
        <w:types>
          <w:type w:val="bbPlcHdr"/>
        </w:types>
        <w:behaviors>
          <w:behavior w:val="content"/>
        </w:behaviors>
        <w:guid w:val="{252BAD37-AA32-4066-B931-E55324FE85C5}"/>
      </w:docPartPr>
      <w:docPartBody>
        <w:p w:rsidR="003723DB" w:rsidRDefault="003723DB">
          <w:r w:rsidRPr="005478F4">
            <w:rPr>
              <w:rStyle w:val="PlaceholderText"/>
            </w:rPr>
            <w:t>enter text</w:t>
          </w:r>
        </w:p>
      </w:docPartBody>
    </w:docPart>
    <w:docPart>
      <w:docPartPr>
        <w:name w:val="CDA566C00E194F07B517862A2D34B434"/>
        <w:category>
          <w:name w:val="General"/>
          <w:gallery w:val="placeholder"/>
        </w:category>
        <w:types>
          <w:type w:val="bbPlcHdr"/>
        </w:types>
        <w:behaviors>
          <w:behavior w:val="content"/>
        </w:behaviors>
        <w:guid w:val="{ADDEE6FF-3531-4090-8682-FC5AB07ED55B}"/>
      </w:docPartPr>
      <w:docPartBody>
        <w:p w:rsidR="003723DB" w:rsidRDefault="003723DB">
          <w:r w:rsidRPr="005478F4">
            <w:rPr>
              <w:rStyle w:val="PlaceholderText"/>
            </w:rPr>
            <w:t>choose an item (REQUIRED)</w:t>
          </w:r>
        </w:p>
      </w:docPartBody>
    </w:docPart>
    <w:docPart>
      <w:docPartPr>
        <w:name w:val="48FF0A09361E4A8DB477C010A5FD512B"/>
        <w:category>
          <w:name w:val="General"/>
          <w:gallery w:val="placeholder"/>
        </w:category>
        <w:types>
          <w:type w:val="bbPlcHdr"/>
        </w:types>
        <w:behaviors>
          <w:behavior w:val="content"/>
        </w:behaviors>
        <w:guid w:val="{14E26CC8-9A27-4D8C-8977-4FFAF1EA10DF}"/>
      </w:docPartPr>
      <w:docPartBody>
        <w:p w:rsidR="003723DB" w:rsidRDefault="003723DB">
          <w:r w:rsidRPr="005478F4">
            <w:rPr>
              <w:rStyle w:val="PlaceholderText"/>
            </w:rPr>
            <w:t>enter text</w:t>
          </w:r>
        </w:p>
      </w:docPartBody>
    </w:docPart>
    <w:docPart>
      <w:docPartPr>
        <w:name w:val="7290FE3F71704003850675618486C532"/>
        <w:category>
          <w:name w:val="General"/>
          <w:gallery w:val="placeholder"/>
        </w:category>
        <w:types>
          <w:type w:val="bbPlcHdr"/>
        </w:types>
        <w:behaviors>
          <w:behavior w:val="content"/>
        </w:behaviors>
        <w:guid w:val="{FA2B7E5B-6BEB-4055-994A-6FBA6B6515ED}"/>
      </w:docPartPr>
      <w:docPartBody>
        <w:p w:rsidR="003723DB" w:rsidRDefault="003723DB">
          <w:r w:rsidRPr="005478F4">
            <w:rPr>
              <w:rStyle w:val="PlaceholderText"/>
            </w:rPr>
            <w:t>enter text</w:t>
          </w:r>
        </w:p>
      </w:docPartBody>
    </w:docPart>
    <w:docPart>
      <w:docPartPr>
        <w:name w:val="032EF0F1B63F4B88A10E164313FEEAF1"/>
        <w:category>
          <w:name w:val="General"/>
          <w:gallery w:val="placeholder"/>
        </w:category>
        <w:types>
          <w:type w:val="bbPlcHdr"/>
        </w:types>
        <w:behaviors>
          <w:behavior w:val="content"/>
        </w:behaviors>
        <w:guid w:val="{4A78A52E-D548-4264-84DE-B89E5B90AB3D}"/>
      </w:docPartPr>
      <w:docPartBody>
        <w:p w:rsidR="003723DB" w:rsidRDefault="003723DB">
          <w:r w:rsidRPr="005478F4">
            <w:rPr>
              <w:rStyle w:val="PlaceholderText"/>
            </w:rPr>
            <w:t>enter REQUIRED text</w:t>
          </w:r>
        </w:p>
      </w:docPartBody>
    </w:docPart>
    <w:docPart>
      <w:docPartPr>
        <w:name w:val="84E993DC653B46E581494A7B74127F3B"/>
        <w:category>
          <w:name w:val="General"/>
          <w:gallery w:val="placeholder"/>
        </w:category>
        <w:types>
          <w:type w:val="bbPlcHdr"/>
        </w:types>
        <w:behaviors>
          <w:behavior w:val="content"/>
        </w:behaviors>
        <w:guid w:val="{181141ED-95B5-4512-947C-AC108F848B6D}"/>
      </w:docPartPr>
      <w:docPartBody>
        <w:p w:rsidR="003723DB" w:rsidRDefault="003723DB">
          <w:r w:rsidRPr="005478F4">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NewBaskerville-BoldItalic">
    <w:altName w:val="ITC New Baskerville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DB"/>
    <w:rsid w:val="000A12BC"/>
    <w:rsid w:val="000B67F6"/>
    <w:rsid w:val="002368D0"/>
    <w:rsid w:val="003723DB"/>
    <w:rsid w:val="004921F0"/>
    <w:rsid w:val="0060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3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ns0:unit.start xmlns:ns0="http://www.bna.com/gateway/unit.start" copyright.owner="enter text" part.name="enter text" part.num="enter text" subpart.name="enter text" unit.code="main0012" unit.name="Hawaii" folio="351" class.code="A" class.name="Book Body" bna.id.prefix="12" pdm.name="Hawaii" publication.name="Employment at Will A State-by-State Survey" acct.code="EMP2M20" date="2025-09-10" supplement="0" volume.num="1" service.code="emp-book"/>
</document>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4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onversion.options xmlns="http://www.bna.com/gateway/conversion.options">
</conversion.option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732EAE1F-E5D5-464F-83ED-0773DAFAA229}">
  <ds:schemaRefs>
    <ds:schemaRef ds:uri="BookServiceCode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11</TotalTime>
  <Pages>1</Pages>
  <Words>10475</Words>
  <Characters>59710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Cruz, Ricky</cp:lastModifiedBy>
  <cp:revision>13</cp:revision>
  <dcterms:created xsi:type="dcterms:W3CDTF">2025-09-10T17:44:00Z</dcterms:created>
  <dcterms:modified xsi:type="dcterms:W3CDTF">2025-09-16T19:56:00Z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