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6ADF2" w14:textId="77777777" w:rsidR="006E6DA1" w:rsidRPr="006E6DA1" w:rsidRDefault="008E0BEE" w:rsidP="00C3548D">
      <w:pPr>
        <w:pStyle w:val="BDocStart"/>
      </w:pPr>
      <w:sdt>
        <w:sdtPr>
          <w:tag w:val="unit.start.head"/>
          <w:id w:val="-1649973046"/>
          <w:lock w:val="sdtLocked"/>
          <w:placeholder>
            <w:docPart w:val="7063D3D5F9A7432E993D4D89051797AF"/>
          </w:placeholder>
          <w15:appearance w15:val="hidden"/>
        </w:sdtPr>
        <w:sdtEndPr/>
        <w:sdtContent>
          <w:proofErr w:type="spellStart"/>
          <w:r w:rsidR="00C3548D">
            <w:t>Unit.Start</w:t>
          </w:r>
          <w:proofErr w:type="spellEnd"/>
        </w:sdtContent>
      </w:sdt>
    </w:p>
    <w:sdt>
      <w:sdtPr>
        <w:rPr>
          <w:rStyle w:val="BContentControl"/>
        </w:rPr>
        <w:alias w:val="unit.start"/>
        <w:tag w:val="Unit1"/>
        <w:id w:val="786316718"/>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720C791E" w14:textId="77777777" w:rsidR="006E6DA1" w:rsidRPr="006E6DA1" w:rsidRDefault="008E0BEE" w:rsidP="00C3548D">
          <w:pPr>
            <w:pStyle w:val="BNormal"/>
          </w:pPr>
          <w:sdt>
            <w:sdtPr>
              <w:rPr>
                <w:rStyle w:val="BContentControl"/>
              </w:rPr>
              <w:alias w:val="acct.code"/>
              <w:tag w:val="acct.code"/>
              <w:id w:val="713464673"/>
              <w:lock w:val="sdtLocked"/>
              <w:placeholder>
                <w:docPart w:val="3BDECFF6DE6247DDAD8809D025DF6069"/>
              </w:placeholder>
              <w:dataBinding w:prefixMappings="xmlns:ns0='http://www.bna.com/gateway/unit.start' " w:xpath="/ns0:document[1]/ns0:unit.start[1]/@acct.code" w:storeItemID="{B04FCA99-13B0-422B-ADC9-9491644FA79D}"/>
              <w15:appearance w15:val="tags"/>
              <w:text/>
            </w:sdtPr>
            <w:sdtEndPr>
              <w:rPr>
                <w:rStyle w:val="BContentControl"/>
              </w:rPr>
            </w:sdtEndPr>
            <w:sdtContent>
              <w:r w:rsidR="00C3548D">
                <w:rPr>
                  <w:rStyle w:val="BContentControl"/>
                </w:rPr>
                <w:t>EMP2M20</w:t>
              </w:r>
            </w:sdtContent>
          </w:sdt>
          <w:sdt>
            <w:sdtPr>
              <w:rPr>
                <w:rStyle w:val="BContentControl"/>
              </w:rPr>
              <w:alias w:val="bna.id.prefix"/>
              <w:tag w:val="bna.id.prefix"/>
              <w:id w:val="-192846138"/>
              <w:lock w:val="sdtLocked"/>
              <w:placeholder>
                <w:docPart w:val="A2D732006A6C4F01BE1BAA40B413A5B7"/>
              </w:placeholder>
              <w:dataBinding w:prefixMappings="xmlns:ns0='http://www.bna.com/gateway/unit.start' " w:xpath="/ns0:document[1]/ns0:unit.start[1]/@bna.id.prefix" w:storeItemID="{B04FCA99-13B0-422B-ADC9-9491644FA79D}"/>
              <w15:appearance w15:val="tags"/>
              <w:text/>
            </w:sdtPr>
            <w:sdtEndPr>
              <w:rPr>
                <w:rStyle w:val="BContentControl"/>
              </w:rPr>
            </w:sdtEndPr>
            <w:sdtContent>
              <w:r w:rsidR="00C3548D">
                <w:rPr>
                  <w:rStyle w:val="BContentControl"/>
                </w:rPr>
                <w:t>8</w:t>
              </w:r>
            </w:sdtContent>
          </w:sdt>
          <w:r w:rsidR="00C3548D" w:rsidRPr="00C3548D">
            <w:rPr>
              <w:rStyle w:val="BContentControl"/>
            </w:rPr>
            <w:t xml:space="preserve"> </w:t>
          </w:r>
          <w:sdt>
            <w:sdtPr>
              <w:rPr>
                <w:rStyle w:val="BContentControl"/>
              </w:rPr>
              <w:alias w:val="class.code*"/>
              <w:tag w:val="class.code"/>
              <w:id w:val="-1668631281"/>
              <w:lock w:val="sdtLocked"/>
              <w:placeholder>
                <w:docPart w:val="C25C7759467346C6A9218B9790C7186F"/>
              </w:placeholder>
              <w:dataBinding w:prefixMappings="xmlns:ns0='http://www.bna.com/gateway/unit.start' " w:xpath="/ns0:document[1]/ns0:unit.start[1]/@class.code" w:storeItemID="{B04FCA99-13B0-422B-ADC9-9491644FA79D}"/>
              <w15:appearance w15:val="tags"/>
              <w:text/>
            </w:sdtPr>
            <w:sdtEndPr>
              <w:rPr>
                <w:rStyle w:val="BContentControl"/>
              </w:rPr>
            </w:sdtEndPr>
            <w:sdtContent>
              <w:r w:rsidR="00C3548D">
                <w:rPr>
                  <w:rStyle w:val="BContentControl"/>
                </w:rPr>
                <w:t>A</w:t>
              </w:r>
            </w:sdtContent>
          </w:sdt>
          <w:r w:rsidR="00C3548D" w:rsidRPr="00C3548D">
            <w:rPr>
              <w:rStyle w:val="BContentControl"/>
            </w:rPr>
            <w:t xml:space="preserve"> </w:t>
          </w:r>
          <w:sdt>
            <w:sdtPr>
              <w:rPr>
                <w:rStyle w:val="BContentControl"/>
              </w:rPr>
              <w:alias w:val="class.name*"/>
              <w:tag w:val="class.name"/>
              <w:id w:val="-656375727"/>
              <w:lock w:val="sdtLocked"/>
              <w:placeholder>
                <w:docPart w:val="F664A76B47C34642A870695DA81F1102"/>
              </w:placeholder>
              <w:dataBinding w:prefixMappings="xmlns:ns0='http://www.bna.com/gateway/unit.start' " w:xpath="/ns0:document[1]/ns0:unit.start[1]/@class.name" w:storeItemID="{B04FCA99-13B0-422B-ADC9-9491644FA79D}"/>
              <w15:appearance w15:val="tags"/>
              <w:text/>
            </w:sdtPr>
            <w:sdtEndPr>
              <w:rPr>
                <w:rStyle w:val="BContentControl"/>
              </w:rPr>
            </w:sdtEndPr>
            <w:sdtContent>
              <w:r w:rsidR="00C3548D">
                <w:rPr>
                  <w:rStyle w:val="BContentControl"/>
                </w:rPr>
                <w:t>Book Body</w:t>
              </w:r>
            </w:sdtContent>
          </w:sdt>
          <w:r w:rsidR="00C3548D" w:rsidRPr="00C3548D">
            <w:rPr>
              <w:rStyle w:val="BContentControl"/>
            </w:rPr>
            <w:t xml:space="preserve"> </w:t>
          </w:r>
          <w:sdt>
            <w:sdtPr>
              <w:rPr>
                <w:rStyle w:val="BContentControl"/>
              </w:rPr>
              <w:alias w:val="copyright.owner"/>
              <w:tag w:val="copyright.owner"/>
              <w:id w:val="-38214911"/>
              <w:lock w:val="sdtLocked"/>
              <w:placeholder>
                <w:docPart w:val="422B910E3B664E52B3AB91E91D1438BA"/>
              </w:placeholder>
              <w:dataBinding w:prefixMappings="xmlns:ns0='http://www.bna.com/gateway/unit.start' " w:xpath="/ns0:document[1]/ns0:unit.start[1]/@copyright.owner" w:storeItemID="{B04FCA99-13B0-422B-ADC9-9491644FA79D}"/>
              <w15:appearance w15:val="tags"/>
              <w:text/>
            </w:sdtPr>
            <w:sdtEndPr>
              <w:rPr>
                <w:rStyle w:val="BContentControl"/>
              </w:rPr>
            </w:sdtEndPr>
            <w:sdtContent>
              <w:r w:rsidR="00C3548D" w:rsidRPr="00C3548D">
                <w:rPr>
                  <w:rStyle w:val="BContentControl"/>
                </w:rPr>
                <w:t>enter text</w:t>
              </w:r>
            </w:sdtContent>
          </w:sdt>
          <w:r w:rsidR="00C3548D" w:rsidRPr="00C3548D">
            <w:rPr>
              <w:rStyle w:val="BContentControl"/>
            </w:rPr>
            <w:t xml:space="preserve"> </w:t>
          </w:r>
          <w:sdt>
            <w:sdtPr>
              <w:rPr>
                <w:rStyle w:val="BContentControl"/>
              </w:rPr>
              <w:alias w:val="date"/>
              <w:tag w:val="date"/>
              <w:id w:val="-1781872135"/>
              <w:lock w:val="sdtLocked"/>
              <w:placeholder>
                <w:docPart w:val="E70395639FA34CA8A2F79E140F22F81E"/>
              </w:placeholder>
              <w:dataBinding w:prefixMappings="xmlns:ns0='http://www.bna.com/gateway/unit.start' " w:xpath="/ns0:document[1]/ns0:unit.start[1]/@date" w:storeItemID="{B04FCA99-13B0-422B-ADC9-9491644FA79D}"/>
              <w15:appearance w15:val="tags"/>
              <w:text/>
            </w:sdtPr>
            <w:sdtEndPr>
              <w:rPr>
                <w:rStyle w:val="BContentControl"/>
              </w:rPr>
            </w:sdtEndPr>
            <w:sdtContent>
              <w:r w:rsidR="00C3548D">
                <w:rPr>
                  <w:rStyle w:val="BContentControl"/>
                </w:rPr>
                <w:t>2025-09-10</w:t>
              </w:r>
            </w:sdtContent>
          </w:sdt>
          <w:r w:rsidR="00C3548D" w:rsidRPr="00C3548D">
            <w:rPr>
              <w:rStyle w:val="BContentControl"/>
            </w:rPr>
            <w:t xml:space="preserve"> </w:t>
          </w:r>
          <w:sdt>
            <w:sdtPr>
              <w:rPr>
                <w:rStyle w:val="BContentControl"/>
              </w:rPr>
              <w:alias w:val="folio"/>
              <w:tag w:val="folio"/>
              <w:id w:val="1430768123"/>
              <w:lock w:val="sdtLocked"/>
              <w:placeholder>
                <w:docPart w:val="AD48000255AB452E875D37230FAEA7AA"/>
              </w:placeholder>
              <w:dataBinding w:prefixMappings="xmlns:ns0='http://www.bna.com/gateway/unit.start' " w:xpath="/ns0:document[1]/ns0:unit.start[1]/@folio" w:storeItemID="{B04FCA99-13B0-422B-ADC9-9491644FA79D}"/>
              <w15:appearance w15:val="tags"/>
              <w:text/>
            </w:sdtPr>
            <w:sdtEndPr>
              <w:rPr>
                <w:rStyle w:val="BContentControl"/>
              </w:rPr>
            </w:sdtEndPr>
            <w:sdtContent>
              <w:r w:rsidR="00C3548D">
                <w:rPr>
                  <w:rStyle w:val="BContentControl"/>
                </w:rPr>
                <w:t>183</w:t>
              </w:r>
            </w:sdtContent>
          </w:sdt>
          <w:r w:rsidR="00C3548D" w:rsidRPr="00C3548D">
            <w:rPr>
              <w:rStyle w:val="BContentControl"/>
            </w:rPr>
            <w:t xml:space="preserve"> </w:t>
          </w:r>
          <w:sdt>
            <w:sdtPr>
              <w:rPr>
                <w:rStyle w:val="BContentControl"/>
              </w:rPr>
              <w:alias w:val="part.name"/>
              <w:tag w:val="part.name"/>
              <w:id w:val="-416951739"/>
              <w:lock w:val="sdtLocked"/>
              <w:placeholder>
                <w:docPart w:val="5BBC09CDB00E4A0FAE7553B4B8B2035A"/>
              </w:placeholder>
              <w:dataBinding w:prefixMappings="xmlns:ns0='http://www.bna.com/gateway/unit.start' " w:xpath="/ns0:document[1]/ns0:unit.start[1]/@part.name" w:storeItemID="{B04FCA99-13B0-422B-ADC9-9491644FA79D}"/>
              <w15:appearance w15:val="tags"/>
              <w:text/>
            </w:sdtPr>
            <w:sdtEndPr>
              <w:rPr>
                <w:rStyle w:val="BContentControl"/>
              </w:rPr>
            </w:sdtEndPr>
            <w:sdtContent>
              <w:r w:rsidR="00C3548D" w:rsidRPr="00C3548D">
                <w:rPr>
                  <w:rStyle w:val="BContentControl"/>
                </w:rPr>
                <w:t>enter text</w:t>
              </w:r>
            </w:sdtContent>
          </w:sdt>
          <w:r w:rsidR="00C3548D" w:rsidRPr="00C3548D">
            <w:rPr>
              <w:rStyle w:val="BContentControl"/>
            </w:rPr>
            <w:t xml:space="preserve"> </w:t>
          </w:r>
          <w:sdt>
            <w:sdtPr>
              <w:rPr>
                <w:rStyle w:val="BContentControl"/>
              </w:rPr>
              <w:alias w:val="part.num"/>
              <w:tag w:val="part.num"/>
              <w:id w:val="1482810124"/>
              <w:lock w:val="sdtLocked"/>
              <w:placeholder>
                <w:docPart w:val="589C4E8C0FF149ED8764371B7C5D324E"/>
              </w:placeholder>
              <w:dataBinding w:prefixMappings="xmlns:ns0='http://www.bna.com/gateway/unit.start' " w:xpath="/ns0:document[1]/ns0:unit.start[1]/@part.num" w:storeItemID="{B04FCA99-13B0-422B-ADC9-9491644FA79D}"/>
              <w15:appearance w15:val="tags"/>
              <w:text/>
            </w:sdtPr>
            <w:sdtEndPr>
              <w:rPr>
                <w:rStyle w:val="BContentControl"/>
              </w:rPr>
            </w:sdtEndPr>
            <w:sdtContent>
              <w:r w:rsidR="00C3548D" w:rsidRPr="00C3548D">
                <w:rPr>
                  <w:rStyle w:val="BContentControl"/>
                </w:rPr>
                <w:t>enter text</w:t>
              </w:r>
            </w:sdtContent>
          </w:sdt>
          <w:r w:rsidR="00C3548D" w:rsidRPr="00C3548D">
            <w:rPr>
              <w:rStyle w:val="BContentControl"/>
            </w:rPr>
            <w:t xml:space="preserve"> </w:t>
          </w:r>
          <w:sdt>
            <w:sdtPr>
              <w:rPr>
                <w:rStyle w:val="BContentControl"/>
              </w:rPr>
              <w:alias w:val="subpart.name"/>
              <w:tag w:val="subpart.name"/>
              <w:id w:val="-1433122098"/>
              <w:lock w:val="sdtLocked"/>
              <w:placeholder>
                <w:docPart w:val="BD49AD5DA47B442E970E5C991AAD4933"/>
              </w:placeholder>
              <w:dataBinding w:prefixMappings="xmlns:ns0='http://www.bna.com/gateway/unit.start' " w:xpath="/ns0:document[1]/ns0:unit.start[1]/@subpart.name" w:storeItemID="{B04FCA99-13B0-422B-ADC9-9491644FA79D}"/>
              <w15:appearance w15:val="tags"/>
              <w:text/>
            </w:sdtPr>
            <w:sdtEndPr>
              <w:rPr>
                <w:rStyle w:val="BContentControl"/>
              </w:rPr>
            </w:sdtEndPr>
            <w:sdtContent>
              <w:r w:rsidR="00C3548D" w:rsidRPr="00C3548D">
                <w:rPr>
                  <w:rStyle w:val="BContentControl"/>
                </w:rPr>
                <w:t>enter text</w:t>
              </w:r>
            </w:sdtContent>
          </w:sdt>
          <w:r w:rsidR="00C3548D" w:rsidRPr="00C3548D">
            <w:rPr>
              <w:rStyle w:val="BContentControl"/>
            </w:rPr>
            <w:t xml:space="preserve"> </w:t>
          </w:r>
          <w:sdt>
            <w:sdtPr>
              <w:rPr>
                <w:rStyle w:val="BContentControl"/>
              </w:rPr>
              <w:alias w:val="pdm.name"/>
              <w:tag w:val="pdm.name"/>
              <w:id w:val="-1625457578"/>
              <w:lock w:val="sdtLocked"/>
              <w:placeholder>
                <w:docPart w:val="AC43EDB61BBF4193AB743196ED98C5CD"/>
              </w:placeholder>
              <w:dataBinding w:prefixMappings="xmlns:ns0='http://www.bna.com/gateway/unit.start' " w:xpath="/ns0:document[1]/ns0:unit.start[1]/@pdm.name" w:storeItemID="{B04FCA99-13B0-422B-ADC9-9491644FA79D}"/>
              <w15:appearance w15:val="tags"/>
              <w:text/>
            </w:sdtPr>
            <w:sdtEndPr>
              <w:rPr>
                <w:rStyle w:val="BContentControl"/>
              </w:rPr>
            </w:sdtEndPr>
            <w:sdtContent>
              <w:r w:rsidR="00C3548D">
                <w:rPr>
                  <w:rStyle w:val="BContentControl"/>
                </w:rPr>
                <w:t>Delaware</w:t>
              </w:r>
            </w:sdtContent>
          </w:sdt>
          <w:r w:rsidR="00C3548D" w:rsidRPr="00C3548D">
            <w:rPr>
              <w:rStyle w:val="BContentControl"/>
            </w:rPr>
            <w:t xml:space="preserve"> </w:t>
          </w:r>
          <w:sdt>
            <w:sdtPr>
              <w:rPr>
                <w:rStyle w:val="BContentControl"/>
              </w:rPr>
              <w:alias w:val="publication.name"/>
              <w:tag w:val="publication.name"/>
              <w:id w:val="-761837673"/>
              <w:lock w:val="sdtLocked"/>
              <w:placeholder>
                <w:docPart w:val="44DA4AB1957D4D96B3F5087DCCBA17E7"/>
              </w:placeholder>
              <w:dataBinding w:prefixMappings="xmlns:ns0='http://www.bna.com/gateway/unit.start' " w:xpath="/ns0:document[1]/ns0:unit.start[1]/@publication.name" w:storeItemID="{B04FCA99-13B0-422B-ADC9-9491644FA79D}"/>
              <w15:appearance w15:val="tags"/>
              <w:text/>
            </w:sdtPr>
            <w:sdtEndPr>
              <w:rPr>
                <w:rStyle w:val="BContentControl"/>
              </w:rPr>
            </w:sdtEndPr>
            <w:sdtContent>
              <w:r w:rsidR="00C3548D">
                <w:rPr>
                  <w:rStyle w:val="BContentControl"/>
                </w:rPr>
                <w:t>Employment at Will A State-by-State Survey</w:t>
              </w:r>
            </w:sdtContent>
          </w:sdt>
          <w:r w:rsidR="00C3548D" w:rsidRPr="00C3548D">
            <w:rPr>
              <w:rStyle w:val="BContentControl"/>
            </w:rPr>
            <w:t xml:space="preserve"> </w:t>
          </w:r>
          <w:sdt>
            <w:sdtPr>
              <w:rPr>
                <w:rStyle w:val="BContentControl"/>
              </w:rPr>
              <w:alias w:val="service.code*"/>
              <w:tag w:val="mUnit1"/>
              <w:id w:val="-368459875"/>
              <w:lock w:val="sdtLocked"/>
              <w:placeholder>
                <w:docPart w:val="42837A3FC94E42C3807C93E4EC67541A"/>
              </w:placeholder>
              <w:dataBinding w:prefixMappings="xmlns:ns0='http://www.bna.com/gateway/unit.start' " w:xpath="/ns0:document[1]/ns0:unit.start[1]/@service.code" w:storeItemID="{B04FCA99-13B0-422B-ADC9-9491644FA79D}"/>
              <w15:appearance w15:val="tags"/>
              <w:dropDownList w:lastValue="emp-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glf-book" w:value="cbglf-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lbs1500-book" w:value="hlbs1500-book"/>
                <w:listItem w:displayText="hlbs2400-book" w:value="hlbs2400-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vvp-book" w:value="vvp-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EndPr>
              <w:rPr>
                <w:rStyle w:val="BContentControl"/>
              </w:rPr>
            </w:sdtEndPr>
            <w:sdtContent>
              <w:r w:rsidR="00C3548D">
                <w:rPr>
                  <w:rStyle w:val="BContentControl"/>
                </w:rPr>
                <w:t>emp-book</w:t>
              </w:r>
            </w:sdtContent>
          </w:sdt>
          <w:r w:rsidR="00C3548D" w:rsidRPr="00C3548D">
            <w:rPr>
              <w:rStyle w:val="BContentControl"/>
            </w:rPr>
            <w:t xml:space="preserve"> </w:t>
          </w:r>
          <w:sdt>
            <w:sdtPr>
              <w:rPr>
                <w:rStyle w:val="BContentControl"/>
              </w:rPr>
              <w:alias w:val="supplement"/>
              <w:tag w:val="supplement"/>
              <w:id w:val="972789329"/>
              <w:lock w:val="sdtLocked"/>
              <w:placeholder>
                <w:docPart w:val="307A14343CE04596BFF1C486A5C93C10"/>
              </w:placeholder>
              <w:dataBinding w:prefixMappings="xmlns:ns0='http://www.bna.com/gateway/unit.start' " w:xpath="/ns0:document[1]/ns0:unit.start[1]/@supplement" w:storeItemID="{B04FCA99-13B0-422B-ADC9-9491644FA79D}"/>
              <w15:appearance w15:val="tags"/>
              <w:text/>
            </w:sdtPr>
            <w:sdtEndPr>
              <w:rPr>
                <w:rStyle w:val="BContentControl"/>
              </w:rPr>
            </w:sdtEndPr>
            <w:sdtContent>
              <w:r w:rsidR="00C3548D">
                <w:rPr>
                  <w:rStyle w:val="BContentControl"/>
                </w:rPr>
                <w:t>0</w:t>
              </w:r>
            </w:sdtContent>
          </w:sdt>
          <w:r w:rsidR="00C3548D" w:rsidRPr="00C3548D">
            <w:rPr>
              <w:rStyle w:val="BContentControl"/>
            </w:rPr>
            <w:t xml:space="preserve"> </w:t>
          </w:r>
          <w:sdt>
            <w:sdtPr>
              <w:rPr>
                <w:rStyle w:val="BContentControl"/>
              </w:rPr>
              <w:alias w:val="unit.code"/>
              <w:tag w:val="unit.code"/>
              <w:id w:val="1976484778"/>
              <w:lock w:val="sdtLocked"/>
              <w:placeholder>
                <w:docPart w:val="0E8BCEF0D2404F269E2DC652ED24DBA0"/>
              </w:placeholder>
              <w:dataBinding w:prefixMappings="xmlns:ns0='http://www.bna.com/gateway/unit.start' " w:xpath="/ns0:document[1]/ns0:unit.start[1]/@unit.code" w:storeItemID="{B04FCA99-13B0-422B-ADC9-9491644FA79D}"/>
              <w15:appearance w15:val="tags"/>
              <w:text/>
            </w:sdtPr>
            <w:sdtEndPr>
              <w:rPr>
                <w:rStyle w:val="BContentControl"/>
              </w:rPr>
            </w:sdtEndPr>
            <w:sdtContent>
              <w:r w:rsidR="00C3548D">
                <w:rPr>
                  <w:rStyle w:val="BContentControl"/>
                </w:rPr>
                <w:t>main0008</w:t>
              </w:r>
            </w:sdtContent>
          </w:sdt>
          <w:r w:rsidR="00C3548D" w:rsidRPr="00C3548D">
            <w:rPr>
              <w:rStyle w:val="BContentControl"/>
            </w:rPr>
            <w:t xml:space="preserve"> </w:t>
          </w:r>
          <w:sdt>
            <w:sdtPr>
              <w:rPr>
                <w:rStyle w:val="BContentControl"/>
              </w:rPr>
              <w:alias w:val="unit.name*"/>
              <w:tag w:val="unit.name"/>
              <w:id w:val="-1965800734"/>
              <w:lock w:val="sdtLocked"/>
              <w:placeholder>
                <w:docPart w:val="7F59EB0AEEC14BC69677952043747914"/>
              </w:placeholder>
              <w:dataBinding w:prefixMappings="xmlns:ns0='http://www.bna.com/gateway/unit.start' " w:xpath="/ns0:document[1]/ns0:unit.start[1]/@unit.name" w:storeItemID="{B04FCA99-13B0-422B-ADC9-9491644FA79D}"/>
              <w15:appearance w15:val="tags"/>
              <w:text/>
            </w:sdtPr>
            <w:sdtEndPr>
              <w:rPr>
                <w:rStyle w:val="BContentControl"/>
              </w:rPr>
            </w:sdtEndPr>
            <w:sdtContent>
              <w:r w:rsidR="00C3548D">
                <w:rPr>
                  <w:rStyle w:val="BContentControl"/>
                </w:rPr>
                <w:t>Delaware</w:t>
              </w:r>
            </w:sdtContent>
          </w:sdt>
          <w:r w:rsidR="00C3548D" w:rsidRPr="00C3548D">
            <w:rPr>
              <w:rStyle w:val="BContentControl"/>
            </w:rPr>
            <w:t xml:space="preserve"> </w:t>
          </w:r>
          <w:sdt>
            <w:sdtPr>
              <w:rPr>
                <w:rStyle w:val="BContentControl"/>
              </w:rPr>
              <w:alias w:val="volume.num"/>
              <w:tag w:val="volume.num"/>
              <w:id w:val="367500248"/>
              <w:lock w:val="sdtLocked"/>
              <w:placeholder>
                <w:docPart w:val="DF637CDC32E84BE69BDBADCAA1620DE0"/>
              </w:placeholder>
              <w:dataBinding w:prefixMappings="xmlns:ns0='http://www.bna.com/gateway/unit.start' " w:xpath="/ns0:document[1]/ns0:unit.start[1]/@volume.num" w:storeItemID="{B04FCA99-13B0-422B-ADC9-9491644FA79D}"/>
              <w15:appearance w15:val="tags"/>
              <w:text/>
            </w:sdtPr>
            <w:sdtEndPr>
              <w:rPr>
                <w:rStyle w:val="BContentControl"/>
              </w:rPr>
            </w:sdtEndPr>
            <w:sdtContent>
              <w:r w:rsidR="00C3548D">
                <w:rPr>
                  <w:rStyle w:val="BContentControl"/>
                </w:rPr>
                <w:t>1</w:t>
              </w:r>
            </w:sdtContent>
          </w:sdt>
        </w:p>
        <w:bookmarkEnd w:id="0" w:displacedByCustomXml="next"/>
      </w:sdtContent>
    </w:sdt>
    <w:p w14:paraId="78A0E235" w14:textId="77777777" w:rsidR="006E6DA1" w:rsidRPr="006E6DA1" w:rsidRDefault="008E0BEE" w:rsidP="00C3548D">
      <w:pPr>
        <w:pStyle w:val="BDocStart"/>
      </w:pPr>
      <w:sdt>
        <w:sdtPr>
          <w:tag w:val="DocStart"/>
          <w:id w:val="-1229918464"/>
          <w:lock w:val="sdtLocked"/>
          <w:placeholder>
            <w:docPart w:val="34431CC3F5504184BE6511CA28188190"/>
          </w:placeholder>
          <w15:appearance w15:val="hidden"/>
        </w:sdtPr>
        <w:sdtEndPr/>
        <w:sdtContent>
          <w:r w:rsidR="00C3548D">
            <w:t>Document</w:t>
          </w:r>
        </w:sdtContent>
      </w:sdt>
    </w:p>
    <w:p w14:paraId="297D46D1" w14:textId="77777777" w:rsidR="006E6DA1" w:rsidRPr="006E6DA1" w:rsidRDefault="00423606" w:rsidP="006E6DA1">
      <w:pPr>
        <w:pStyle w:val="BChapterName"/>
      </w:pPr>
      <w:r w:rsidRPr="006E6DA1">
        <w:t>Delaware</w:t>
      </w:r>
    </w:p>
    <w:p w14:paraId="45712D3E" w14:textId="65F15162" w:rsidR="006E6DA1" w:rsidRPr="006E6DA1" w:rsidRDefault="006E6DA1" w:rsidP="006E6DA1">
      <w:pPr>
        <w:pStyle w:val="BNormal"/>
      </w:pPr>
      <w:hyperlink r:id="rId13" w:history="1">
        <w:r w:rsidRPr="006E6DA1">
          <w:rPr>
            <w:rStyle w:val="Hyperlink"/>
            <w:rFonts w:eastAsiaTheme="majorEastAsia"/>
            <w:smallCaps/>
          </w:rPr>
          <w:t>Gary B. Eidelman</w:t>
        </w:r>
      </w:hyperlink>
      <w:r>
        <w:br/>
      </w:r>
      <w:hyperlink r:id="rId14" w:history="1">
        <w:r w:rsidRPr="006E6DA1">
          <w:rPr>
            <w:rStyle w:val="Hyperlink"/>
            <w:rFonts w:eastAsiaTheme="majorEastAsia"/>
            <w:smallCaps/>
          </w:rPr>
          <w:t xml:space="preserve">Erik P. </w:t>
        </w:r>
        <w:proofErr w:type="spellStart"/>
        <w:r w:rsidRPr="006E6DA1">
          <w:rPr>
            <w:rStyle w:val="Hyperlink"/>
            <w:rFonts w:eastAsiaTheme="majorEastAsia"/>
            <w:smallCaps/>
          </w:rPr>
          <w:t>Pramschufer</w:t>
        </w:r>
        <w:proofErr w:type="spellEnd"/>
      </w:hyperlink>
      <w:r>
        <w:br/>
      </w:r>
      <w:hyperlink r:id="rId15" w:history="1">
        <w:r w:rsidRPr="006E6DA1">
          <w:rPr>
            <w:rStyle w:val="Hyperlink"/>
            <w:rFonts w:eastAsiaTheme="majorEastAsia"/>
            <w:smallCaps/>
          </w:rPr>
          <w:t xml:space="preserve">Devan A. </w:t>
        </w:r>
        <w:proofErr w:type="spellStart"/>
        <w:r w:rsidRPr="006E6DA1">
          <w:rPr>
            <w:rStyle w:val="Hyperlink"/>
            <w:rFonts w:eastAsiaTheme="majorEastAsia"/>
            <w:smallCaps/>
          </w:rPr>
          <w:t>McCarrie</w:t>
        </w:r>
        <w:proofErr w:type="spellEnd"/>
      </w:hyperlink>
      <w:r>
        <w:br/>
      </w:r>
      <w:r w:rsidR="00423606" w:rsidRPr="006E6DA1">
        <w:t>Saul Ewing LLP</w:t>
      </w:r>
    </w:p>
    <w:p w14:paraId="1865B968" w14:textId="42CC96B4" w:rsidR="006E6DA1" w:rsidRPr="006E6DA1" w:rsidRDefault="006E6DA1" w:rsidP="006E6DA1">
      <w:pPr>
        <w:pStyle w:val="BNormal"/>
        <w:rPr>
          <w:b/>
          <w:bCs/>
          <w:i/>
          <w:iCs/>
        </w:rPr>
      </w:pPr>
      <w:r w:rsidRPr="006E6DA1">
        <w:rPr>
          <w:b/>
          <w:bCs/>
          <w:i/>
          <w:iCs/>
        </w:rPr>
        <w:t>This chapter is current through December 31, 2024.</w:t>
      </w:r>
    </w:p>
    <w:p w14:paraId="11867C76" w14:textId="2D7CE23B" w:rsidR="006E6DA1" w:rsidRPr="006E6DA1" w:rsidRDefault="006E6DA1" w:rsidP="006E6DA1">
      <w:pPr>
        <w:pStyle w:val="BHead1"/>
      </w:pPr>
      <w:r w:rsidRPr="00891D84">
        <w:rPr>
          <w:rStyle w:val="BBNAidChar"/>
          <w:rFonts w:eastAsiaTheme="majorEastAsia"/>
        </w:rPr>
        <w:t>I</w:t>
      </w:r>
      <w:r w:rsidRPr="006E6DA1">
        <w:t>.</w:t>
      </w:r>
      <w:r w:rsidR="00891D84">
        <w:t> </w:t>
      </w:r>
      <w:r w:rsidRPr="006E6DA1">
        <w:t xml:space="preserve"> Overview</w:t>
      </w:r>
    </w:p>
    <w:p w14:paraId="59E404C9" w14:textId="718FF5FF" w:rsidR="006E6DA1" w:rsidRPr="006E6DA1" w:rsidRDefault="00423606" w:rsidP="006E6DA1">
      <w:pPr>
        <w:pStyle w:val="BNormal"/>
      </w:pPr>
      <w:r w:rsidRPr="006E6DA1">
        <w:t>In Delaware, there is a strong presumption of employment at will.</w:t>
      </w:r>
      <w:r w:rsidR="006E6DA1" w:rsidRPr="006E6DA1">
        <w:rPr>
          <w:vertAlign w:val="superscript"/>
        </w:rPr>
        <w:footnoteReference w:id="1"/>
      </w:r>
      <w:r w:rsidRPr="006E6DA1">
        <w:t xml:space="preserve"> Like other states, Delaware’s at-will employment doctrine provides that an at-will employee may be discharged at any time, without cause.</w:t>
      </w:r>
      <w:r w:rsidR="006E6DA1" w:rsidRPr="006E6DA1">
        <w:rPr>
          <w:vertAlign w:val="superscript"/>
        </w:rPr>
        <w:footnoteReference w:id="2"/>
      </w:r>
      <w:r w:rsidRPr="006E6DA1">
        <w:t xml:space="preserve"> An employer may therefore terminate an at-will employee for its own legitimate business reasons, even if those reasons are highly subjective.</w:t>
      </w:r>
      <w:r w:rsidR="006E6DA1" w:rsidRPr="006E6DA1">
        <w:rPr>
          <w:vertAlign w:val="superscript"/>
        </w:rPr>
        <w:footnoteReference w:id="3"/>
      </w:r>
      <w:r w:rsidRPr="006E6DA1">
        <w:t xml:space="preserve"> As explained herein, “exceptions to the doctrine of at-will employment are narrow and discrete.”</w:t>
      </w:r>
      <w:r w:rsidR="006E6DA1" w:rsidRPr="006E6DA1">
        <w:rPr>
          <w:vertAlign w:val="superscript"/>
        </w:rPr>
        <w:footnoteReference w:id="4"/>
      </w:r>
    </w:p>
    <w:p w14:paraId="4092513C" w14:textId="3ADD2D5A" w:rsidR="006E6DA1" w:rsidRPr="006E6DA1" w:rsidRDefault="00423606" w:rsidP="006E6DA1">
      <w:pPr>
        <w:pStyle w:val="BNormal"/>
      </w:pPr>
      <w:r w:rsidRPr="006E6DA1">
        <w:t xml:space="preserve">The first time a Delaware trial court is known to have addressed the doctrine was in 1899, in the matter of </w:t>
      </w:r>
      <w:r w:rsidR="006E6DA1" w:rsidRPr="006E6DA1">
        <w:rPr>
          <w:rStyle w:val="BCasenamefull"/>
        </w:rPr>
        <w:t>Greer v. Arlington Mills Manufacturing Co</w:t>
      </w:r>
      <w:r w:rsidRPr="006E6DA1">
        <w:t>.</w:t>
      </w:r>
      <w:r w:rsidR="006E6DA1" w:rsidRPr="006E6DA1">
        <w:rPr>
          <w:vertAlign w:val="superscript"/>
        </w:rPr>
        <w:footnoteReference w:id="5"/>
      </w:r>
      <w:r w:rsidRPr="006E6DA1">
        <w:t xml:space="preserve"> In that case, the plaintiff alleged he entered into a contract with his employer, under which he was to receive $5,000 per year for his services</w:t>
      </w:r>
      <w:r w:rsidR="006E6DA1" w:rsidRPr="006E6DA1">
        <w:t>. T</w:t>
      </w:r>
      <w:r w:rsidRPr="006E6DA1">
        <w:t xml:space="preserve">he plaintiff claimed he was hired in 1886 for a period of one year, and that the contract became </w:t>
      </w:r>
      <w:proofErr w:type="gramStart"/>
      <w:r w:rsidRPr="006E6DA1">
        <w:t>a hiring</w:t>
      </w:r>
      <w:proofErr w:type="gramEnd"/>
      <w:r w:rsidRPr="006E6DA1">
        <w:t xml:space="preserve"> for a fixed one-year period that automatically renewed each year</w:t>
      </w:r>
      <w:r w:rsidR="006E6DA1" w:rsidRPr="006E6DA1">
        <w:t>. W</w:t>
      </w:r>
      <w:r w:rsidRPr="006E6DA1">
        <w:t>hen the plaintiff was discharged in 1896 in the middle of a one-year period, he argued that his employer owed him as damages the unpaid salary from his date of discharge to the end of the year’s term.</w:t>
      </w:r>
      <w:r w:rsidR="006E6DA1" w:rsidRPr="006E6DA1">
        <w:rPr>
          <w:vertAlign w:val="superscript"/>
        </w:rPr>
        <w:footnoteReference w:id="6"/>
      </w:r>
      <w:r w:rsidRPr="006E6DA1">
        <w:t xml:space="preserve"> The court was faced with a question of first impression</w:t>
      </w:r>
      <w:r w:rsidR="006E6DA1" w:rsidRPr="006E6DA1">
        <w:t>: w</w:t>
      </w:r>
      <w:r w:rsidRPr="006E6DA1">
        <w:t>hether the contract relied on by the plaintiff for his claim was a contract for a term of one year or only a contract at a fixed salary for an indefinite period that could be terminated at any time at the option of either party?</w:t>
      </w:r>
      <w:r w:rsidR="006E6DA1" w:rsidRPr="006E6DA1">
        <w:rPr>
          <w:vertAlign w:val="superscript"/>
        </w:rPr>
        <w:footnoteReference w:id="7"/>
      </w:r>
    </w:p>
    <w:p w14:paraId="55B309A6" w14:textId="640CECEC" w:rsidR="006E6DA1" w:rsidRPr="006E6DA1" w:rsidRDefault="00423606" w:rsidP="006E6DA1">
      <w:pPr>
        <w:pStyle w:val="BNormal"/>
      </w:pPr>
      <w:r w:rsidRPr="006E6DA1">
        <w:t>The court declined to find that the plaintiff had an employment contract for a fixed duration</w:t>
      </w:r>
      <w:r w:rsidR="006E6DA1" w:rsidRPr="006E6DA1">
        <w:t>. T</w:t>
      </w:r>
      <w:r w:rsidRPr="006E6DA1">
        <w:t>he court held that “a hiring at a certain sum a year, no time being specified, unaccompanied by any facts and circumstances in proof from which a different intention may be inferred, and when the testimony as to the contract is not conflicting, is an employment for an indefinite term and not for a year.”</w:t>
      </w:r>
      <w:r w:rsidR="006E6DA1" w:rsidRPr="006E6DA1">
        <w:rPr>
          <w:vertAlign w:val="superscript"/>
        </w:rPr>
        <w:footnoteReference w:id="8"/>
      </w:r>
      <w:r w:rsidRPr="006E6DA1">
        <w:t xml:space="preserve"> Delaware courts have, since 1899, consistently relied on a fixed duration of employment to differentiate between at-will employment and an employment contract pursuant to which an employee can be discharged only for cause.</w:t>
      </w:r>
    </w:p>
    <w:p w14:paraId="3EFEC719" w14:textId="49AF3C35" w:rsidR="006E6DA1" w:rsidRPr="006E6DA1" w:rsidRDefault="00423606" w:rsidP="006E6DA1">
      <w:pPr>
        <w:pStyle w:val="BNormal"/>
      </w:pPr>
      <w:r w:rsidRPr="006E6DA1">
        <w:t>It was not until much later that Delaware’s at-will employment doctrine was further defined</w:t>
      </w:r>
      <w:r w:rsidR="006E6DA1" w:rsidRPr="006E6DA1">
        <w:t>. A</w:t>
      </w:r>
      <w:r w:rsidRPr="006E6DA1">
        <w:t>s federal legislation like Title VII of the Civil Rights Act of 1964 and the Age Discrimination in Employment Act of 1967 became law, Delaware enacted similar state law</w:t>
      </w:r>
      <w:r w:rsidR="006E6DA1" w:rsidRPr="006E6DA1">
        <w:t>. T</w:t>
      </w:r>
      <w:r w:rsidRPr="006E6DA1">
        <w:t>he effect was that “for the first time employers faced well-defined categories of discrimination restricting their ability to fire employees.”</w:t>
      </w:r>
      <w:r w:rsidR="006E6DA1" w:rsidRPr="006E6DA1">
        <w:rPr>
          <w:vertAlign w:val="superscript"/>
        </w:rPr>
        <w:footnoteReference w:id="9"/>
      </w:r>
    </w:p>
    <w:p w14:paraId="6D86345F" w14:textId="4E1F29D1" w:rsidR="006E6DA1" w:rsidRPr="006E6DA1" w:rsidRDefault="00423606" w:rsidP="006E6DA1">
      <w:pPr>
        <w:pStyle w:val="BNormal"/>
      </w:pPr>
      <w:r w:rsidRPr="006E6DA1">
        <w:t>Notwithstanding such changes, Delaware courts have held fast to the doctrine of at-will employment with very limited exceptions.</w:t>
      </w:r>
      <w:r w:rsidR="006E6DA1" w:rsidRPr="006E6DA1">
        <w:rPr>
          <w:vertAlign w:val="superscript"/>
        </w:rPr>
        <w:footnoteReference w:id="10"/>
      </w:r>
      <w:r w:rsidRPr="006E6DA1">
        <w:t xml:space="preserve"> Without clear and convincing evidence that supports an employee’s argument that his or her at-will status has been altered, an employee is presumed to be hired at will.</w:t>
      </w:r>
      <w:r w:rsidR="006E6DA1" w:rsidRPr="006E6DA1">
        <w:rPr>
          <w:vertAlign w:val="superscript"/>
        </w:rPr>
        <w:footnoteReference w:id="11"/>
      </w:r>
    </w:p>
    <w:p w14:paraId="5B5C3962" w14:textId="77777777" w:rsidR="006E6DA1" w:rsidRPr="006E6DA1" w:rsidRDefault="00423606" w:rsidP="006E6DA1">
      <w:pPr>
        <w:pStyle w:val="BNormal"/>
      </w:pPr>
      <w:r w:rsidRPr="006E6DA1">
        <w:t>This chapter summarizes Delaware law on the doctrine of at-will employment with a focus on the following:</w:t>
      </w:r>
    </w:p>
    <w:p w14:paraId="6722767B" w14:textId="40860484" w:rsidR="006E6DA1" w:rsidRPr="006E6DA1" w:rsidRDefault="00423606" w:rsidP="006E6DA1">
      <w:pPr>
        <w:pStyle w:val="BListitembul"/>
      </w:pPr>
      <w:r w:rsidRPr="006E6DA1">
        <w:t xml:space="preserve">Employers’ and employees’ ability to enter into binding promises regarding aspects of employment without changing the at-will </w:t>
      </w:r>
      <w:proofErr w:type="gramStart"/>
      <w:r w:rsidRPr="006E6DA1">
        <w:t>status;</w:t>
      </w:r>
      <w:proofErr w:type="gramEnd"/>
    </w:p>
    <w:p w14:paraId="14A77750" w14:textId="654F5073" w:rsidR="006E6DA1" w:rsidRPr="006E6DA1" w:rsidRDefault="00423606" w:rsidP="006E6DA1">
      <w:pPr>
        <w:pStyle w:val="BListitembul"/>
      </w:pPr>
      <w:r w:rsidRPr="006E6DA1">
        <w:t>The narrow exceptions to the doctrine, including the application of the implied covenant of good faith and fair dealing</w:t>
      </w:r>
      <w:r w:rsidR="006E6DA1" w:rsidRPr="006E6DA1">
        <w:t>; a</w:t>
      </w:r>
      <w:r w:rsidRPr="006E6DA1">
        <w:t>nd</w:t>
      </w:r>
    </w:p>
    <w:p w14:paraId="42348BEC" w14:textId="37C4D635" w:rsidR="006E6DA1" w:rsidRPr="006E6DA1" w:rsidRDefault="00423606" w:rsidP="006E6DA1">
      <w:pPr>
        <w:pStyle w:val="BListitembul"/>
      </w:pPr>
      <w:r w:rsidRPr="006E6DA1">
        <w:t>Tort claims brought in cases where at-will employees allege wrongful discharge, including fraud, defamation, and tortious interference with contract.</w:t>
      </w:r>
    </w:p>
    <w:p w14:paraId="47EA46CC" w14:textId="4A513890" w:rsidR="006E6DA1" w:rsidRPr="006E6DA1" w:rsidRDefault="00423606" w:rsidP="006E6DA1">
      <w:pPr>
        <w:pStyle w:val="BNormal"/>
        <w:rPr>
          <w:b/>
        </w:rPr>
      </w:pPr>
      <w:r w:rsidRPr="006E6DA1">
        <w:t xml:space="preserve">Courts applying Delaware law continue to uphold the strong presumption that employment is at-will, </w:t>
      </w:r>
      <w:proofErr w:type="gramStart"/>
      <w:r w:rsidRPr="006E6DA1">
        <w:t>with</w:t>
      </w:r>
      <w:proofErr w:type="gramEnd"/>
      <w:r w:rsidRPr="006E6DA1">
        <w:t xml:space="preserve"> indefinite duration, unless otherwise expressly stated.</w:t>
      </w:r>
      <w:r w:rsidR="006E6DA1" w:rsidRPr="006E6DA1">
        <w:rPr>
          <w:vertAlign w:val="superscript"/>
        </w:rPr>
        <w:footnoteReference w:id="12"/>
      </w:r>
    </w:p>
    <w:p w14:paraId="4F0B43D8" w14:textId="522196F5" w:rsidR="006E6DA1" w:rsidRPr="006E6DA1" w:rsidRDefault="00423606" w:rsidP="006E6DA1">
      <w:pPr>
        <w:pStyle w:val="BNormal"/>
      </w:pPr>
      <w:r w:rsidRPr="006E6DA1">
        <w:t>Under Delaware law, wrongful discharge claims against an employer are treated as either contract actions or tort actions.</w:t>
      </w:r>
      <w:r w:rsidR="006E6DA1" w:rsidRPr="006E6DA1">
        <w:rPr>
          <w:vertAlign w:val="superscript"/>
        </w:rPr>
        <w:footnoteReference w:id="13"/>
      </w:r>
      <w:r w:rsidRPr="006E6DA1">
        <w:t xml:space="preserve"> There is a three-year statute of limitations for contract actions and a two-year statute of limitations for personal injury actions.</w:t>
      </w:r>
      <w:r w:rsidR="006E6DA1" w:rsidRPr="006E6DA1">
        <w:rPr>
          <w:vertAlign w:val="superscript"/>
        </w:rPr>
        <w:footnoteReference w:id="14"/>
      </w:r>
      <w:r w:rsidRPr="006E6DA1">
        <w:t xml:space="preserve"> Wage-related claims are subject to a one-year statute of limitations.</w:t>
      </w:r>
      <w:r w:rsidR="006E6DA1" w:rsidRPr="006E6DA1">
        <w:rPr>
          <w:vertAlign w:val="superscript"/>
        </w:rPr>
        <w:footnoteReference w:id="15"/>
      </w:r>
    </w:p>
    <w:p w14:paraId="0EB454E8" w14:textId="10AD5A67" w:rsidR="006E6DA1" w:rsidRPr="006E6DA1" w:rsidRDefault="00423606" w:rsidP="006E6DA1">
      <w:pPr>
        <w:pStyle w:val="BNormal"/>
      </w:pPr>
      <w:r w:rsidRPr="006E6DA1">
        <w:t>Moreover, this chapter provides a detailed examination of the following topics in relation to at-will employment under Delaware law</w:t>
      </w:r>
      <w:r w:rsidR="006E6DA1" w:rsidRPr="006E6DA1">
        <w:t>. T</w:t>
      </w:r>
      <w:r w:rsidRPr="006E6DA1">
        <w:t>opics include:</w:t>
      </w:r>
    </w:p>
    <w:p w14:paraId="33F95375" w14:textId="4A70103D" w:rsidR="006E6DA1" w:rsidRPr="006E6DA1" w:rsidRDefault="00423606" w:rsidP="006E6DA1">
      <w:pPr>
        <w:pStyle w:val="BListitembul"/>
      </w:pPr>
      <w:r w:rsidRPr="006E6DA1">
        <w:t>Employment Contract</w:t>
      </w:r>
    </w:p>
    <w:p w14:paraId="417757A8" w14:textId="280A32B0" w:rsidR="006E6DA1" w:rsidRPr="006E6DA1" w:rsidRDefault="00423606" w:rsidP="006E6DA1">
      <w:pPr>
        <w:pStyle w:val="BListitembul"/>
        <w:numPr>
          <w:ilvl w:val="1"/>
          <w:numId w:val="25"/>
        </w:numPr>
      </w:pPr>
      <w:r w:rsidRPr="006E6DA1">
        <w:t>Handbooks</w:t>
      </w:r>
    </w:p>
    <w:p w14:paraId="061BCD58" w14:textId="0FC2FB5B" w:rsidR="006E6DA1" w:rsidRPr="006E6DA1" w:rsidRDefault="00423606" w:rsidP="006E6DA1">
      <w:pPr>
        <w:pStyle w:val="BListitembul"/>
        <w:numPr>
          <w:ilvl w:val="1"/>
          <w:numId w:val="25"/>
        </w:numPr>
      </w:pPr>
      <w:r w:rsidRPr="006E6DA1">
        <w:t>Oral Assurances</w:t>
      </w:r>
    </w:p>
    <w:p w14:paraId="1235FE23" w14:textId="0FB41DFE" w:rsidR="006E6DA1" w:rsidRPr="006E6DA1" w:rsidRDefault="00423606" w:rsidP="006E6DA1">
      <w:pPr>
        <w:pStyle w:val="BListitembul"/>
      </w:pPr>
      <w:r w:rsidRPr="006E6DA1">
        <w:t>Implied Covenant of Good Faith and Fair Dealing</w:t>
      </w:r>
    </w:p>
    <w:p w14:paraId="48CDDAAD" w14:textId="76A5B5E0" w:rsidR="006E6DA1" w:rsidRPr="006E6DA1" w:rsidRDefault="00423606" w:rsidP="006E6DA1">
      <w:pPr>
        <w:pStyle w:val="BListitembul"/>
        <w:numPr>
          <w:ilvl w:val="1"/>
          <w:numId w:val="25"/>
        </w:numPr>
      </w:pPr>
      <w:r w:rsidRPr="006E6DA1">
        <w:t>Violation of Public Policy</w:t>
      </w:r>
    </w:p>
    <w:p w14:paraId="01D49964" w14:textId="6DC8AF83" w:rsidR="006E6DA1" w:rsidRPr="006E6DA1" w:rsidRDefault="00423606" w:rsidP="006E6DA1">
      <w:pPr>
        <w:pStyle w:val="BListitembul"/>
        <w:numPr>
          <w:ilvl w:val="1"/>
          <w:numId w:val="25"/>
        </w:numPr>
      </w:pPr>
      <w:r w:rsidRPr="006E6DA1">
        <w:t>Employer Misrepresentation</w:t>
      </w:r>
    </w:p>
    <w:p w14:paraId="1C9F5E4E" w14:textId="3AE6BF1C" w:rsidR="006E6DA1" w:rsidRPr="006E6DA1" w:rsidRDefault="00423606" w:rsidP="006E6DA1">
      <w:pPr>
        <w:pStyle w:val="BListitembul"/>
        <w:numPr>
          <w:ilvl w:val="1"/>
          <w:numId w:val="25"/>
        </w:numPr>
      </w:pPr>
      <w:r w:rsidRPr="006E6DA1">
        <w:t>Employer Abuse of Superior Bargaining Power</w:t>
      </w:r>
    </w:p>
    <w:p w14:paraId="57BC05A7" w14:textId="14FEA334" w:rsidR="006E6DA1" w:rsidRPr="006E6DA1" w:rsidRDefault="00423606" w:rsidP="006E6DA1">
      <w:pPr>
        <w:pStyle w:val="BListitembul"/>
        <w:numPr>
          <w:ilvl w:val="1"/>
          <w:numId w:val="25"/>
        </w:numPr>
      </w:pPr>
      <w:r w:rsidRPr="006E6DA1">
        <w:t>Employer Falsified or Manipulated Employment Records to Create Fictitious Grounds for Termination</w:t>
      </w:r>
    </w:p>
    <w:p w14:paraId="05E0A97A" w14:textId="524C2720" w:rsidR="006E6DA1" w:rsidRPr="006E6DA1" w:rsidRDefault="00423606" w:rsidP="006E6DA1">
      <w:pPr>
        <w:pStyle w:val="BListitembul"/>
      </w:pPr>
      <w:r w:rsidRPr="006E6DA1">
        <w:t>Public Policy Exception</w:t>
      </w:r>
    </w:p>
    <w:p w14:paraId="21D50CE5" w14:textId="7D05E922" w:rsidR="006E6DA1" w:rsidRPr="006E6DA1" w:rsidRDefault="00423606" w:rsidP="006E6DA1">
      <w:pPr>
        <w:pStyle w:val="BListitembul"/>
      </w:pPr>
      <w:r w:rsidRPr="006E6DA1">
        <w:t>Burdens of Proof, Just Cause, Disclaimers, and Damages</w:t>
      </w:r>
    </w:p>
    <w:p w14:paraId="43CFF379" w14:textId="12FE8EE7" w:rsidR="006E6DA1" w:rsidRPr="006E6DA1" w:rsidRDefault="00423606" w:rsidP="006E6DA1">
      <w:pPr>
        <w:pStyle w:val="BListitembul"/>
        <w:numPr>
          <w:ilvl w:val="1"/>
          <w:numId w:val="25"/>
        </w:numPr>
      </w:pPr>
      <w:r w:rsidRPr="006E6DA1">
        <w:t>Burdens of Proof</w:t>
      </w:r>
    </w:p>
    <w:p w14:paraId="2291A44E" w14:textId="4C3C7CE8" w:rsidR="006E6DA1" w:rsidRPr="006E6DA1" w:rsidRDefault="00423606" w:rsidP="006E6DA1">
      <w:pPr>
        <w:pStyle w:val="BListitembul"/>
        <w:numPr>
          <w:ilvl w:val="1"/>
          <w:numId w:val="25"/>
        </w:numPr>
      </w:pPr>
      <w:r w:rsidRPr="006E6DA1">
        <w:t>Just Cause</w:t>
      </w:r>
    </w:p>
    <w:p w14:paraId="1CE7A188" w14:textId="138D9C6E" w:rsidR="006E6DA1" w:rsidRPr="006E6DA1" w:rsidRDefault="00423606" w:rsidP="006E6DA1">
      <w:pPr>
        <w:pStyle w:val="BListitembul"/>
        <w:numPr>
          <w:ilvl w:val="1"/>
          <w:numId w:val="25"/>
        </w:numPr>
      </w:pPr>
      <w:r w:rsidRPr="006E6DA1">
        <w:t>Disclaimers</w:t>
      </w:r>
    </w:p>
    <w:p w14:paraId="350D186F" w14:textId="136950BC" w:rsidR="006E6DA1" w:rsidRPr="006E6DA1" w:rsidRDefault="00423606" w:rsidP="006E6DA1">
      <w:pPr>
        <w:pStyle w:val="BListitembul"/>
        <w:numPr>
          <w:ilvl w:val="1"/>
          <w:numId w:val="25"/>
        </w:numPr>
      </w:pPr>
      <w:r w:rsidRPr="006E6DA1">
        <w:t>Damages</w:t>
      </w:r>
    </w:p>
    <w:p w14:paraId="0E118DDE" w14:textId="65A995CA" w:rsidR="006E6DA1" w:rsidRPr="006E6DA1" w:rsidRDefault="00423606" w:rsidP="006E6DA1">
      <w:pPr>
        <w:pStyle w:val="BListitembul"/>
      </w:pPr>
      <w:r w:rsidRPr="006E6DA1">
        <w:t>Related Torts</w:t>
      </w:r>
    </w:p>
    <w:p w14:paraId="7FE8BC24" w14:textId="3881293B" w:rsidR="006E6DA1" w:rsidRPr="006E6DA1" w:rsidRDefault="00423606" w:rsidP="006E6DA1">
      <w:pPr>
        <w:pStyle w:val="BListitembul"/>
        <w:numPr>
          <w:ilvl w:val="1"/>
          <w:numId w:val="25"/>
        </w:numPr>
      </w:pPr>
      <w:r w:rsidRPr="006E6DA1">
        <w:t>Fraud</w:t>
      </w:r>
    </w:p>
    <w:p w14:paraId="2F37F552" w14:textId="79267606" w:rsidR="006E6DA1" w:rsidRPr="006E6DA1" w:rsidRDefault="00423606" w:rsidP="006E6DA1">
      <w:pPr>
        <w:pStyle w:val="BListitembul"/>
        <w:numPr>
          <w:ilvl w:val="1"/>
          <w:numId w:val="25"/>
        </w:numPr>
      </w:pPr>
      <w:r w:rsidRPr="006E6DA1">
        <w:t xml:space="preserve">Intentional Interference </w:t>
      </w:r>
      <w:proofErr w:type="gramStart"/>
      <w:r w:rsidRPr="006E6DA1">
        <w:t>With</w:t>
      </w:r>
      <w:proofErr w:type="gramEnd"/>
      <w:r w:rsidRPr="006E6DA1">
        <w:t xml:space="preserve"> a Contract</w:t>
      </w:r>
    </w:p>
    <w:p w14:paraId="594F486E" w14:textId="0A2A3CFB" w:rsidR="006E6DA1" w:rsidRPr="006E6DA1" w:rsidRDefault="00423606" w:rsidP="006E6DA1">
      <w:pPr>
        <w:pStyle w:val="BListitembul"/>
        <w:numPr>
          <w:ilvl w:val="1"/>
          <w:numId w:val="25"/>
        </w:numPr>
      </w:pPr>
      <w:r w:rsidRPr="006E6DA1">
        <w:t>Defamation</w:t>
      </w:r>
    </w:p>
    <w:p w14:paraId="3176B503" w14:textId="7E061AF5" w:rsidR="006E6DA1" w:rsidRPr="006E6DA1" w:rsidRDefault="00423606" w:rsidP="006E6DA1">
      <w:pPr>
        <w:pStyle w:val="BListitembul"/>
        <w:numPr>
          <w:ilvl w:val="2"/>
          <w:numId w:val="25"/>
        </w:numPr>
        <w:ind w:left="1800"/>
      </w:pPr>
      <w:r w:rsidRPr="006E6DA1">
        <w:t>Self-Defamation/Compelled Self-Publication</w:t>
      </w:r>
    </w:p>
    <w:p w14:paraId="6CE5D7D9" w14:textId="3450EA59" w:rsidR="006E6DA1" w:rsidRPr="006E6DA1" w:rsidRDefault="00423606" w:rsidP="006E6DA1">
      <w:pPr>
        <w:pStyle w:val="BListitembul"/>
        <w:numPr>
          <w:ilvl w:val="1"/>
          <w:numId w:val="25"/>
        </w:numPr>
      </w:pPr>
      <w:r w:rsidRPr="006E6DA1">
        <w:t>Intentional Infliction of Emotional Distress</w:t>
      </w:r>
    </w:p>
    <w:p w14:paraId="512DDCFD" w14:textId="3BF53FAF" w:rsidR="006E6DA1" w:rsidRPr="006E6DA1" w:rsidRDefault="00423606" w:rsidP="006E6DA1">
      <w:pPr>
        <w:pStyle w:val="BListitembul"/>
        <w:numPr>
          <w:ilvl w:val="1"/>
          <w:numId w:val="25"/>
        </w:numPr>
      </w:pPr>
      <w:r w:rsidRPr="006E6DA1">
        <w:t>Negligence</w:t>
      </w:r>
    </w:p>
    <w:p w14:paraId="4533254E" w14:textId="6912739A" w:rsidR="006E6DA1" w:rsidRPr="006E6DA1" w:rsidRDefault="00423606" w:rsidP="006E6DA1">
      <w:pPr>
        <w:pStyle w:val="BListitembul"/>
        <w:numPr>
          <w:ilvl w:val="2"/>
          <w:numId w:val="25"/>
        </w:numPr>
        <w:ind w:left="1800"/>
      </w:pPr>
      <w:r w:rsidRPr="006E6DA1">
        <w:t>Negligent Misrepresentation</w:t>
      </w:r>
    </w:p>
    <w:p w14:paraId="4ADB948B" w14:textId="38C36971" w:rsidR="006E6DA1" w:rsidRPr="006E6DA1" w:rsidRDefault="00423606" w:rsidP="006E6DA1">
      <w:pPr>
        <w:pStyle w:val="BListitembul"/>
        <w:numPr>
          <w:ilvl w:val="2"/>
          <w:numId w:val="25"/>
        </w:numPr>
        <w:ind w:left="1800"/>
      </w:pPr>
      <w:r w:rsidRPr="006E6DA1">
        <w:t>Negligent Hiring</w:t>
      </w:r>
    </w:p>
    <w:p w14:paraId="467BABE7" w14:textId="0B950D2C" w:rsidR="006E6DA1" w:rsidRPr="006E6DA1" w:rsidRDefault="00423606" w:rsidP="006E6DA1">
      <w:pPr>
        <w:pStyle w:val="BListitembul"/>
        <w:numPr>
          <w:ilvl w:val="2"/>
          <w:numId w:val="25"/>
        </w:numPr>
        <w:ind w:left="1800"/>
      </w:pPr>
      <w:r w:rsidRPr="006E6DA1">
        <w:t>Negligent Training</w:t>
      </w:r>
    </w:p>
    <w:p w14:paraId="418CB516" w14:textId="21DAABF3" w:rsidR="006E6DA1" w:rsidRPr="006E6DA1" w:rsidRDefault="00423606" w:rsidP="006E6DA1">
      <w:pPr>
        <w:pStyle w:val="BListitembul"/>
        <w:numPr>
          <w:ilvl w:val="2"/>
          <w:numId w:val="25"/>
        </w:numPr>
        <w:ind w:left="1800"/>
      </w:pPr>
      <w:r w:rsidRPr="006E6DA1">
        <w:t>Negligent Retention</w:t>
      </w:r>
    </w:p>
    <w:p w14:paraId="3A6F61DF" w14:textId="62BCAD13" w:rsidR="006E6DA1" w:rsidRPr="006E6DA1" w:rsidRDefault="00423606" w:rsidP="006E6DA1">
      <w:pPr>
        <w:pStyle w:val="BListitembul"/>
        <w:numPr>
          <w:ilvl w:val="2"/>
          <w:numId w:val="25"/>
        </w:numPr>
        <w:ind w:left="1800"/>
      </w:pPr>
      <w:r w:rsidRPr="006E6DA1">
        <w:t>Negligent Supervision</w:t>
      </w:r>
    </w:p>
    <w:p w14:paraId="50786428" w14:textId="29F4C063" w:rsidR="006E6DA1" w:rsidRPr="006E6DA1" w:rsidRDefault="00423606" w:rsidP="006E6DA1">
      <w:pPr>
        <w:pStyle w:val="BListitembul"/>
        <w:numPr>
          <w:ilvl w:val="2"/>
          <w:numId w:val="25"/>
        </w:numPr>
        <w:ind w:left="1800"/>
      </w:pPr>
      <w:r w:rsidRPr="006E6DA1">
        <w:t>Negligent Infliction of Emotional Distress</w:t>
      </w:r>
    </w:p>
    <w:p w14:paraId="6A07A28D" w14:textId="6EDAB4A6" w:rsidR="006E6DA1" w:rsidRPr="006E6DA1" w:rsidRDefault="00423606" w:rsidP="006E6DA1">
      <w:pPr>
        <w:pStyle w:val="BListitembul"/>
        <w:numPr>
          <w:ilvl w:val="1"/>
          <w:numId w:val="25"/>
        </w:numPr>
      </w:pPr>
      <w:r w:rsidRPr="006E6DA1">
        <w:t>Miscellaneous</w:t>
      </w:r>
    </w:p>
    <w:p w14:paraId="45FECD6B" w14:textId="62A44DA5" w:rsidR="006E6DA1" w:rsidRPr="006E6DA1" w:rsidRDefault="00423606" w:rsidP="006E6DA1">
      <w:pPr>
        <w:pStyle w:val="BListitembul"/>
        <w:numPr>
          <w:ilvl w:val="2"/>
          <w:numId w:val="25"/>
        </w:numPr>
        <w:ind w:left="1800"/>
      </w:pPr>
      <w:r w:rsidRPr="006E6DA1">
        <w:t>False Imprisonment</w:t>
      </w:r>
    </w:p>
    <w:p w14:paraId="44D9386F" w14:textId="576B50B8" w:rsidR="006E6DA1" w:rsidRPr="006E6DA1" w:rsidRDefault="00423606" w:rsidP="006E6DA1">
      <w:pPr>
        <w:pStyle w:val="BListitembul"/>
      </w:pPr>
      <w:r w:rsidRPr="006E6DA1">
        <w:t>Statutes</w:t>
      </w:r>
    </w:p>
    <w:p w14:paraId="6148BD4E" w14:textId="2AFFC607" w:rsidR="006E6DA1" w:rsidRPr="006E6DA1" w:rsidRDefault="006E6DA1" w:rsidP="006E6DA1">
      <w:pPr>
        <w:pStyle w:val="BHead1"/>
      </w:pPr>
      <w:r w:rsidRPr="00891D84">
        <w:rPr>
          <w:rStyle w:val="BBNAidChar"/>
          <w:rFonts w:eastAsiaTheme="majorEastAsia"/>
        </w:rPr>
        <w:t>II</w:t>
      </w:r>
      <w:proofErr w:type="gramStart"/>
      <w:r w:rsidRPr="006E6DA1">
        <w:t>.</w:t>
      </w:r>
      <w:r w:rsidR="00891D84">
        <w:t> </w:t>
      </w:r>
      <w:r w:rsidRPr="006E6DA1">
        <w:t xml:space="preserve"> Employment</w:t>
      </w:r>
      <w:proofErr w:type="gramEnd"/>
      <w:r w:rsidRPr="006E6DA1">
        <w:t xml:space="preserve"> Contract</w:t>
      </w:r>
    </w:p>
    <w:p w14:paraId="72666119" w14:textId="6DA916DC" w:rsidR="006E6DA1" w:rsidRPr="006E6DA1" w:rsidRDefault="00423606" w:rsidP="006E6DA1">
      <w:pPr>
        <w:pStyle w:val="BNormal"/>
      </w:pPr>
      <w:r w:rsidRPr="006E6DA1">
        <w:t>As with any other contract, a valid employment contract that alters an employee’s presumptive at-will status must meet the essential requirements of mutual assent and consideration.</w:t>
      </w:r>
      <w:r w:rsidR="006E6DA1" w:rsidRPr="006E6DA1">
        <w:rPr>
          <w:vertAlign w:val="superscript"/>
        </w:rPr>
        <w:footnoteReference w:id="16"/>
      </w:r>
      <w:r w:rsidRPr="006E6DA1">
        <w:t xml:space="preserve"> In the absence of a written employment contract, to overcome the presumption of at-will employment, an employee must present clear and convincing evidence that demonstrates the parties agreed to definite and clear terms of employment</w:t>
      </w:r>
      <w:r w:rsidR="006E6DA1" w:rsidRPr="006E6DA1">
        <w:t>. I</w:t>
      </w:r>
      <w:r w:rsidRPr="006E6DA1">
        <w:t>n Delaware, the most important piece of evidence is proof that the term of employment is a fixed period.</w:t>
      </w:r>
    </w:p>
    <w:p w14:paraId="31054B08" w14:textId="0ADED84E" w:rsidR="006E6DA1" w:rsidRPr="006E6DA1" w:rsidRDefault="00423606" w:rsidP="006E6DA1">
      <w:pPr>
        <w:pStyle w:val="BNormal"/>
      </w:pPr>
      <w:r w:rsidRPr="006E6DA1">
        <w:t>An employer and employee may nonetheless contract for specific conditions of employment without altering the employee’s at-will status</w:t>
      </w:r>
      <w:r w:rsidR="006E6DA1" w:rsidRPr="006E6DA1">
        <w:t>. T</w:t>
      </w:r>
      <w:r w:rsidRPr="006E6DA1">
        <w:t>his issue typically arises in the context of an employee’s agreement to abide by a restrictive covenant</w:t>
      </w:r>
      <w:r w:rsidR="006E6DA1" w:rsidRPr="006E6DA1">
        <w:t>. F</w:t>
      </w:r>
      <w:r w:rsidRPr="006E6DA1">
        <w:t xml:space="preserve">or example, in </w:t>
      </w:r>
      <w:r w:rsidR="006E6DA1" w:rsidRPr="006E6DA1">
        <w:rPr>
          <w:rStyle w:val="BCasenamefull"/>
        </w:rPr>
        <w:t>All Pro Maids, Inc. v. Layton</w:t>
      </w:r>
      <w:r w:rsidRPr="006E6DA1">
        <w:t>, a case from Delaware’s Court of Chancery, an employer made an offer of employment and contemporaneously presented its employee with a written noncompete agreement.</w:t>
      </w:r>
      <w:r w:rsidR="006E6DA1" w:rsidRPr="006E6DA1">
        <w:rPr>
          <w:vertAlign w:val="superscript"/>
        </w:rPr>
        <w:footnoteReference w:id="17"/>
      </w:r>
      <w:r w:rsidRPr="006E6DA1">
        <w:t xml:space="preserve"> The parties executed the agreement.</w:t>
      </w:r>
      <w:r w:rsidR="006E6DA1" w:rsidRPr="006E6DA1">
        <w:rPr>
          <w:vertAlign w:val="superscript"/>
        </w:rPr>
        <w:footnoteReference w:id="18"/>
      </w:r>
      <w:r w:rsidRPr="006E6DA1">
        <w:t xml:space="preserve"> The employee eventually resigned and started a competing company</w:t>
      </w:r>
      <w:r w:rsidR="006E6DA1" w:rsidRPr="006E6DA1">
        <w:t>. H</w:t>
      </w:r>
      <w:r w:rsidRPr="006E6DA1">
        <w:t>er former employer sued her for breach of the noncompete agreement</w:t>
      </w:r>
      <w:r w:rsidR="006E6DA1" w:rsidRPr="006E6DA1">
        <w:t>. T</w:t>
      </w:r>
      <w:r w:rsidRPr="006E6DA1">
        <w:t>he employee disputed the validity and enforceability of the agreement, arguing that it was not enforceable for lack of consideration because she was an at-will employee</w:t>
      </w:r>
      <w:r w:rsidR="006E6DA1" w:rsidRPr="006E6DA1">
        <w:t>. I</w:t>
      </w:r>
      <w:r w:rsidRPr="006E6DA1">
        <w:t>n resolving the dispute, the court held that the agreement was valid and enforceable, notwithstanding the employee’s at-will status</w:t>
      </w:r>
      <w:r w:rsidR="006E6DA1" w:rsidRPr="006E6DA1">
        <w:t>. T</w:t>
      </w:r>
      <w:r w:rsidRPr="006E6DA1">
        <w:t xml:space="preserve">he employee’s employment was adequate </w:t>
      </w:r>
      <w:proofErr w:type="gramStart"/>
      <w:r w:rsidRPr="006E6DA1">
        <w:t>consideration</w:t>
      </w:r>
      <w:proofErr w:type="gramEnd"/>
      <w:r w:rsidRPr="006E6DA1">
        <w:t xml:space="preserve"> for her promise not to compete.</w:t>
      </w:r>
      <w:r w:rsidR="006E6DA1" w:rsidRPr="006E6DA1">
        <w:rPr>
          <w:vertAlign w:val="superscript"/>
        </w:rPr>
        <w:footnoteReference w:id="19"/>
      </w:r>
    </w:p>
    <w:p w14:paraId="5F3F53CF" w14:textId="221CEED8" w:rsidR="006E6DA1" w:rsidRPr="006E6DA1" w:rsidRDefault="00423606" w:rsidP="006E6DA1">
      <w:pPr>
        <w:pStyle w:val="BNormal"/>
      </w:pPr>
      <w:r w:rsidRPr="006E6DA1">
        <w:t>Continued employment is also adequate consideration for a promise not to compete</w:t>
      </w:r>
      <w:r w:rsidR="006E6DA1" w:rsidRPr="006E6DA1">
        <w:t>. I</w:t>
      </w:r>
      <w:r w:rsidRPr="006E6DA1">
        <w:t xml:space="preserve">n </w:t>
      </w:r>
      <w:r w:rsidR="006E6DA1" w:rsidRPr="006E6DA1">
        <w:rPr>
          <w:rStyle w:val="BCasenamefull"/>
        </w:rPr>
        <w:t>Newell Rubbermaid Inc. v. Storm</w:t>
      </w:r>
      <w:r w:rsidRPr="006E6DA1">
        <w:t>, the employee was awarded restricted stock units (RSUs) during the course of her employment subject to a covenant not to compete.</w:t>
      </w:r>
      <w:r w:rsidR="006E6DA1" w:rsidRPr="006E6DA1">
        <w:rPr>
          <w:vertAlign w:val="superscript"/>
        </w:rPr>
        <w:footnoteReference w:id="20"/>
      </w:r>
      <w:r w:rsidRPr="006E6DA1">
        <w:t xml:space="preserve"> The employee agreed to the terms of the restrictive covenants by clicking through certain check boxes on the investment company’s website in order to receive the RSUs.</w:t>
      </w:r>
      <w:r w:rsidR="006E6DA1" w:rsidRPr="006E6DA1">
        <w:rPr>
          <w:vertAlign w:val="superscript"/>
        </w:rPr>
        <w:footnoteReference w:id="21"/>
      </w:r>
      <w:r w:rsidRPr="006E6DA1">
        <w:t xml:space="preserve"> The employee argued that the RSU agreements were illusory because they could be forfeited through a termination without cause.</w:t>
      </w:r>
      <w:r w:rsidR="006E6DA1" w:rsidRPr="006E6DA1">
        <w:rPr>
          <w:vertAlign w:val="superscript"/>
        </w:rPr>
        <w:footnoteReference w:id="22"/>
      </w:r>
      <w:r w:rsidRPr="006E6DA1">
        <w:t xml:space="preserve"> Nonetheless, the court reasoned that the employee’s future employment was likely, and therefore that continued employment was adequate consideration to support the noncompete provisions in the RSU agreements.</w:t>
      </w:r>
      <w:r w:rsidR="006E6DA1" w:rsidRPr="006E6DA1">
        <w:rPr>
          <w:vertAlign w:val="superscript"/>
        </w:rPr>
        <w:footnoteReference w:id="23"/>
      </w:r>
    </w:p>
    <w:p w14:paraId="73AFD873" w14:textId="4B03AB63" w:rsidR="006E6DA1" w:rsidRPr="006E6DA1" w:rsidRDefault="00423606" w:rsidP="006E6DA1">
      <w:pPr>
        <w:pStyle w:val="BNormal"/>
      </w:pPr>
      <w:r w:rsidRPr="006E6DA1">
        <w:t>More typically, a written agreement alters the employee’s at-will status</w:t>
      </w:r>
      <w:r w:rsidR="006E6DA1" w:rsidRPr="006E6DA1">
        <w:t>. F</w:t>
      </w:r>
      <w:r w:rsidRPr="006E6DA1">
        <w:t xml:space="preserve">or example, in </w:t>
      </w:r>
      <w:r w:rsidR="006E6DA1" w:rsidRPr="006E6DA1">
        <w:rPr>
          <w:rStyle w:val="BCasenamefull"/>
        </w:rPr>
        <w:t>Haney v. Laub</w:t>
      </w:r>
      <w:r w:rsidRPr="006E6DA1">
        <w:t xml:space="preserve">, a stock option agreement with a provision that the employee could only be discharged </w:t>
      </w:r>
      <w:proofErr w:type="gramStart"/>
      <w:r w:rsidRPr="006E6DA1">
        <w:t>for cause</w:t>
      </w:r>
      <w:proofErr w:type="gramEnd"/>
      <w:r w:rsidRPr="006E6DA1">
        <w:t xml:space="preserve"> </w:t>
      </w:r>
      <w:proofErr w:type="gramStart"/>
      <w:r w:rsidRPr="006E6DA1">
        <w:t>modified</w:t>
      </w:r>
      <w:proofErr w:type="gramEnd"/>
      <w:r w:rsidRPr="006E6DA1">
        <w:t xml:space="preserve"> an employee’s at-will status.</w:t>
      </w:r>
      <w:r w:rsidR="006E6DA1" w:rsidRPr="006E6DA1">
        <w:rPr>
          <w:vertAlign w:val="superscript"/>
        </w:rPr>
        <w:footnoteReference w:id="24"/>
      </w:r>
      <w:r w:rsidRPr="006E6DA1">
        <w:t xml:space="preserve"> The employee was initially hired pursuant to an oral agreement for an indefinite term</w:t>
      </w:r>
      <w:r w:rsidR="006E6DA1" w:rsidRPr="006E6DA1">
        <w:t>. A</w:t>
      </w:r>
      <w:r w:rsidRPr="006E6DA1">
        <w:t>ccordingly, the employment was at will</w:t>
      </w:r>
      <w:r w:rsidR="006E6DA1" w:rsidRPr="006E6DA1">
        <w:t>. L</w:t>
      </w:r>
      <w:r w:rsidRPr="006E6DA1">
        <w:t>ater, his employer offered him a written agreement to purchase some of the employer’s stock, which the parties executed</w:t>
      </w:r>
      <w:r w:rsidR="006E6DA1" w:rsidRPr="006E6DA1">
        <w:t>. T</w:t>
      </w:r>
      <w:r w:rsidRPr="006E6DA1">
        <w:t>he stock option agreement provided that the employee’s stock options could only be terminated if the employee either predeceased his employer or was discharged for cause.</w:t>
      </w:r>
      <w:r w:rsidR="006E6DA1" w:rsidRPr="006E6DA1">
        <w:rPr>
          <w:vertAlign w:val="superscript"/>
        </w:rPr>
        <w:footnoteReference w:id="25"/>
      </w:r>
    </w:p>
    <w:p w14:paraId="3D6AC4B1" w14:textId="50163198" w:rsidR="006E6DA1" w:rsidRPr="006E6DA1" w:rsidRDefault="00423606" w:rsidP="006E6DA1">
      <w:pPr>
        <w:pStyle w:val="BNormal"/>
      </w:pPr>
      <w:r w:rsidRPr="006E6DA1">
        <w:t xml:space="preserve">Two years later, the employee was discharged without </w:t>
      </w:r>
      <w:proofErr w:type="gramStart"/>
      <w:r w:rsidRPr="006E6DA1">
        <w:t>cause</w:t>
      </w:r>
      <w:proofErr w:type="gramEnd"/>
      <w:r w:rsidR="006E6DA1" w:rsidRPr="006E6DA1">
        <w:t>. T</w:t>
      </w:r>
      <w:r w:rsidRPr="006E6DA1">
        <w:t>he employee challenged his discharge and argued that the stock option agreement altered his employment such that he could be discharged only for cause.</w:t>
      </w:r>
      <w:r w:rsidR="006E6DA1" w:rsidRPr="006E6DA1">
        <w:rPr>
          <w:vertAlign w:val="superscript"/>
        </w:rPr>
        <w:footnoteReference w:id="26"/>
      </w:r>
      <w:r w:rsidRPr="006E6DA1">
        <w:t xml:space="preserve"> The court agreed</w:t>
      </w:r>
      <w:r w:rsidR="006E6DA1" w:rsidRPr="006E6DA1">
        <w:t>. W</w:t>
      </w:r>
      <w:r w:rsidRPr="006E6DA1">
        <w:t xml:space="preserve">hen construed in its entirety, the stock option agreement made it reasonably clear that the options were given in consideration of the </w:t>
      </w:r>
      <w:proofErr w:type="gramStart"/>
      <w:r w:rsidRPr="006E6DA1">
        <w:t>employee’s</w:t>
      </w:r>
      <w:proofErr w:type="gramEnd"/>
      <w:r w:rsidRPr="006E6DA1">
        <w:t xml:space="preserve"> service</w:t>
      </w:r>
      <w:r w:rsidR="006E6DA1" w:rsidRPr="006E6DA1">
        <w:t>. T</w:t>
      </w:r>
      <w:r w:rsidRPr="006E6DA1">
        <w:t>he court held that the agreement was a unilateral contract granting the employee certain rights that were contingent upon the employee’s continued employment</w:t>
      </w:r>
      <w:r w:rsidR="006E6DA1" w:rsidRPr="006E6DA1">
        <w:t>. M</w:t>
      </w:r>
      <w:r w:rsidRPr="006E6DA1">
        <w:t xml:space="preserve">ore </w:t>
      </w:r>
      <w:proofErr w:type="gramStart"/>
      <w:r w:rsidRPr="006E6DA1">
        <w:t>important</w:t>
      </w:r>
      <w:proofErr w:type="gramEnd"/>
      <w:r w:rsidRPr="006E6DA1">
        <w:t>, the agreement made it clear that if the employee were to be discharged, he had to be discharged for cause</w:t>
      </w:r>
      <w:r w:rsidR="006E6DA1" w:rsidRPr="006E6DA1">
        <w:t>. I</w:t>
      </w:r>
      <w:r w:rsidRPr="006E6DA1">
        <w:t>n short, the court found that the terms of the stock option agreement limited the employer’s absolute right to discharge the employee at will and without cause.</w:t>
      </w:r>
      <w:r w:rsidR="006E6DA1" w:rsidRPr="006E6DA1">
        <w:rPr>
          <w:vertAlign w:val="superscript"/>
        </w:rPr>
        <w:footnoteReference w:id="27"/>
      </w:r>
    </w:p>
    <w:p w14:paraId="18E89216" w14:textId="66D2C36A" w:rsidR="006E6DA1" w:rsidRPr="006E6DA1" w:rsidRDefault="00423606" w:rsidP="006E6DA1">
      <w:pPr>
        <w:pStyle w:val="BNormal"/>
      </w:pPr>
      <w:r w:rsidRPr="006E6DA1">
        <w:t>Delaware’s courts have also recognized limited circumstances when an employer’s actions may create implied-in-fact contracts that change an employee’s at-will status</w:t>
      </w:r>
      <w:r w:rsidR="006E6DA1" w:rsidRPr="006E6DA1">
        <w:t>. F</w:t>
      </w:r>
      <w:r w:rsidRPr="006E6DA1">
        <w:t xml:space="preserve">or example, in </w:t>
      </w:r>
      <w:r w:rsidR="006E6DA1" w:rsidRPr="006E6DA1">
        <w:rPr>
          <w:rStyle w:val="BCasenamefull"/>
        </w:rPr>
        <w:t>L.H. Doane Associates, Inc. v. Seymour</w:t>
      </w:r>
      <w:r w:rsidRPr="006E6DA1">
        <w:t>, Delaware’s Supreme Court affirmed, without opinion, that an employer was required to pay accumulated benefits to an employee who had resigned because it had done so for other employees.</w:t>
      </w:r>
      <w:r w:rsidR="006E6DA1" w:rsidRPr="006E6DA1">
        <w:rPr>
          <w:vertAlign w:val="superscript"/>
        </w:rPr>
        <w:footnoteReference w:id="28"/>
      </w:r>
      <w:r w:rsidRPr="006E6DA1">
        <w:t xml:space="preserve"> The employer’s course of conduct superseded its own written policy.</w:t>
      </w:r>
      <w:r w:rsidR="006E6DA1" w:rsidRPr="006E6DA1">
        <w:rPr>
          <w:vertAlign w:val="superscript"/>
        </w:rPr>
        <w:footnoteReference w:id="29"/>
      </w:r>
    </w:p>
    <w:p w14:paraId="0A74FCAA" w14:textId="3E9F9A2A" w:rsidR="006E6DA1" w:rsidRPr="006E6DA1" w:rsidRDefault="00423606" w:rsidP="006E6DA1">
      <w:pPr>
        <w:pStyle w:val="BNormal"/>
      </w:pPr>
      <w:r w:rsidRPr="006E6DA1">
        <w:t xml:space="preserve">In </w:t>
      </w:r>
      <w:r w:rsidR="006E6DA1" w:rsidRPr="006E6DA1">
        <w:rPr>
          <w:rStyle w:val="BCasenamefull"/>
        </w:rPr>
        <w:t>Thompson v. State of Delaware Department of Services for Children, Youth &amp; Their Families</w:t>
      </w:r>
      <w:r w:rsidRPr="006E6DA1">
        <w:t>, the Third Circuit Court of Appeals applied Delaware law in a case concerning a public employee who was subject to the Delaware State Merit Rules governing state employees.</w:t>
      </w:r>
      <w:r w:rsidR="006E6DA1" w:rsidRPr="006E6DA1">
        <w:rPr>
          <w:vertAlign w:val="superscript"/>
        </w:rPr>
        <w:footnoteReference w:id="30"/>
      </w:r>
      <w:r w:rsidRPr="006E6DA1">
        <w:t xml:space="preserve"> The Third Circuit found that the Merit Rules—particularly with respect to probationary employees (which the Plaintiff was) —do not alter the general rule in Delaware that employment is presumed to be at-will, and can be terminated at any time.</w:t>
      </w:r>
      <w:r w:rsidR="006E6DA1" w:rsidRPr="006E6DA1">
        <w:rPr>
          <w:vertAlign w:val="superscript"/>
        </w:rPr>
        <w:footnoteReference w:id="31"/>
      </w:r>
      <w:r w:rsidRPr="006E6DA1">
        <w:t xml:space="preserve"> As the court explained</w:t>
      </w:r>
      <w:r w:rsidR="006E6DA1" w:rsidRPr="006E6DA1">
        <w:t>: “</w:t>
      </w:r>
      <w:r w:rsidRPr="006E6DA1">
        <w:t>‘[p]</w:t>
      </w:r>
      <w:proofErr w:type="spellStart"/>
      <w:r w:rsidRPr="006E6DA1">
        <w:t>robationary</w:t>
      </w:r>
      <w:proofErr w:type="spellEnd"/>
      <w:r w:rsidRPr="006E6DA1">
        <w:t>’ is … synonymous with ‘at-will’ under the Merit Rules.”</w:t>
      </w:r>
      <w:r w:rsidR="006E6DA1" w:rsidRPr="006E6DA1">
        <w:rPr>
          <w:vertAlign w:val="superscript"/>
        </w:rPr>
        <w:footnoteReference w:id="32"/>
      </w:r>
      <w:r w:rsidRPr="006E6DA1">
        <w:t xml:space="preserve"> Accordingly, the court found that the probationary employee did not have a protected right to continued employment.</w:t>
      </w:r>
      <w:r w:rsidR="006E6DA1" w:rsidRPr="006E6DA1">
        <w:rPr>
          <w:vertAlign w:val="superscript"/>
        </w:rPr>
        <w:footnoteReference w:id="33"/>
      </w:r>
      <w:r w:rsidRPr="006E6DA1">
        <w:t xml:space="preserve"> Notwithstanding, the court’s reliance upon the fact that the plaintiff-employee was still in their probationary period suggests that this conclusion may have been different if the employee had been employed beyond then.</w:t>
      </w:r>
    </w:p>
    <w:p w14:paraId="26F82058" w14:textId="315CD728" w:rsidR="006E6DA1" w:rsidRPr="006E6DA1" w:rsidRDefault="00891D84" w:rsidP="006E6DA1">
      <w:pPr>
        <w:pStyle w:val="BHead2"/>
      </w:pPr>
      <w:r>
        <w:t>II.</w:t>
      </w:r>
      <w:r w:rsidR="006E6DA1" w:rsidRPr="00891D84">
        <w:rPr>
          <w:rStyle w:val="BBNAidChar"/>
          <w:rFonts w:eastAsiaTheme="majorEastAsia"/>
        </w:rPr>
        <w:t>A</w:t>
      </w:r>
      <w:r w:rsidR="006E6DA1" w:rsidRPr="006E6DA1">
        <w:t>.</w:t>
      </w:r>
      <w:r>
        <w:t> </w:t>
      </w:r>
      <w:r w:rsidR="006E6DA1" w:rsidRPr="006E6DA1">
        <w:tab/>
        <w:t>Handbooks</w:t>
      </w:r>
    </w:p>
    <w:p w14:paraId="0F75B236" w14:textId="305696CE" w:rsidR="006E6DA1" w:rsidRPr="006E6DA1" w:rsidRDefault="00423606" w:rsidP="006E6DA1">
      <w:pPr>
        <w:pStyle w:val="BNormal"/>
      </w:pPr>
      <w:r w:rsidRPr="006E6DA1">
        <w:t>Delaware courts view employee handbooks and personnel materials as employer policies that are subject to change at any time.</w:t>
      </w:r>
      <w:r w:rsidR="006E6DA1" w:rsidRPr="006E6DA1">
        <w:rPr>
          <w:vertAlign w:val="superscript"/>
        </w:rPr>
        <w:footnoteReference w:id="34"/>
      </w:r>
      <w:r w:rsidRPr="006E6DA1">
        <w:t xml:space="preserve"> Delaware’s Supreme Court first examined the “handbook exception” in </w:t>
      </w:r>
      <w:proofErr w:type="spellStart"/>
      <w:r w:rsidR="006E6DA1" w:rsidRPr="006E6DA1">
        <w:rPr>
          <w:rStyle w:val="BCasenamefull"/>
        </w:rPr>
        <w:t>Heideck</w:t>
      </w:r>
      <w:proofErr w:type="spellEnd"/>
      <w:r w:rsidR="006E6DA1" w:rsidRPr="006E6DA1">
        <w:rPr>
          <w:rStyle w:val="BCasenamefull"/>
        </w:rPr>
        <w:t xml:space="preserve"> v. Kent General Hospital, Inc</w:t>
      </w:r>
      <w:r w:rsidRPr="006E6DA1">
        <w:t>.,</w:t>
      </w:r>
      <w:r w:rsidR="006E6DA1" w:rsidRPr="006E6DA1">
        <w:rPr>
          <w:vertAlign w:val="superscript"/>
        </w:rPr>
        <w:footnoteReference w:id="35"/>
      </w:r>
      <w:r w:rsidRPr="006E6DA1">
        <w:t xml:space="preserve"> where the court affirmed the trial court’s holding that the employer’s handbook did not grant the plaintiff employment for a specific term and did not, therefore, alter her at-will status</w:t>
      </w:r>
      <w:r w:rsidR="006E6DA1" w:rsidRPr="006E6DA1">
        <w:t>. I</w:t>
      </w:r>
      <w:r w:rsidRPr="006E6DA1">
        <w:t>n its opinion, the court added that the employment booklet that the plaintiff claimed created a contractual employment relationship was only “a unilateral expression of the defendant’s policies and procedures on a number of topics, issued for the guidance and benefit of employees.”</w:t>
      </w:r>
      <w:r w:rsidR="006E6DA1" w:rsidRPr="006E6DA1">
        <w:rPr>
          <w:vertAlign w:val="superscript"/>
        </w:rPr>
        <w:footnoteReference w:id="36"/>
      </w:r>
    </w:p>
    <w:p w14:paraId="5D568E1B" w14:textId="1F19F447" w:rsidR="006E6DA1" w:rsidRPr="006E6DA1" w:rsidRDefault="00423606" w:rsidP="006E6DA1">
      <w:pPr>
        <w:pStyle w:val="BNormal"/>
      </w:pPr>
      <w:r w:rsidRPr="006E6DA1">
        <w:t>Since then, Delaware courts have consistently held that an employee handbook or personnel manual does not constitute a binding contract for employment</w:t>
      </w:r>
      <w:r w:rsidR="006E6DA1" w:rsidRPr="006E6DA1">
        <w:t>. “</w:t>
      </w:r>
      <w:r w:rsidRPr="006E6DA1">
        <w:t>The law is well settled, [] that an employee handbook, which does not set forth terms, conditions, or duration of employment, does not constitute a contract between an employer and employee.”</w:t>
      </w:r>
      <w:r w:rsidR="006E6DA1" w:rsidRPr="006E6DA1">
        <w:rPr>
          <w:vertAlign w:val="superscript"/>
        </w:rPr>
        <w:footnoteReference w:id="37"/>
      </w:r>
    </w:p>
    <w:p w14:paraId="1579B0D0" w14:textId="04E426CB" w:rsidR="006E6DA1" w:rsidRPr="006E6DA1" w:rsidRDefault="00423606" w:rsidP="006E6DA1">
      <w:pPr>
        <w:pStyle w:val="BNormal"/>
      </w:pPr>
      <w:r w:rsidRPr="006E6DA1">
        <w:t>The Third Circuit, interpreting Delaware state law, continues to hold that at-will employees do not have a property interest in their employment that would trigger due process rights.</w:t>
      </w:r>
      <w:r w:rsidR="006E6DA1" w:rsidRPr="006E6DA1">
        <w:rPr>
          <w:vertAlign w:val="superscript"/>
        </w:rPr>
        <w:footnoteReference w:id="38"/>
      </w:r>
      <w:r w:rsidRPr="006E6DA1">
        <w:t xml:space="preserve"> In </w:t>
      </w:r>
      <w:r w:rsidR="006E6DA1" w:rsidRPr="006E6DA1">
        <w:rPr>
          <w:rStyle w:val="BCasenamefull"/>
        </w:rPr>
        <w:t>Murphy v. City of Lewes</w:t>
      </w:r>
      <w:r w:rsidRPr="006E6DA1">
        <w:t>, an at-will employee alleged she was deprived of her right to due process set forth in the employer’s personnel policy when her employer terminated her employment without notice or a hearing.</w:t>
      </w:r>
      <w:r w:rsidR="006E6DA1" w:rsidRPr="006E6DA1">
        <w:rPr>
          <w:vertAlign w:val="superscript"/>
        </w:rPr>
        <w:footnoteReference w:id="39"/>
      </w:r>
      <w:r w:rsidRPr="006E6DA1">
        <w:t xml:space="preserve"> The Third Circuit held that the employer’s unilaterally-issued personnel policy’s notice and hearing procedures did not create a property interest in the employee’s job and, therefore, at-will employees do not have due process rights.</w:t>
      </w:r>
      <w:r w:rsidR="006E6DA1" w:rsidRPr="006E6DA1">
        <w:rPr>
          <w:vertAlign w:val="superscript"/>
        </w:rPr>
        <w:footnoteReference w:id="40"/>
      </w:r>
    </w:p>
    <w:p w14:paraId="03CC7F31" w14:textId="77777777" w:rsidR="006E6DA1" w:rsidRPr="006E6DA1" w:rsidRDefault="00423606" w:rsidP="006E6DA1">
      <w:pPr>
        <w:pStyle w:val="BNormal"/>
      </w:pPr>
      <w:r w:rsidRPr="006E6DA1">
        <w:t>See also V.C., “Disclaimers,” below.</w:t>
      </w:r>
    </w:p>
    <w:p w14:paraId="1B51D8C2" w14:textId="51B6E07D" w:rsidR="006E6DA1" w:rsidRPr="006E6DA1" w:rsidRDefault="00891D84" w:rsidP="006E6DA1">
      <w:pPr>
        <w:pStyle w:val="BHead2"/>
      </w:pPr>
      <w:r>
        <w:t>II.</w:t>
      </w:r>
      <w:r w:rsidR="006E6DA1" w:rsidRPr="00891D84">
        <w:rPr>
          <w:rStyle w:val="BBNAidChar"/>
          <w:rFonts w:eastAsiaTheme="majorEastAsia"/>
        </w:rPr>
        <w:t>B</w:t>
      </w:r>
      <w:r w:rsidR="006E6DA1" w:rsidRPr="006E6DA1">
        <w:t>.</w:t>
      </w:r>
      <w:r>
        <w:t> </w:t>
      </w:r>
      <w:r w:rsidR="006E6DA1" w:rsidRPr="006E6DA1">
        <w:tab/>
        <w:t>Oral Assurances</w:t>
      </w:r>
    </w:p>
    <w:p w14:paraId="75644B9C" w14:textId="3FB0F7F0" w:rsidR="006E6DA1" w:rsidRPr="006E6DA1" w:rsidRDefault="00423606" w:rsidP="006E6DA1">
      <w:pPr>
        <w:pStyle w:val="BNormal"/>
      </w:pPr>
      <w:r w:rsidRPr="006E6DA1">
        <w:t>An oral promise to hire an employee for an indefinite period is a hiring at-will and outside the statute of frauds.</w:t>
      </w:r>
      <w:r w:rsidR="006E6DA1" w:rsidRPr="006E6DA1">
        <w:rPr>
          <w:vertAlign w:val="superscript"/>
        </w:rPr>
        <w:footnoteReference w:id="41"/>
      </w:r>
      <w:r w:rsidRPr="006E6DA1">
        <w:t xml:space="preserve"> The statute of frauds makes unenforceable any oral promise for employment greater than one year, because a contract that cannot be performed within one year must be in writing.</w:t>
      </w:r>
      <w:r w:rsidR="006E6DA1" w:rsidRPr="006E6DA1">
        <w:rPr>
          <w:vertAlign w:val="superscript"/>
        </w:rPr>
        <w:footnoteReference w:id="42"/>
      </w:r>
      <w:r w:rsidRPr="006E6DA1">
        <w:t xml:space="preserve"> An oral contract of employment for an indefinite period, however, is a hiring at will that may be terminated anytime with or without cause, because an agreement for an indefinite period of employment could be completed within one year.</w:t>
      </w:r>
      <w:r w:rsidR="006E6DA1" w:rsidRPr="006E6DA1">
        <w:rPr>
          <w:vertAlign w:val="superscript"/>
        </w:rPr>
        <w:footnoteReference w:id="43"/>
      </w:r>
    </w:p>
    <w:p w14:paraId="0A5E5F24" w14:textId="7A285C17" w:rsidR="006E6DA1" w:rsidRPr="006E6DA1" w:rsidRDefault="00423606" w:rsidP="006E6DA1">
      <w:pPr>
        <w:pStyle w:val="BNormal"/>
      </w:pPr>
      <w:r w:rsidRPr="006E6DA1">
        <w:t>Delaware courts have consistently held that oral assurances of prospective permanent employment, without more, are not enforceable against an employer and do not change an employee’s at-will status</w:t>
      </w:r>
      <w:r w:rsidR="006E6DA1" w:rsidRPr="006E6DA1">
        <w:t>. F</w:t>
      </w:r>
      <w:r w:rsidRPr="006E6DA1">
        <w:t xml:space="preserve">or such assurances to be enforceable, the employee must provide evidence of some </w:t>
      </w:r>
      <w:proofErr w:type="gramStart"/>
      <w:r w:rsidRPr="006E6DA1">
        <w:t>basic contract</w:t>
      </w:r>
      <w:proofErr w:type="gramEnd"/>
      <w:r w:rsidRPr="006E6DA1">
        <w:t xml:space="preserve"> consideration such as detrimental reliance.</w:t>
      </w:r>
      <w:r w:rsidR="006E6DA1" w:rsidRPr="006E6DA1">
        <w:rPr>
          <w:vertAlign w:val="superscript"/>
        </w:rPr>
        <w:footnoteReference w:id="44"/>
      </w:r>
    </w:p>
    <w:p w14:paraId="3D14871D" w14:textId="032482E4" w:rsidR="006E6DA1" w:rsidRPr="006E6DA1" w:rsidRDefault="006E6DA1" w:rsidP="006E6DA1">
      <w:pPr>
        <w:pStyle w:val="BNormal"/>
      </w:pPr>
      <w:r w:rsidRPr="006E6DA1">
        <w:rPr>
          <w:rStyle w:val="BCasenamefull"/>
        </w:rPr>
        <w:t>Konitzer v. Carpenter</w:t>
      </w:r>
      <w:r w:rsidR="00423606" w:rsidRPr="006E6DA1">
        <w:t>, a Delaware Superior Court case, is a helpful illustration.</w:t>
      </w:r>
      <w:r w:rsidRPr="006E6DA1">
        <w:rPr>
          <w:vertAlign w:val="superscript"/>
        </w:rPr>
        <w:footnoteReference w:id="45"/>
      </w:r>
      <w:r w:rsidR="00423606" w:rsidRPr="006E6DA1">
        <w:t xml:space="preserve"> The plaintiff claimed his termination constituted a breach of an oral employment contract</w:t>
      </w:r>
      <w:r w:rsidRPr="006E6DA1">
        <w:t>. I</w:t>
      </w:r>
      <w:r w:rsidR="00423606" w:rsidRPr="006E6DA1">
        <w:t>n a letter to his prospective employer, the plaintiff set forth his interest in the position and listed what he thought his salary requirements would be for the next six years.</w:t>
      </w:r>
      <w:r w:rsidRPr="006E6DA1">
        <w:rPr>
          <w:vertAlign w:val="superscript"/>
        </w:rPr>
        <w:footnoteReference w:id="46"/>
      </w:r>
      <w:r w:rsidR="00423606" w:rsidRPr="006E6DA1">
        <w:t xml:space="preserve"> He claimed that when the parties negotiated his employment they considered his letter, and he was orally advised that he could “have the job of head groundskeeper on the [p]</w:t>
      </w:r>
      <w:proofErr w:type="spellStart"/>
      <w:r w:rsidR="00423606" w:rsidRPr="006E6DA1">
        <w:t>roperty</w:t>
      </w:r>
      <w:proofErr w:type="spellEnd"/>
      <w:r w:rsidR="00423606" w:rsidRPr="006E6DA1">
        <w:t xml:space="preserve"> so long as [the d]</w:t>
      </w:r>
      <w:proofErr w:type="spellStart"/>
      <w:r w:rsidR="00423606" w:rsidRPr="006E6DA1">
        <w:t>efendant</w:t>
      </w:r>
      <w:proofErr w:type="spellEnd"/>
      <w:r w:rsidR="00423606" w:rsidRPr="006E6DA1">
        <w:t xml:space="preserve"> resided on the [p]</w:t>
      </w:r>
      <w:proofErr w:type="spellStart"/>
      <w:r w:rsidR="00423606" w:rsidRPr="006E6DA1">
        <w:t>roperty</w:t>
      </w:r>
      <w:proofErr w:type="spellEnd"/>
      <w:r w:rsidR="00423606" w:rsidRPr="006E6DA1">
        <w:t xml:space="preserve"> and as long as [the p]</w:t>
      </w:r>
      <w:proofErr w:type="spellStart"/>
      <w:r w:rsidR="00423606" w:rsidRPr="006E6DA1">
        <w:t>laintiff</w:t>
      </w:r>
      <w:proofErr w:type="spellEnd"/>
      <w:r w:rsidR="00423606" w:rsidRPr="006E6DA1">
        <w:t xml:space="preserve"> wanted the job.”</w:t>
      </w:r>
      <w:r w:rsidRPr="006E6DA1">
        <w:rPr>
          <w:vertAlign w:val="superscript"/>
        </w:rPr>
        <w:footnoteReference w:id="47"/>
      </w:r>
      <w:r w:rsidR="00423606" w:rsidRPr="006E6DA1">
        <w:t xml:space="preserve"> The plaintiff was eventually discharged without cause</w:t>
      </w:r>
      <w:r w:rsidRPr="006E6DA1">
        <w:t>. I</w:t>
      </w:r>
      <w:r w:rsidR="00423606" w:rsidRPr="006E6DA1">
        <w:t>n his lawsuit, he asserted two claims</w:t>
      </w:r>
      <w:r w:rsidRPr="006E6DA1">
        <w:t>: b</w:t>
      </w:r>
      <w:r w:rsidR="00423606" w:rsidRPr="006E6DA1">
        <w:t>reach of contract and promissory estoppel</w:t>
      </w:r>
      <w:r w:rsidRPr="006E6DA1">
        <w:t>. A</w:t>
      </w:r>
      <w:r w:rsidR="00423606" w:rsidRPr="006E6DA1">
        <w:t>s to the breach of contract claim, the plaintiff asserted that he had one of two oral contracts</w:t>
      </w:r>
      <w:r w:rsidRPr="006E6DA1">
        <w:t>: e</w:t>
      </w:r>
      <w:r w:rsidR="00423606" w:rsidRPr="006E6DA1">
        <w:t>ither one for a fixed term of at least six years or one for as long as defendant resided on the property and the plaintiff wanted the job.</w:t>
      </w:r>
      <w:r w:rsidRPr="006E6DA1">
        <w:rPr>
          <w:vertAlign w:val="superscript"/>
        </w:rPr>
        <w:footnoteReference w:id="48"/>
      </w:r>
    </w:p>
    <w:p w14:paraId="245C6BB3" w14:textId="70574993" w:rsidR="006E6DA1" w:rsidRPr="006E6DA1" w:rsidRDefault="00423606" w:rsidP="006E6DA1">
      <w:pPr>
        <w:pStyle w:val="BNormal"/>
      </w:pPr>
      <w:r w:rsidRPr="006E6DA1">
        <w:t>The court found in the employer’s favor on the oral contract issues</w:t>
      </w:r>
      <w:r w:rsidR="006E6DA1" w:rsidRPr="006E6DA1">
        <w:t>. F</w:t>
      </w:r>
      <w:r w:rsidRPr="006E6DA1">
        <w:t>irst, the court found that the alleged oral contract that the plaintiff would be employed for a period of six years was barred by the statute of frauds.</w:t>
      </w:r>
      <w:r w:rsidR="006E6DA1" w:rsidRPr="006E6DA1">
        <w:rPr>
          <w:vertAlign w:val="superscript"/>
        </w:rPr>
        <w:footnoteReference w:id="49"/>
      </w:r>
      <w:r w:rsidRPr="006E6DA1">
        <w:t xml:space="preserve"> Second, the court noted that the oral promise to employ the plaintiff for as long as the employer resided at the property and the plaintiff wanted the job did not violate the statute of frauds, but was unenforceable because the plaintiff was employed at will and could be terminated for any reason absent bad faith</w:t>
      </w:r>
      <w:r w:rsidR="006E6DA1" w:rsidRPr="006E6DA1">
        <w:t>; t</w:t>
      </w:r>
      <w:r w:rsidRPr="006E6DA1">
        <w:t>herefore, the employer’s alleged promises did not alter the plaintiff’s at-will status.</w:t>
      </w:r>
      <w:r w:rsidR="006E6DA1" w:rsidRPr="006E6DA1">
        <w:rPr>
          <w:vertAlign w:val="superscript"/>
        </w:rPr>
        <w:footnoteReference w:id="50"/>
      </w:r>
      <w:r w:rsidRPr="006E6DA1">
        <w:t xml:space="preserve"> Nonetheless, the court denied the employer’s motion for summary judgment on the plaintiff’s promissory estoppel count, reasoning that the plaintiff could prove to a jury by clear and convincing evidence that he detrimentally relied on either of the two oral promises because he gave up a job and residence and relocated to the property for less pay and worse medical insurance coverage based on the promise of long-term employment and that his accepting the job left him in a worse position.</w:t>
      </w:r>
      <w:r w:rsidR="006E6DA1" w:rsidRPr="006E6DA1">
        <w:rPr>
          <w:vertAlign w:val="superscript"/>
        </w:rPr>
        <w:footnoteReference w:id="51"/>
      </w:r>
    </w:p>
    <w:p w14:paraId="7C93505B" w14:textId="6FCEF5C5" w:rsidR="006E6DA1" w:rsidRPr="006E6DA1" w:rsidRDefault="006E6DA1" w:rsidP="006E6DA1">
      <w:pPr>
        <w:pStyle w:val="BHead1"/>
      </w:pPr>
      <w:r w:rsidRPr="00891D84">
        <w:rPr>
          <w:rStyle w:val="BBNAidChar"/>
          <w:rFonts w:eastAsiaTheme="majorEastAsia"/>
        </w:rPr>
        <w:t>III</w:t>
      </w:r>
      <w:r w:rsidRPr="006E6DA1">
        <w:t>.</w:t>
      </w:r>
      <w:r w:rsidR="00891D84">
        <w:t> </w:t>
      </w:r>
      <w:r w:rsidRPr="006E6DA1">
        <w:t xml:space="preserve"> Implied Covenant of Good Faith and Fair Dealing</w:t>
      </w:r>
    </w:p>
    <w:p w14:paraId="44146CAC" w14:textId="2ABE09FF" w:rsidR="006E6DA1" w:rsidRPr="006E6DA1" w:rsidRDefault="00423606" w:rsidP="006E6DA1">
      <w:pPr>
        <w:pStyle w:val="BNormal"/>
      </w:pPr>
      <w:r w:rsidRPr="006E6DA1">
        <w:t>While Delaware courts may not recognize a common law claim for wrongful discharge, Delaware law has evolved to apply the implied covenant of good faith and fair dealing to at-will employment</w:t>
      </w:r>
      <w:r w:rsidR="006E6DA1" w:rsidRPr="006E6DA1">
        <w:t>. T</w:t>
      </w:r>
      <w:r w:rsidRPr="006E6DA1">
        <w:t>he Delaware courts’ application of the implied covenant to at-will employment strikes a balance between an employer’s ability to make independent employment decisions and the deterrence of unfair employment practices.</w:t>
      </w:r>
      <w:r w:rsidR="006E6DA1" w:rsidRPr="006E6DA1">
        <w:rPr>
          <w:vertAlign w:val="superscript"/>
        </w:rPr>
        <w:footnoteReference w:id="52"/>
      </w:r>
    </w:p>
    <w:p w14:paraId="4DD762A5" w14:textId="2FAA772F" w:rsidR="006E6DA1" w:rsidRPr="006E6DA1" w:rsidRDefault="00423606" w:rsidP="006E6DA1">
      <w:pPr>
        <w:pStyle w:val="BNormal"/>
      </w:pPr>
      <w:r w:rsidRPr="006E6DA1">
        <w:t>The implied covenant of good faith and fair dealing offers a very narrow exception.</w:t>
      </w:r>
      <w:r w:rsidR="006E6DA1" w:rsidRPr="006E6DA1">
        <w:rPr>
          <w:vertAlign w:val="superscript"/>
        </w:rPr>
        <w:footnoteReference w:id="53"/>
      </w:r>
      <w:r w:rsidRPr="006E6DA1">
        <w:t xml:space="preserve"> Claims for breach of the implied covenant are limited to the following four categories:</w:t>
      </w:r>
    </w:p>
    <w:p w14:paraId="4CB9F093" w14:textId="3DBE5A4C" w:rsidR="006E6DA1" w:rsidRPr="006E6DA1" w:rsidRDefault="006E6DA1" w:rsidP="006E6DA1">
      <w:pPr>
        <w:pStyle w:val="BListitemorig"/>
      </w:pPr>
      <w:r w:rsidRPr="006E6DA1">
        <w:t>1.</w:t>
      </w:r>
      <w:r w:rsidRPr="006E6DA1">
        <w:tab/>
      </w:r>
      <w:r w:rsidR="00423606" w:rsidRPr="006E6DA1">
        <w:t xml:space="preserve">where the termination violated public </w:t>
      </w:r>
      <w:proofErr w:type="gramStart"/>
      <w:r w:rsidR="00423606" w:rsidRPr="006E6DA1">
        <w:t>policy;</w:t>
      </w:r>
      <w:proofErr w:type="gramEnd"/>
    </w:p>
    <w:p w14:paraId="3AB3CDE8" w14:textId="4A9AE675" w:rsidR="006E6DA1" w:rsidRPr="006E6DA1" w:rsidRDefault="006E6DA1" w:rsidP="006E6DA1">
      <w:pPr>
        <w:pStyle w:val="BListitemorig"/>
      </w:pPr>
      <w:r w:rsidRPr="006E6DA1">
        <w:t>2.</w:t>
      </w:r>
      <w:r w:rsidRPr="006E6DA1">
        <w:tab/>
      </w:r>
      <w:r w:rsidR="00423606" w:rsidRPr="006E6DA1">
        <w:t xml:space="preserve">where the employer misrepresented an important fact and the employee relied thereon to either accept a new position or remain in </w:t>
      </w:r>
      <w:proofErr w:type="gramStart"/>
      <w:r w:rsidR="00423606" w:rsidRPr="006E6DA1">
        <w:t>a present</w:t>
      </w:r>
      <w:proofErr w:type="gramEnd"/>
      <w:r w:rsidR="00423606" w:rsidRPr="006E6DA1">
        <w:t xml:space="preserve"> one (i.e., promissory estoppel</w:t>
      </w:r>
      <w:proofErr w:type="gramStart"/>
      <w:r w:rsidR="00423606" w:rsidRPr="006E6DA1">
        <w:t>);</w:t>
      </w:r>
      <w:proofErr w:type="gramEnd"/>
    </w:p>
    <w:p w14:paraId="57311C98" w14:textId="3387EFF8" w:rsidR="006E6DA1" w:rsidRPr="006E6DA1" w:rsidRDefault="006E6DA1" w:rsidP="006E6DA1">
      <w:pPr>
        <w:pStyle w:val="BListitemorig"/>
      </w:pPr>
      <w:r w:rsidRPr="006E6DA1">
        <w:t>3.</w:t>
      </w:r>
      <w:r w:rsidRPr="006E6DA1">
        <w:tab/>
      </w:r>
      <w:r w:rsidR="00423606" w:rsidRPr="006E6DA1">
        <w:t>where the employer used its superior bargaining power to deprive an employee of clearly identifiable compensation related to the employee’s past service</w:t>
      </w:r>
      <w:r w:rsidRPr="006E6DA1">
        <w:t>; a</w:t>
      </w:r>
      <w:r w:rsidR="00423606" w:rsidRPr="006E6DA1">
        <w:t>nd</w:t>
      </w:r>
    </w:p>
    <w:p w14:paraId="5DA598A9" w14:textId="010DD24B" w:rsidR="006E6DA1" w:rsidRPr="006E6DA1" w:rsidRDefault="006E6DA1" w:rsidP="006E6DA1">
      <w:pPr>
        <w:pStyle w:val="BListitemorig"/>
      </w:pPr>
      <w:r w:rsidRPr="006E6DA1">
        <w:t>4.</w:t>
      </w:r>
      <w:r w:rsidRPr="006E6DA1">
        <w:tab/>
      </w:r>
      <w:r w:rsidR="00423606" w:rsidRPr="006E6DA1">
        <w:t>where the employer falsified or manipulated records to create fictitious grounds for termination.</w:t>
      </w:r>
      <w:r w:rsidRPr="006E6DA1">
        <w:rPr>
          <w:vertAlign w:val="superscript"/>
        </w:rPr>
        <w:footnoteReference w:id="54"/>
      </w:r>
    </w:p>
    <w:p w14:paraId="55AA4044" w14:textId="5102469C" w:rsidR="006E6DA1" w:rsidRPr="006E6DA1" w:rsidRDefault="00423606" w:rsidP="006E6DA1">
      <w:pPr>
        <w:pStyle w:val="BNormal"/>
      </w:pPr>
      <w:r w:rsidRPr="006E6DA1">
        <w:t>Claims for breach of the implied covenant are limited to circumstances in which an employee alleges wrongful discharge</w:t>
      </w:r>
      <w:r w:rsidR="006E6DA1" w:rsidRPr="006E6DA1">
        <w:t>. A</w:t>
      </w:r>
      <w:r w:rsidRPr="006E6DA1">
        <w:t xml:space="preserve"> claim for breach of the implied covenant is not available to an employee alleging a promotion was wrongfully denied.</w:t>
      </w:r>
      <w:r w:rsidR="006E6DA1" w:rsidRPr="006E6DA1">
        <w:rPr>
          <w:vertAlign w:val="superscript"/>
        </w:rPr>
        <w:footnoteReference w:id="55"/>
      </w:r>
    </w:p>
    <w:p w14:paraId="134A1844" w14:textId="579232B6" w:rsidR="006E6DA1" w:rsidRPr="006E6DA1" w:rsidRDefault="00423606" w:rsidP="006E6DA1">
      <w:pPr>
        <w:pStyle w:val="BNormal"/>
      </w:pPr>
      <w:r w:rsidRPr="006E6DA1">
        <w:t>The Delaware Supreme Court first closely examined the application of the implied covenant of good faith and fair dealing to the doctrine of at-will employment in 1992</w:t>
      </w:r>
      <w:r w:rsidR="006E6DA1" w:rsidRPr="006E6DA1">
        <w:t>. I</w:t>
      </w:r>
      <w:r w:rsidRPr="006E6DA1">
        <w:t xml:space="preserve">n </w:t>
      </w:r>
      <w:proofErr w:type="spellStart"/>
      <w:r w:rsidR="006E6DA1" w:rsidRPr="006E6DA1">
        <w:rPr>
          <w:rStyle w:val="BCasenamefull"/>
        </w:rPr>
        <w:t>Merill</w:t>
      </w:r>
      <w:proofErr w:type="spellEnd"/>
      <w:r w:rsidR="006E6DA1" w:rsidRPr="006E6DA1">
        <w:rPr>
          <w:rStyle w:val="BCasenamefull"/>
        </w:rPr>
        <w:t xml:space="preserve"> v. </w:t>
      </w:r>
      <w:proofErr w:type="spellStart"/>
      <w:r w:rsidR="006E6DA1" w:rsidRPr="006E6DA1">
        <w:rPr>
          <w:rStyle w:val="BCasenamefull"/>
        </w:rPr>
        <w:t>Crothall</w:t>
      </w:r>
      <w:proofErr w:type="spellEnd"/>
      <w:r w:rsidR="006E6DA1" w:rsidRPr="006E6DA1">
        <w:rPr>
          <w:rStyle w:val="BCasenamefull"/>
        </w:rPr>
        <w:t>-American, Inc.</w:t>
      </w:r>
      <w:r w:rsidRPr="006E6DA1">
        <w:t>, the plaintiff argued that his employer failed to act in good faith by inducing him to accept an offer of employment even though it was the employer’s intention to employ the plaintiff only temporarily.</w:t>
      </w:r>
      <w:r w:rsidR="006E6DA1" w:rsidRPr="006E6DA1">
        <w:rPr>
          <w:vertAlign w:val="superscript"/>
        </w:rPr>
        <w:footnoteReference w:id="56"/>
      </w:r>
      <w:r w:rsidRPr="006E6DA1">
        <w:t xml:space="preserve"> While the court recognized that an employer ought to be able to make its own employment decisions, “holding an employer to a requirement of good faith when making employment contracts represents a minimal, and wholly justifiable, interference in the management of its business.”</w:t>
      </w:r>
      <w:r w:rsidR="006E6DA1" w:rsidRPr="006E6DA1">
        <w:rPr>
          <w:vertAlign w:val="superscript"/>
        </w:rPr>
        <w:footnoteReference w:id="57"/>
      </w:r>
      <w:r w:rsidRPr="006E6DA1">
        <w:t xml:space="preserve"> The reason for the court’s application of the implied covenant was to prevent one side from obtaining an unfair advantage</w:t>
      </w:r>
      <w:r w:rsidR="006E6DA1" w:rsidRPr="006E6DA1">
        <w:t>. A</w:t>
      </w:r>
      <w:r w:rsidRPr="006E6DA1">
        <w:t>s the court explained,</w:t>
      </w:r>
    </w:p>
    <w:p w14:paraId="17D9B121" w14:textId="0A492885" w:rsidR="006E6DA1" w:rsidRPr="006E6DA1" w:rsidRDefault="00423606" w:rsidP="006E6DA1">
      <w:pPr>
        <w:pStyle w:val="BQuotelong"/>
      </w:pPr>
      <w:r w:rsidRPr="006E6DA1">
        <w:t>The loadstar here is candor</w:t>
      </w:r>
      <w:r w:rsidR="006E6DA1" w:rsidRPr="006E6DA1">
        <w:t>. A</w:t>
      </w:r>
      <w:r w:rsidRPr="006E6DA1">
        <w:t>n employer acts in bad faith when it induces another to enter into an employment contract through actions, words, or the withholding of information, which is intentionally deceptive in some way material to the contract</w:t>
      </w:r>
      <w:r w:rsidR="006E6DA1" w:rsidRPr="006E6DA1">
        <w:t>. S</w:t>
      </w:r>
      <w:r w:rsidRPr="006E6DA1">
        <w:t>uch conduct constitutes an aspect of fraud, deceit or misrepresentation.</w:t>
      </w:r>
      <w:r w:rsidR="006E6DA1" w:rsidRPr="006E6DA1">
        <w:rPr>
          <w:vertAlign w:val="superscript"/>
        </w:rPr>
        <w:footnoteReference w:id="58"/>
      </w:r>
    </w:p>
    <w:p w14:paraId="10F78163" w14:textId="1EB04E01" w:rsidR="006E6DA1" w:rsidRPr="006E6DA1" w:rsidRDefault="00423606" w:rsidP="006E6DA1">
      <w:pPr>
        <w:pStyle w:val="BNormal"/>
      </w:pPr>
      <w:r w:rsidRPr="006E6DA1">
        <w:t xml:space="preserve">Next, in </w:t>
      </w:r>
      <w:r w:rsidR="006E6DA1" w:rsidRPr="006E6DA1">
        <w:rPr>
          <w:rStyle w:val="BCasenamefull"/>
        </w:rPr>
        <w:t>E.I. DuPont de Nemours &amp; Co. v. Pressman</w:t>
      </w:r>
      <w:r w:rsidRPr="006E6DA1">
        <w:t>, Delaware’s Supreme Court considered the scope of the application of the implied covenant.</w:t>
      </w:r>
      <w:r w:rsidR="006E6DA1" w:rsidRPr="006E6DA1">
        <w:rPr>
          <w:vertAlign w:val="superscript"/>
        </w:rPr>
        <w:footnoteReference w:id="59"/>
      </w:r>
      <w:r w:rsidRPr="006E6DA1">
        <w:t xml:space="preserve"> In that case, the plaintiff claimed he was discharged in retaliation for questioning his supervisor’s business practices</w:t>
      </w:r>
      <w:r w:rsidR="006E6DA1" w:rsidRPr="006E6DA1">
        <w:t>. T</w:t>
      </w:r>
      <w:r w:rsidRPr="006E6DA1">
        <w:t>he plaintiff also argued he was wrongfully discharged when his supervisor (1) misrepresented his responsibilities to senior management so that it would appear the plaintiff was not completing assigned tasks, (2) edited a progress report that would have had the effect of understating the plaintiff’s accomplishments, and (3) failed to pass along a progress report showing some of the plaintiff’s significant accomplishments during the time when the plaintiff’s discharge was being decided.</w:t>
      </w:r>
      <w:r w:rsidR="006E6DA1" w:rsidRPr="006E6DA1">
        <w:rPr>
          <w:vertAlign w:val="superscript"/>
        </w:rPr>
        <w:footnoteReference w:id="60"/>
      </w:r>
      <w:r w:rsidRPr="006E6DA1">
        <w:t xml:space="preserve"> After considering the supervisor’s actions, the court concluded that “fraud, deceit and misrepresentation, either in the inducement or in intentionally fictionalizing in a material way the employee’s performance to cause dismissal, may be actionable as a breach of the [implied covenant].”</w:t>
      </w:r>
      <w:r w:rsidR="006E6DA1" w:rsidRPr="006E6DA1">
        <w:rPr>
          <w:vertAlign w:val="superscript"/>
        </w:rPr>
        <w:footnoteReference w:id="61"/>
      </w:r>
    </w:p>
    <w:p w14:paraId="56958841" w14:textId="6CAD46B1" w:rsidR="006E6DA1" w:rsidRPr="006E6DA1" w:rsidRDefault="00423606" w:rsidP="006E6DA1">
      <w:pPr>
        <w:pStyle w:val="BNormal"/>
      </w:pPr>
      <w:r w:rsidRPr="006E6DA1">
        <w:t>At-will employees can also bring constructive discharge claims under the implied covenant.</w:t>
      </w:r>
      <w:r w:rsidR="006E6DA1" w:rsidRPr="006E6DA1">
        <w:rPr>
          <w:vertAlign w:val="superscript"/>
        </w:rPr>
        <w:footnoteReference w:id="62"/>
      </w:r>
      <w:r w:rsidRPr="006E6DA1">
        <w:t xml:space="preserve"> As Delaware’s Supreme Court recognized in </w:t>
      </w:r>
      <w:proofErr w:type="spellStart"/>
      <w:r w:rsidR="006E6DA1" w:rsidRPr="006E6DA1">
        <w:rPr>
          <w:rStyle w:val="BCasenamefull"/>
        </w:rPr>
        <w:t>Rizzitiello</w:t>
      </w:r>
      <w:proofErr w:type="spellEnd"/>
      <w:r w:rsidR="006E6DA1" w:rsidRPr="006E6DA1">
        <w:rPr>
          <w:rStyle w:val="BCasenamefull"/>
        </w:rPr>
        <w:t xml:space="preserve"> v. McDonald’s Corp.</w:t>
      </w:r>
      <w:r w:rsidRPr="006E6DA1">
        <w:t>, an employee who voluntarily resigns rather than being terminated may have a claim for constructive discharge</w:t>
      </w:r>
      <w:r w:rsidR="006E6DA1" w:rsidRPr="006E6DA1">
        <w:t>. T</w:t>
      </w:r>
      <w:r w:rsidRPr="006E6DA1">
        <w:t>o establish such a claim, a plaintiff must be able to show that the working conditions were so intolerable that a reasonable person would have felt compelled to resign.</w:t>
      </w:r>
      <w:r w:rsidR="006E6DA1" w:rsidRPr="006E6DA1">
        <w:rPr>
          <w:vertAlign w:val="superscript"/>
        </w:rPr>
        <w:footnoteReference w:id="63"/>
      </w:r>
    </w:p>
    <w:p w14:paraId="291944F3" w14:textId="77777777" w:rsidR="006E6DA1" w:rsidRPr="006E6DA1" w:rsidRDefault="00423606" w:rsidP="006E6DA1">
      <w:pPr>
        <w:pStyle w:val="BNormal"/>
      </w:pPr>
      <w:r w:rsidRPr="006E6DA1">
        <w:t xml:space="preserve">Each of Delaware’s four limited applications of the implied covenant of good faith and fair dealing </w:t>
      </w:r>
      <w:proofErr w:type="gramStart"/>
      <w:r w:rsidRPr="006E6DA1">
        <w:t>to</w:t>
      </w:r>
      <w:proofErr w:type="gramEnd"/>
      <w:r w:rsidRPr="006E6DA1">
        <w:t xml:space="preserve"> the doctrine of at-will employment is reviewed below.</w:t>
      </w:r>
    </w:p>
    <w:p w14:paraId="72FCD55F" w14:textId="7436FAE9" w:rsidR="006E6DA1" w:rsidRPr="006E6DA1" w:rsidRDefault="00423606" w:rsidP="006E6DA1">
      <w:pPr>
        <w:pStyle w:val="BNormal"/>
      </w:pPr>
      <w:r w:rsidRPr="006E6DA1">
        <w:t>Courts applying Delaware law continue to allow claims for breach of the implied covenant of good faith and fair dealing in only the four narrow categories specified in this chapter.</w:t>
      </w:r>
      <w:r w:rsidR="006E6DA1" w:rsidRPr="006E6DA1">
        <w:rPr>
          <w:vertAlign w:val="superscript"/>
        </w:rPr>
        <w:footnoteReference w:id="64"/>
      </w:r>
    </w:p>
    <w:p w14:paraId="0648A406" w14:textId="71B78904" w:rsidR="006E6DA1" w:rsidRPr="006E6DA1" w:rsidRDefault="00891D84" w:rsidP="006E6DA1">
      <w:pPr>
        <w:pStyle w:val="BHead2"/>
      </w:pPr>
      <w:r>
        <w:t>III.</w:t>
      </w:r>
      <w:r w:rsidR="006E6DA1" w:rsidRPr="00891D84">
        <w:rPr>
          <w:rStyle w:val="BBNAidChar"/>
          <w:rFonts w:eastAsiaTheme="majorEastAsia"/>
        </w:rPr>
        <w:t>A</w:t>
      </w:r>
      <w:r w:rsidR="006E6DA1" w:rsidRPr="006E6DA1">
        <w:t>.</w:t>
      </w:r>
      <w:r>
        <w:t> </w:t>
      </w:r>
      <w:r w:rsidR="006E6DA1" w:rsidRPr="006E6DA1">
        <w:tab/>
        <w:t>Violation of Public Policy</w:t>
      </w:r>
    </w:p>
    <w:p w14:paraId="5E1AA4D2" w14:textId="4E7DD555" w:rsidR="006E6DA1" w:rsidRPr="006E6DA1" w:rsidRDefault="00423606" w:rsidP="006E6DA1">
      <w:pPr>
        <w:pStyle w:val="BNormal"/>
      </w:pPr>
      <w:r w:rsidRPr="006E6DA1">
        <w:t>A plaintiff must satisfy a two-part test to demonstrate a breach of the implied covenant of good faith and fair dealing under the public policy exception</w:t>
      </w:r>
      <w:r w:rsidR="006E6DA1" w:rsidRPr="006E6DA1">
        <w:t>. F</w:t>
      </w:r>
      <w:r w:rsidRPr="006E6DA1">
        <w:t xml:space="preserve">irst, the employee must assert </w:t>
      </w:r>
      <w:proofErr w:type="gramStart"/>
      <w:r w:rsidRPr="006E6DA1">
        <w:t>a public</w:t>
      </w:r>
      <w:proofErr w:type="gramEnd"/>
      <w:r w:rsidRPr="006E6DA1">
        <w:t xml:space="preserve"> interest recognized by some legislative, administrative, or judicial </w:t>
      </w:r>
      <w:proofErr w:type="gramStart"/>
      <w:r w:rsidRPr="006E6DA1">
        <w:t>authority</w:t>
      </w:r>
      <w:proofErr w:type="gramEnd"/>
      <w:r w:rsidR="006E6DA1" w:rsidRPr="006E6DA1">
        <w:t>. S</w:t>
      </w:r>
      <w:r w:rsidRPr="006E6DA1">
        <w:t>econd, the employee must occupy a position with responsibility for advancing or sustaining that particular interest.</w:t>
      </w:r>
      <w:r w:rsidR="006E6DA1" w:rsidRPr="006E6DA1">
        <w:rPr>
          <w:vertAlign w:val="superscript"/>
        </w:rPr>
        <w:footnoteReference w:id="65"/>
      </w:r>
      <w:r w:rsidRPr="006E6DA1">
        <w:t xml:space="preserve"> Thus, the exception is narrow.</w:t>
      </w:r>
    </w:p>
    <w:p w14:paraId="7A759937" w14:textId="75DBD695" w:rsidR="006E6DA1" w:rsidRPr="006E6DA1" w:rsidRDefault="00423606" w:rsidP="006E6DA1">
      <w:pPr>
        <w:pStyle w:val="BNormal"/>
      </w:pPr>
      <w:r w:rsidRPr="006E6DA1">
        <w:t xml:space="preserve">For example, in </w:t>
      </w:r>
      <w:r w:rsidR="006E6DA1" w:rsidRPr="006E6DA1">
        <w:rPr>
          <w:i/>
        </w:rPr>
        <w:t>Pressman</w:t>
      </w:r>
      <w:r w:rsidRPr="006E6DA1">
        <w:t>, the court found that the plaintiff’s retaliatory discharge claim could not fit within this exception because he was unable to identify a recognizable public policy implicated by his questioning the propriety of his supervisor’s business practices.</w:t>
      </w:r>
      <w:r w:rsidR="006E6DA1" w:rsidRPr="006E6DA1">
        <w:rPr>
          <w:vertAlign w:val="superscript"/>
        </w:rPr>
        <w:footnoteReference w:id="66"/>
      </w:r>
      <w:r w:rsidRPr="006E6DA1">
        <w:t xml:space="preserve"> Similarly, in </w:t>
      </w:r>
      <w:r w:rsidR="006E6DA1" w:rsidRPr="006E6DA1">
        <w:rPr>
          <w:rStyle w:val="BCasenamefull"/>
        </w:rPr>
        <w:t>Lord v. Souder</w:t>
      </w:r>
      <w:r w:rsidRPr="006E6DA1">
        <w:t>, Delaware’s Supreme Court held that the plaintiff’s allegation she was discharged because she reported another employee’s misconduct failed to state a claim under the public policy exception because she was an administrative secretary who had no responsibility for advancing a public policy interest.</w:t>
      </w:r>
      <w:r w:rsidR="006E6DA1" w:rsidRPr="006E6DA1">
        <w:rPr>
          <w:vertAlign w:val="superscript"/>
        </w:rPr>
        <w:footnoteReference w:id="67"/>
      </w:r>
    </w:p>
    <w:p w14:paraId="367AB8B8" w14:textId="211DC86F" w:rsidR="006E6DA1" w:rsidRPr="006E6DA1" w:rsidRDefault="00423606" w:rsidP="006E6DA1">
      <w:pPr>
        <w:pStyle w:val="BNormal"/>
      </w:pPr>
      <w:r w:rsidRPr="006E6DA1">
        <w:t>Delaware federal district courts, interpreting Delaware law, continue to hold that the implied covenant of good faith and fair dealing public policy exception does not apply when claims of discrimination are covered by laws that provide their own remedy.</w:t>
      </w:r>
      <w:r w:rsidR="006E6DA1" w:rsidRPr="006E6DA1">
        <w:rPr>
          <w:vertAlign w:val="superscript"/>
        </w:rPr>
        <w:footnoteReference w:id="68"/>
      </w:r>
    </w:p>
    <w:p w14:paraId="0DD83C11" w14:textId="2910416F" w:rsidR="006E6DA1" w:rsidRPr="006E6DA1" w:rsidRDefault="00891D84" w:rsidP="006E6DA1">
      <w:pPr>
        <w:pStyle w:val="BHead2"/>
      </w:pPr>
      <w:r>
        <w:t>III.</w:t>
      </w:r>
      <w:r w:rsidR="006E6DA1" w:rsidRPr="00891D84">
        <w:rPr>
          <w:rStyle w:val="BBNAidChar"/>
          <w:rFonts w:eastAsiaTheme="majorEastAsia"/>
        </w:rPr>
        <w:t>B</w:t>
      </w:r>
      <w:r w:rsidR="006E6DA1" w:rsidRPr="006E6DA1">
        <w:t>.</w:t>
      </w:r>
      <w:r>
        <w:t> </w:t>
      </w:r>
      <w:r w:rsidR="006E6DA1" w:rsidRPr="006E6DA1">
        <w:tab/>
        <w:t>Employer Misrepresentation</w:t>
      </w:r>
    </w:p>
    <w:p w14:paraId="40609651" w14:textId="6A3EDFA8" w:rsidR="006E6DA1" w:rsidRPr="006E6DA1" w:rsidRDefault="00423606" w:rsidP="006E6DA1">
      <w:pPr>
        <w:pStyle w:val="BNormal"/>
      </w:pPr>
      <w:r w:rsidRPr="006E6DA1">
        <w:t>A claim of employer misrepresentation arises when an employer misrepresented an important fact, and the employee relied thereon to either accept a new position or remain in a present one</w:t>
      </w:r>
      <w:r w:rsidR="006E6DA1" w:rsidRPr="006E6DA1">
        <w:t>. S</w:t>
      </w:r>
      <w:r w:rsidRPr="006E6DA1">
        <w:t>uch cases are therefore instances of promissory estoppel</w:t>
      </w:r>
      <w:r w:rsidR="006E6DA1" w:rsidRPr="006E6DA1">
        <w:t>. T</w:t>
      </w:r>
      <w:r w:rsidRPr="006E6DA1">
        <w:t>o show promissory estoppel, an employee must be able to prove by clear and convincing evidence that (1) a promise was made</w:t>
      </w:r>
      <w:r w:rsidR="006E6DA1" w:rsidRPr="006E6DA1">
        <w:t>; (</w:t>
      </w:r>
      <w:r w:rsidRPr="006E6DA1">
        <w:t>2) it was the reasonable expectation of the employer to induce action or forbearance on the part of the employee</w:t>
      </w:r>
      <w:r w:rsidR="006E6DA1" w:rsidRPr="006E6DA1">
        <w:t>; (</w:t>
      </w:r>
      <w:r w:rsidRPr="006E6DA1">
        <w:t>3) the employee reasonably relied on the promise and took action to his or her detriment</w:t>
      </w:r>
      <w:r w:rsidR="006E6DA1" w:rsidRPr="006E6DA1">
        <w:t>; a</w:t>
      </w:r>
      <w:r w:rsidRPr="006E6DA1">
        <w:t>nd (4) such promise is binding because injustice can be avoided only by enforcement of the promise.</w:t>
      </w:r>
      <w:r w:rsidR="006E6DA1" w:rsidRPr="006E6DA1">
        <w:rPr>
          <w:vertAlign w:val="superscript"/>
        </w:rPr>
        <w:footnoteReference w:id="69"/>
      </w:r>
    </w:p>
    <w:p w14:paraId="6EB9C0F3" w14:textId="091729B8" w:rsidR="006E6DA1" w:rsidRPr="006E6DA1" w:rsidRDefault="00423606" w:rsidP="006E6DA1">
      <w:pPr>
        <w:pStyle w:val="BNormal"/>
      </w:pPr>
      <w:r w:rsidRPr="006E6DA1">
        <w:t xml:space="preserve">In </w:t>
      </w:r>
      <w:r w:rsidR="006E6DA1" w:rsidRPr="006E6DA1">
        <w:rPr>
          <w:rStyle w:val="BCasenamefull"/>
        </w:rPr>
        <w:t>Lord v. Souder</w:t>
      </w:r>
      <w:r w:rsidRPr="006E6DA1">
        <w:t>, Delaware’s Supreme Court reversed a trial court’s decision dismissing a promissory estoppel claim</w:t>
      </w:r>
      <w:r w:rsidR="006E6DA1" w:rsidRPr="006E6DA1">
        <w:t>. I</w:t>
      </w:r>
      <w:r w:rsidRPr="006E6DA1">
        <w:t>n that case, the plaintiff claimed the vice president of human resources encouraged her to reveal what she knew about Souder’s improper conduct</w:t>
      </w:r>
      <w:r w:rsidR="006E6DA1" w:rsidRPr="006E6DA1">
        <w:t>. A</w:t>
      </w:r>
      <w:r w:rsidRPr="006E6DA1">
        <w:t>fter seeking and obtaining assurances that if she disclosed such information, she would be protected from reprisals, the plaintiff revealed what she knew</w:t>
      </w:r>
      <w:r w:rsidR="006E6DA1" w:rsidRPr="006E6DA1">
        <w:t>. T</w:t>
      </w:r>
      <w:r w:rsidRPr="006E6DA1">
        <w:t xml:space="preserve">he plaintiff’s employer then </w:t>
      </w:r>
      <w:proofErr w:type="gramStart"/>
      <w:r w:rsidRPr="006E6DA1">
        <w:t>conducted an investigation</w:t>
      </w:r>
      <w:proofErr w:type="gramEnd"/>
      <w:r w:rsidRPr="006E6DA1">
        <w:t xml:space="preserve"> based on the plaintiff’s information and determined that Souder had engaged in improper conduct</w:t>
      </w:r>
      <w:r w:rsidR="006E6DA1" w:rsidRPr="006E6DA1">
        <w:t>. A</w:t>
      </w:r>
      <w:r w:rsidRPr="006E6DA1">
        <w:t>s a result, Souder was reprimanded.</w:t>
      </w:r>
    </w:p>
    <w:p w14:paraId="20A38DAF" w14:textId="40473594" w:rsidR="006E6DA1" w:rsidRPr="006E6DA1" w:rsidRDefault="00423606" w:rsidP="006E6DA1">
      <w:pPr>
        <w:pStyle w:val="BNormal"/>
      </w:pPr>
      <w:r w:rsidRPr="006E6DA1">
        <w:t>Later, it came out that the plaintiff was the one who revealed Souder’s name to management</w:t>
      </w:r>
      <w:r w:rsidR="006E6DA1" w:rsidRPr="006E6DA1">
        <w:t>. T</w:t>
      </w:r>
      <w:r w:rsidRPr="006E6DA1">
        <w:t>he plaintiff claimed thereafter that her work was criticized by Souder, and her employment was eventually terminated at Souder’s behest</w:t>
      </w:r>
      <w:r w:rsidR="006E6DA1" w:rsidRPr="006E6DA1">
        <w:t>. T</w:t>
      </w:r>
      <w:r w:rsidRPr="006E6DA1">
        <w:t>he plaintiff eventually filed a lawsuit alleging, inter alia, she was discharged for providing the information about Souder, despite management’s assurance that there would be no reprisals.</w:t>
      </w:r>
    </w:p>
    <w:p w14:paraId="51BE3413" w14:textId="07514D10" w:rsidR="006E6DA1" w:rsidRPr="006E6DA1" w:rsidRDefault="00423606" w:rsidP="006E6DA1">
      <w:pPr>
        <w:pStyle w:val="BNormal"/>
      </w:pPr>
      <w:r w:rsidRPr="006E6DA1">
        <w:t>Explaining that “[t]</w:t>
      </w:r>
      <w:proofErr w:type="gramStart"/>
      <w:r w:rsidRPr="006E6DA1">
        <w:t>he</w:t>
      </w:r>
      <w:proofErr w:type="gramEnd"/>
      <w:r w:rsidRPr="006E6DA1">
        <w:t xml:space="preserve"> purpose of the promissory estoppel doctrine is to prevent </w:t>
      </w:r>
      <w:proofErr w:type="gramStart"/>
      <w:r w:rsidRPr="006E6DA1">
        <w:t>injustice[</w:t>
      </w:r>
      <w:proofErr w:type="gramEnd"/>
      <w:r w:rsidRPr="006E6DA1">
        <w:t>,]”</w:t>
      </w:r>
      <w:r w:rsidR="006E6DA1" w:rsidRPr="006E6DA1">
        <w:rPr>
          <w:vertAlign w:val="superscript"/>
        </w:rPr>
        <w:footnoteReference w:id="70"/>
      </w:r>
      <w:r w:rsidRPr="006E6DA1">
        <w:t xml:space="preserve"> the court held that the plaintiff’s allegation that she was assured she would be protected if she revealed Souder’s name was sufficient to withstand a motion to dismiss</w:t>
      </w:r>
      <w:r w:rsidR="006E6DA1" w:rsidRPr="006E6DA1">
        <w:t>. T</w:t>
      </w:r>
      <w:r w:rsidRPr="006E6DA1">
        <w:t xml:space="preserve">he vice president of human resources, who made the assurances, was an authority figure upon whom the plaintiff could </w:t>
      </w:r>
      <w:proofErr w:type="gramStart"/>
      <w:r w:rsidRPr="006E6DA1">
        <w:t>rely</w:t>
      </w:r>
      <w:proofErr w:type="gramEnd"/>
      <w:r w:rsidRPr="006E6DA1">
        <w:t xml:space="preserve"> and had made sufficiently definite statements to justify the plaintiff’s reliance</w:t>
      </w:r>
      <w:r w:rsidR="006E6DA1" w:rsidRPr="006E6DA1">
        <w:t>. T</w:t>
      </w:r>
      <w:r w:rsidRPr="006E6DA1">
        <w:t>herefore, the plaintiff had a legitimate promissory estoppel claim.</w:t>
      </w:r>
    </w:p>
    <w:p w14:paraId="08CF8C37" w14:textId="6FAB1736" w:rsidR="006E6DA1" w:rsidRPr="006E6DA1" w:rsidRDefault="00891D84" w:rsidP="006E6DA1">
      <w:pPr>
        <w:pStyle w:val="BHead2"/>
      </w:pPr>
      <w:r>
        <w:t>III.</w:t>
      </w:r>
      <w:r w:rsidR="006E6DA1" w:rsidRPr="00891D84">
        <w:rPr>
          <w:rStyle w:val="BBNAidChar"/>
          <w:rFonts w:eastAsiaTheme="majorEastAsia"/>
        </w:rPr>
        <w:t>C</w:t>
      </w:r>
      <w:r w:rsidR="006E6DA1" w:rsidRPr="006E6DA1">
        <w:t>.</w:t>
      </w:r>
      <w:r>
        <w:t> </w:t>
      </w:r>
      <w:r w:rsidR="006E6DA1" w:rsidRPr="006E6DA1">
        <w:tab/>
        <w:t>Employer Abuse of Superior Bargaining Power</w:t>
      </w:r>
    </w:p>
    <w:p w14:paraId="28A85542" w14:textId="58A82AB8" w:rsidR="006E6DA1" w:rsidRPr="006E6DA1" w:rsidRDefault="00423606" w:rsidP="006E6DA1">
      <w:pPr>
        <w:pStyle w:val="BNormal"/>
      </w:pPr>
      <w:r w:rsidRPr="006E6DA1">
        <w:t>There are no reported Delaware cases that cite an employer’s abuse of its superior bargaining power as a breach of the implied covenant of good faith and fair dealing in circumstances of at-will employment</w:t>
      </w:r>
      <w:r w:rsidR="006E6DA1" w:rsidRPr="006E6DA1">
        <w:t>. H</w:t>
      </w:r>
      <w:r w:rsidRPr="006E6DA1">
        <w:t>owever, there is little doubt that this is a cognizable claim for at-will employees.</w:t>
      </w:r>
      <w:r w:rsidR="006E6DA1" w:rsidRPr="006E6DA1">
        <w:rPr>
          <w:vertAlign w:val="superscript"/>
        </w:rPr>
        <w:footnoteReference w:id="71"/>
      </w:r>
      <w:r w:rsidRPr="006E6DA1">
        <w:t xml:space="preserve"> Cases that would fall into this category include, for example, instances when an employee has been discharged because the employer sought to avoid paying earned compensation.</w:t>
      </w:r>
      <w:r w:rsidR="006E6DA1" w:rsidRPr="006E6DA1">
        <w:rPr>
          <w:vertAlign w:val="superscript"/>
        </w:rPr>
        <w:footnoteReference w:id="72"/>
      </w:r>
    </w:p>
    <w:p w14:paraId="4C87CE2F" w14:textId="11A6754C" w:rsidR="006E6DA1" w:rsidRPr="006E6DA1" w:rsidRDefault="00891D84" w:rsidP="006E6DA1">
      <w:pPr>
        <w:pStyle w:val="BHead2"/>
      </w:pPr>
      <w:r>
        <w:t>III.</w:t>
      </w:r>
      <w:r w:rsidR="006E6DA1" w:rsidRPr="00891D84">
        <w:rPr>
          <w:rStyle w:val="BBNAidChar"/>
          <w:rFonts w:eastAsiaTheme="majorEastAsia"/>
        </w:rPr>
        <w:t>D</w:t>
      </w:r>
      <w:r w:rsidR="006E6DA1" w:rsidRPr="006E6DA1">
        <w:t>.</w:t>
      </w:r>
      <w:r>
        <w:t> </w:t>
      </w:r>
      <w:r w:rsidR="006E6DA1" w:rsidRPr="006E6DA1">
        <w:tab/>
        <w:t>Employer Falsified or Manipulated Employment Records to Create Fictitious Grounds for Termination</w:t>
      </w:r>
    </w:p>
    <w:p w14:paraId="72F13EFD" w14:textId="0DC41807" w:rsidR="006E6DA1" w:rsidRPr="006E6DA1" w:rsidRDefault="00423606" w:rsidP="006E6DA1">
      <w:pPr>
        <w:pStyle w:val="BNormal"/>
      </w:pPr>
      <w:r w:rsidRPr="006E6DA1">
        <w:t>To succeed under this theory, a plaintiff must show that the employer’s misrepresentation of the employee’s employment record was reckless or intentional.</w:t>
      </w:r>
      <w:r w:rsidR="006E6DA1" w:rsidRPr="006E6DA1">
        <w:rPr>
          <w:vertAlign w:val="superscript"/>
        </w:rPr>
        <w:footnoteReference w:id="73"/>
      </w:r>
      <w:r w:rsidRPr="006E6DA1">
        <w:t xml:space="preserve"> </w:t>
      </w:r>
      <w:r w:rsidR="006E6DA1" w:rsidRPr="006E6DA1">
        <w:rPr>
          <w:i/>
        </w:rPr>
        <w:t>Pressman</w:t>
      </w:r>
      <w:r w:rsidRPr="006E6DA1">
        <w:t xml:space="preserve"> is the leading example in this category</w:t>
      </w:r>
      <w:r w:rsidR="006E6DA1" w:rsidRPr="006E6DA1">
        <w:t>. A</w:t>
      </w:r>
      <w:r w:rsidRPr="006E6DA1">
        <w:t>s explained above, in that case the plaintiff successfully alleged his employer breached the implied covenant by falsifying and manipulating his employment record.</w:t>
      </w:r>
      <w:r w:rsidR="006E6DA1" w:rsidRPr="006E6DA1">
        <w:rPr>
          <w:vertAlign w:val="superscript"/>
        </w:rPr>
        <w:footnoteReference w:id="74"/>
      </w:r>
      <w:r w:rsidRPr="006E6DA1">
        <w:t xml:space="preserve"> The plaintiff’s discharge was directly caused by his supervisor’s manufacture of false grounds to terminate his employment</w:t>
      </w:r>
      <w:r w:rsidR="006E6DA1" w:rsidRPr="006E6DA1">
        <w:t>. H</w:t>
      </w:r>
      <w:r w:rsidRPr="006E6DA1">
        <w:t>olding that the trial court had made an overly broad statement of the implied covenant in its jury charge, Delaware’s Supreme Court ordered a new trial and, cautioned that “[d]</w:t>
      </w:r>
      <w:proofErr w:type="spellStart"/>
      <w:r w:rsidRPr="006E6DA1">
        <w:t>islike</w:t>
      </w:r>
      <w:proofErr w:type="spellEnd"/>
      <w:r w:rsidRPr="006E6DA1">
        <w:t>, hatred or ill will, alone, cannot be the basis for a cause of action for termination of at-will employment.”</w:t>
      </w:r>
      <w:r w:rsidR="006E6DA1" w:rsidRPr="006E6DA1">
        <w:rPr>
          <w:vertAlign w:val="superscript"/>
        </w:rPr>
        <w:footnoteReference w:id="75"/>
      </w:r>
      <w:r w:rsidRPr="006E6DA1">
        <w:t xml:space="preserve"> Instead, the jury could find for the plaintiff if it believed that the plaintiff’s supervisor, “not having authority unilaterally to fire [the plaintiff], maliciously employed deceit and subterfuge to manufacture grounds for [the plaintiff’s] dismissal” at the hands of senior management</w:t>
      </w:r>
      <w:r w:rsidR="006E6DA1" w:rsidRPr="006E6DA1">
        <w:t>. S</w:t>
      </w:r>
      <w:r w:rsidRPr="006E6DA1">
        <w:t>uch conduct, if proven, “went beyond the broad, permissible scope” of the at-will employment doctrine and “into the limited zone” of the implied covenant.</w:t>
      </w:r>
      <w:r w:rsidR="006E6DA1" w:rsidRPr="006E6DA1">
        <w:rPr>
          <w:vertAlign w:val="superscript"/>
        </w:rPr>
        <w:footnoteReference w:id="76"/>
      </w:r>
    </w:p>
    <w:p w14:paraId="4D9006C5" w14:textId="39EE8FB2" w:rsidR="006E6DA1" w:rsidRPr="006E6DA1" w:rsidRDefault="006E6DA1" w:rsidP="006E6DA1">
      <w:pPr>
        <w:pStyle w:val="BHead1"/>
      </w:pPr>
      <w:r w:rsidRPr="00891D84">
        <w:rPr>
          <w:rStyle w:val="BBNAidChar"/>
          <w:rFonts w:eastAsiaTheme="majorEastAsia"/>
        </w:rPr>
        <w:t>IV</w:t>
      </w:r>
      <w:r w:rsidRPr="006E6DA1">
        <w:t>.</w:t>
      </w:r>
      <w:r w:rsidR="00891D84">
        <w:t> </w:t>
      </w:r>
      <w:r w:rsidRPr="006E6DA1">
        <w:t xml:space="preserve"> Public Policy Exception</w:t>
      </w:r>
    </w:p>
    <w:p w14:paraId="63261325" w14:textId="6581A294" w:rsidR="006E6DA1" w:rsidRPr="006E6DA1" w:rsidRDefault="00423606" w:rsidP="006E6DA1">
      <w:pPr>
        <w:pStyle w:val="BNormal"/>
      </w:pPr>
      <w:r w:rsidRPr="006E6DA1">
        <w:t>As discussed in III</w:t>
      </w:r>
      <w:r w:rsidR="006E6DA1" w:rsidRPr="006E6DA1">
        <w:t xml:space="preserve">. </w:t>
      </w:r>
      <w:proofErr w:type="gramStart"/>
      <w:r w:rsidR="006E6DA1" w:rsidRPr="006E6DA1">
        <w:t>a</w:t>
      </w:r>
      <w:r w:rsidRPr="006E6DA1">
        <w:t>bove</w:t>
      </w:r>
      <w:proofErr w:type="gramEnd"/>
      <w:r w:rsidRPr="006E6DA1">
        <w:t>, application of the implied covenant of good faith and fair dealing to the doctrine of at-will employment has incorporated any public policy exceptions under Delaware law.</w:t>
      </w:r>
    </w:p>
    <w:p w14:paraId="0455C7BC" w14:textId="100B6427" w:rsidR="006E6DA1" w:rsidRPr="006E6DA1" w:rsidRDefault="006E6DA1" w:rsidP="006E6DA1">
      <w:pPr>
        <w:pStyle w:val="BHead1"/>
      </w:pPr>
      <w:r w:rsidRPr="00891D84">
        <w:rPr>
          <w:rStyle w:val="BBNAidChar"/>
          <w:rFonts w:eastAsiaTheme="majorEastAsia"/>
        </w:rPr>
        <w:t>V</w:t>
      </w:r>
      <w:r w:rsidRPr="006E6DA1">
        <w:t>.</w:t>
      </w:r>
      <w:r w:rsidR="00891D84">
        <w:t> </w:t>
      </w:r>
      <w:r w:rsidRPr="006E6DA1">
        <w:t xml:space="preserve"> Burdens of Proof, Just Cause, Disclaimers, and Damages</w:t>
      </w:r>
    </w:p>
    <w:p w14:paraId="69DC364F" w14:textId="200DE065" w:rsidR="006E6DA1" w:rsidRPr="006E6DA1" w:rsidRDefault="00891D84" w:rsidP="006E6DA1">
      <w:pPr>
        <w:pStyle w:val="BHead2"/>
      </w:pPr>
      <w:r>
        <w:t>V.</w:t>
      </w:r>
      <w:r w:rsidR="006E6DA1" w:rsidRPr="00891D84">
        <w:rPr>
          <w:rStyle w:val="BBNAidChar"/>
          <w:rFonts w:eastAsiaTheme="majorEastAsia"/>
        </w:rPr>
        <w:t>A</w:t>
      </w:r>
      <w:r w:rsidR="006E6DA1" w:rsidRPr="006E6DA1">
        <w:t>.</w:t>
      </w:r>
      <w:r>
        <w:t> </w:t>
      </w:r>
      <w:r w:rsidR="006E6DA1" w:rsidRPr="006E6DA1">
        <w:tab/>
        <w:t>Burdens of Proof</w:t>
      </w:r>
    </w:p>
    <w:p w14:paraId="676F4213" w14:textId="3946EFB1" w:rsidR="006E6DA1" w:rsidRPr="006E6DA1" w:rsidRDefault="00423606" w:rsidP="006E6DA1">
      <w:pPr>
        <w:pStyle w:val="BNormal"/>
      </w:pPr>
      <w:r w:rsidRPr="006E6DA1">
        <w:t>An employee must prove, by clear and convincing evidence, that his or her at-will employment status has been altered.</w:t>
      </w:r>
      <w:r w:rsidR="006E6DA1" w:rsidRPr="006E6DA1">
        <w:rPr>
          <w:vertAlign w:val="superscript"/>
        </w:rPr>
        <w:footnoteReference w:id="77"/>
      </w:r>
    </w:p>
    <w:p w14:paraId="70708D50" w14:textId="4F664D52" w:rsidR="006E6DA1" w:rsidRPr="006E6DA1" w:rsidRDefault="00891D84" w:rsidP="006E6DA1">
      <w:pPr>
        <w:pStyle w:val="BHead2"/>
      </w:pPr>
      <w:r>
        <w:t>V.</w:t>
      </w:r>
      <w:r w:rsidR="006E6DA1" w:rsidRPr="00891D84">
        <w:rPr>
          <w:rStyle w:val="BBNAidChar"/>
          <w:rFonts w:eastAsiaTheme="majorEastAsia"/>
        </w:rPr>
        <w:t>B</w:t>
      </w:r>
      <w:r w:rsidR="006E6DA1" w:rsidRPr="006E6DA1">
        <w:t>.</w:t>
      </w:r>
      <w:r>
        <w:t> </w:t>
      </w:r>
      <w:r w:rsidR="006E6DA1" w:rsidRPr="006E6DA1">
        <w:tab/>
        <w:t>Just Cause</w:t>
      </w:r>
    </w:p>
    <w:p w14:paraId="1E0D7721" w14:textId="716630AA" w:rsidR="006E6DA1" w:rsidRPr="006E6DA1" w:rsidRDefault="00423606" w:rsidP="006E6DA1">
      <w:pPr>
        <w:pStyle w:val="BNormal"/>
      </w:pPr>
      <w:r w:rsidRPr="006E6DA1">
        <w:t>Just cause for an employee’s termination is defined as a “willful or wanton act or pattern in violation of the employer’s interest, the employee’s duties, or the employee’s expected standard of conduct.”</w:t>
      </w:r>
      <w:r w:rsidR="006E6DA1" w:rsidRPr="006E6DA1">
        <w:rPr>
          <w:vertAlign w:val="superscript"/>
        </w:rPr>
        <w:footnoteReference w:id="78"/>
      </w:r>
      <w:r w:rsidRPr="006E6DA1">
        <w:t xml:space="preserve"> Examples of just cause include misconduct and actions of an employee showing dishonesty or untrustworthiness, whether the harm to the employer was great or small.</w:t>
      </w:r>
      <w:r w:rsidR="006E6DA1" w:rsidRPr="006E6DA1">
        <w:rPr>
          <w:vertAlign w:val="superscript"/>
        </w:rPr>
        <w:footnoteReference w:id="79"/>
      </w:r>
      <w:r w:rsidRPr="006E6DA1">
        <w:t xml:space="preserve"> Note, however, that an employer’s toleration of misconduct lessens the possibility that ‘just cause” for termination exists.</w:t>
      </w:r>
      <w:r w:rsidR="006E6DA1" w:rsidRPr="006E6DA1">
        <w:rPr>
          <w:vertAlign w:val="superscript"/>
        </w:rPr>
        <w:footnoteReference w:id="80"/>
      </w:r>
    </w:p>
    <w:p w14:paraId="64A0824D" w14:textId="00B4F22D" w:rsidR="006E6DA1" w:rsidRPr="006E6DA1" w:rsidRDefault="00423606" w:rsidP="006E6DA1">
      <w:pPr>
        <w:pStyle w:val="BNormal"/>
      </w:pPr>
      <w:r w:rsidRPr="006E6DA1">
        <w:t>The Superior Court of Delaware has held that a single instance of insubordination may support just cause for termination.</w:t>
      </w:r>
      <w:r w:rsidR="006E6DA1" w:rsidRPr="006E6DA1">
        <w:rPr>
          <w:vertAlign w:val="superscript"/>
        </w:rPr>
        <w:footnoteReference w:id="81"/>
      </w:r>
      <w:r w:rsidR="006E6DA1" w:rsidRPr="006E6DA1">
        <w:rPr>
          <w:b/>
        </w:rPr>
        <w:t xml:space="preserve"> </w:t>
      </w:r>
      <w:r w:rsidRPr="006E6DA1">
        <w:t>The court held that termination for insubordination might constitute just cause if the employee’s insubordination consists of willful refusal to follow reasonable directions or instructions.</w:t>
      </w:r>
      <w:r w:rsidR="006E6DA1" w:rsidRPr="006E6DA1">
        <w:rPr>
          <w:vertAlign w:val="superscript"/>
        </w:rPr>
        <w:footnoteReference w:id="82"/>
      </w:r>
      <w:r w:rsidR="006E6DA1" w:rsidRPr="006E6DA1">
        <w:rPr>
          <w:b/>
        </w:rPr>
        <w:t xml:space="preserve"> </w:t>
      </w:r>
      <w:r w:rsidRPr="006E6DA1">
        <w:t>The employer has the burden to show, by a preponderance of the evidence, that the employee was dismissed for just cause.</w:t>
      </w:r>
      <w:r w:rsidR="006E6DA1" w:rsidRPr="006E6DA1">
        <w:rPr>
          <w:vertAlign w:val="superscript"/>
        </w:rPr>
        <w:footnoteReference w:id="83"/>
      </w:r>
    </w:p>
    <w:p w14:paraId="24DCB206" w14:textId="22B11955" w:rsidR="006E6DA1" w:rsidRPr="006E6DA1" w:rsidRDefault="00891D84" w:rsidP="006E6DA1">
      <w:pPr>
        <w:pStyle w:val="BHead2"/>
      </w:pPr>
      <w:r>
        <w:t>V.</w:t>
      </w:r>
      <w:r w:rsidR="006E6DA1" w:rsidRPr="00891D84">
        <w:rPr>
          <w:rStyle w:val="BBNAidChar"/>
          <w:rFonts w:eastAsiaTheme="majorEastAsia"/>
        </w:rPr>
        <w:t>C</w:t>
      </w:r>
      <w:r w:rsidR="006E6DA1" w:rsidRPr="006E6DA1">
        <w:t>.</w:t>
      </w:r>
      <w:r>
        <w:t> </w:t>
      </w:r>
      <w:r w:rsidR="006E6DA1" w:rsidRPr="006E6DA1">
        <w:tab/>
        <w:t>Disclaimers</w:t>
      </w:r>
    </w:p>
    <w:p w14:paraId="4C26FD91" w14:textId="3D6511C0" w:rsidR="006E6DA1" w:rsidRPr="006E6DA1" w:rsidRDefault="00423606" w:rsidP="006E6DA1">
      <w:pPr>
        <w:pStyle w:val="BNormal"/>
      </w:pPr>
      <w:r w:rsidRPr="006E6DA1">
        <w:t>As mentioned in II.A., above, in Delaware an employee handbook will not change an employee’s at-will status unless there is clear language specifying the “terms, conditions, or duration of employment.”</w:t>
      </w:r>
      <w:r w:rsidR="006E6DA1" w:rsidRPr="006E6DA1">
        <w:rPr>
          <w:vertAlign w:val="superscript"/>
        </w:rPr>
        <w:footnoteReference w:id="84"/>
      </w:r>
      <w:r w:rsidRPr="006E6DA1">
        <w:t xml:space="preserve"> In </w:t>
      </w:r>
      <w:r w:rsidR="006E6DA1" w:rsidRPr="006E6DA1">
        <w:rPr>
          <w:rStyle w:val="BCasenamefull"/>
        </w:rPr>
        <w:t>Gaines v. Wilmington Trust Co.</w:t>
      </w:r>
      <w:r w:rsidRPr="006E6DA1">
        <w:t>, the employee handbook stated</w:t>
      </w:r>
      <w:r w:rsidR="006E6DA1" w:rsidRPr="006E6DA1">
        <w:t>: “</w:t>
      </w:r>
      <w:r w:rsidRPr="006E6DA1">
        <w:t>This handbook provides general information only and is not intended to be a contractual agreement.”</w:t>
      </w:r>
      <w:r w:rsidR="006E6DA1" w:rsidRPr="006E6DA1">
        <w:rPr>
          <w:vertAlign w:val="superscript"/>
        </w:rPr>
        <w:footnoteReference w:id="85"/>
      </w:r>
      <w:r w:rsidRPr="006E6DA1">
        <w:t xml:space="preserve"> Rejecting an employee’s assertion that the handbook created an exception for her, the court held that the disclaimer expressly preserved the employer’s discretionary authority and made it clear that the handbook gave employees no contractual rights</w:t>
      </w:r>
      <w:r w:rsidR="006E6DA1" w:rsidRPr="006E6DA1">
        <w:t>; t</w:t>
      </w:r>
      <w:r w:rsidRPr="006E6DA1">
        <w:t>hey remained at-will employees.</w:t>
      </w:r>
    </w:p>
    <w:p w14:paraId="7123FC4C" w14:textId="7F25A3D9" w:rsidR="006E6DA1" w:rsidRPr="006E6DA1" w:rsidRDefault="00891D84" w:rsidP="006E6DA1">
      <w:pPr>
        <w:pStyle w:val="BHead2"/>
      </w:pPr>
      <w:r>
        <w:t>V.</w:t>
      </w:r>
      <w:r w:rsidR="006E6DA1" w:rsidRPr="00891D84">
        <w:rPr>
          <w:rStyle w:val="BBNAidChar"/>
          <w:rFonts w:eastAsiaTheme="majorEastAsia"/>
        </w:rPr>
        <w:t>D</w:t>
      </w:r>
      <w:r w:rsidR="006E6DA1" w:rsidRPr="006E6DA1">
        <w:t>.</w:t>
      </w:r>
      <w:r>
        <w:t> </w:t>
      </w:r>
      <w:r w:rsidR="006E6DA1" w:rsidRPr="006E6DA1">
        <w:tab/>
        <w:t>Damages</w:t>
      </w:r>
    </w:p>
    <w:p w14:paraId="4433E44E" w14:textId="24961321" w:rsidR="006E6DA1" w:rsidRPr="006E6DA1" w:rsidRDefault="00423606" w:rsidP="006E6DA1">
      <w:pPr>
        <w:pStyle w:val="BNormal"/>
      </w:pPr>
      <w:r w:rsidRPr="006E6DA1">
        <w:t>Termination of an at-will employee in violation of the covenant of good faith and fair dealing constitutes a breach of contract and may entitle the employee to damages.</w:t>
      </w:r>
      <w:r w:rsidR="006E6DA1" w:rsidRPr="006E6DA1">
        <w:rPr>
          <w:vertAlign w:val="superscript"/>
        </w:rPr>
        <w:footnoteReference w:id="86"/>
      </w:r>
      <w:r w:rsidRPr="006E6DA1">
        <w:t xml:space="preserve"> Likewise, termination of an at-will employee in violation of Delaware’s applicable statutory law may also result in damages assessed against an employer.</w:t>
      </w:r>
      <w:r w:rsidR="006E6DA1" w:rsidRPr="006E6DA1">
        <w:rPr>
          <w:vertAlign w:val="superscript"/>
        </w:rPr>
        <w:footnoteReference w:id="87"/>
      </w:r>
      <w:r w:rsidRPr="006E6DA1">
        <w:t xml:space="preserve"> However, as recognized in </w:t>
      </w:r>
      <w:r w:rsidR="006E6DA1" w:rsidRPr="006E6DA1">
        <w:rPr>
          <w:rStyle w:val="BCasenamefull"/>
        </w:rPr>
        <w:t>Lord v. Souder</w:t>
      </w:r>
      <w:r w:rsidRPr="006E6DA1">
        <w:t>, quantifying damages in cases involving the wrongful discharge of an at-will employee can be difficult.</w:t>
      </w:r>
      <w:r w:rsidR="006E6DA1" w:rsidRPr="006E6DA1">
        <w:rPr>
          <w:vertAlign w:val="superscript"/>
        </w:rPr>
        <w:footnoteReference w:id="88"/>
      </w:r>
      <w:r w:rsidRPr="006E6DA1">
        <w:t xml:space="preserve"> Additionally, it is very unlikely an employee would be awarded punitive damages.</w:t>
      </w:r>
      <w:r w:rsidR="006E6DA1" w:rsidRPr="006E6DA1">
        <w:rPr>
          <w:vertAlign w:val="superscript"/>
        </w:rPr>
        <w:footnoteReference w:id="89"/>
      </w:r>
    </w:p>
    <w:p w14:paraId="2DC32A0E" w14:textId="620BB118" w:rsidR="006E6DA1" w:rsidRPr="006E6DA1" w:rsidRDefault="006E6DA1" w:rsidP="006E6DA1">
      <w:pPr>
        <w:pStyle w:val="BHead1"/>
      </w:pPr>
      <w:r w:rsidRPr="00891D84">
        <w:rPr>
          <w:rStyle w:val="BBNAidChar"/>
          <w:rFonts w:eastAsiaTheme="majorEastAsia"/>
        </w:rPr>
        <w:t>VI</w:t>
      </w:r>
      <w:r w:rsidRPr="006E6DA1">
        <w:t>.</w:t>
      </w:r>
      <w:r w:rsidR="00891D84">
        <w:t> </w:t>
      </w:r>
      <w:r w:rsidRPr="006E6DA1">
        <w:t xml:space="preserve"> Related Torts</w:t>
      </w:r>
    </w:p>
    <w:p w14:paraId="15EA92C2" w14:textId="2C689B60" w:rsidR="006E6DA1" w:rsidRPr="006E6DA1" w:rsidRDefault="00423606" w:rsidP="006E6DA1">
      <w:pPr>
        <w:pStyle w:val="BNormal"/>
      </w:pPr>
      <w:r w:rsidRPr="006E6DA1">
        <w:t>In Delaware, most tort claims that might be alleged in conjunction with an at-will employee’s wrongful discharge claim are barred by the state’s workers’ compensation statutory exclusion.</w:t>
      </w:r>
      <w:r w:rsidR="006E6DA1" w:rsidRPr="006E6DA1">
        <w:rPr>
          <w:vertAlign w:val="superscript"/>
        </w:rPr>
        <w:footnoteReference w:id="90"/>
      </w:r>
      <w:r w:rsidRPr="006E6DA1">
        <w:t xml:space="preserve"> Delaware’s workers’ compensation exclusivity provision “bars common law actions against an employer where</w:t>
      </w:r>
      <w:r w:rsidR="006E6DA1" w:rsidRPr="006E6DA1">
        <w:t>: 1</w:t>
      </w:r>
      <w:r w:rsidRPr="006E6DA1">
        <w:t>) plaintiff is an employee</w:t>
      </w:r>
      <w:r w:rsidR="006E6DA1" w:rsidRPr="006E6DA1">
        <w:t>; 2</w:t>
      </w:r>
      <w:r w:rsidRPr="006E6DA1">
        <w:t>) his condition is shown to be a personal injury within the meaning of the statute</w:t>
      </w:r>
      <w:r w:rsidR="006E6DA1" w:rsidRPr="006E6DA1">
        <w:t>; a</w:t>
      </w:r>
      <w:r w:rsidRPr="006E6DA1">
        <w:t>nd 3) the injury is shown to have arisen out of and in the course of employment.”</w:t>
      </w:r>
      <w:r w:rsidR="006E6DA1" w:rsidRPr="006E6DA1">
        <w:rPr>
          <w:vertAlign w:val="superscript"/>
        </w:rPr>
        <w:footnoteReference w:id="91"/>
      </w:r>
      <w:r w:rsidRPr="006E6DA1">
        <w:t xml:space="preserve"> However, “claims that involve a true intent by the employer to injure the employee fall outside of the Workers’ Compensation Act and remain separately actionable as common law tort claims.”</w:t>
      </w:r>
      <w:r w:rsidR="006E6DA1" w:rsidRPr="006E6DA1">
        <w:rPr>
          <w:vertAlign w:val="superscript"/>
        </w:rPr>
        <w:footnoteReference w:id="92"/>
      </w:r>
      <w:r w:rsidRPr="006E6DA1">
        <w:t xml:space="preserve"> The key to whether the provision precludes a common law right of action lies in the nature of the injury for which the plaintiff makes a claim, not the nature of the defendant’s act that the plaintiff alleges to have been responsible for the injury.</w:t>
      </w:r>
      <w:r w:rsidR="006E6DA1" w:rsidRPr="006E6DA1">
        <w:rPr>
          <w:vertAlign w:val="superscript"/>
        </w:rPr>
        <w:footnoteReference w:id="93"/>
      </w:r>
    </w:p>
    <w:p w14:paraId="7FB79C9C" w14:textId="77777777" w:rsidR="006E6DA1" w:rsidRPr="006E6DA1" w:rsidRDefault="00423606" w:rsidP="006E6DA1">
      <w:pPr>
        <w:pStyle w:val="BNormal"/>
      </w:pPr>
      <w:r w:rsidRPr="006E6DA1">
        <w:t>The following torts are barred by Delaware’s workers’ compensation law:</w:t>
      </w:r>
    </w:p>
    <w:p w14:paraId="13EFC219" w14:textId="061078AC" w:rsidR="006E6DA1" w:rsidRPr="006E6DA1" w:rsidRDefault="00423606" w:rsidP="006E6DA1">
      <w:pPr>
        <w:pStyle w:val="BListitembul"/>
      </w:pPr>
      <w:r w:rsidRPr="006E6DA1">
        <w:t>intentional infliction of emotional distress;</w:t>
      </w:r>
      <w:r w:rsidR="006E6DA1" w:rsidRPr="006E6DA1">
        <w:rPr>
          <w:vertAlign w:val="superscript"/>
        </w:rPr>
        <w:footnoteReference w:id="94"/>
      </w:r>
    </w:p>
    <w:p w14:paraId="49139506" w14:textId="22A1F0CA" w:rsidR="006E6DA1" w:rsidRPr="006E6DA1" w:rsidRDefault="00423606" w:rsidP="006E6DA1">
      <w:pPr>
        <w:pStyle w:val="BListitembul"/>
      </w:pPr>
      <w:r w:rsidRPr="006E6DA1">
        <w:t>prima facie tort;</w:t>
      </w:r>
      <w:r w:rsidR="006E6DA1" w:rsidRPr="006E6DA1">
        <w:rPr>
          <w:vertAlign w:val="superscript"/>
        </w:rPr>
        <w:footnoteReference w:id="95"/>
      </w:r>
    </w:p>
    <w:p w14:paraId="7CDE6C9A" w14:textId="2DA1070C" w:rsidR="006E6DA1" w:rsidRPr="006E6DA1" w:rsidRDefault="00423606" w:rsidP="006E6DA1">
      <w:pPr>
        <w:pStyle w:val="BListitembul"/>
      </w:pPr>
      <w:r w:rsidRPr="006E6DA1">
        <w:t>negligent infliction of emotional distress;</w:t>
      </w:r>
      <w:r w:rsidR="006E6DA1" w:rsidRPr="006E6DA1">
        <w:rPr>
          <w:vertAlign w:val="superscript"/>
        </w:rPr>
        <w:footnoteReference w:id="96"/>
      </w:r>
    </w:p>
    <w:p w14:paraId="259E9DE6" w14:textId="089BFA9C" w:rsidR="006E6DA1" w:rsidRPr="006E6DA1" w:rsidRDefault="00423606" w:rsidP="006E6DA1">
      <w:pPr>
        <w:pStyle w:val="BListitembul"/>
      </w:pPr>
      <w:r w:rsidRPr="006E6DA1">
        <w:t>sexual harassment;</w:t>
      </w:r>
      <w:r w:rsidR="006E6DA1" w:rsidRPr="006E6DA1">
        <w:rPr>
          <w:vertAlign w:val="superscript"/>
        </w:rPr>
        <w:footnoteReference w:id="97"/>
      </w:r>
      <w:r w:rsidRPr="006E6DA1">
        <w:t xml:space="preserve"> and</w:t>
      </w:r>
    </w:p>
    <w:p w14:paraId="466BB5E2" w14:textId="44AA54E5" w:rsidR="006E6DA1" w:rsidRPr="006E6DA1" w:rsidRDefault="00423606" w:rsidP="006E6DA1">
      <w:pPr>
        <w:pStyle w:val="BListitembul"/>
      </w:pPr>
      <w:r w:rsidRPr="006E6DA1">
        <w:t>certain claims related to injuries suffered from horseplay at work.</w:t>
      </w:r>
      <w:r w:rsidR="006E6DA1" w:rsidRPr="006E6DA1">
        <w:rPr>
          <w:vertAlign w:val="superscript"/>
        </w:rPr>
        <w:footnoteReference w:id="98"/>
      </w:r>
    </w:p>
    <w:p w14:paraId="43D34F3E" w14:textId="7E886D06" w:rsidR="006E6DA1" w:rsidRPr="006E6DA1" w:rsidRDefault="00423606" w:rsidP="006E6DA1">
      <w:pPr>
        <w:pStyle w:val="BNormal"/>
      </w:pPr>
      <w:r w:rsidRPr="006E6DA1">
        <w:t>Other tort claims are likely subsumed by a claim for breach of the implied covenant of good faith and fair dealing</w:t>
      </w:r>
      <w:r w:rsidR="006E6DA1" w:rsidRPr="006E6DA1">
        <w:t>; f</w:t>
      </w:r>
      <w:r w:rsidRPr="006E6DA1">
        <w:t xml:space="preserve">or example, claims of negligent misrepresentation mirror </w:t>
      </w:r>
      <w:proofErr w:type="gramStart"/>
      <w:r w:rsidRPr="006E6DA1">
        <w:t>claims</w:t>
      </w:r>
      <w:proofErr w:type="gramEnd"/>
      <w:r w:rsidRPr="006E6DA1">
        <w:t xml:space="preserve"> for breach of the implied covenant of good faith and fair dealing.</w:t>
      </w:r>
      <w:r w:rsidR="006E6DA1" w:rsidRPr="006E6DA1">
        <w:rPr>
          <w:vertAlign w:val="superscript"/>
        </w:rPr>
        <w:footnoteReference w:id="99"/>
      </w:r>
    </w:p>
    <w:p w14:paraId="69E34720" w14:textId="7595C9E5" w:rsidR="006E6DA1" w:rsidRPr="006E6DA1" w:rsidRDefault="00891D84" w:rsidP="006E6DA1">
      <w:pPr>
        <w:pStyle w:val="BHead2"/>
      </w:pPr>
      <w:r>
        <w:t>VI.</w:t>
      </w:r>
      <w:r w:rsidR="006E6DA1" w:rsidRPr="00891D84">
        <w:rPr>
          <w:rStyle w:val="BBNAidChar"/>
          <w:rFonts w:eastAsiaTheme="majorEastAsia"/>
        </w:rPr>
        <w:t>A</w:t>
      </w:r>
      <w:r w:rsidR="006E6DA1" w:rsidRPr="006E6DA1">
        <w:t>.</w:t>
      </w:r>
      <w:r>
        <w:t> </w:t>
      </w:r>
      <w:r w:rsidR="006E6DA1" w:rsidRPr="006E6DA1">
        <w:tab/>
        <w:t>Fraud</w:t>
      </w:r>
    </w:p>
    <w:p w14:paraId="5147D7CD" w14:textId="441D892B" w:rsidR="006E6DA1" w:rsidRPr="006E6DA1" w:rsidRDefault="00423606" w:rsidP="006E6DA1">
      <w:pPr>
        <w:pStyle w:val="BNormal"/>
      </w:pPr>
      <w:r w:rsidRPr="006E6DA1">
        <w:t>Fraud, unlike negligent misrepresentation, is a cognizable tort claim for a wrongfully discharged at-will employee</w:t>
      </w:r>
      <w:r w:rsidR="006E6DA1" w:rsidRPr="006E6DA1">
        <w:t>. I</w:t>
      </w:r>
      <w:r w:rsidRPr="006E6DA1">
        <w:t>n order to prove fraud, a plaintiff must demonstrate</w:t>
      </w:r>
    </w:p>
    <w:p w14:paraId="348DD551" w14:textId="33A41C4F" w:rsidR="006E6DA1" w:rsidRPr="006E6DA1" w:rsidRDefault="00423606" w:rsidP="006E6DA1">
      <w:pPr>
        <w:pStyle w:val="BQuotelong"/>
      </w:pPr>
      <w:r w:rsidRPr="006E6DA1">
        <w:t>[1] a false representation, usually one of fact, made by the defendant</w:t>
      </w:r>
      <w:r w:rsidR="006E6DA1" w:rsidRPr="006E6DA1">
        <w:t>; [</w:t>
      </w:r>
      <w:r w:rsidRPr="006E6DA1">
        <w:t>2] the defendant’s knowledge or belief that the representation was false, or was made with reckless indifference to the truth</w:t>
      </w:r>
      <w:r w:rsidR="006E6DA1" w:rsidRPr="006E6DA1">
        <w:t>; [</w:t>
      </w:r>
      <w:r w:rsidRPr="006E6DA1">
        <w:t>3] an intent to induce the plaintiff to act or to refrain from acting</w:t>
      </w:r>
      <w:r w:rsidR="006E6DA1" w:rsidRPr="006E6DA1">
        <w:t>; [</w:t>
      </w:r>
      <w:r w:rsidRPr="006E6DA1">
        <w:t>4] the plaintiff’s action or inaction taken in justifiable reliance on the representation</w:t>
      </w:r>
      <w:r w:rsidR="006E6DA1" w:rsidRPr="006E6DA1">
        <w:t>; a</w:t>
      </w:r>
      <w:r w:rsidRPr="006E6DA1">
        <w:t>nd [5] damage to the plaintiff as a result of such reliance.</w:t>
      </w:r>
      <w:r w:rsidR="006E6DA1" w:rsidRPr="006E6DA1">
        <w:rPr>
          <w:vertAlign w:val="superscript"/>
        </w:rPr>
        <w:footnoteReference w:id="100"/>
      </w:r>
    </w:p>
    <w:p w14:paraId="24A1CC3F" w14:textId="272C14E8" w:rsidR="006E6DA1" w:rsidRPr="006E6DA1" w:rsidRDefault="00423606" w:rsidP="006E6DA1">
      <w:pPr>
        <w:pStyle w:val="BNormal"/>
      </w:pPr>
      <w:r w:rsidRPr="006E6DA1">
        <w:t>This standard is different from what a plaintiff would need to show, for example, that an employer breached the implied covenant of good faith and fair dealing when the employer falsified an employee’s records or created false grounds for an at-will employee’s termination</w:t>
      </w:r>
      <w:r w:rsidR="006E6DA1" w:rsidRPr="006E6DA1">
        <w:t>. T</w:t>
      </w:r>
      <w:r w:rsidRPr="006E6DA1">
        <w:t>hus, “[</w:t>
      </w:r>
      <w:proofErr w:type="spellStart"/>
      <w:r w:rsidRPr="006E6DA1">
        <w:t>i</w:t>
      </w:r>
      <w:proofErr w:type="spellEnd"/>
      <w:r w:rsidRPr="006E6DA1">
        <w:t>]t may be more difficult to prove actual fraud than mere breach of contract.”</w:t>
      </w:r>
      <w:r w:rsidR="006E6DA1" w:rsidRPr="006E6DA1">
        <w:rPr>
          <w:vertAlign w:val="superscript"/>
        </w:rPr>
        <w:footnoteReference w:id="101"/>
      </w:r>
    </w:p>
    <w:p w14:paraId="6C7BDA6F" w14:textId="0E6F50C7" w:rsidR="006E6DA1" w:rsidRPr="006E6DA1" w:rsidRDefault="00891D84" w:rsidP="006E6DA1">
      <w:pPr>
        <w:pStyle w:val="BHead2"/>
      </w:pPr>
      <w:r>
        <w:t>VI.</w:t>
      </w:r>
      <w:r w:rsidR="006E6DA1" w:rsidRPr="00891D84">
        <w:rPr>
          <w:rStyle w:val="BBNAidChar"/>
          <w:rFonts w:eastAsiaTheme="majorEastAsia"/>
        </w:rPr>
        <w:t>B</w:t>
      </w:r>
      <w:r w:rsidR="006E6DA1" w:rsidRPr="006E6DA1">
        <w:t>.</w:t>
      </w:r>
      <w:r>
        <w:t> </w:t>
      </w:r>
      <w:r w:rsidR="006E6DA1" w:rsidRPr="006E6DA1">
        <w:tab/>
        <w:t xml:space="preserve">Intentional Interference </w:t>
      </w:r>
      <w:proofErr w:type="gramStart"/>
      <w:r w:rsidR="006E6DA1" w:rsidRPr="006E6DA1">
        <w:t>With</w:t>
      </w:r>
      <w:proofErr w:type="gramEnd"/>
      <w:r w:rsidR="006E6DA1" w:rsidRPr="006E6DA1">
        <w:t xml:space="preserve"> a Contract</w:t>
      </w:r>
    </w:p>
    <w:p w14:paraId="759EA359" w14:textId="4C5C4A46" w:rsidR="006E6DA1" w:rsidRPr="006E6DA1" w:rsidRDefault="00423606" w:rsidP="006E6DA1">
      <w:pPr>
        <w:pStyle w:val="BNormal"/>
      </w:pPr>
      <w:r w:rsidRPr="006E6DA1">
        <w:t>A wrongfully discharged at-will employee may also maintain a claim for tortious interference with contract</w:t>
      </w:r>
      <w:r w:rsidR="006E6DA1" w:rsidRPr="006E6DA1">
        <w:t>. “</w:t>
      </w:r>
      <w:r w:rsidRPr="006E6DA1">
        <w:t>Claims for tortious interference with contract apply just as readily to an ‘at-will’ employee who has executed a valid employment contract as they do to an employee contractually obligated to remain with a company for a specified period of time.”</w:t>
      </w:r>
      <w:r w:rsidR="006E6DA1" w:rsidRPr="006E6DA1">
        <w:rPr>
          <w:vertAlign w:val="superscript"/>
        </w:rPr>
        <w:footnoteReference w:id="102"/>
      </w:r>
      <w:r w:rsidRPr="006E6DA1">
        <w:t xml:space="preserve"> In </w:t>
      </w:r>
      <w:r w:rsidR="006E6DA1" w:rsidRPr="006E6DA1">
        <w:rPr>
          <w:rStyle w:val="BCasenamefull"/>
        </w:rPr>
        <w:t>Great American Opportunities, Inc. v. Cherrydale Fundraising, LLC</w:t>
      </w:r>
      <w:r w:rsidRPr="006E6DA1">
        <w:t>, Delaware’s Court of Chancery found that the nature of at-will employment does not automatically vitiate contractual obligations arising from a validly executed employment contract</w:t>
      </w:r>
      <w:r w:rsidR="006E6DA1" w:rsidRPr="006E6DA1">
        <w:t>. I</w:t>
      </w:r>
      <w:r w:rsidRPr="006E6DA1">
        <w:t>n that case, several sales representatives entered into contractual obligations with their employer, but the contractual obligations did not include terms with respect to the specific length of employment or the requirement of grounds for termination</w:t>
      </w:r>
      <w:r w:rsidR="006E6DA1" w:rsidRPr="006E6DA1">
        <w:t>. D</w:t>
      </w:r>
      <w:r w:rsidRPr="006E6DA1">
        <w:t>espite this fact, the court held that their contracts could be tortiously interfered with by a competitor.</w:t>
      </w:r>
      <w:r w:rsidR="006E6DA1" w:rsidRPr="006E6DA1">
        <w:rPr>
          <w:vertAlign w:val="superscript"/>
        </w:rPr>
        <w:footnoteReference w:id="103"/>
      </w:r>
    </w:p>
    <w:p w14:paraId="2C2B126F" w14:textId="5F7A9C10" w:rsidR="006E6DA1" w:rsidRPr="006E6DA1" w:rsidRDefault="00891D84" w:rsidP="006E6DA1">
      <w:pPr>
        <w:pStyle w:val="BHead2"/>
      </w:pPr>
      <w:r>
        <w:t>VI.</w:t>
      </w:r>
      <w:r w:rsidR="006E6DA1" w:rsidRPr="00891D84">
        <w:rPr>
          <w:rStyle w:val="BBNAidChar"/>
          <w:rFonts w:eastAsiaTheme="majorEastAsia"/>
        </w:rPr>
        <w:t>C</w:t>
      </w:r>
      <w:r w:rsidR="006E6DA1" w:rsidRPr="006E6DA1">
        <w:t>.</w:t>
      </w:r>
      <w:r>
        <w:t> </w:t>
      </w:r>
      <w:r w:rsidR="006E6DA1" w:rsidRPr="006E6DA1">
        <w:tab/>
        <w:t>Defamation</w:t>
      </w:r>
    </w:p>
    <w:p w14:paraId="153384C9" w14:textId="0B9A4749" w:rsidR="006E6DA1" w:rsidRPr="006E6DA1" w:rsidRDefault="00423606" w:rsidP="006E6DA1">
      <w:pPr>
        <w:pStyle w:val="BNormal"/>
      </w:pPr>
      <w:r w:rsidRPr="006E6DA1">
        <w:t>An employer may be held liable for defamation if the employer either intentionally or negligently makes or publishes a false, unprivileged statement concerning an employee to a third party.</w:t>
      </w:r>
      <w:r w:rsidR="006E6DA1" w:rsidRPr="006E6DA1">
        <w:rPr>
          <w:vertAlign w:val="superscript"/>
        </w:rPr>
        <w:footnoteReference w:id="104"/>
      </w:r>
      <w:r w:rsidRPr="006E6DA1">
        <w:t xml:space="preserve"> The third party must actually hear and understand the statement, and the statement must cause some injury to the employee.</w:t>
      </w:r>
      <w:r w:rsidR="006E6DA1" w:rsidRPr="006E6DA1">
        <w:rPr>
          <w:vertAlign w:val="superscript"/>
        </w:rPr>
        <w:footnoteReference w:id="105"/>
      </w:r>
    </w:p>
    <w:p w14:paraId="7FDD5B00" w14:textId="40B2AB25" w:rsidR="006E6DA1" w:rsidRPr="006E6DA1" w:rsidRDefault="00423606" w:rsidP="006E6DA1">
      <w:pPr>
        <w:pStyle w:val="BNormal"/>
      </w:pPr>
      <w:r w:rsidRPr="006E6DA1">
        <w:t>An employer may avoid liability by either proving the statement is true or raising and proving a conditional privilege to the defamatory action.</w:t>
      </w:r>
      <w:r w:rsidR="006E6DA1" w:rsidRPr="006E6DA1">
        <w:rPr>
          <w:vertAlign w:val="superscript"/>
        </w:rPr>
        <w:footnoteReference w:id="106"/>
      </w:r>
      <w:r w:rsidRPr="006E6DA1">
        <w:t xml:space="preserve"> Communications made between people who have a common interest in the allegedly defamatory statement or statements that are made or disclosed to any person who has a legitimate expectation in the subject matter are often protected by a conditional privilege.</w:t>
      </w:r>
      <w:r w:rsidR="006E6DA1" w:rsidRPr="006E6DA1">
        <w:rPr>
          <w:vertAlign w:val="superscript"/>
        </w:rPr>
        <w:footnoteReference w:id="107"/>
      </w:r>
      <w:r w:rsidRPr="006E6DA1">
        <w:t xml:space="preserve"> The conditional privilege is especially relevant in the employer-employee relationship.</w:t>
      </w:r>
      <w:r w:rsidR="006E6DA1" w:rsidRPr="006E6DA1">
        <w:rPr>
          <w:vertAlign w:val="superscript"/>
        </w:rPr>
        <w:footnoteReference w:id="108"/>
      </w:r>
      <w:r w:rsidRPr="006E6DA1">
        <w:t xml:space="preserve"> Specifically, the privilege allows employers to make communications regarding the “character, qualifications or job performance of an employee or former employee to those who have a legitimate interest in such information.”</w:t>
      </w:r>
      <w:r w:rsidR="006E6DA1" w:rsidRPr="006E6DA1">
        <w:rPr>
          <w:vertAlign w:val="superscript"/>
        </w:rPr>
        <w:footnoteReference w:id="109"/>
      </w:r>
    </w:p>
    <w:p w14:paraId="14D4381A" w14:textId="753F0765" w:rsidR="006E6DA1" w:rsidRPr="006E6DA1" w:rsidRDefault="00423606" w:rsidP="006E6DA1">
      <w:pPr>
        <w:pStyle w:val="BNormal"/>
      </w:pPr>
      <w:r w:rsidRPr="006E6DA1">
        <w:t xml:space="preserve">If a conditional privilege is established, it must be exercised in good faith, without malice and </w:t>
      </w:r>
      <w:proofErr w:type="gramStart"/>
      <w:r w:rsidRPr="006E6DA1">
        <w:t>absent</w:t>
      </w:r>
      <w:proofErr w:type="gramEnd"/>
      <w:r w:rsidRPr="006E6DA1">
        <w:t xml:space="preserve"> any knowledge of falsity or desire to cause harm</w:t>
      </w:r>
      <w:r w:rsidR="006E6DA1" w:rsidRPr="006E6DA1">
        <w:t>. I</w:t>
      </w:r>
      <w:r w:rsidRPr="006E6DA1">
        <w:t>t is the employee’s burden to prove malice on the part of an employer through actions such as excessive publication or publishing statements known to be false.”</w:t>
      </w:r>
      <w:r w:rsidR="006E6DA1" w:rsidRPr="006E6DA1">
        <w:rPr>
          <w:vertAlign w:val="superscript"/>
        </w:rPr>
        <w:footnoteReference w:id="110"/>
      </w:r>
    </w:p>
    <w:p w14:paraId="63911B40" w14:textId="53CC3EC9" w:rsidR="006E6DA1" w:rsidRPr="006E6DA1" w:rsidRDefault="00423606" w:rsidP="006E6DA1">
      <w:pPr>
        <w:pStyle w:val="BNormal"/>
        <w:rPr>
          <w:b/>
        </w:rPr>
      </w:pPr>
      <w:r w:rsidRPr="006E6DA1">
        <w:t>Under Delaware law, to establish a claim for defamation, a former employee must establish</w:t>
      </w:r>
      <w:r w:rsidR="006E6DA1" w:rsidRPr="006E6DA1">
        <w:t>: (</w:t>
      </w:r>
      <w:r w:rsidRPr="006E6DA1">
        <w:t>1) the defamatory character of the communication</w:t>
      </w:r>
      <w:r w:rsidR="006E6DA1" w:rsidRPr="006E6DA1">
        <w:t>; (</w:t>
      </w:r>
      <w:r w:rsidRPr="006E6DA1">
        <w:t>2) publication of that communication</w:t>
      </w:r>
      <w:r w:rsidR="006E6DA1" w:rsidRPr="006E6DA1">
        <w:t>; (</w:t>
      </w:r>
      <w:r w:rsidRPr="006E6DA1">
        <w:t>3) that the communication refers to the plaintiff</w:t>
      </w:r>
      <w:r w:rsidR="006E6DA1" w:rsidRPr="006E6DA1">
        <w:t>; (</w:t>
      </w:r>
      <w:r w:rsidRPr="006E6DA1">
        <w:t>4) the third party’s understanding of the communication’s defamatory character</w:t>
      </w:r>
      <w:r w:rsidR="006E6DA1" w:rsidRPr="006E6DA1">
        <w:t>; a</w:t>
      </w:r>
      <w:r w:rsidRPr="006E6DA1">
        <w:t>nd (5) injury.</w:t>
      </w:r>
      <w:r w:rsidR="006E6DA1" w:rsidRPr="006E6DA1">
        <w:rPr>
          <w:vertAlign w:val="superscript"/>
        </w:rPr>
        <w:footnoteReference w:id="111"/>
      </w:r>
    </w:p>
    <w:p w14:paraId="50CF64E1" w14:textId="7DC1ED5F" w:rsidR="006E6DA1" w:rsidRPr="006E6DA1" w:rsidRDefault="00891D84" w:rsidP="006E6DA1">
      <w:pPr>
        <w:pStyle w:val="BHead3"/>
      </w:pPr>
      <w:r>
        <w:t>VI.C.</w:t>
      </w:r>
      <w:r w:rsidR="006E6DA1" w:rsidRPr="00891D84">
        <w:rPr>
          <w:rStyle w:val="BBNAidChar"/>
          <w:rFonts w:eastAsiaTheme="majorEastAsia"/>
        </w:rPr>
        <w:t>1</w:t>
      </w:r>
      <w:r w:rsidR="006E6DA1" w:rsidRPr="006E6DA1">
        <w:t>.</w:t>
      </w:r>
      <w:r>
        <w:t> </w:t>
      </w:r>
      <w:r w:rsidR="006E6DA1" w:rsidRPr="006E6DA1">
        <w:tab/>
        <w:t>Self-Defamation/Compelled Self-Publication</w:t>
      </w:r>
    </w:p>
    <w:p w14:paraId="2D4C08B4" w14:textId="38AD658E" w:rsidR="006E6DA1" w:rsidRPr="006E6DA1" w:rsidRDefault="00423606" w:rsidP="006E6DA1">
      <w:pPr>
        <w:pStyle w:val="BNormal"/>
      </w:pPr>
      <w:r w:rsidRPr="006E6DA1">
        <w:t>Delaware courts have held that self-publication does not satisfy the publication requirement for a defamation action.</w:t>
      </w:r>
      <w:r w:rsidR="006E6DA1" w:rsidRPr="006E6DA1">
        <w:rPr>
          <w:vertAlign w:val="superscript"/>
        </w:rPr>
        <w:footnoteReference w:id="112"/>
      </w:r>
      <w:r w:rsidRPr="006E6DA1">
        <w:t xml:space="preserve"> However, one federal district court has recognized that the issue is close and allowed a case to proceed where the plaintiff pled publication despite self-publication contentions contained in the complaint.</w:t>
      </w:r>
      <w:r w:rsidR="006E6DA1" w:rsidRPr="006E6DA1">
        <w:rPr>
          <w:vertAlign w:val="superscript"/>
        </w:rPr>
        <w:footnoteReference w:id="113"/>
      </w:r>
    </w:p>
    <w:p w14:paraId="24E28655" w14:textId="13BC545E" w:rsidR="006E6DA1" w:rsidRPr="006E6DA1" w:rsidRDefault="00891D84" w:rsidP="006E6DA1">
      <w:pPr>
        <w:pStyle w:val="BHead2"/>
      </w:pPr>
      <w:r>
        <w:t>VI.</w:t>
      </w:r>
      <w:r w:rsidR="006E6DA1" w:rsidRPr="00891D84">
        <w:rPr>
          <w:rStyle w:val="BBNAidChar"/>
          <w:rFonts w:eastAsiaTheme="majorEastAsia"/>
        </w:rPr>
        <w:t>D</w:t>
      </w:r>
      <w:r w:rsidR="006E6DA1" w:rsidRPr="006E6DA1">
        <w:t>.</w:t>
      </w:r>
      <w:r>
        <w:t> </w:t>
      </w:r>
      <w:r w:rsidR="006E6DA1" w:rsidRPr="006E6DA1">
        <w:tab/>
        <w:t>Intentional Infliction of Emotional Distress</w:t>
      </w:r>
    </w:p>
    <w:p w14:paraId="1A259BCE" w14:textId="6F1DCE9A" w:rsidR="006E6DA1" w:rsidRPr="006E6DA1" w:rsidRDefault="00423606" w:rsidP="006E6DA1">
      <w:pPr>
        <w:pStyle w:val="BNormal"/>
      </w:pPr>
      <w:r w:rsidRPr="006E6DA1">
        <w:t>Delaware’s workers’ compensation statute bars actions for intentional infliction of emotional distress</w:t>
      </w:r>
      <w:r w:rsidR="006E6DA1" w:rsidRPr="006E6DA1">
        <w:t>. S</w:t>
      </w:r>
      <w:r w:rsidRPr="006E6DA1">
        <w:t>ee VI., “Related Torts,” above.</w:t>
      </w:r>
    </w:p>
    <w:p w14:paraId="628F16D2" w14:textId="3AFD618E" w:rsidR="006E6DA1" w:rsidRPr="006E6DA1" w:rsidRDefault="00891D84" w:rsidP="006E6DA1">
      <w:pPr>
        <w:pStyle w:val="BHead2"/>
      </w:pPr>
      <w:r>
        <w:t>VI.</w:t>
      </w:r>
      <w:r w:rsidR="006E6DA1" w:rsidRPr="00891D84">
        <w:rPr>
          <w:rStyle w:val="BBNAidChar"/>
          <w:rFonts w:eastAsiaTheme="majorEastAsia"/>
        </w:rPr>
        <w:t>E</w:t>
      </w:r>
      <w:r w:rsidR="006E6DA1" w:rsidRPr="006E6DA1">
        <w:t>.</w:t>
      </w:r>
      <w:r>
        <w:t> </w:t>
      </w:r>
      <w:r w:rsidR="006E6DA1" w:rsidRPr="006E6DA1">
        <w:tab/>
        <w:t>Negligence</w:t>
      </w:r>
    </w:p>
    <w:p w14:paraId="266B6BEE" w14:textId="25946266" w:rsidR="006E6DA1" w:rsidRPr="006E6DA1" w:rsidRDefault="00891D84" w:rsidP="006E6DA1">
      <w:pPr>
        <w:pStyle w:val="BHead3"/>
      </w:pPr>
      <w:r>
        <w:t>VI.E.</w:t>
      </w:r>
      <w:r w:rsidR="006E6DA1" w:rsidRPr="00891D84">
        <w:rPr>
          <w:rStyle w:val="BBNAidChar"/>
          <w:rFonts w:eastAsiaTheme="majorEastAsia"/>
        </w:rPr>
        <w:t>1</w:t>
      </w:r>
      <w:r w:rsidR="006E6DA1" w:rsidRPr="006E6DA1">
        <w:t>.</w:t>
      </w:r>
      <w:r>
        <w:t> </w:t>
      </w:r>
      <w:r w:rsidR="006E6DA1" w:rsidRPr="006E6DA1">
        <w:tab/>
        <w:t>Negligent Misrepresentation</w:t>
      </w:r>
    </w:p>
    <w:p w14:paraId="475BE281" w14:textId="658BD7DD" w:rsidR="006E6DA1" w:rsidRPr="006E6DA1" w:rsidRDefault="00423606" w:rsidP="006E6DA1">
      <w:pPr>
        <w:pStyle w:val="BNormal"/>
      </w:pPr>
      <w:r w:rsidRPr="006E6DA1">
        <w:t>To prove negligent misrepresentation, an employee must show “‘(1) a pecuniary duty to provide accurate information</w:t>
      </w:r>
      <w:r w:rsidR="006E6DA1" w:rsidRPr="006E6DA1">
        <w:t>; (</w:t>
      </w:r>
      <w:r w:rsidRPr="006E6DA1">
        <w:t>2) the supplying of false information</w:t>
      </w:r>
      <w:r w:rsidR="006E6DA1" w:rsidRPr="006E6DA1">
        <w:t>; (</w:t>
      </w:r>
      <w:r w:rsidRPr="006E6DA1">
        <w:t>3) the failure to exercise reasonable care in obtaining or communicating information</w:t>
      </w:r>
      <w:r w:rsidR="006E6DA1" w:rsidRPr="006E6DA1">
        <w:t>; a</w:t>
      </w:r>
      <w:r w:rsidRPr="006E6DA1">
        <w:t>nd (4) a pecuniary loss caused by justifiable reliance upon the false information.’”</w:t>
      </w:r>
      <w:r w:rsidR="006E6DA1" w:rsidRPr="006E6DA1">
        <w:rPr>
          <w:vertAlign w:val="superscript"/>
        </w:rPr>
        <w:footnoteReference w:id="114"/>
      </w:r>
      <w:r w:rsidRPr="006E6DA1">
        <w:t xml:space="preserve"> Accordingly, as the Delaware Superior Court has stated, “there is a substantial question … whether, in an employment at will situation, a cause of action for negligent misrepresentation can lie.”</w:t>
      </w:r>
      <w:r w:rsidR="006E6DA1" w:rsidRPr="006E6DA1">
        <w:rPr>
          <w:vertAlign w:val="superscript"/>
        </w:rPr>
        <w:footnoteReference w:id="115"/>
      </w:r>
    </w:p>
    <w:p w14:paraId="28112135" w14:textId="488FA66A" w:rsidR="006E6DA1" w:rsidRPr="006E6DA1" w:rsidRDefault="00891D84" w:rsidP="006E6DA1">
      <w:pPr>
        <w:pStyle w:val="BHead3"/>
      </w:pPr>
      <w:r>
        <w:t>VI.E.</w:t>
      </w:r>
      <w:r w:rsidR="006E6DA1" w:rsidRPr="00891D84">
        <w:rPr>
          <w:rStyle w:val="BBNAidChar"/>
          <w:rFonts w:eastAsiaTheme="majorEastAsia"/>
        </w:rPr>
        <w:t>2</w:t>
      </w:r>
      <w:r w:rsidR="006E6DA1" w:rsidRPr="006E6DA1">
        <w:t>.</w:t>
      </w:r>
      <w:r>
        <w:t> </w:t>
      </w:r>
      <w:r w:rsidR="006E6DA1" w:rsidRPr="006E6DA1">
        <w:tab/>
        <w:t>Negligent Hiring</w:t>
      </w:r>
    </w:p>
    <w:p w14:paraId="5D923EF7" w14:textId="40E5251B" w:rsidR="006E6DA1" w:rsidRPr="006E6DA1" w:rsidRDefault="00423606" w:rsidP="006E6DA1">
      <w:pPr>
        <w:pStyle w:val="BNormal"/>
      </w:pPr>
      <w:r w:rsidRPr="006E6DA1">
        <w:t xml:space="preserve">An employer is liable for negligent hiring when it employs improper persons who create unreasonable </w:t>
      </w:r>
      <w:proofErr w:type="gramStart"/>
      <w:r w:rsidRPr="006E6DA1">
        <w:t>risk</w:t>
      </w:r>
      <w:proofErr w:type="gramEnd"/>
      <w:r w:rsidRPr="006E6DA1">
        <w:t xml:space="preserve"> of harm to others</w:t>
      </w:r>
      <w:r w:rsidR="006E6DA1" w:rsidRPr="006E6DA1">
        <w:t>. T</w:t>
      </w:r>
      <w:r w:rsidRPr="006E6DA1">
        <w:t xml:space="preserve">he deciding factor for liability is whether the employer </w:t>
      </w:r>
      <w:proofErr w:type="gramStart"/>
      <w:r w:rsidRPr="006E6DA1">
        <w:t>had</w:t>
      </w:r>
      <w:proofErr w:type="gramEnd"/>
      <w:r w:rsidRPr="006E6DA1">
        <w:t xml:space="preserve"> or should have had knowledge of the necessity to exercise control over its employee.</w:t>
      </w:r>
      <w:r w:rsidR="006E6DA1" w:rsidRPr="006E6DA1">
        <w:rPr>
          <w:vertAlign w:val="superscript"/>
        </w:rPr>
        <w:footnoteReference w:id="116"/>
      </w:r>
    </w:p>
    <w:p w14:paraId="194CB42C" w14:textId="77777777" w:rsidR="006E6DA1" w:rsidRPr="006E6DA1" w:rsidRDefault="00423606" w:rsidP="006E6DA1">
      <w:pPr>
        <w:pStyle w:val="BNormal"/>
      </w:pPr>
      <w:r w:rsidRPr="006E6DA1">
        <w:t>See also 5., below.</w:t>
      </w:r>
    </w:p>
    <w:p w14:paraId="71DF1C86" w14:textId="49F015A9" w:rsidR="006E6DA1" w:rsidRPr="006E6DA1" w:rsidRDefault="00891D84" w:rsidP="006E6DA1">
      <w:pPr>
        <w:pStyle w:val="BHead3"/>
      </w:pPr>
      <w:r>
        <w:t>VI.E.</w:t>
      </w:r>
      <w:r w:rsidR="006E6DA1" w:rsidRPr="00891D84">
        <w:rPr>
          <w:rStyle w:val="BBNAidChar"/>
          <w:rFonts w:eastAsiaTheme="majorEastAsia"/>
        </w:rPr>
        <w:t>3</w:t>
      </w:r>
      <w:r w:rsidR="006E6DA1" w:rsidRPr="006E6DA1">
        <w:t>.</w:t>
      </w:r>
      <w:r>
        <w:t> </w:t>
      </w:r>
      <w:r w:rsidR="006E6DA1" w:rsidRPr="006E6DA1">
        <w:tab/>
        <w:t>Negligent Training</w:t>
      </w:r>
    </w:p>
    <w:p w14:paraId="15818E70" w14:textId="31CD6543" w:rsidR="006E6DA1" w:rsidRPr="006E6DA1" w:rsidRDefault="00423606" w:rsidP="006E6DA1">
      <w:pPr>
        <w:pStyle w:val="BNormal"/>
      </w:pPr>
      <w:r w:rsidRPr="006E6DA1">
        <w:t xml:space="preserve">In at least one case for negligent training, a Delaware Superior Court granted a motion to amend to allow </w:t>
      </w:r>
      <w:proofErr w:type="gramStart"/>
      <w:r w:rsidRPr="006E6DA1">
        <w:t>a negligent</w:t>
      </w:r>
      <w:proofErr w:type="gramEnd"/>
      <w:r w:rsidRPr="006E6DA1">
        <w:t xml:space="preserve"> training cause of action to be added, but the court did not identify elements of the tort.</w:t>
      </w:r>
      <w:r w:rsidR="006E6DA1" w:rsidRPr="006E6DA1">
        <w:rPr>
          <w:vertAlign w:val="superscript"/>
        </w:rPr>
        <w:footnoteReference w:id="117"/>
      </w:r>
    </w:p>
    <w:p w14:paraId="1F2ED8F9" w14:textId="1A7BD67A" w:rsidR="006E6DA1" w:rsidRPr="006E6DA1" w:rsidRDefault="00891D84" w:rsidP="006E6DA1">
      <w:pPr>
        <w:pStyle w:val="BHead3"/>
      </w:pPr>
      <w:r>
        <w:t>VI.E.</w:t>
      </w:r>
      <w:r w:rsidR="006E6DA1" w:rsidRPr="00891D84">
        <w:rPr>
          <w:rStyle w:val="BBNAidChar"/>
          <w:rFonts w:eastAsiaTheme="majorEastAsia"/>
        </w:rPr>
        <w:t>4</w:t>
      </w:r>
      <w:r w:rsidR="006E6DA1" w:rsidRPr="006E6DA1">
        <w:t>.</w:t>
      </w:r>
      <w:r>
        <w:t> </w:t>
      </w:r>
      <w:r w:rsidR="006E6DA1" w:rsidRPr="006E6DA1">
        <w:tab/>
        <w:t>Negligent Retention</w:t>
      </w:r>
    </w:p>
    <w:p w14:paraId="45164FC9" w14:textId="2FB276C2" w:rsidR="006E6DA1" w:rsidRPr="006E6DA1" w:rsidRDefault="00423606" w:rsidP="006E6DA1">
      <w:pPr>
        <w:pStyle w:val="BNormal"/>
      </w:pPr>
      <w:r w:rsidRPr="006E6DA1">
        <w:t>An employer may be liable for negligent retention when the employer is negligent in failing to exercise due care to protect third parties from the foreseeable tortious acts of an employee.</w:t>
      </w:r>
      <w:r w:rsidR="006E6DA1" w:rsidRPr="006E6DA1">
        <w:rPr>
          <w:vertAlign w:val="superscript"/>
        </w:rPr>
        <w:footnoteReference w:id="118"/>
      </w:r>
      <w:r w:rsidRPr="006E6DA1">
        <w:t xml:space="preserve"> In Delaware, the action of negligent retention is treated similarly to negligent supervision</w:t>
      </w:r>
      <w:r w:rsidR="006E6DA1" w:rsidRPr="006E6DA1">
        <w:t>. T</w:t>
      </w:r>
      <w:r w:rsidRPr="006E6DA1">
        <w:t>he employer is negligent when it employs improper persons, which creates an unreasonable risk of harm.</w:t>
      </w:r>
      <w:r w:rsidR="006E6DA1" w:rsidRPr="006E6DA1">
        <w:rPr>
          <w:vertAlign w:val="superscript"/>
        </w:rPr>
        <w:footnoteReference w:id="119"/>
      </w:r>
      <w:r w:rsidRPr="006E6DA1">
        <w:t xml:space="preserve"> This requires that the employer be on notice</w:t>
      </w:r>
      <w:r w:rsidR="006E6DA1" w:rsidRPr="006E6DA1">
        <w:t>; i</w:t>
      </w:r>
      <w:r w:rsidRPr="006E6DA1">
        <w:t>n fact, the deciding factor is whether the employer had or should have had knowledge of the necessity to exercise control over its employee.</w:t>
      </w:r>
      <w:r w:rsidR="006E6DA1" w:rsidRPr="006E6DA1">
        <w:rPr>
          <w:vertAlign w:val="superscript"/>
        </w:rPr>
        <w:footnoteReference w:id="120"/>
      </w:r>
      <w:r w:rsidRPr="006E6DA1">
        <w:t xml:space="preserve"> Generally, the plaintiff must show that his or her injuries were caused by that attribute of the incompetent employee that the employer should have known would cause harm to a third party.</w:t>
      </w:r>
      <w:r w:rsidR="006E6DA1" w:rsidRPr="006E6DA1">
        <w:rPr>
          <w:vertAlign w:val="superscript"/>
        </w:rPr>
        <w:footnoteReference w:id="121"/>
      </w:r>
    </w:p>
    <w:p w14:paraId="003A1414" w14:textId="1BDFD73F" w:rsidR="006E6DA1" w:rsidRPr="006E6DA1" w:rsidRDefault="00891D84" w:rsidP="006E6DA1">
      <w:pPr>
        <w:pStyle w:val="BHead3"/>
      </w:pPr>
      <w:r>
        <w:t>VI.E.</w:t>
      </w:r>
      <w:r w:rsidR="006E6DA1" w:rsidRPr="00891D84">
        <w:rPr>
          <w:rStyle w:val="BBNAidChar"/>
          <w:rFonts w:eastAsiaTheme="majorEastAsia"/>
        </w:rPr>
        <w:t>5</w:t>
      </w:r>
      <w:r w:rsidR="006E6DA1" w:rsidRPr="006E6DA1">
        <w:t>.</w:t>
      </w:r>
      <w:r>
        <w:t> </w:t>
      </w:r>
      <w:r w:rsidR="006E6DA1" w:rsidRPr="006E6DA1">
        <w:tab/>
        <w:t>Negligent Supervision</w:t>
      </w:r>
    </w:p>
    <w:p w14:paraId="00746D2C" w14:textId="6C82CBE3" w:rsidR="006E6DA1" w:rsidRPr="006E6DA1" w:rsidRDefault="00423606" w:rsidP="006E6DA1">
      <w:pPr>
        <w:pStyle w:val="BNormal"/>
      </w:pPr>
      <w:r w:rsidRPr="006E6DA1">
        <w:t>Negligent supervision and negligent hiring are similar claims</w:t>
      </w:r>
      <w:r w:rsidR="006E6DA1" w:rsidRPr="006E6DA1">
        <w:t>. N</w:t>
      </w:r>
      <w:r w:rsidRPr="006E6DA1">
        <w:t>egligent supervision is based upon the employer’s failure to exercise due care to protect third parties from an employee’s foreseeable tortious act</w:t>
      </w:r>
      <w:r w:rsidR="006E6DA1" w:rsidRPr="006E6DA1">
        <w:t>. A</w:t>
      </w:r>
      <w:r w:rsidRPr="006E6DA1">
        <w:t>n employer is liable for negligent supervision when it, for example, gives improper or ambiguous orders or fails to make proper regulations</w:t>
      </w:r>
      <w:r w:rsidR="006E6DA1" w:rsidRPr="006E6DA1">
        <w:t>. S</w:t>
      </w:r>
      <w:r w:rsidRPr="006E6DA1">
        <w:t>imilarly, an employer is liable for negligent hiring when it employs improper persons who create unreasonable risk of harm to others</w:t>
      </w:r>
      <w:r w:rsidR="006E6DA1" w:rsidRPr="006E6DA1">
        <w:t>. T</w:t>
      </w:r>
      <w:r w:rsidRPr="006E6DA1">
        <w:t>he deciding factor for liability is whether the employer had or should have had knowledge of the necessity to exercise control over its employee.</w:t>
      </w:r>
    </w:p>
    <w:p w14:paraId="6F118C77" w14:textId="073D5605" w:rsidR="006E6DA1" w:rsidRPr="006E6DA1" w:rsidRDefault="00423606" w:rsidP="006E6DA1">
      <w:pPr>
        <w:pStyle w:val="BNormal"/>
      </w:pPr>
      <w:r w:rsidRPr="006E6DA1">
        <w:t>The existence of a duty under either theory depends on whether the risk of harm from the dangerous employee was reasonably foreseeable by the employer.</w:t>
      </w:r>
      <w:r w:rsidR="006E6DA1" w:rsidRPr="006E6DA1">
        <w:rPr>
          <w:vertAlign w:val="superscript"/>
        </w:rPr>
        <w:footnoteReference w:id="122"/>
      </w:r>
      <w:r w:rsidRPr="006E6DA1">
        <w:t xml:space="preserve"> The employer’s duty does not change whether an employee was hired at will or pursuant to an enforceable employment contract</w:t>
      </w:r>
      <w:r w:rsidR="006E6DA1" w:rsidRPr="006E6DA1">
        <w:t>. I</w:t>
      </w:r>
      <w:r w:rsidRPr="006E6DA1">
        <w:t>t is therefore unlikely an employee’s at-will status would change an employer’s potential liability for either negligent supervision or negligent hiring.</w:t>
      </w:r>
    </w:p>
    <w:p w14:paraId="4D8AA8F3" w14:textId="755145F4" w:rsidR="006E6DA1" w:rsidRPr="006E6DA1" w:rsidRDefault="00891D84" w:rsidP="006E6DA1">
      <w:pPr>
        <w:pStyle w:val="BHead3"/>
      </w:pPr>
      <w:r>
        <w:t>VI.E.</w:t>
      </w:r>
      <w:r w:rsidR="006E6DA1" w:rsidRPr="00891D84">
        <w:rPr>
          <w:rStyle w:val="BBNAidChar"/>
          <w:rFonts w:eastAsiaTheme="majorEastAsia"/>
        </w:rPr>
        <w:t>6</w:t>
      </w:r>
      <w:r w:rsidR="006E6DA1" w:rsidRPr="006E6DA1">
        <w:t>.</w:t>
      </w:r>
      <w:r>
        <w:t> </w:t>
      </w:r>
      <w:r w:rsidR="006E6DA1" w:rsidRPr="006E6DA1">
        <w:tab/>
        <w:t>Negligent Infliction of Emotional Distress</w:t>
      </w:r>
    </w:p>
    <w:p w14:paraId="3E4510A0" w14:textId="2B18E340" w:rsidR="006E6DA1" w:rsidRPr="006E6DA1" w:rsidRDefault="00423606" w:rsidP="006E6DA1">
      <w:pPr>
        <w:pStyle w:val="BNormal"/>
      </w:pPr>
      <w:r w:rsidRPr="006E6DA1">
        <w:t xml:space="preserve">Delaware has recognized the tort of negligent infliction of emotional distress and historically referred to the tort as “outrage.” Delaware first examined the tort in </w:t>
      </w:r>
      <w:r w:rsidR="006E6DA1" w:rsidRPr="006E6DA1">
        <w:rPr>
          <w:rStyle w:val="BCasenamefull"/>
        </w:rPr>
        <w:t>Robb v. Pennsylvania Railroad</w:t>
      </w:r>
      <w:r w:rsidR="006E6DA1" w:rsidRPr="006E6DA1">
        <w:rPr>
          <w:vertAlign w:val="superscript"/>
        </w:rPr>
        <w:footnoteReference w:id="123"/>
      </w:r>
      <w:r w:rsidRPr="006E6DA1">
        <w:t xml:space="preserve"> in which the court stated that “where negligence proximately caused fright, in one within the immediate area of physical danger from that negligence, which in turn produced physical consequences such as would be element of damage if a bodily injury had been suffered, the injured party is entitled to recover under an application of the prevailing principles of law as to negligence and proximate causation.”</w:t>
      </w:r>
      <w:r w:rsidR="006E6DA1" w:rsidRPr="006E6DA1">
        <w:rPr>
          <w:vertAlign w:val="superscript"/>
        </w:rPr>
        <w:footnoteReference w:id="124"/>
      </w:r>
      <w:r w:rsidRPr="006E6DA1">
        <w:t xml:space="preserve"> It is necessary that the plaintiff suffer physical injury and be in the “zone of danger” of the negligent act</w:t>
      </w:r>
      <w:r w:rsidR="006E6DA1" w:rsidRPr="006E6DA1">
        <w:t>. T</w:t>
      </w:r>
      <w:r w:rsidRPr="006E6DA1">
        <w:t xml:space="preserve">he court will not provide relief for </w:t>
      </w:r>
      <w:proofErr w:type="gramStart"/>
      <w:r w:rsidRPr="006E6DA1">
        <w:t>fright</w:t>
      </w:r>
      <w:proofErr w:type="gramEnd"/>
      <w:r w:rsidRPr="006E6DA1">
        <w:t xml:space="preserve"> alone.</w:t>
      </w:r>
    </w:p>
    <w:p w14:paraId="404CE823" w14:textId="62C6692B" w:rsidR="006E6DA1" w:rsidRPr="006E6DA1" w:rsidRDefault="00423606" w:rsidP="006E6DA1">
      <w:pPr>
        <w:pStyle w:val="BNormal"/>
      </w:pPr>
      <w:r w:rsidRPr="006E6DA1">
        <w:t>Delaware courts continue to recognize the tort of negligent infliction of emotional distress</w:t>
      </w:r>
      <w:r w:rsidR="006E6DA1" w:rsidRPr="006E6DA1">
        <w:t>. I</w:t>
      </w:r>
      <w:r w:rsidRPr="006E6DA1">
        <w:t>n order to recover on a claim for negligent infliction of emotional distress, a plaintiff must show</w:t>
      </w:r>
      <w:r w:rsidR="006E6DA1" w:rsidRPr="006E6DA1">
        <w:t>: (</w:t>
      </w:r>
      <w:r w:rsidRPr="006E6DA1">
        <w:t>1) that the defendant negligently caused fright to him or her</w:t>
      </w:r>
      <w:r w:rsidR="006E6DA1" w:rsidRPr="006E6DA1">
        <w:t>; (</w:t>
      </w:r>
      <w:r w:rsidRPr="006E6DA1">
        <w:t>2) that he or she was in the “zone of danger” at the time of the negligent act</w:t>
      </w:r>
      <w:r w:rsidR="006E6DA1" w:rsidRPr="006E6DA1">
        <w:t>; a</w:t>
      </w:r>
      <w:r w:rsidRPr="006E6DA1">
        <w:t>nd (3) that the negligently inflicted fright or shock caused physical consequences.</w:t>
      </w:r>
      <w:r w:rsidR="006E6DA1" w:rsidRPr="006E6DA1">
        <w:rPr>
          <w:vertAlign w:val="superscript"/>
        </w:rPr>
        <w:footnoteReference w:id="125"/>
      </w:r>
    </w:p>
    <w:p w14:paraId="1232C8F7" w14:textId="49F59913" w:rsidR="006E6DA1" w:rsidRPr="006E6DA1" w:rsidRDefault="00891D84" w:rsidP="006E6DA1">
      <w:pPr>
        <w:pStyle w:val="BHead2"/>
      </w:pPr>
      <w:r>
        <w:t>VI.</w:t>
      </w:r>
      <w:r w:rsidR="006E6DA1" w:rsidRPr="00891D84">
        <w:rPr>
          <w:rStyle w:val="BBNAidChar"/>
          <w:rFonts w:eastAsiaTheme="majorEastAsia"/>
        </w:rPr>
        <w:t>F</w:t>
      </w:r>
      <w:r w:rsidR="006E6DA1" w:rsidRPr="006E6DA1">
        <w:t>.</w:t>
      </w:r>
      <w:r>
        <w:t> </w:t>
      </w:r>
      <w:r w:rsidR="006E6DA1" w:rsidRPr="006E6DA1">
        <w:tab/>
        <w:t>Miscellaneous</w:t>
      </w:r>
    </w:p>
    <w:p w14:paraId="415472FD" w14:textId="6DFE5C6B" w:rsidR="006E6DA1" w:rsidRPr="006E6DA1" w:rsidRDefault="00891D84" w:rsidP="006E6DA1">
      <w:pPr>
        <w:pStyle w:val="BHead3"/>
      </w:pPr>
      <w:r>
        <w:t>VI.F.</w:t>
      </w:r>
      <w:r w:rsidR="006E6DA1" w:rsidRPr="00891D84">
        <w:rPr>
          <w:rStyle w:val="BBNAidChar"/>
          <w:rFonts w:eastAsiaTheme="majorEastAsia"/>
        </w:rPr>
        <w:t>1</w:t>
      </w:r>
      <w:r w:rsidR="006E6DA1" w:rsidRPr="006E6DA1">
        <w:t>.</w:t>
      </w:r>
      <w:r>
        <w:t> </w:t>
      </w:r>
      <w:r w:rsidR="006E6DA1" w:rsidRPr="006E6DA1">
        <w:tab/>
        <w:t>False Imprisonment</w:t>
      </w:r>
    </w:p>
    <w:p w14:paraId="092038E0" w14:textId="5A9D0656" w:rsidR="006E6DA1" w:rsidRPr="006E6DA1" w:rsidRDefault="00423606" w:rsidP="006E6DA1">
      <w:pPr>
        <w:pStyle w:val="BNormal"/>
      </w:pPr>
      <w:r w:rsidRPr="006E6DA1">
        <w:t>Delaware courts have recognized the tort of false imprisonment in the context of employment law</w:t>
      </w:r>
      <w:r w:rsidR="006E6DA1" w:rsidRPr="006E6DA1">
        <w:t>. F</w:t>
      </w:r>
      <w:r w:rsidRPr="006E6DA1">
        <w:t xml:space="preserve">or example, in </w:t>
      </w:r>
      <w:r w:rsidR="006E6DA1" w:rsidRPr="006E6DA1">
        <w:rPr>
          <w:rStyle w:val="BCasenamefull"/>
        </w:rPr>
        <w:t>O’Neill v. White</w:t>
      </w:r>
      <w:r w:rsidRPr="006E6DA1">
        <w:t>,</w:t>
      </w:r>
      <w:r w:rsidR="006E6DA1" w:rsidRPr="006E6DA1">
        <w:rPr>
          <w:vertAlign w:val="superscript"/>
        </w:rPr>
        <w:footnoteReference w:id="126"/>
      </w:r>
      <w:r w:rsidRPr="006E6DA1">
        <w:t xml:space="preserve"> an employee brought a claim for false imprisonment against her employer (a department store) and two store security officers arising out of an incident in which she was detained at the employee exit and asked to accompany the officers to the security office</w:t>
      </w:r>
      <w:r w:rsidR="006E6DA1" w:rsidRPr="006E6DA1">
        <w:t>. T</w:t>
      </w:r>
      <w:r w:rsidRPr="006E6DA1">
        <w:t>he officers had observed the employee acting in a “suspicious” manner by taking two items from the clothing department to her counter and placing them in a bag before the items could be rung up by a fellow employee in violation of the employee handbook.</w:t>
      </w:r>
    </w:p>
    <w:p w14:paraId="6A5B0343" w14:textId="2648AB6A" w:rsidR="006E6DA1" w:rsidRPr="006E6DA1" w:rsidRDefault="00423606" w:rsidP="006E6DA1">
      <w:pPr>
        <w:pStyle w:val="BNormal"/>
      </w:pPr>
      <w:r w:rsidRPr="006E6DA1">
        <w:t xml:space="preserve">Before the employee </w:t>
      </w:r>
      <w:proofErr w:type="gramStart"/>
      <w:r w:rsidRPr="006E6DA1">
        <w:t>exited</w:t>
      </w:r>
      <w:proofErr w:type="gramEnd"/>
      <w:r w:rsidRPr="006E6DA1">
        <w:t xml:space="preserve"> the store, she was detained and questioned by the officers</w:t>
      </w:r>
      <w:r w:rsidR="006E6DA1" w:rsidRPr="006E6DA1">
        <w:t>. T</w:t>
      </w:r>
      <w:r w:rsidRPr="006E6DA1">
        <w:t>he parties differed as to how long the detention and interrogation lasted</w:t>
      </w:r>
      <w:r w:rsidR="006E6DA1" w:rsidRPr="006E6DA1">
        <w:t>. W</w:t>
      </w:r>
      <w:r w:rsidRPr="006E6DA1">
        <w:t>hile the employee alleged that it had lasted one hour, the officers maintained it had lasted about 10 minutes</w:t>
      </w:r>
      <w:r w:rsidR="006E6DA1" w:rsidRPr="006E6DA1">
        <w:t>. T</w:t>
      </w:r>
      <w:r w:rsidRPr="006E6DA1">
        <w:t>he employee claimed that the officers did not have probable cause to justify her initial detention under the Delaware shoplifting statute,</w:t>
      </w:r>
      <w:r w:rsidR="006E6DA1" w:rsidRPr="006E6DA1">
        <w:rPr>
          <w:vertAlign w:val="superscript"/>
        </w:rPr>
        <w:footnoteReference w:id="127"/>
      </w:r>
      <w:r w:rsidRPr="006E6DA1">
        <w:t xml:space="preserve"> and, even if they did, the officers did not have further cause to examine the bags after discovering that she had paid for the items</w:t>
      </w:r>
      <w:r w:rsidR="006E6DA1" w:rsidRPr="006E6DA1">
        <w:t>. T</w:t>
      </w:r>
      <w:r w:rsidRPr="006E6DA1">
        <w:t>he Superior Court held that the officers’ initial investigation was proper because they had probable cause, based on the employee’s suspicious behavior, to detain her</w:t>
      </w:r>
      <w:r w:rsidR="006E6DA1" w:rsidRPr="006E6DA1">
        <w:t>. T</w:t>
      </w:r>
      <w:r w:rsidRPr="006E6DA1">
        <w:t>he court further held that the detention was for the limited purpose of determining whether law enforcement personnel should be contacted</w:t>
      </w:r>
      <w:r w:rsidR="006E6DA1" w:rsidRPr="006E6DA1">
        <w:t>. T</w:t>
      </w:r>
      <w:r w:rsidRPr="006E6DA1">
        <w:t>he court also held, however, that whether the employee had been detained for a reasonable time under the statute was a determination reserved for the trier of fact since the testimony as to the length of the detention was inconclusive</w:t>
      </w:r>
      <w:r w:rsidR="006E6DA1" w:rsidRPr="006E6DA1">
        <w:t>. T</w:t>
      </w:r>
      <w:r w:rsidRPr="006E6DA1">
        <w:t>herefore, the court held that summary judgment on the employee’s false imprisonment claim was not appropriate.</w:t>
      </w:r>
    </w:p>
    <w:p w14:paraId="4C94AF95" w14:textId="5508F545" w:rsidR="006E6DA1" w:rsidRPr="006E6DA1" w:rsidRDefault="00423606" w:rsidP="006E6DA1">
      <w:pPr>
        <w:pStyle w:val="BNormal"/>
      </w:pPr>
      <w:r w:rsidRPr="006E6DA1">
        <w:t xml:space="preserve">The Delaware Superior Court reached a similar conclusion a few years later in </w:t>
      </w:r>
      <w:r w:rsidR="006E6DA1" w:rsidRPr="006E6DA1">
        <w:rPr>
          <w:rStyle w:val="BCasenamefull"/>
        </w:rPr>
        <w:t>Lynch v. Mellon Bank of Delaware</w:t>
      </w:r>
      <w:r w:rsidRPr="006E6DA1">
        <w:t>.</w:t>
      </w:r>
      <w:r w:rsidR="006E6DA1" w:rsidRPr="006E6DA1">
        <w:rPr>
          <w:vertAlign w:val="superscript"/>
        </w:rPr>
        <w:footnoteReference w:id="128"/>
      </w:r>
      <w:r w:rsidRPr="006E6DA1">
        <w:t xml:space="preserve"> In that case, a bank suspected that one of its employees, a teller, had been committing theft and administered an “integrity test,” which challenged the employee to report a discrepancy in accordance with bank policy</w:t>
      </w:r>
      <w:r w:rsidR="006E6DA1" w:rsidRPr="006E6DA1">
        <w:t>. W</w:t>
      </w:r>
      <w:r w:rsidRPr="006E6DA1">
        <w:t>hen the employee failed to make the required report, the employee was instructed to stay after work</w:t>
      </w:r>
      <w:r w:rsidR="006E6DA1" w:rsidRPr="006E6DA1">
        <w:t>. W</w:t>
      </w:r>
      <w:r w:rsidRPr="006E6DA1">
        <w:t>hen bank officials arrived to confront the employee about the discrepancy, the employee denied taking the money and asked if she could leave to go to an appointment</w:t>
      </w:r>
      <w:r w:rsidR="006E6DA1" w:rsidRPr="006E6DA1">
        <w:t>. A</w:t>
      </w:r>
      <w:r w:rsidRPr="006E6DA1">
        <w:t xml:space="preserve"> search of her possessions and work area did not reveal the missing amount and the employee refused to admit to taking the money</w:t>
      </w:r>
      <w:r w:rsidR="006E6DA1" w:rsidRPr="006E6DA1">
        <w:t>. T</w:t>
      </w:r>
      <w:r w:rsidRPr="006E6DA1">
        <w:t>he bank officials ultimately called the police and the employee was terminated.</w:t>
      </w:r>
      <w:r w:rsidR="006E6DA1" w:rsidRPr="006E6DA1">
        <w:rPr>
          <w:vertAlign w:val="superscript"/>
        </w:rPr>
        <w:footnoteReference w:id="129"/>
      </w:r>
    </w:p>
    <w:p w14:paraId="285267DA" w14:textId="618EE797" w:rsidR="006E6DA1" w:rsidRPr="006E6DA1" w:rsidRDefault="00423606" w:rsidP="006E6DA1">
      <w:pPr>
        <w:pStyle w:val="BNormal"/>
      </w:pPr>
      <w:r w:rsidRPr="006E6DA1">
        <w:t>The employee subsequently brought an action for false imprisonment, which the Superior Court held was not barred by the state workers’ compensation law</w:t>
      </w:r>
      <w:r w:rsidR="006E6DA1" w:rsidRPr="006E6DA1">
        <w:t>. T</w:t>
      </w:r>
      <w:r w:rsidRPr="006E6DA1">
        <w:t>he court held that, assuming that the bank had a right to detain the employee, summary judgment on her false imprisonment claim in the bank’s favor was inappropriate</w:t>
      </w:r>
      <w:r w:rsidR="006E6DA1" w:rsidRPr="006E6DA1">
        <w:t>. T</w:t>
      </w:r>
      <w:r w:rsidRPr="006E6DA1">
        <w:t>he employee testified that she had been detained until approximately 7:00 p.m</w:t>
      </w:r>
      <w:r w:rsidR="006E6DA1" w:rsidRPr="006E6DA1">
        <w:t>. t</w:t>
      </w:r>
      <w:r w:rsidRPr="006E6DA1">
        <w:t>hat evening, while a bank auditor testified that the investigation concluded at about 5:45 p.m</w:t>
      </w:r>
      <w:r w:rsidR="006E6DA1" w:rsidRPr="006E6DA1">
        <w:t>. T</w:t>
      </w:r>
      <w:r w:rsidRPr="006E6DA1">
        <w:t xml:space="preserve">he length and reasonableness of </w:t>
      </w:r>
      <w:proofErr w:type="gramStart"/>
      <w:r w:rsidRPr="006E6DA1">
        <w:t>the detention</w:t>
      </w:r>
      <w:proofErr w:type="gramEnd"/>
      <w:r w:rsidRPr="006E6DA1">
        <w:t xml:space="preserve"> were held to be factual issues that could not be determined as a matter of law.</w:t>
      </w:r>
      <w:r w:rsidR="006E6DA1" w:rsidRPr="006E6DA1">
        <w:rPr>
          <w:vertAlign w:val="superscript"/>
        </w:rPr>
        <w:footnoteReference w:id="130"/>
      </w:r>
    </w:p>
    <w:p w14:paraId="3A5A8D33" w14:textId="522C7200" w:rsidR="006E6DA1" w:rsidRPr="006E6DA1" w:rsidRDefault="006E6DA1" w:rsidP="006E6DA1">
      <w:pPr>
        <w:pStyle w:val="BHead1"/>
      </w:pPr>
      <w:r w:rsidRPr="00891D84">
        <w:rPr>
          <w:rStyle w:val="BBNAidChar"/>
          <w:rFonts w:eastAsiaTheme="majorEastAsia"/>
        </w:rPr>
        <w:t>VII</w:t>
      </w:r>
      <w:r w:rsidRPr="006E6DA1">
        <w:t>.</w:t>
      </w:r>
      <w:r w:rsidR="00891D84">
        <w:t> </w:t>
      </w:r>
      <w:r w:rsidRPr="006E6DA1">
        <w:t xml:space="preserve"> Statutes</w:t>
      </w:r>
    </w:p>
    <w:p w14:paraId="4A7EB9EE" w14:textId="53B644B6" w:rsidR="006E6DA1" w:rsidRPr="006E6DA1" w:rsidRDefault="00423606" w:rsidP="006E6DA1">
      <w:pPr>
        <w:pStyle w:val="BNormal"/>
      </w:pPr>
      <w:r w:rsidRPr="006E6DA1">
        <w:t>Although Delaware courts have not recognized a common law claim for “wrongful discharge,”</w:t>
      </w:r>
      <w:r w:rsidR="006E6DA1" w:rsidRPr="006E6DA1">
        <w:rPr>
          <w:vertAlign w:val="superscript"/>
        </w:rPr>
        <w:footnoteReference w:id="131"/>
      </w:r>
      <w:r w:rsidRPr="006E6DA1">
        <w:t xml:space="preserve"> unlawful employment practices are generally set forth in the Delaware Discrimination in Employment Act, which prevents discharge based upon an employee’s protected characteristic or because the employee engaged in a protected activity.</w:t>
      </w:r>
      <w:r w:rsidR="006E6DA1" w:rsidRPr="006E6DA1">
        <w:rPr>
          <w:vertAlign w:val="superscript"/>
        </w:rPr>
        <w:footnoteReference w:id="132"/>
      </w:r>
      <w:r w:rsidRPr="006E6DA1">
        <w:t xml:space="preserve"> Delaware law also prohibits discharging or otherwise discriminating against an at-will employee under the following circumstances:</w:t>
      </w:r>
    </w:p>
    <w:p w14:paraId="4538F00E" w14:textId="52BFA727" w:rsidR="006E6DA1" w:rsidRPr="006E6DA1" w:rsidRDefault="00423606" w:rsidP="006E6DA1">
      <w:pPr>
        <w:pStyle w:val="BListitembul"/>
      </w:pPr>
      <w:r w:rsidRPr="006E6DA1">
        <w:t>The employee’s race, marital status, genetic information, color, age, religion, sex (including pregnancy), sexual orientation, gender identity, or national origin is an issue;</w:t>
      </w:r>
      <w:r w:rsidR="006E6DA1" w:rsidRPr="006E6DA1">
        <w:rPr>
          <w:vertAlign w:val="superscript"/>
        </w:rPr>
        <w:footnoteReference w:id="133"/>
      </w:r>
    </w:p>
    <w:p w14:paraId="19FBB4F2" w14:textId="4905B082" w:rsidR="006E6DA1" w:rsidRPr="006E6DA1" w:rsidRDefault="00423606" w:rsidP="006E6DA1">
      <w:pPr>
        <w:pStyle w:val="BListitembul"/>
      </w:pPr>
      <w:r w:rsidRPr="006E6DA1">
        <w:t>The employee’s status as a victim of domestic violence;</w:t>
      </w:r>
      <w:r w:rsidR="006E6DA1" w:rsidRPr="006E6DA1">
        <w:rPr>
          <w:vertAlign w:val="superscript"/>
        </w:rPr>
        <w:footnoteReference w:id="134"/>
      </w:r>
    </w:p>
    <w:p w14:paraId="48B78A1E" w14:textId="1AAE1088" w:rsidR="006E6DA1" w:rsidRPr="006E6DA1" w:rsidRDefault="00423606" w:rsidP="006E6DA1">
      <w:pPr>
        <w:pStyle w:val="BListitembul"/>
      </w:pPr>
      <w:r w:rsidRPr="006E6DA1">
        <w:t>The employee’s inquiring about wages or disclosing his or her wages or the wages of another employee;</w:t>
      </w:r>
      <w:r w:rsidR="006E6DA1" w:rsidRPr="006E6DA1">
        <w:rPr>
          <w:vertAlign w:val="superscript"/>
        </w:rPr>
        <w:footnoteReference w:id="135"/>
      </w:r>
    </w:p>
    <w:p w14:paraId="1443E229" w14:textId="45DEAA2B" w:rsidR="006E6DA1" w:rsidRPr="006E6DA1" w:rsidRDefault="00423606" w:rsidP="006E6DA1">
      <w:pPr>
        <w:pStyle w:val="BListitembul"/>
      </w:pPr>
      <w:r w:rsidRPr="006E6DA1">
        <w:t>The employee’s reproductive health decisions;</w:t>
      </w:r>
      <w:r w:rsidR="006E6DA1" w:rsidRPr="006E6DA1">
        <w:rPr>
          <w:vertAlign w:val="superscript"/>
        </w:rPr>
        <w:footnoteReference w:id="136"/>
      </w:r>
    </w:p>
    <w:p w14:paraId="637D28EC" w14:textId="61FA4C29" w:rsidR="006E6DA1" w:rsidRPr="006E6DA1" w:rsidRDefault="00423606" w:rsidP="006E6DA1">
      <w:pPr>
        <w:pStyle w:val="BListitembul"/>
      </w:pPr>
      <w:r w:rsidRPr="006E6DA1">
        <w:t>The employee’s familial responsibilities;</w:t>
      </w:r>
      <w:r w:rsidR="006E6DA1" w:rsidRPr="006E6DA1">
        <w:rPr>
          <w:vertAlign w:val="superscript"/>
        </w:rPr>
        <w:footnoteReference w:id="137"/>
      </w:r>
    </w:p>
    <w:p w14:paraId="01692763" w14:textId="310591B5" w:rsidR="006E6DA1" w:rsidRPr="006E6DA1" w:rsidRDefault="00423606" w:rsidP="006E6DA1">
      <w:pPr>
        <w:pStyle w:val="BListitembul"/>
      </w:pPr>
      <w:r w:rsidRPr="006E6DA1">
        <w:t>The employee is a volunteer emergency responder;</w:t>
      </w:r>
      <w:r w:rsidR="006E6DA1" w:rsidRPr="006E6DA1">
        <w:rPr>
          <w:vertAlign w:val="superscript"/>
        </w:rPr>
        <w:footnoteReference w:id="138"/>
      </w:r>
    </w:p>
    <w:p w14:paraId="5FA9F1EA" w14:textId="2F3070B9" w:rsidR="006E6DA1" w:rsidRPr="006E6DA1" w:rsidRDefault="00423606" w:rsidP="006E6DA1">
      <w:pPr>
        <w:pStyle w:val="BListitembul"/>
      </w:pPr>
      <w:r w:rsidRPr="006E6DA1">
        <w:t>The employee is a qualified disabled person;</w:t>
      </w:r>
      <w:r w:rsidR="006E6DA1" w:rsidRPr="006E6DA1">
        <w:rPr>
          <w:vertAlign w:val="superscript"/>
        </w:rPr>
        <w:footnoteReference w:id="139"/>
      </w:r>
    </w:p>
    <w:p w14:paraId="7C13E156" w14:textId="59766D28" w:rsidR="006E6DA1" w:rsidRPr="006E6DA1" w:rsidRDefault="00423606" w:rsidP="006E6DA1">
      <w:pPr>
        <w:pStyle w:val="BListitembul"/>
      </w:pPr>
      <w:r w:rsidRPr="006E6DA1">
        <w:t>The employee has engaged in a protected activity, including whistle-blowing activities,</w:t>
      </w:r>
      <w:r w:rsidR="006E6DA1" w:rsidRPr="006E6DA1">
        <w:rPr>
          <w:vertAlign w:val="superscript"/>
        </w:rPr>
        <w:footnoteReference w:id="140"/>
      </w:r>
      <w:r w:rsidRPr="006E6DA1">
        <w:t xml:space="preserve"> opposing any practice prohibited by Delaware’s Handicapped Person’s Employment Act,</w:t>
      </w:r>
      <w:r w:rsidR="006E6DA1" w:rsidRPr="006E6DA1">
        <w:rPr>
          <w:vertAlign w:val="superscript"/>
        </w:rPr>
        <w:footnoteReference w:id="141"/>
      </w:r>
      <w:r w:rsidRPr="006E6DA1">
        <w:t xml:space="preserve"> or making a complaint pursuant to or participating in any proceeding under Delaware’s Right to Inspect Personnel Files Act,</w:t>
      </w:r>
      <w:r w:rsidR="006E6DA1" w:rsidRPr="006E6DA1">
        <w:rPr>
          <w:vertAlign w:val="superscript"/>
        </w:rPr>
        <w:footnoteReference w:id="142"/>
      </w:r>
      <w:r w:rsidRPr="006E6DA1">
        <w:t xml:space="preserve"> Delaware’s child labor laws,</w:t>
      </w:r>
      <w:r w:rsidR="006E6DA1" w:rsidRPr="006E6DA1">
        <w:rPr>
          <w:vertAlign w:val="superscript"/>
        </w:rPr>
        <w:footnoteReference w:id="143"/>
      </w:r>
      <w:r w:rsidRPr="006E6DA1">
        <w:t xml:space="preserve"> Delaware’s minimum wage laws,</w:t>
      </w:r>
      <w:r w:rsidR="006E6DA1" w:rsidRPr="006E6DA1">
        <w:rPr>
          <w:vertAlign w:val="superscript"/>
        </w:rPr>
        <w:footnoteReference w:id="144"/>
      </w:r>
      <w:r w:rsidRPr="006E6DA1">
        <w:t xml:space="preserve"> or Delaware’s Wage Payment and Collection Act;</w:t>
      </w:r>
      <w:r w:rsidR="006E6DA1" w:rsidRPr="006E6DA1">
        <w:rPr>
          <w:vertAlign w:val="superscript"/>
        </w:rPr>
        <w:footnoteReference w:id="145"/>
      </w:r>
    </w:p>
    <w:p w14:paraId="40694456" w14:textId="3FF8F2D6" w:rsidR="006E6DA1" w:rsidRPr="006E6DA1" w:rsidRDefault="00423606" w:rsidP="006E6DA1">
      <w:pPr>
        <w:pStyle w:val="BListitembul"/>
      </w:pPr>
      <w:r w:rsidRPr="006E6DA1">
        <w:t>Under Delaware’s Workplace Fraud Act (which governs employer’s classification of independent contractors in the construction industry), the employee (1) filed a complaint with the employer or with the Department of Labor alleging that the employer violated any provision of the act or any regulation adopted under the act, (2) brought an action under the act or a proceeding involving a violation of the act, (3) testified in an action authorized under the act or a proceeding involving a violation of the act or any regulation adopted under the act, or (4) assisted in an investigation by providing information to a litigant in a civil action, the Department of Labor, or any other state agency in proceedings provided by the act;</w:t>
      </w:r>
      <w:r w:rsidR="006E6DA1" w:rsidRPr="006E6DA1">
        <w:rPr>
          <w:vertAlign w:val="superscript"/>
        </w:rPr>
        <w:footnoteReference w:id="146"/>
      </w:r>
    </w:p>
    <w:p w14:paraId="1647B6E5" w14:textId="356E69B8" w:rsidR="006E6DA1" w:rsidRPr="006E6DA1" w:rsidRDefault="00423606" w:rsidP="006E6DA1">
      <w:pPr>
        <w:pStyle w:val="BListitembul"/>
      </w:pPr>
      <w:r w:rsidRPr="006E6DA1">
        <w:t>The employee was called for jury duty;</w:t>
      </w:r>
      <w:r w:rsidR="006E6DA1" w:rsidRPr="006E6DA1">
        <w:rPr>
          <w:vertAlign w:val="superscript"/>
        </w:rPr>
        <w:footnoteReference w:id="147"/>
      </w:r>
    </w:p>
    <w:p w14:paraId="15F91756" w14:textId="470838C3" w:rsidR="006E6DA1" w:rsidRPr="006E6DA1" w:rsidRDefault="00423606" w:rsidP="006E6DA1">
      <w:pPr>
        <w:pStyle w:val="BListitembul"/>
      </w:pPr>
      <w:r w:rsidRPr="006E6DA1">
        <w:t>The employee is a cardholder under the Delaware Medical Marijuana Act (DMM) or is a registered qualifying patient and tests positive for marijuana components or metabolites (unless the employee used, possessed, or was impaired by marijuana on the premises of the place of employment or during the hours of employment)</w:t>
      </w:r>
      <w:r w:rsidR="006E6DA1" w:rsidRPr="006E6DA1">
        <w:t xml:space="preserve">; </w:t>
      </w:r>
      <w:r w:rsidR="006E6DA1" w:rsidRPr="006E6DA1">
        <w:rPr>
          <w:vertAlign w:val="superscript"/>
        </w:rPr>
        <w:footnoteReference w:id="148"/>
      </w:r>
      <w:r w:rsidRPr="006E6DA1">
        <w:t xml:space="preserve"> or</w:t>
      </w:r>
    </w:p>
    <w:p w14:paraId="0FFB095F" w14:textId="594E8B35" w:rsidR="006E6DA1" w:rsidRPr="006E6DA1" w:rsidRDefault="00423606" w:rsidP="006E6DA1">
      <w:pPr>
        <w:pStyle w:val="BListitembul"/>
      </w:pPr>
      <w:r w:rsidRPr="006E6DA1">
        <w:t>The employee was called for military duty.</w:t>
      </w:r>
      <w:r w:rsidR="006E6DA1" w:rsidRPr="006E6DA1">
        <w:rPr>
          <w:vertAlign w:val="superscript"/>
        </w:rPr>
        <w:footnoteReference w:id="149"/>
      </w:r>
    </w:p>
    <w:p w14:paraId="6483A771" w14:textId="1000F671" w:rsidR="00494245" w:rsidRPr="006E6DA1" w:rsidRDefault="00494245" w:rsidP="006E6DA1">
      <w:pPr>
        <w:pStyle w:val="BNormal"/>
      </w:pPr>
    </w:p>
    <w:sectPr w:rsidR="00494245" w:rsidRPr="006E6DA1" w:rsidSect="009A1AB3">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E810B" w14:textId="77777777" w:rsidR="00C3548D" w:rsidRDefault="00C3548D" w:rsidP="002A47A4">
      <w:r>
        <w:separator/>
      </w:r>
    </w:p>
    <w:p w14:paraId="0F097364" w14:textId="77777777" w:rsidR="00C3548D" w:rsidRDefault="00C3548D"/>
    <w:p w14:paraId="789C887C" w14:textId="77777777" w:rsidR="00C3548D" w:rsidRDefault="00C3548D"/>
  </w:endnote>
  <w:endnote w:type="continuationSeparator" w:id="0">
    <w:p w14:paraId="5EFF88F6" w14:textId="77777777" w:rsidR="00C3548D" w:rsidRDefault="00C3548D" w:rsidP="002A47A4">
      <w:r>
        <w:continuationSeparator/>
      </w:r>
    </w:p>
    <w:p w14:paraId="0C362D39" w14:textId="77777777" w:rsidR="00C3548D" w:rsidRDefault="00C3548D"/>
    <w:p w14:paraId="15718DBF" w14:textId="77777777" w:rsidR="00C3548D" w:rsidRDefault="00C35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1181" w14:textId="77777777" w:rsidR="006E6DA1" w:rsidRPr="006E6DA1" w:rsidRDefault="006E6DA1" w:rsidP="006E6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9CF6" w14:textId="77777777" w:rsidR="006E6DA1" w:rsidRPr="006E6DA1" w:rsidRDefault="006E6DA1" w:rsidP="006E6D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AC60" w14:textId="77777777" w:rsidR="006E6DA1" w:rsidRPr="006E6DA1" w:rsidRDefault="006E6DA1" w:rsidP="006E6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B02F0" w14:textId="77777777" w:rsidR="00C3548D" w:rsidRDefault="00C3548D" w:rsidP="002A47A4">
      <w:r>
        <w:separator/>
      </w:r>
    </w:p>
    <w:p w14:paraId="2A2C69D6" w14:textId="77777777" w:rsidR="00C3548D" w:rsidRDefault="00C3548D"/>
    <w:p w14:paraId="04E4F683" w14:textId="77777777" w:rsidR="00C3548D" w:rsidRDefault="00C3548D"/>
  </w:footnote>
  <w:footnote w:type="continuationSeparator" w:id="0">
    <w:p w14:paraId="2B5FA0EA" w14:textId="77777777" w:rsidR="00C3548D" w:rsidRDefault="00C3548D" w:rsidP="002A47A4">
      <w:r>
        <w:continuationSeparator/>
      </w:r>
    </w:p>
    <w:p w14:paraId="0EACEFF3" w14:textId="77777777" w:rsidR="00C3548D" w:rsidRDefault="00C3548D"/>
    <w:p w14:paraId="1B7E06EF" w14:textId="77777777" w:rsidR="00C3548D" w:rsidRDefault="00C3548D"/>
  </w:footnote>
  <w:footnote w:id="1">
    <w:p w14:paraId="79D32A4A" w14:textId="664FE207" w:rsidR="006E6DA1" w:rsidRPr="00531AEA" w:rsidRDefault="006E6DA1" w:rsidP="006E6DA1">
      <w:pPr>
        <w:pStyle w:val="FootnoteText"/>
      </w:pPr>
      <w:r w:rsidRPr="006E6DA1">
        <w:rPr>
          <w:vertAlign w:val="superscript"/>
        </w:rPr>
        <w:footnoteRef/>
      </w:r>
      <w:r w:rsidRPr="006E6DA1">
        <w:t xml:space="preserve">Merrill v. Crothall-American, Inc., 606 A.2d 96, 102 (Del. 1992) (citing Heideck v. Kent Gen. Hosp., Inc., 446 A.2d 1095, 1096 (Del. 1982)); Thompson v. State of Del. Dep’t of Servs. for Child., Youth &amp; Their Fams., 44 F.4th 188, 194–95 (3d Cir. 2022) (“Delaware ‘law provides a heavy presumption that a contract for employment, unless otherwise expressly stated, is at-will in nature, with duration indefinite.’”) (quoting </w:t>
      </w:r>
      <w:r w:rsidRPr="006E6DA1">
        <w:rPr>
          <w:i/>
        </w:rPr>
        <w:t>Merrill</w:t>
      </w:r>
      <w:r w:rsidRPr="006E6DA1">
        <w:t>, 606 A.2d at 102).</w:t>
      </w:r>
    </w:p>
  </w:footnote>
  <w:footnote w:id="2">
    <w:p w14:paraId="464D1F08" w14:textId="6FBE34A7" w:rsidR="006E6DA1" w:rsidRPr="00531AEA" w:rsidRDefault="006E6DA1" w:rsidP="006E6DA1">
      <w:pPr>
        <w:pStyle w:val="FootnoteText"/>
      </w:pPr>
      <w:r w:rsidRPr="006E6DA1">
        <w:rPr>
          <w:rStyle w:val="FootnoteReference"/>
        </w:rPr>
        <w:footnoteRef/>
      </w:r>
      <w:r w:rsidRPr="006E6DA1">
        <w:t xml:space="preserve">Lord v. Souder, 748 A.2d 393, 398 (Del. 2000); </w:t>
      </w:r>
      <w:r w:rsidRPr="006E6DA1">
        <w:rPr>
          <w:i/>
        </w:rPr>
        <w:t>Thompson</w:t>
      </w:r>
      <w:r w:rsidRPr="006E6DA1">
        <w:t xml:space="preserve">, 44 F.4th at 195 (citing </w:t>
      </w:r>
      <w:r w:rsidRPr="006E6DA1">
        <w:rPr>
          <w:i/>
        </w:rPr>
        <w:t>Lord</w:t>
      </w:r>
      <w:r w:rsidRPr="006E6DA1">
        <w:t>, 748 A.2d at 398).</w:t>
      </w:r>
    </w:p>
  </w:footnote>
  <w:footnote w:id="3">
    <w:p w14:paraId="1F892207" w14:textId="6EF6E818" w:rsidR="006E6DA1" w:rsidRPr="006E6DA1" w:rsidRDefault="006E6DA1" w:rsidP="006E6DA1">
      <w:pPr>
        <w:pStyle w:val="FootnoteText"/>
      </w:pPr>
      <w:r w:rsidRPr="006E6DA1">
        <w:rPr>
          <w:vertAlign w:val="superscript"/>
        </w:rPr>
        <w:footnoteRef/>
      </w:r>
      <w:r w:rsidRPr="006E6DA1">
        <w:rPr>
          <w:i/>
        </w:rPr>
        <w:t>Merrill,</w:t>
      </w:r>
      <w:r w:rsidRPr="006E6DA1">
        <w:t xml:space="preserve"> 606 A.2d at 101 (“An employer has wide latitude in deciding how it conducts its business including its employment undertakings”).</w:t>
      </w:r>
    </w:p>
    <w:p w14:paraId="6AEB2914" w14:textId="77777777" w:rsidR="006E6DA1" w:rsidRPr="00531AEA" w:rsidRDefault="006E6DA1" w:rsidP="001A55E7">
      <w:pPr>
        <w:pStyle w:val="FootnoteText"/>
      </w:pPr>
    </w:p>
  </w:footnote>
  <w:footnote w:id="4">
    <w:p w14:paraId="28FE2CEF" w14:textId="1132E39F" w:rsidR="006E6DA1" w:rsidRPr="00531AEA" w:rsidRDefault="006E6DA1" w:rsidP="006E6DA1">
      <w:pPr>
        <w:pStyle w:val="FootnoteText"/>
      </w:pPr>
      <w:r w:rsidRPr="006E6DA1">
        <w:rPr>
          <w:rStyle w:val="FootnoteReference"/>
        </w:rPr>
        <w:footnoteRef/>
      </w:r>
      <w:r w:rsidRPr="006E6DA1">
        <w:rPr>
          <w:i/>
        </w:rPr>
        <w:t>Lord,</w:t>
      </w:r>
      <w:r w:rsidRPr="006E6DA1">
        <w:t xml:space="preserve"> 748 A.2d at 403.</w:t>
      </w:r>
    </w:p>
  </w:footnote>
  <w:footnote w:id="5">
    <w:p w14:paraId="3E510B14" w14:textId="1B43C96B" w:rsidR="006E6DA1" w:rsidRPr="00531AEA" w:rsidRDefault="006E6DA1" w:rsidP="006E6DA1">
      <w:pPr>
        <w:pStyle w:val="FootnoteText"/>
      </w:pPr>
      <w:r w:rsidRPr="006E6DA1">
        <w:rPr>
          <w:vertAlign w:val="superscript"/>
        </w:rPr>
        <w:footnoteRef/>
      </w:r>
      <w:r w:rsidRPr="006E6DA1">
        <w:t>43 A. 609, 611–612 (Del. Super. Ct. 1899).</w:t>
      </w:r>
    </w:p>
  </w:footnote>
  <w:footnote w:id="6">
    <w:p w14:paraId="0DF713AB" w14:textId="68530AD3" w:rsidR="006E6DA1" w:rsidRPr="00531AEA" w:rsidRDefault="006E6DA1" w:rsidP="006E6DA1">
      <w:pPr>
        <w:pStyle w:val="FootnoteText"/>
      </w:pPr>
      <w:r w:rsidRPr="006E6DA1">
        <w:rPr>
          <w:vertAlign w:val="superscript"/>
        </w:rPr>
        <w:footnoteRef/>
      </w:r>
      <w:r w:rsidRPr="006E6DA1">
        <w:rPr>
          <w:i/>
        </w:rPr>
        <w:t xml:space="preserve">Id. </w:t>
      </w:r>
      <w:r w:rsidRPr="006E6DA1">
        <w:t>at 611.</w:t>
      </w:r>
    </w:p>
  </w:footnote>
  <w:footnote w:id="7">
    <w:p w14:paraId="297B6241" w14:textId="54D3261B" w:rsidR="006E6DA1" w:rsidRPr="00531AEA" w:rsidRDefault="006E6DA1" w:rsidP="006E6DA1">
      <w:pPr>
        <w:pStyle w:val="FootnoteText"/>
      </w:pPr>
      <w:r w:rsidRPr="006E6DA1">
        <w:rPr>
          <w:vertAlign w:val="superscript"/>
        </w:rPr>
        <w:footnoteRef/>
      </w:r>
      <w:r w:rsidRPr="006E6DA1">
        <w:rPr>
          <w:i/>
        </w:rPr>
        <w:t xml:space="preserve">Id. </w:t>
      </w:r>
      <w:r w:rsidRPr="006E6DA1">
        <w:t>at 609.</w:t>
      </w:r>
    </w:p>
  </w:footnote>
  <w:footnote w:id="8">
    <w:p w14:paraId="5EE9FAB1" w14:textId="4369B166" w:rsidR="006E6DA1" w:rsidRPr="00531AEA" w:rsidRDefault="006E6DA1" w:rsidP="006E6DA1">
      <w:pPr>
        <w:pStyle w:val="FootnoteText"/>
      </w:pPr>
      <w:r w:rsidRPr="006E6DA1">
        <w:rPr>
          <w:vertAlign w:val="superscript"/>
        </w:rPr>
        <w:footnoteRef/>
      </w:r>
      <w:r w:rsidRPr="006E6DA1">
        <w:rPr>
          <w:i/>
        </w:rPr>
        <w:t xml:space="preserve">Id. </w:t>
      </w:r>
      <w:r w:rsidRPr="006E6DA1">
        <w:t>at 612.</w:t>
      </w:r>
    </w:p>
  </w:footnote>
  <w:footnote w:id="9">
    <w:p w14:paraId="62A59046" w14:textId="71851A15" w:rsidR="006E6DA1" w:rsidRPr="00531AEA" w:rsidRDefault="006E6DA1" w:rsidP="006E6DA1">
      <w:pPr>
        <w:pStyle w:val="FootnoteText"/>
      </w:pPr>
      <w:r w:rsidRPr="006E6DA1">
        <w:rPr>
          <w:vertAlign w:val="superscript"/>
        </w:rPr>
        <w:footnoteRef/>
      </w:r>
      <w:r w:rsidRPr="006E6DA1">
        <w:t xml:space="preserve">Sheldon N. Sandler, </w:t>
      </w:r>
      <w:r w:rsidRPr="006E6DA1">
        <w:rPr>
          <w:i/>
        </w:rPr>
        <w:t>Employee Status in Delaware Then, Now and Tomorrow</w:t>
      </w:r>
      <w:r w:rsidRPr="006E6DA1">
        <w:t xml:space="preserve">, 3 </w:t>
      </w:r>
      <w:r w:rsidRPr="006E6DA1">
        <w:rPr>
          <w:smallCaps/>
        </w:rPr>
        <w:t xml:space="preserve">Del. Law. </w:t>
      </w:r>
      <w:r w:rsidRPr="006E6DA1">
        <w:t>6, 7 (1985) (discussing the impact of Delaware’s statutory changes to the doctrine of employment at will). [</w:t>
      </w:r>
      <w:r w:rsidRPr="006E6DA1">
        <w:rPr>
          <w:i/>
        </w:rPr>
        <w:t xml:space="preserve">Editor’s note: </w:t>
      </w:r>
      <w:r w:rsidRPr="006E6DA1">
        <w:t xml:space="preserve">The chapter author thanks Mr. Sandler and John J. </w:t>
      </w:r>
      <w:r w:rsidRPr="006E6DA1">
        <w:t xml:space="preserve">Paschetto for their editorial contributions to this chapter.] </w:t>
      </w:r>
      <w:r w:rsidRPr="006E6DA1">
        <w:rPr>
          <w:i/>
        </w:rPr>
        <w:t>See generally</w:t>
      </w:r>
      <w:r w:rsidRPr="006E6DA1">
        <w:t xml:space="preserve"> Teresa A. Cheek, </w:t>
      </w:r>
      <w:r w:rsidRPr="006E6DA1">
        <w:rPr>
          <w:i/>
        </w:rPr>
        <w:t>The Employment-at-will Doctrine in Delaware: A Survey</w:t>
      </w:r>
      <w:r w:rsidRPr="006E6DA1">
        <w:t xml:space="preserve">, 6 </w:t>
      </w:r>
      <w:r w:rsidRPr="006E6DA1">
        <w:rPr>
          <w:smallCaps/>
        </w:rPr>
        <w:t>Del. L. Rev</w:t>
      </w:r>
      <w:r w:rsidRPr="006E6DA1">
        <w:t>. 311 (2003).</w:t>
      </w:r>
    </w:p>
  </w:footnote>
  <w:footnote w:id="10">
    <w:p w14:paraId="37D9FB89" w14:textId="483D92AF" w:rsidR="006E6DA1" w:rsidRPr="00531AEA" w:rsidRDefault="006E6DA1" w:rsidP="006E6DA1">
      <w:pPr>
        <w:pStyle w:val="FootnoteText"/>
        <w:rPr>
          <w:lang w:val="fr-FR"/>
        </w:rPr>
      </w:pPr>
      <w:r w:rsidRPr="006E6DA1">
        <w:rPr>
          <w:rStyle w:val="FootnoteReference"/>
        </w:rPr>
        <w:footnoteRef/>
      </w:r>
      <w:r w:rsidRPr="006E6DA1">
        <w:t>E.I. DuPont de Nemours &amp; Co. v. Pressman, 679 A.2d 436, 441 (Del. 1996).</w:t>
      </w:r>
    </w:p>
  </w:footnote>
  <w:footnote w:id="11">
    <w:p w14:paraId="1C94273F" w14:textId="2AFD567E" w:rsidR="006E6DA1" w:rsidRPr="00531AEA" w:rsidRDefault="006E6DA1" w:rsidP="006E6DA1">
      <w:pPr>
        <w:pStyle w:val="FootnoteText"/>
      </w:pPr>
      <w:r w:rsidRPr="006E6DA1">
        <w:rPr>
          <w:rStyle w:val="FootnoteReference"/>
        </w:rPr>
        <w:footnoteRef/>
      </w:r>
      <w:r w:rsidRPr="006E6DA1">
        <w:rPr>
          <w:i/>
        </w:rPr>
        <w:t xml:space="preserve">Id. </w:t>
      </w:r>
      <w:r w:rsidRPr="006E6DA1">
        <w:t>at 443.</w:t>
      </w:r>
    </w:p>
  </w:footnote>
  <w:footnote w:id="12">
    <w:p w14:paraId="264185F0" w14:textId="1D35E055" w:rsidR="006E6DA1" w:rsidRPr="006E6DA1" w:rsidRDefault="006E6DA1" w:rsidP="006E6DA1">
      <w:pPr>
        <w:pStyle w:val="FootnoteText"/>
      </w:pPr>
      <w:r w:rsidRPr="006E6DA1">
        <w:rPr>
          <w:vertAlign w:val="superscript"/>
        </w:rPr>
        <w:footnoteRef/>
      </w:r>
      <w:r w:rsidRPr="006E6DA1">
        <w:rPr>
          <w:i/>
        </w:rPr>
        <w:t>See e.g.</w:t>
      </w:r>
      <w:r w:rsidRPr="006E6DA1">
        <w:t xml:space="preserve">, Owens v. Connections </w:t>
      </w:r>
      <w:r w:rsidRPr="006E6DA1">
        <w:t xml:space="preserve">Cmty. Support Programs, Inc., 840 F. Supp. 2d 791, 797 (D. Del. 2012); Thompson v. State of Del. Dep’t of Servs. for Child., No. CV 18-1236 (MN), 2020 WL 5775479, at *6 (D. Del. Sept. 28, 2020), </w:t>
      </w:r>
      <w:r w:rsidRPr="006E6DA1">
        <w:rPr>
          <w:i/>
        </w:rPr>
        <w:t xml:space="preserve">aff’d </w:t>
      </w:r>
      <w:r w:rsidRPr="006E6DA1">
        <w:t>44 F.4th 188 (3d Cir. 2022); Dunn v. FastMed Urgent Care, P.C., No. CV 2018-0934 MTZ, 2019 WL 4131010, at *5 (Del. Ch. Aug. 30, 2019).</w:t>
      </w:r>
    </w:p>
    <w:p w14:paraId="3ABBFDB0" w14:textId="77777777" w:rsidR="006E6DA1" w:rsidRPr="00531AEA" w:rsidRDefault="006E6DA1" w:rsidP="006F3BEB">
      <w:pPr>
        <w:pStyle w:val="FootnoteText"/>
      </w:pPr>
    </w:p>
  </w:footnote>
  <w:footnote w:id="13">
    <w:p w14:paraId="457169E8" w14:textId="36EBE1E4" w:rsidR="006E6DA1" w:rsidRPr="00531AEA" w:rsidRDefault="006E6DA1" w:rsidP="006E6DA1">
      <w:pPr>
        <w:pStyle w:val="FootnoteText"/>
      </w:pPr>
      <w:r w:rsidRPr="006E6DA1">
        <w:rPr>
          <w:vertAlign w:val="superscript"/>
        </w:rPr>
        <w:footnoteRef/>
      </w:r>
      <w:r w:rsidRPr="006E6DA1">
        <w:t xml:space="preserve">Lamb-Bowman v. Delaware State Univ., No. CIV.A. 98–658 MMS, 1999 WL 1250889, at *10 (D. Del. Dec. 10, 1999) (citing </w:t>
      </w:r>
      <w:r w:rsidRPr="006E6DA1">
        <w:rPr>
          <w:i/>
        </w:rPr>
        <w:t>Pressman</w:t>
      </w:r>
      <w:r w:rsidRPr="006E6DA1">
        <w:t>, 679 A.2d at 441).</w:t>
      </w:r>
    </w:p>
  </w:footnote>
  <w:footnote w:id="14">
    <w:p w14:paraId="1CE644BB" w14:textId="1F448EAF" w:rsidR="006E6DA1" w:rsidRPr="00531AEA" w:rsidRDefault="006E6DA1" w:rsidP="006E6DA1">
      <w:pPr>
        <w:pStyle w:val="FootnoteText"/>
      </w:pPr>
      <w:r w:rsidRPr="006E6DA1">
        <w:rPr>
          <w:vertAlign w:val="superscript"/>
        </w:rPr>
        <w:footnoteRef/>
      </w:r>
      <w:r w:rsidRPr="006E6DA1">
        <w:t xml:space="preserve">10 </w:t>
      </w:r>
      <w:r w:rsidRPr="006E6DA1">
        <w:rPr>
          <w:smallCaps/>
        </w:rPr>
        <w:t>Del. Code Ann</w:t>
      </w:r>
      <w:r w:rsidRPr="006E6DA1">
        <w:t xml:space="preserve"> §8106(a) (2024) (contract); 10 </w:t>
      </w:r>
      <w:r w:rsidRPr="006E6DA1">
        <w:rPr>
          <w:smallCaps/>
        </w:rPr>
        <w:t xml:space="preserve">Del. Code Ann. </w:t>
      </w:r>
      <w:r w:rsidRPr="006E6DA1">
        <w:t>§8119 (2024) (personal injury).</w:t>
      </w:r>
    </w:p>
  </w:footnote>
  <w:footnote w:id="15">
    <w:p w14:paraId="02239071" w14:textId="1245A679" w:rsidR="006E6DA1" w:rsidRPr="00531AEA" w:rsidRDefault="006E6DA1" w:rsidP="006E6DA1">
      <w:pPr>
        <w:pStyle w:val="FootnoteText"/>
      </w:pPr>
      <w:r w:rsidRPr="006E6DA1">
        <w:rPr>
          <w:vertAlign w:val="superscript"/>
        </w:rPr>
        <w:footnoteRef/>
      </w:r>
      <w:r w:rsidRPr="006E6DA1">
        <w:rPr>
          <w:i/>
        </w:rPr>
        <w:t xml:space="preserve">Id. </w:t>
      </w:r>
      <w:r w:rsidRPr="006E6DA1">
        <w:t>§8111; Tolliver v. Delmarva Found. for Med. Care, No. CV 17-1776-RGA, 2018 WL 3735889, at *5 (D. Del. Aug. 3, 2018).</w:t>
      </w:r>
    </w:p>
  </w:footnote>
  <w:footnote w:id="16">
    <w:p w14:paraId="5B421AF1" w14:textId="102A2542" w:rsidR="006E6DA1" w:rsidRPr="006E6DA1" w:rsidRDefault="006E6DA1" w:rsidP="006E6DA1">
      <w:pPr>
        <w:pStyle w:val="FootnoteText"/>
      </w:pPr>
      <w:r w:rsidRPr="006E6DA1">
        <w:rPr>
          <w:vertAlign w:val="superscript"/>
        </w:rPr>
        <w:footnoteRef/>
      </w:r>
      <w:r w:rsidRPr="006E6DA1">
        <w:t>All Pro Maids, Inc. v. Layton, No. CIV.A. 058-N, 2004 WL 1878784, at *3 (Del. Ch. Aug. 9, 2004), aff'd, 880 A.2d 1047 (Del. 2005) (citing Delaware Exp. Shuttle, Inc. v. Older, No. CIV.A. 19596, 2002 WL 31458243, at *11 (Del. Ch. Oct. 23, 2002)).</w:t>
      </w:r>
    </w:p>
    <w:p w14:paraId="12106F03" w14:textId="77777777" w:rsidR="006E6DA1" w:rsidRPr="00531AEA" w:rsidRDefault="006E6DA1" w:rsidP="00AB6115">
      <w:pPr>
        <w:pStyle w:val="FootnoteText"/>
      </w:pPr>
    </w:p>
  </w:footnote>
  <w:footnote w:id="17">
    <w:p w14:paraId="4516DE98" w14:textId="15101DBE" w:rsidR="006E6DA1" w:rsidRPr="00531AEA" w:rsidRDefault="006E6DA1" w:rsidP="006E6DA1">
      <w:pPr>
        <w:pStyle w:val="FootnoteText"/>
      </w:pPr>
      <w:r w:rsidRPr="006E6DA1">
        <w:rPr>
          <w:vertAlign w:val="superscript"/>
        </w:rPr>
        <w:footnoteRef/>
      </w:r>
      <w:r w:rsidRPr="006E6DA1">
        <w:rPr>
          <w:i/>
        </w:rPr>
        <w:t xml:space="preserve">Id. </w:t>
      </w:r>
      <w:r w:rsidRPr="006E6DA1">
        <w:t>at *1–2.</w:t>
      </w:r>
    </w:p>
  </w:footnote>
  <w:footnote w:id="18">
    <w:p w14:paraId="71E74CEE" w14:textId="2651B4D4" w:rsidR="006E6DA1" w:rsidRPr="00531AEA" w:rsidRDefault="006E6DA1" w:rsidP="006E6DA1">
      <w:pPr>
        <w:pStyle w:val="FootnoteText"/>
      </w:pPr>
      <w:r w:rsidRPr="006E6DA1">
        <w:rPr>
          <w:vertAlign w:val="superscript"/>
        </w:rPr>
        <w:footnoteRef/>
      </w:r>
      <w:r w:rsidRPr="006E6DA1">
        <w:rPr>
          <w:i/>
        </w:rPr>
        <w:t xml:space="preserve">Id. </w:t>
      </w:r>
      <w:r w:rsidRPr="006E6DA1">
        <w:t>at *3.</w:t>
      </w:r>
    </w:p>
  </w:footnote>
  <w:footnote w:id="19">
    <w:p w14:paraId="090643F6" w14:textId="2792E256" w:rsidR="006E6DA1" w:rsidRPr="00531AEA" w:rsidRDefault="006E6DA1" w:rsidP="006E6DA1">
      <w:pPr>
        <w:pStyle w:val="FootnoteText"/>
      </w:pPr>
      <w:r w:rsidRPr="006E6DA1">
        <w:rPr>
          <w:vertAlign w:val="superscript"/>
        </w:rPr>
        <w:footnoteRef/>
      </w:r>
      <w:r w:rsidRPr="006E6DA1">
        <w:rPr>
          <w:i/>
        </w:rPr>
        <w:t xml:space="preserve">Id. </w:t>
      </w:r>
      <w:r w:rsidRPr="006E6DA1">
        <w:t>(“In Delaware, employment or continued employment may serve as consideration for an at-will employee’s agreement to a restrictive covenant.”).</w:t>
      </w:r>
    </w:p>
  </w:footnote>
  <w:footnote w:id="20">
    <w:p w14:paraId="47C77278" w14:textId="10809EC6" w:rsidR="006E6DA1" w:rsidRPr="00531AEA" w:rsidRDefault="006E6DA1" w:rsidP="006E6DA1">
      <w:pPr>
        <w:pStyle w:val="FootnoteText"/>
      </w:pPr>
      <w:r w:rsidRPr="006E6DA1">
        <w:rPr>
          <w:vertAlign w:val="superscript"/>
        </w:rPr>
        <w:footnoteRef/>
      </w:r>
      <w:r w:rsidRPr="006E6DA1">
        <w:t>No. CV 9398-VCN, 2014 WL 1266827, at *8–9 (Del. Ch. Mar. 27, 2014).</w:t>
      </w:r>
    </w:p>
  </w:footnote>
  <w:footnote w:id="21">
    <w:p w14:paraId="5736BE82" w14:textId="4901D55C" w:rsidR="006E6DA1" w:rsidRPr="00531AEA" w:rsidRDefault="006E6DA1" w:rsidP="006E6DA1">
      <w:pPr>
        <w:pStyle w:val="FootnoteText"/>
      </w:pPr>
      <w:r w:rsidRPr="006E6DA1">
        <w:rPr>
          <w:vertAlign w:val="superscript"/>
        </w:rPr>
        <w:footnoteRef/>
      </w:r>
      <w:r w:rsidRPr="006E6DA1">
        <w:rPr>
          <w:i/>
        </w:rPr>
        <w:t>Id</w:t>
      </w:r>
      <w:r w:rsidRPr="006E6DA1">
        <w:t>. at *9.</w:t>
      </w:r>
    </w:p>
  </w:footnote>
  <w:footnote w:id="22">
    <w:p w14:paraId="6F2C96B3" w14:textId="6662F546" w:rsidR="006E6DA1" w:rsidRPr="00531AEA" w:rsidRDefault="006E6DA1" w:rsidP="006E6DA1">
      <w:pPr>
        <w:pStyle w:val="FootnoteText"/>
        <w:rPr>
          <w:lang w:val="es-ES"/>
        </w:rPr>
      </w:pPr>
      <w:r w:rsidRPr="006E6DA1">
        <w:rPr>
          <w:vertAlign w:val="superscript"/>
        </w:rPr>
        <w:footnoteRef/>
      </w:r>
      <w:r w:rsidRPr="006E6DA1">
        <w:rPr>
          <w:i/>
        </w:rPr>
        <w:t>Id</w:t>
      </w:r>
      <w:r w:rsidRPr="006E6DA1">
        <w:t>.</w:t>
      </w:r>
    </w:p>
  </w:footnote>
  <w:footnote w:id="23">
    <w:p w14:paraId="6E47E9C8" w14:textId="7D6869E0" w:rsidR="006E6DA1" w:rsidRPr="00531AEA" w:rsidRDefault="006E6DA1" w:rsidP="006E6DA1">
      <w:pPr>
        <w:pStyle w:val="FootnoteText"/>
        <w:rPr>
          <w:lang w:val="es-ES"/>
        </w:rPr>
      </w:pPr>
      <w:r w:rsidRPr="006E6DA1">
        <w:rPr>
          <w:vertAlign w:val="superscript"/>
        </w:rPr>
        <w:footnoteRef/>
      </w:r>
      <w:r w:rsidRPr="006E6DA1">
        <w:rPr>
          <w:i/>
        </w:rPr>
        <w:t>Id</w:t>
      </w:r>
      <w:r w:rsidRPr="006E6DA1">
        <w:t>.</w:t>
      </w:r>
    </w:p>
  </w:footnote>
  <w:footnote w:id="24">
    <w:p w14:paraId="5253F5D8" w14:textId="450B006E" w:rsidR="006E6DA1" w:rsidRPr="00531AEA" w:rsidRDefault="006E6DA1" w:rsidP="006E6DA1">
      <w:pPr>
        <w:pStyle w:val="FootnoteText"/>
      </w:pPr>
      <w:r w:rsidRPr="006E6DA1">
        <w:rPr>
          <w:vertAlign w:val="superscript"/>
        </w:rPr>
        <w:footnoteRef/>
      </w:r>
      <w:r w:rsidRPr="006E6DA1">
        <w:t xml:space="preserve">312 A.2d 330, 332 (Del. Super. Ct. 1973); </w:t>
      </w:r>
      <w:r w:rsidRPr="006E6DA1">
        <w:rPr>
          <w:i/>
        </w:rPr>
        <w:t xml:space="preserve">see also </w:t>
      </w:r>
      <w:r w:rsidRPr="006E6DA1">
        <w:t xml:space="preserve">Mann v. Cargill Poultry, Inc., No. C.A. 88C-AU37, 1990 WL 91102, at *4 (Del. Super. Ct. June 13, 1990), </w:t>
      </w:r>
      <w:r w:rsidRPr="006E6DA1">
        <w:rPr>
          <w:i/>
        </w:rPr>
        <w:t>aff’d,</w:t>
      </w:r>
      <w:r w:rsidRPr="006E6DA1">
        <w:t xml:space="preserve"> 584 A.2d 1228 (Del. 1990).</w:t>
      </w:r>
    </w:p>
  </w:footnote>
  <w:footnote w:id="25">
    <w:p w14:paraId="2AA0C9CC" w14:textId="521C5C78" w:rsidR="006E6DA1" w:rsidRPr="00531AEA" w:rsidRDefault="006E6DA1" w:rsidP="006E6DA1">
      <w:pPr>
        <w:pStyle w:val="FootnoteText"/>
      </w:pPr>
      <w:r w:rsidRPr="006E6DA1">
        <w:rPr>
          <w:vertAlign w:val="superscript"/>
        </w:rPr>
        <w:footnoteRef/>
      </w:r>
      <w:r w:rsidRPr="006E6DA1">
        <w:rPr>
          <w:i/>
        </w:rPr>
        <w:t>Id.</w:t>
      </w:r>
    </w:p>
  </w:footnote>
  <w:footnote w:id="26">
    <w:p w14:paraId="315F3BEF" w14:textId="25143FA3" w:rsidR="006E6DA1" w:rsidRPr="00531AEA" w:rsidRDefault="006E6DA1" w:rsidP="006E6DA1">
      <w:pPr>
        <w:pStyle w:val="FootnoteText"/>
      </w:pPr>
      <w:r w:rsidRPr="006E6DA1">
        <w:rPr>
          <w:vertAlign w:val="superscript"/>
        </w:rPr>
        <w:footnoteRef/>
      </w:r>
      <w:r w:rsidRPr="006E6DA1">
        <w:rPr>
          <w:i/>
        </w:rPr>
        <w:t xml:space="preserve">Id. </w:t>
      </w:r>
      <w:r w:rsidRPr="006E6DA1">
        <w:t>at 332–33.</w:t>
      </w:r>
    </w:p>
  </w:footnote>
  <w:footnote w:id="27">
    <w:p w14:paraId="7E798475" w14:textId="14DA141A" w:rsidR="006E6DA1" w:rsidRPr="00531AEA" w:rsidRDefault="006E6DA1" w:rsidP="006E6DA1">
      <w:pPr>
        <w:pStyle w:val="FootnoteText"/>
      </w:pPr>
      <w:r w:rsidRPr="006E6DA1">
        <w:rPr>
          <w:vertAlign w:val="superscript"/>
        </w:rPr>
        <w:footnoteRef/>
      </w:r>
      <w:r w:rsidRPr="006E6DA1">
        <w:rPr>
          <w:i/>
        </w:rPr>
        <w:t xml:space="preserve">Id. </w:t>
      </w:r>
      <w:r w:rsidRPr="006E6DA1">
        <w:t>at 334.</w:t>
      </w:r>
    </w:p>
  </w:footnote>
  <w:footnote w:id="28">
    <w:p w14:paraId="18C61D23" w14:textId="7C34AD24" w:rsidR="006E6DA1" w:rsidRPr="00531AEA" w:rsidRDefault="006E6DA1" w:rsidP="006E6DA1">
      <w:pPr>
        <w:pStyle w:val="FootnoteText"/>
      </w:pPr>
      <w:r w:rsidRPr="006E6DA1">
        <w:rPr>
          <w:vertAlign w:val="superscript"/>
        </w:rPr>
        <w:footnoteRef/>
      </w:r>
      <w:r w:rsidRPr="006E6DA1">
        <w:t>497 A.2d 789 (Del. 1985) (unpublished table opinion).</w:t>
      </w:r>
    </w:p>
  </w:footnote>
  <w:footnote w:id="29">
    <w:p w14:paraId="3753CA32" w14:textId="3606B5E7" w:rsidR="006E6DA1" w:rsidRPr="00531AEA" w:rsidRDefault="006E6DA1" w:rsidP="006E6DA1">
      <w:pPr>
        <w:pStyle w:val="FootnoteText"/>
      </w:pPr>
      <w:r w:rsidRPr="006E6DA1">
        <w:rPr>
          <w:rStyle w:val="FootnoteReference"/>
        </w:rPr>
        <w:footnoteRef/>
      </w:r>
      <w:r w:rsidRPr="006E6DA1">
        <w:rPr>
          <w:i/>
        </w:rPr>
        <w:t>Id.</w:t>
      </w:r>
      <w:r w:rsidRPr="006E6DA1">
        <w:t xml:space="preserve">; </w:t>
      </w:r>
      <w:r w:rsidRPr="006E6DA1">
        <w:rPr>
          <w:i/>
        </w:rPr>
        <w:t xml:space="preserve">see also </w:t>
      </w:r>
      <w:r w:rsidRPr="006E6DA1">
        <w:t>Mapsco, Inc. v. Rapid Distrib. Serv., Inc., 509 A.2d 94 (Del. 1986) (unpublished table opinion).</w:t>
      </w:r>
    </w:p>
  </w:footnote>
  <w:footnote w:id="30">
    <w:p w14:paraId="070A40D8" w14:textId="5EF5A175" w:rsidR="006E6DA1" w:rsidRPr="00531AEA" w:rsidRDefault="006E6DA1" w:rsidP="006E6DA1">
      <w:pPr>
        <w:pStyle w:val="FootnoteText"/>
      </w:pPr>
      <w:r w:rsidRPr="006E6DA1">
        <w:rPr>
          <w:rStyle w:val="FootnoteReference"/>
        </w:rPr>
        <w:footnoteRef/>
      </w:r>
      <w:r w:rsidRPr="006E6DA1">
        <w:t>44 F.4th 188, 194‒95 (3d Cir. 2022).</w:t>
      </w:r>
    </w:p>
  </w:footnote>
  <w:footnote w:id="31">
    <w:p w14:paraId="7071458D" w14:textId="3A7D3277" w:rsidR="006E6DA1" w:rsidRPr="00531AEA" w:rsidRDefault="006E6DA1" w:rsidP="006E6DA1">
      <w:pPr>
        <w:pStyle w:val="FootnoteText"/>
      </w:pPr>
      <w:r w:rsidRPr="006E6DA1">
        <w:rPr>
          <w:rStyle w:val="FootnoteReference"/>
        </w:rPr>
        <w:footnoteRef/>
      </w:r>
      <w:r w:rsidRPr="006E6DA1">
        <w:rPr>
          <w:i/>
        </w:rPr>
        <w:t xml:space="preserve">Id. </w:t>
      </w:r>
      <w:r w:rsidRPr="006E6DA1">
        <w:t>at 195.</w:t>
      </w:r>
    </w:p>
  </w:footnote>
  <w:footnote w:id="32">
    <w:p w14:paraId="4BE1C0F1" w14:textId="7005C702" w:rsidR="006E6DA1" w:rsidRPr="00531AEA" w:rsidRDefault="006E6DA1" w:rsidP="006E6DA1">
      <w:pPr>
        <w:pStyle w:val="FootnoteText"/>
      </w:pPr>
      <w:r w:rsidRPr="006E6DA1">
        <w:rPr>
          <w:rStyle w:val="FootnoteReference"/>
        </w:rPr>
        <w:footnoteRef/>
      </w:r>
      <w:r w:rsidRPr="006E6DA1">
        <w:rPr>
          <w:i/>
        </w:rPr>
        <w:t xml:space="preserve">Id. </w:t>
      </w:r>
      <w:r w:rsidRPr="006E6DA1">
        <w:t>at 196.</w:t>
      </w:r>
    </w:p>
  </w:footnote>
  <w:footnote w:id="33">
    <w:p w14:paraId="0CE7D7AA" w14:textId="28B09861" w:rsidR="006E6DA1" w:rsidRPr="006E6DA1" w:rsidRDefault="006E6DA1" w:rsidP="006E6DA1">
      <w:pPr>
        <w:pStyle w:val="FootnoteText"/>
      </w:pPr>
      <w:r w:rsidRPr="006E6DA1">
        <w:rPr>
          <w:rStyle w:val="FootnoteReference"/>
        </w:rPr>
        <w:footnoteRef/>
      </w:r>
      <w:r w:rsidRPr="006E6DA1">
        <w:rPr>
          <w:i/>
        </w:rPr>
        <w:t>Id.</w:t>
      </w:r>
    </w:p>
    <w:p w14:paraId="35494C6E" w14:textId="77777777" w:rsidR="006E6DA1" w:rsidRPr="00531AEA" w:rsidRDefault="006E6DA1">
      <w:pPr>
        <w:pStyle w:val="FootnoteText"/>
      </w:pPr>
    </w:p>
  </w:footnote>
  <w:footnote w:id="34">
    <w:p w14:paraId="2E61DEC2" w14:textId="0767B62C" w:rsidR="006E6DA1" w:rsidRPr="00531AEA" w:rsidRDefault="006E6DA1" w:rsidP="006E6DA1">
      <w:pPr>
        <w:pStyle w:val="FootnoteText"/>
      </w:pPr>
      <w:r w:rsidRPr="006E6DA1">
        <w:rPr>
          <w:vertAlign w:val="superscript"/>
        </w:rPr>
        <w:footnoteRef/>
      </w:r>
      <w:r w:rsidRPr="006E6DA1">
        <w:t>Heideck v. Kent Gen. Hosp., Inc., 446 A.2d 1095, 1097 (Del. 1982); Torres v. Sussex Cnty. Council, No. CV S14C-05-023 THG, 2014 WL 7149179, at *8 (Del. Super. Ct. Dec. 8, 2014).</w:t>
      </w:r>
    </w:p>
  </w:footnote>
  <w:footnote w:id="35">
    <w:p w14:paraId="6C1BFB68" w14:textId="19D2966F" w:rsidR="006E6DA1" w:rsidRPr="00531AEA" w:rsidRDefault="006E6DA1" w:rsidP="006E6DA1">
      <w:pPr>
        <w:pStyle w:val="FootnoteText"/>
      </w:pPr>
      <w:r w:rsidRPr="006E6DA1">
        <w:rPr>
          <w:vertAlign w:val="superscript"/>
        </w:rPr>
        <w:footnoteRef/>
      </w:r>
      <w:r w:rsidRPr="006E6DA1">
        <w:rPr>
          <w:i/>
        </w:rPr>
        <w:t>Heideck</w:t>
      </w:r>
      <w:r w:rsidRPr="006E6DA1">
        <w:t>, 446 A.2d at 1098.</w:t>
      </w:r>
    </w:p>
  </w:footnote>
  <w:footnote w:id="36">
    <w:p w14:paraId="19FA892A" w14:textId="3EE1E7F5" w:rsidR="006E6DA1" w:rsidRPr="00531AEA" w:rsidRDefault="006E6DA1" w:rsidP="006E6DA1">
      <w:pPr>
        <w:pStyle w:val="FootnoteText"/>
      </w:pPr>
      <w:r w:rsidRPr="006E6DA1">
        <w:rPr>
          <w:vertAlign w:val="superscript"/>
        </w:rPr>
        <w:footnoteRef/>
      </w:r>
      <w:r w:rsidRPr="006E6DA1">
        <w:rPr>
          <w:i/>
        </w:rPr>
        <w:t xml:space="preserve">Id. </w:t>
      </w:r>
      <w:r w:rsidRPr="006E6DA1">
        <w:t>at 1097.</w:t>
      </w:r>
    </w:p>
  </w:footnote>
  <w:footnote w:id="37">
    <w:p w14:paraId="41BCFFC4" w14:textId="2335CD4D" w:rsidR="006E6DA1" w:rsidRPr="00531AEA" w:rsidRDefault="006E6DA1" w:rsidP="006E6DA1">
      <w:pPr>
        <w:pStyle w:val="FootnoteText"/>
      </w:pPr>
      <w:r w:rsidRPr="006E6DA1">
        <w:rPr>
          <w:vertAlign w:val="superscript"/>
        </w:rPr>
        <w:footnoteRef/>
      </w:r>
      <w:r w:rsidRPr="006E6DA1">
        <w:t xml:space="preserve">Elite Cleaning Co. v. Capel, No. CIV.A. 690-N, 2006 WL 1565161, at *4 (Del. Ch. June 2, 2006) (citing Bray v. L.D. Caulk Dentsply Int'l, 748 A.2d 406, 2000 WL 313423, at *1 (TABLE) (Del. 2000)). </w:t>
      </w:r>
      <w:r w:rsidRPr="006E6DA1">
        <w:rPr>
          <w:i/>
        </w:rPr>
        <w:t>See also</w:t>
      </w:r>
      <w:r w:rsidRPr="006E6DA1">
        <w:t xml:space="preserve"> Gaines v. Wilmington Trust Co., No. CIV. A. 90C-MR-135, 1991 WL 113613, at *2 (Del. Super. Ct. June 3, 1991), </w:t>
      </w:r>
      <w:r w:rsidRPr="006E6DA1">
        <w:rPr>
          <w:i/>
        </w:rPr>
        <w:t>aff'd</w:t>
      </w:r>
      <w:r w:rsidRPr="006E6DA1">
        <w:t xml:space="preserve">, 608 A.2d 727 (Del. 1991); Lamplugh v. PFB Energy, No. CV 19-218 (MN), 2021 WL 877645, at *4 (D. Del. Mar. 9, 2021) (citing Carroll v. ABM Janitorial Services-Mid Atl., 970 F. Supp. 2d 292, 301 (D. Del. 2013); </w:t>
      </w:r>
      <w:r w:rsidRPr="006E6DA1">
        <w:rPr>
          <w:i/>
        </w:rPr>
        <w:t>Heideck</w:t>
      </w:r>
      <w:r w:rsidRPr="006E6DA1">
        <w:t>, 446 A.2d at 1097) (dismissing breach of contract claim where plaintiff generally alleged that documents in the employer’s new hire packet created an implied employee contract, but without specific references to the documents or language stated therein).</w:t>
      </w:r>
    </w:p>
  </w:footnote>
  <w:footnote w:id="38">
    <w:p w14:paraId="0325AB41" w14:textId="6211C20F" w:rsidR="006E6DA1" w:rsidRPr="00531AEA" w:rsidRDefault="006E6DA1" w:rsidP="006E6DA1">
      <w:pPr>
        <w:pStyle w:val="FootnoteText"/>
      </w:pPr>
      <w:r w:rsidRPr="006E6DA1">
        <w:rPr>
          <w:vertAlign w:val="superscript"/>
        </w:rPr>
        <w:footnoteRef/>
      </w:r>
      <w:r w:rsidRPr="006E6DA1">
        <w:rPr>
          <w:i/>
        </w:rPr>
        <w:t>See, e.g.</w:t>
      </w:r>
      <w:r w:rsidRPr="006E6DA1">
        <w:t>, Murphy v. City of Lewes, No. 14-2835, 614 Fed. Appx. 93</w:t>
      </w:r>
      <w:r w:rsidRPr="006E6DA1" w:rsidDel="0087275B">
        <w:t xml:space="preserve"> </w:t>
      </w:r>
      <w:r w:rsidRPr="006E6DA1">
        <w:t>2015 WL 3561225, at *2–3 (3d Cir. June 9, 2015).</w:t>
      </w:r>
    </w:p>
  </w:footnote>
  <w:footnote w:id="39">
    <w:p w14:paraId="7FDC97B8" w14:textId="5E4EB767" w:rsidR="006E6DA1" w:rsidRPr="00531AEA" w:rsidRDefault="006E6DA1" w:rsidP="006E6DA1">
      <w:pPr>
        <w:pStyle w:val="FootnoteText"/>
      </w:pPr>
      <w:r w:rsidRPr="006E6DA1">
        <w:rPr>
          <w:vertAlign w:val="superscript"/>
        </w:rPr>
        <w:footnoteRef/>
      </w:r>
      <w:r w:rsidRPr="006E6DA1">
        <w:rPr>
          <w:i/>
        </w:rPr>
        <w:t xml:space="preserve">Id. </w:t>
      </w:r>
      <w:r w:rsidRPr="006E6DA1">
        <w:t>at *2.</w:t>
      </w:r>
    </w:p>
  </w:footnote>
  <w:footnote w:id="40">
    <w:p w14:paraId="18DD3D32" w14:textId="0CDED139" w:rsidR="006E6DA1" w:rsidRPr="00531AEA" w:rsidRDefault="006E6DA1" w:rsidP="006E6DA1">
      <w:pPr>
        <w:pStyle w:val="FootnoteText"/>
      </w:pPr>
      <w:r w:rsidRPr="006E6DA1">
        <w:rPr>
          <w:vertAlign w:val="superscript"/>
        </w:rPr>
        <w:footnoteRef/>
      </w:r>
      <w:r w:rsidRPr="006E6DA1">
        <w:rPr>
          <w:i/>
        </w:rPr>
        <w:t xml:space="preserve">Id. </w:t>
      </w:r>
      <w:r w:rsidRPr="006E6DA1">
        <w:t>at *3; Bowers v. City of Wilmington, 723 F. Supp. 2d 700, 710 (D. Del. 2010).</w:t>
      </w:r>
    </w:p>
  </w:footnote>
  <w:footnote w:id="41">
    <w:p w14:paraId="1409F932" w14:textId="5B0D3346" w:rsidR="006E6DA1" w:rsidRPr="00531AEA" w:rsidRDefault="006E6DA1" w:rsidP="006E6DA1">
      <w:pPr>
        <w:pStyle w:val="FootnoteText"/>
      </w:pPr>
      <w:r w:rsidRPr="006E6DA1">
        <w:rPr>
          <w:vertAlign w:val="superscript"/>
        </w:rPr>
        <w:footnoteRef/>
      </w:r>
      <w:r w:rsidRPr="006E6DA1">
        <w:t xml:space="preserve">McNaboe v. NVF Co., No. 97-558-SLR, 2000 WL 354366, at *3 (D. Del. Mar. 20, 2000), </w:t>
      </w:r>
      <w:r w:rsidRPr="006E6DA1">
        <w:rPr>
          <w:i/>
        </w:rPr>
        <w:t xml:space="preserve">aff’d in part, </w:t>
      </w:r>
      <w:r w:rsidRPr="006E6DA1">
        <w:rPr>
          <w:i/>
        </w:rPr>
        <w:t>rev’d in part on other grounds</w:t>
      </w:r>
      <w:r w:rsidRPr="006E6DA1">
        <w:t>, 276 F.3d 578 (3d Cir. 2001) (citing Kirschling v. Lake Forest Sch. Dist., 687 F. Supp. 927, 930 (D. Del. 1988)); Lindsey v. M.A. Zeccola &amp; Sons, Inc., 26 F.3d 1236, 1239‒44 (3d Cir. 1994).</w:t>
      </w:r>
    </w:p>
  </w:footnote>
  <w:footnote w:id="42">
    <w:p w14:paraId="7866360F" w14:textId="5F90C746" w:rsidR="006E6DA1" w:rsidRPr="006E6DA1" w:rsidRDefault="006E6DA1" w:rsidP="006E6DA1">
      <w:pPr>
        <w:pStyle w:val="FootnoteText"/>
        <w:rPr>
          <w:smallCaps/>
        </w:rPr>
      </w:pPr>
      <w:r w:rsidRPr="006E6DA1">
        <w:rPr>
          <w:rStyle w:val="FootnoteReference"/>
        </w:rPr>
        <w:footnoteRef/>
      </w:r>
      <w:r w:rsidRPr="006E6DA1">
        <w:rPr>
          <w:smallCaps/>
        </w:rPr>
        <w:t>Del. Code Ann. tit. 6, §2714(</w:t>
      </w:r>
      <w:r w:rsidRPr="006E6DA1">
        <w:t>a</w:t>
      </w:r>
      <w:r w:rsidRPr="006E6DA1">
        <w:rPr>
          <w:smallCaps/>
        </w:rPr>
        <w:t>) (2024).</w:t>
      </w:r>
    </w:p>
    <w:p w14:paraId="39F4EFC3" w14:textId="6B2AB11D" w:rsidR="006E6DA1" w:rsidRPr="00531AEA" w:rsidRDefault="006E6DA1" w:rsidP="006E6DA1">
      <w:pPr>
        <w:pStyle w:val="FootnoteText"/>
      </w:pPr>
    </w:p>
  </w:footnote>
  <w:footnote w:id="43">
    <w:p w14:paraId="1A5E9187" w14:textId="34D2D3F8" w:rsidR="006E6DA1" w:rsidRPr="00531AEA" w:rsidRDefault="006E6DA1" w:rsidP="006E6DA1">
      <w:pPr>
        <w:pStyle w:val="FootnoteText"/>
      </w:pPr>
      <w:r w:rsidRPr="006E6DA1">
        <w:rPr>
          <w:vertAlign w:val="superscript"/>
        </w:rPr>
        <w:footnoteRef/>
      </w:r>
      <w:r w:rsidRPr="006E6DA1">
        <w:t xml:space="preserve">Brandner v. Delaware State </w:t>
      </w:r>
      <w:r w:rsidRPr="006E6DA1">
        <w:t xml:space="preserve">Hous. Auth., 605 A.2d 1, 1‒2 (Del. Ch. 1991); Mann v. Cargill Poultry, Inc., No. C.A. 88C-AU37, 1990 WL 91102, at *4 (Del. Super. Ct. June 13, 1990), </w:t>
      </w:r>
      <w:r w:rsidRPr="006E6DA1">
        <w:rPr>
          <w:i/>
        </w:rPr>
        <w:t>aff’d</w:t>
      </w:r>
      <w:r w:rsidRPr="006E6DA1">
        <w:t xml:space="preserve">, 584 A.2d 1228 (Del. 1990); Asher v. A.I. DuPont Inst. of Nemours Found., No. CIV.A. 84C-JL-71, 1987 WL 14876, at *4 (Del. Super. Ct. June 19, 1987); </w:t>
      </w:r>
      <w:r w:rsidRPr="006E6DA1">
        <w:rPr>
          <w:i/>
        </w:rPr>
        <w:t>see also</w:t>
      </w:r>
      <w:r w:rsidRPr="006E6DA1">
        <w:t xml:space="preserve"> Haney v. Laub, 312 A.2d 330, 332 (Del. Super. Ct. 1973).</w:t>
      </w:r>
    </w:p>
  </w:footnote>
  <w:footnote w:id="44">
    <w:p w14:paraId="7961E380" w14:textId="73AF54EB" w:rsidR="006E6DA1" w:rsidRPr="00531AEA" w:rsidRDefault="006E6DA1" w:rsidP="006E6DA1">
      <w:pPr>
        <w:pStyle w:val="FootnoteText"/>
      </w:pPr>
      <w:r w:rsidRPr="006E6DA1">
        <w:rPr>
          <w:vertAlign w:val="superscript"/>
        </w:rPr>
        <w:footnoteRef/>
      </w:r>
      <w:r w:rsidRPr="006E6DA1">
        <w:t xml:space="preserve">Konitzer v. Carpenter, No. 92C-07-067, 1993 WL 562194, at *4 (Del. Super. Ct. Dec. 29, 1993) (citations omitted); </w:t>
      </w:r>
      <w:r w:rsidRPr="006E6DA1">
        <w:rPr>
          <w:i/>
        </w:rPr>
        <w:t>see also</w:t>
      </w:r>
      <w:r w:rsidRPr="006E6DA1">
        <w:t xml:space="preserve"> </w:t>
      </w:r>
      <w:r w:rsidRPr="006E6DA1">
        <w:rPr>
          <w:i/>
        </w:rPr>
        <w:t>Asher</w:t>
      </w:r>
      <w:r w:rsidRPr="006E6DA1">
        <w:t>, 1987 Del. Super. LEXIS 1206, at *1–2 (holding that oral assurances, without more (e.g., consideration), are not sufficient to change at-will status); Edwards v. Lutheran Soc. Serv. of Dover, Inc., No. 83C-JN-22, 1987 Del. Super. LEXIS 1129, at *1 (Del. Super. Ct. Apr. 8, 1987) (holding that employer’s asking prospective new executive director if he would be willing to stay more than two or three years, and expressing hope that he would stay longer, did not change at-will employment status); Peterson v. Beebe Med. Ctr., Inc., No. 91C-07-147, 1992 Del. Super. LEXIS 454 WL 354087, at *1 (Del. Super. Ct. Nov. 13, 1992) (holding that employer’s statement “we trust you will be here until you retire,” was insufficient to create enforceable contractual obligations).</w:t>
      </w:r>
    </w:p>
  </w:footnote>
  <w:footnote w:id="45">
    <w:p w14:paraId="29E198AF" w14:textId="6915FEBC" w:rsidR="006E6DA1" w:rsidRPr="00531AEA" w:rsidRDefault="006E6DA1" w:rsidP="006E6DA1">
      <w:pPr>
        <w:pStyle w:val="FootnoteText"/>
      </w:pPr>
      <w:r w:rsidRPr="006E6DA1">
        <w:rPr>
          <w:vertAlign w:val="superscript"/>
        </w:rPr>
        <w:footnoteRef/>
      </w:r>
      <w:r w:rsidRPr="006E6DA1">
        <w:t>1993 WL 562194.</w:t>
      </w:r>
    </w:p>
  </w:footnote>
  <w:footnote w:id="46">
    <w:p w14:paraId="75398533" w14:textId="2859AD6A" w:rsidR="006E6DA1" w:rsidRPr="00531AEA" w:rsidRDefault="006E6DA1" w:rsidP="006E6DA1">
      <w:pPr>
        <w:pStyle w:val="FootnoteText"/>
      </w:pPr>
      <w:r w:rsidRPr="006E6DA1">
        <w:rPr>
          <w:vertAlign w:val="superscript"/>
        </w:rPr>
        <w:footnoteRef/>
      </w:r>
      <w:r w:rsidRPr="006E6DA1">
        <w:rPr>
          <w:i/>
        </w:rPr>
        <w:t xml:space="preserve">Id. </w:t>
      </w:r>
      <w:r w:rsidRPr="006E6DA1">
        <w:t>at *1.</w:t>
      </w:r>
    </w:p>
  </w:footnote>
  <w:footnote w:id="47">
    <w:p w14:paraId="3D6E49FA" w14:textId="135E80AB" w:rsidR="006E6DA1" w:rsidRPr="00531AEA" w:rsidRDefault="006E6DA1" w:rsidP="006E6DA1">
      <w:pPr>
        <w:pStyle w:val="FootnoteText"/>
      </w:pPr>
      <w:r w:rsidRPr="006E6DA1">
        <w:rPr>
          <w:vertAlign w:val="superscript"/>
        </w:rPr>
        <w:footnoteRef/>
      </w:r>
      <w:r w:rsidRPr="006E6DA1">
        <w:rPr>
          <w:i/>
        </w:rPr>
        <w:t xml:space="preserve">Id. </w:t>
      </w:r>
      <w:r w:rsidRPr="006E6DA1">
        <w:t>at *2.</w:t>
      </w:r>
    </w:p>
  </w:footnote>
  <w:footnote w:id="48">
    <w:p w14:paraId="46982788" w14:textId="2B7AECB3" w:rsidR="006E6DA1" w:rsidRPr="00531AEA" w:rsidRDefault="006E6DA1" w:rsidP="006E6DA1">
      <w:pPr>
        <w:pStyle w:val="FootnoteText"/>
      </w:pPr>
      <w:r w:rsidRPr="006E6DA1">
        <w:rPr>
          <w:vertAlign w:val="superscript"/>
        </w:rPr>
        <w:footnoteRef/>
      </w:r>
      <w:r w:rsidRPr="006E6DA1">
        <w:rPr>
          <w:i/>
        </w:rPr>
        <w:t>Id</w:t>
      </w:r>
      <w:r w:rsidRPr="006E6DA1">
        <w:t>.</w:t>
      </w:r>
    </w:p>
  </w:footnote>
  <w:footnote w:id="49">
    <w:p w14:paraId="06D4CFC3" w14:textId="25D75AEE" w:rsidR="006E6DA1" w:rsidRPr="00531AEA" w:rsidRDefault="006E6DA1" w:rsidP="006E6DA1">
      <w:pPr>
        <w:pStyle w:val="FootnoteText"/>
      </w:pPr>
      <w:r w:rsidRPr="006E6DA1">
        <w:rPr>
          <w:vertAlign w:val="superscript"/>
        </w:rPr>
        <w:footnoteRef/>
      </w:r>
      <w:r w:rsidRPr="006E6DA1">
        <w:rPr>
          <w:i/>
        </w:rPr>
        <w:t xml:space="preserve">Id. </w:t>
      </w:r>
      <w:r w:rsidRPr="006E6DA1">
        <w:t>at *5.</w:t>
      </w:r>
    </w:p>
  </w:footnote>
  <w:footnote w:id="50">
    <w:p w14:paraId="4A51BA58" w14:textId="51C83660" w:rsidR="006E6DA1" w:rsidRPr="00531AEA" w:rsidRDefault="006E6DA1" w:rsidP="006E6DA1">
      <w:pPr>
        <w:pStyle w:val="FootnoteText"/>
      </w:pPr>
      <w:r w:rsidRPr="006E6DA1">
        <w:rPr>
          <w:vertAlign w:val="superscript"/>
        </w:rPr>
        <w:footnoteRef/>
      </w:r>
      <w:r w:rsidRPr="006E6DA1">
        <w:rPr>
          <w:i/>
        </w:rPr>
        <w:t>Id.</w:t>
      </w:r>
    </w:p>
  </w:footnote>
  <w:footnote w:id="51">
    <w:p w14:paraId="5FAE77B3" w14:textId="08DAD985" w:rsidR="006E6DA1" w:rsidRPr="00531AEA" w:rsidRDefault="006E6DA1" w:rsidP="006E6DA1">
      <w:pPr>
        <w:pStyle w:val="FootnoteText"/>
      </w:pPr>
      <w:r w:rsidRPr="006E6DA1">
        <w:rPr>
          <w:vertAlign w:val="superscript"/>
        </w:rPr>
        <w:footnoteRef/>
      </w:r>
      <w:r w:rsidRPr="006E6DA1">
        <w:rPr>
          <w:i/>
        </w:rPr>
        <w:t xml:space="preserve">Id. </w:t>
      </w:r>
      <w:r w:rsidRPr="006E6DA1">
        <w:t>at *5–10.</w:t>
      </w:r>
    </w:p>
  </w:footnote>
  <w:footnote w:id="52">
    <w:p w14:paraId="4306484A" w14:textId="4ED77239" w:rsidR="006E6DA1" w:rsidRPr="00531AEA" w:rsidRDefault="006E6DA1" w:rsidP="006E6DA1">
      <w:pPr>
        <w:pStyle w:val="FootnoteText"/>
      </w:pPr>
      <w:r w:rsidRPr="006E6DA1">
        <w:rPr>
          <w:vertAlign w:val="superscript"/>
        </w:rPr>
        <w:footnoteRef/>
      </w:r>
      <w:r w:rsidRPr="006E6DA1">
        <w:t xml:space="preserve">Merrill v. </w:t>
      </w:r>
      <w:r w:rsidRPr="006E6DA1">
        <w:t xml:space="preserve">Crothall-American, Inc., 606 A.2d 96, 101 (Del. 1992); </w:t>
      </w:r>
      <w:r w:rsidRPr="006E6DA1">
        <w:rPr>
          <w:i/>
        </w:rPr>
        <w:t>see also</w:t>
      </w:r>
      <w:r w:rsidRPr="006E6DA1">
        <w:t xml:space="preserve"> Lord v. Souder, 748 A.2d 393, 403 (Del. 2000); vMedex, Inc. v. TDS Operating, Inc., No. CV 18-1662 (MN), 2020 WL 4925512, at *9 (D. Del. Aug. 21, 2020).</w:t>
      </w:r>
    </w:p>
  </w:footnote>
  <w:footnote w:id="53">
    <w:p w14:paraId="39AB03F7" w14:textId="6194A5EB" w:rsidR="006E6DA1" w:rsidRPr="00531AEA" w:rsidRDefault="006E6DA1" w:rsidP="006E6DA1">
      <w:pPr>
        <w:pStyle w:val="FootnoteText"/>
      </w:pPr>
      <w:r w:rsidRPr="006E6DA1">
        <w:rPr>
          <w:vertAlign w:val="superscript"/>
        </w:rPr>
        <w:footnoteRef/>
      </w:r>
      <w:r w:rsidRPr="006E6DA1">
        <w:rPr>
          <w:i/>
        </w:rPr>
        <w:t>Lord</w:t>
      </w:r>
      <w:r w:rsidRPr="006E6DA1">
        <w:t xml:space="preserve">, 748 A.2d at 401 (“Although our decision in </w:t>
      </w:r>
      <w:r w:rsidRPr="006E6DA1">
        <w:rPr>
          <w:i/>
        </w:rPr>
        <w:t>Pressman</w:t>
      </w:r>
      <w:r w:rsidRPr="006E6DA1">
        <w:t xml:space="preserve"> does not expressly state that the four categories are the exclusive means by which [the plaintiff] may obtain relief for wrongful termination of an employment-at-will contract, we believe that finding the categories to be exclusive is the better approach.”); </w:t>
      </w:r>
      <w:r w:rsidRPr="006E6DA1">
        <w:rPr>
          <w:i/>
        </w:rPr>
        <w:t xml:space="preserve">see also </w:t>
      </w:r>
      <w:r w:rsidRPr="006E6DA1">
        <w:t xml:space="preserve">Bunting v. Citizens Fin. Grp., Inc., No. 05C-03-013-ESB, 2006 WL 1067321, at *5 (Del. Super. Ct. Apr. 13, 2006)); </w:t>
      </w:r>
      <w:r w:rsidRPr="006E6DA1">
        <w:rPr>
          <w:i/>
        </w:rPr>
        <w:t>see also</w:t>
      </w:r>
      <w:r w:rsidRPr="006E6DA1">
        <w:t xml:space="preserve"> Bomberger v. Benchmark Builders, Inc., No. CV 16-1071-RGA, 2017 WL 1377595, at *3 (D. Del. Apr. 13, 2017).</w:t>
      </w:r>
    </w:p>
  </w:footnote>
  <w:footnote w:id="54">
    <w:p w14:paraId="0ECD4C7D" w14:textId="16E7C8A7" w:rsidR="006E6DA1" w:rsidRPr="00531AEA" w:rsidRDefault="006E6DA1" w:rsidP="006E6DA1">
      <w:pPr>
        <w:pStyle w:val="FootnoteText"/>
      </w:pPr>
      <w:r w:rsidRPr="006E6DA1">
        <w:rPr>
          <w:vertAlign w:val="superscript"/>
        </w:rPr>
        <w:footnoteRef/>
      </w:r>
      <w:r w:rsidRPr="006E6DA1">
        <w:t xml:space="preserve">Tolliver v. Trinity Parish Found., No. CV 14-1021-LPS, 2017 WL 3288119, at *14 (D. Del. Aug. 2, 2017) (citing </w:t>
      </w:r>
      <w:r w:rsidRPr="006E6DA1">
        <w:rPr>
          <w:i/>
        </w:rPr>
        <w:t>Lord,</w:t>
      </w:r>
      <w:r w:rsidRPr="006E6DA1">
        <w:t xml:space="preserve"> 748 A.2d at 400); E.I. DuPont de Nemours &amp; Co. v. Pressman, 679 A.2d 436, 442–44 (Del. 1996); </w:t>
      </w:r>
      <w:r w:rsidRPr="006E6DA1">
        <w:t xml:space="preserve">vMedex, Inc. v. TDS Operating, Inc., No. CV 18-1662 (MN), 2021 WL 1737298, at *6 (D. Del. May 3, 2021) (citing </w:t>
      </w:r>
      <w:r w:rsidRPr="006E6DA1">
        <w:rPr>
          <w:i/>
        </w:rPr>
        <w:t>Lord</w:t>
      </w:r>
      <w:r w:rsidRPr="006E6DA1">
        <w:t>, 748 A.2d at 400).</w:t>
      </w:r>
    </w:p>
  </w:footnote>
  <w:footnote w:id="55">
    <w:p w14:paraId="5F5BBA91" w14:textId="767524CB" w:rsidR="006E6DA1" w:rsidRPr="00531AEA" w:rsidRDefault="006E6DA1" w:rsidP="006E6DA1">
      <w:pPr>
        <w:pStyle w:val="FootnoteText"/>
      </w:pPr>
      <w:r w:rsidRPr="006E6DA1">
        <w:rPr>
          <w:vertAlign w:val="superscript"/>
        </w:rPr>
        <w:footnoteRef/>
      </w:r>
      <w:r w:rsidRPr="006E6DA1">
        <w:t xml:space="preserve">Meltzer v. City of Wilmington, No. CIV A 07C-12-197 MMJ, 2008 WL 4899230, at *2 (Del. Super. Ct. Aug. 6, 2008) (citing </w:t>
      </w:r>
      <w:r w:rsidRPr="006E6DA1">
        <w:t xml:space="preserve">Rizzitiello v. McDonald’s Corp., No. CIV.A. 00C-12-027CLS, 2004 WL 396411, at *3 (Del. Super. Ct. Feb. 11, 2004), </w:t>
      </w:r>
      <w:r w:rsidRPr="006E6DA1">
        <w:rPr>
          <w:i/>
        </w:rPr>
        <w:t>aff’d</w:t>
      </w:r>
      <w:r w:rsidRPr="006E6DA1">
        <w:t xml:space="preserve">, 868 A.2d 825 (Del. 2005)); </w:t>
      </w:r>
      <w:r w:rsidRPr="006E6DA1">
        <w:rPr>
          <w:i/>
        </w:rPr>
        <w:t xml:space="preserve">but see </w:t>
      </w:r>
      <w:r w:rsidRPr="006E6DA1">
        <w:t xml:space="preserve">Mitchell v. Cooper, No. CV 14-1421-LPS, 2015 WL 5725766, at *2–3 (D. Del. Sept. 29, 2015) (recognizing theory that claims for breach of the covenant and fair dealing can only be asserted with respect to a termination or constructive discharge, but finding that complaint was subject to dismissal on other grounds.). The </w:t>
      </w:r>
      <w:r w:rsidRPr="006E6DA1">
        <w:rPr>
          <w:i/>
        </w:rPr>
        <w:t xml:space="preserve">Mitchell </w:t>
      </w:r>
      <w:r w:rsidRPr="006E6DA1">
        <w:t>court’s reluctance to rule that the covenant of good faith and fair dealing is not implicated in a failure-to-promote case suggests that this issue remains subject to disagreement between practitioners and the courts.</w:t>
      </w:r>
    </w:p>
  </w:footnote>
  <w:footnote w:id="56">
    <w:p w14:paraId="31921C06" w14:textId="07117FBA" w:rsidR="006E6DA1" w:rsidRPr="00531AEA" w:rsidRDefault="006E6DA1" w:rsidP="006E6DA1">
      <w:pPr>
        <w:pStyle w:val="FootnoteText"/>
      </w:pPr>
      <w:r w:rsidRPr="006E6DA1">
        <w:rPr>
          <w:vertAlign w:val="superscript"/>
        </w:rPr>
        <w:footnoteRef/>
      </w:r>
      <w:r w:rsidRPr="006E6DA1">
        <w:rPr>
          <w:i/>
        </w:rPr>
        <w:t>Merrill</w:t>
      </w:r>
      <w:r w:rsidRPr="006E6DA1">
        <w:t>, 606 A.2d at 101.</w:t>
      </w:r>
    </w:p>
  </w:footnote>
  <w:footnote w:id="57">
    <w:p w14:paraId="62E0FE85" w14:textId="455DBF56" w:rsidR="006E6DA1" w:rsidRPr="00531AEA" w:rsidRDefault="006E6DA1" w:rsidP="006E6DA1">
      <w:pPr>
        <w:pStyle w:val="FootnoteText"/>
      </w:pPr>
      <w:r w:rsidRPr="006E6DA1">
        <w:rPr>
          <w:vertAlign w:val="superscript"/>
        </w:rPr>
        <w:footnoteRef/>
      </w:r>
      <w:r w:rsidRPr="006E6DA1">
        <w:rPr>
          <w:i/>
        </w:rPr>
        <w:t>Id.</w:t>
      </w:r>
    </w:p>
  </w:footnote>
  <w:footnote w:id="58">
    <w:p w14:paraId="342F2330" w14:textId="38822BFF" w:rsidR="006E6DA1" w:rsidRPr="00531AEA" w:rsidRDefault="006E6DA1" w:rsidP="006E6DA1">
      <w:pPr>
        <w:pStyle w:val="FootnoteText"/>
      </w:pPr>
      <w:r w:rsidRPr="006E6DA1">
        <w:rPr>
          <w:vertAlign w:val="superscript"/>
        </w:rPr>
        <w:footnoteRef/>
      </w:r>
      <w:r w:rsidRPr="006E6DA1">
        <w:rPr>
          <w:i/>
        </w:rPr>
        <w:t>Id.</w:t>
      </w:r>
    </w:p>
  </w:footnote>
  <w:footnote w:id="59">
    <w:p w14:paraId="4FD25271" w14:textId="6B830834" w:rsidR="006E6DA1" w:rsidRPr="00531AEA" w:rsidRDefault="006E6DA1" w:rsidP="006E6DA1">
      <w:pPr>
        <w:pStyle w:val="FootnoteText"/>
      </w:pPr>
      <w:r w:rsidRPr="006E6DA1">
        <w:rPr>
          <w:vertAlign w:val="superscript"/>
        </w:rPr>
        <w:footnoteRef/>
      </w:r>
      <w:r w:rsidRPr="006E6DA1">
        <w:t>679 A.2d at 437.</w:t>
      </w:r>
    </w:p>
  </w:footnote>
  <w:footnote w:id="60">
    <w:p w14:paraId="22C24745" w14:textId="74DEA2BC" w:rsidR="006E6DA1" w:rsidRPr="00531AEA" w:rsidRDefault="006E6DA1" w:rsidP="006E6DA1">
      <w:pPr>
        <w:pStyle w:val="FootnoteText"/>
      </w:pPr>
      <w:r w:rsidRPr="006E6DA1">
        <w:rPr>
          <w:vertAlign w:val="superscript"/>
        </w:rPr>
        <w:footnoteRef/>
      </w:r>
      <w:r w:rsidRPr="006E6DA1">
        <w:rPr>
          <w:i/>
        </w:rPr>
        <w:t xml:space="preserve">Id. </w:t>
      </w:r>
      <w:r w:rsidRPr="006E6DA1">
        <w:t>at 439.</w:t>
      </w:r>
    </w:p>
  </w:footnote>
  <w:footnote w:id="61">
    <w:p w14:paraId="24DF08C2" w14:textId="1C1602FB" w:rsidR="006E6DA1" w:rsidRPr="00531AEA" w:rsidRDefault="006E6DA1" w:rsidP="006E6DA1">
      <w:pPr>
        <w:pStyle w:val="FootnoteText"/>
      </w:pPr>
      <w:r w:rsidRPr="006E6DA1">
        <w:rPr>
          <w:vertAlign w:val="superscript"/>
        </w:rPr>
        <w:footnoteRef/>
      </w:r>
      <w:r w:rsidRPr="006E6DA1">
        <w:rPr>
          <w:i/>
        </w:rPr>
        <w:t xml:space="preserve">Id. </w:t>
      </w:r>
      <w:r w:rsidRPr="006E6DA1">
        <w:t>at 449.</w:t>
      </w:r>
    </w:p>
  </w:footnote>
  <w:footnote w:id="62">
    <w:p w14:paraId="0D5252C7" w14:textId="737BC2C8" w:rsidR="006E6DA1" w:rsidRPr="00531AEA" w:rsidRDefault="006E6DA1" w:rsidP="006E6DA1">
      <w:pPr>
        <w:pStyle w:val="FootnoteText"/>
      </w:pPr>
      <w:r w:rsidRPr="006E6DA1">
        <w:rPr>
          <w:vertAlign w:val="superscript"/>
        </w:rPr>
        <w:footnoteRef/>
      </w:r>
      <w:r w:rsidRPr="006E6DA1">
        <w:t xml:space="preserve">Dunn v. </w:t>
      </w:r>
      <w:r w:rsidRPr="006E6DA1">
        <w:t>FastMed Urgent Care, P.C., No. CV 2018-0934 MTZ, 2019 WL 4131010, at *6 (Del. Ch. Aug. 30, 2019) (citing Rizzitiello v. McDonald’s Corp., 868 A.2d 825, 831 (Del. 2005)).</w:t>
      </w:r>
    </w:p>
  </w:footnote>
  <w:footnote w:id="63">
    <w:p w14:paraId="1963A36D" w14:textId="137D1441" w:rsidR="006E6DA1" w:rsidRPr="00531AEA" w:rsidRDefault="006E6DA1" w:rsidP="006E6DA1">
      <w:pPr>
        <w:pStyle w:val="FootnoteText"/>
      </w:pPr>
      <w:r w:rsidRPr="006E6DA1">
        <w:rPr>
          <w:vertAlign w:val="superscript"/>
        </w:rPr>
        <w:footnoteRef/>
      </w:r>
      <w:r w:rsidRPr="006E6DA1">
        <w:rPr>
          <w:i/>
        </w:rPr>
        <w:t>Rizzitiello</w:t>
      </w:r>
      <w:r w:rsidRPr="006E6DA1">
        <w:t>, 868 A.2d at 831–32 n.30 (citing Pennsylvania State Police v. Suders, 542 U.S. 129, 140–41 (2004)).</w:t>
      </w:r>
    </w:p>
  </w:footnote>
  <w:footnote w:id="64">
    <w:p w14:paraId="7C44AE62" w14:textId="582CA292" w:rsidR="006E6DA1" w:rsidRPr="00531AEA" w:rsidRDefault="006E6DA1" w:rsidP="006E6DA1">
      <w:pPr>
        <w:pStyle w:val="FootnoteText"/>
      </w:pPr>
      <w:r w:rsidRPr="006E6DA1">
        <w:rPr>
          <w:vertAlign w:val="superscript"/>
        </w:rPr>
        <w:footnoteRef/>
      </w:r>
      <w:r w:rsidRPr="006E6DA1">
        <w:rPr>
          <w:i/>
        </w:rPr>
        <w:t xml:space="preserve">See </w:t>
      </w:r>
      <w:r w:rsidRPr="006E6DA1">
        <w:t xml:space="preserve">Carroll v. ABM Janitorial </w:t>
      </w:r>
      <w:r w:rsidRPr="006E6DA1">
        <w:t xml:space="preserve">Servs.-Mid Atl., Inc., 970 F. Supp. 2d 292, 301 (D. Del. 2013) (applying Delaware law); </w:t>
      </w:r>
      <w:r w:rsidRPr="006E6DA1">
        <w:rPr>
          <w:i/>
        </w:rPr>
        <w:t>see also</w:t>
      </w:r>
      <w:r w:rsidRPr="006E6DA1">
        <w:t xml:space="preserve"> </w:t>
      </w:r>
      <w:r w:rsidRPr="006E6DA1">
        <w:t>Mondero v. Lewes Surgical &amp; Med. Assocs., P.A., No. CV 14-588-RGA-MPT, 2014 WL 6968847, at *7 (D. Del. Dec. 9, 2014).</w:t>
      </w:r>
    </w:p>
  </w:footnote>
  <w:footnote w:id="65">
    <w:p w14:paraId="00CB9904" w14:textId="436592DB" w:rsidR="006E6DA1" w:rsidRPr="00531AEA" w:rsidRDefault="006E6DA1" w:rsidP="006E6DA1">
      <w:pPr>
        <w:pStyle w:val="FootnoteText"/>
      </w:pPr>
      <w:r w:rsidRPr="006E6DA1">
        <w:rPr>
          <w:vertAlign w:val="superscript"/>
        </w:rPr>
        <w:footnoteRef/>
      </w:r>
      <w:r w:rsidRPr="006E6DA1">
        <w:t xml:space="preserve">E.I. DuPont de Nemours &amp; Co. v. Pressman, 679 A.2d 436, 441–42 (Del. 1996) (citing Shearin v. E.F. Hutton Grp., Inc., 652 A.2d 578, 587–89 (Del. Ch. Ct. 1994)); </w:t>
      </w:r>
      <w:r w:rsidRPr="006E6DA1">
        <w:rPr>
          <w:i/>
        </w:rPr>
        <w:t>see also</w:t>
      </w:r>
      <w:r w:rsidRPr="006E6DA1">
        <w:t xml:space="preserve"> Schuster v. </w:t>
      </w:r>
      <w:r w:rsidRPr="006E6DA1">
        <w:t>Derocili, 775 A.2d 1029, 1038 (Del. 2001); Chance v. Kraft Heinz Foods Co., No. CV K18C-01-056 NEP, 2018 WL 6655670, at *12 (Del. Super. Ct. Dec. 17, 2018).</w:t>
      </w:r>
    </w:p>
  </w:footnote>
  <w:footnote w:id="66">
    <w:p w14:paraId="50391C6B" w14:textId="2ABFB0E7" w:rsidR="006E6DA1" w:rsidRPr="00531AEA" w:rsidRDefault="006E6DA1" w:rsidP="006E6DA1">
      <w:pPr>
        <w:pStyle w:val="FootnoteText"/>
      </w:pPr>
      <w:r w:rsidRPr="006E6DA1">
        <w:rPr>
          <w:vertAlign w:val="superscript"/>
        </w:rPr>
        <w:footnoteRef/>
      </w:r>
      <w:r w:rsidRPr="006E6DA1">
        <w:rPr>
          <w:i/>
        </w:rPr>
        <w:t>Pressman</w:t>
      </w:r>
      <w:r w:rsidRPr="006E6DA1">
        <w:t>, 679 A.2d at 442.</w:t>
      </w:r>
    </w:p>
  </w:footnote>
  <w:footnote w:id="67">
    <w:p w14:paraId="533BBE76" w14:textId="07CD8ADB" w:rsidR="006E6DA1" w:rsidRPr="00531AEA" w:rsidRDefault="006E6DA1" w:rsidP="006E6DA1">
      <w:pPr>
        <w:pStyle w:val="FootnoteText"/>
      </w:pPr>
      <w:r w:rsidRPr="006E6DA1">
        <w:rPr>
          <w:vertAlign w:val="superscript"/>
        </w:rPr>
        <w:footnoteRef/>
      </w:r>
      <w:r w:rsidRPr="006E6DA1">
        <w:t>Lord v. Souder, 748 A.2d 393, 401 (Del. 2000).</w:t>
      </w:r>
    </w:p>
  </w:footnote>
  <w:footnote w:id="68">
    <w:p w14:paraId="0E9F09DE" w14:textId="5039BD04" w:rsidR="006E6DA1" w:rsidRPr="00531AEA" w:rsidRDefault="006E6DA1" w:rsidP="006E6DA1">
      <w:pPr>
        <w:pStyle w:val="FootnoteText"/>
      </w:pPr>
      <w:r w:rsidRPr="006E6DA1">
        <w:rPr>
          <w:vertAlign w:val="superscript"/>
        </w:rPr>
        <w:footnoteRef/>
      </w:r>
      <w:r w:rsidRPr="006E6DA1">
        <w:rPr>
          <w:i/>
        </w:rPr>
        <w:t>See, e.g.</w:t>
      </w:r>
      <w:r w:rsidRPr="006E6DA1">
        <w:t xml:space="preserve">, Saunders v. E.I. DuPont de Nemours &amp; Co., No. 14-329, 2014 WL 7051078, at *4–5 (D. Del. Dec. 12, 2014) (granting employer’s motion to dismiss employee’s claim of breach of implied covenant of good faith and fair dealing, finding employee’s sole remedy for discrimination claim was 19 </w:t>
      </w:r>
      <w:r w:rsidRPr="006E6DA1">
        <w:rPr>
          <w:smallCaps/>
        </w:rPr>
        <w:t>Del. Code</w:t>
      </w:r>
      <w:r w:rsidRPr="006E6DA1">
        <w:t xml:space="preserve"> §710 (2024)); </w:t>
      </w:r>
      <w:r w:rsidRPr="006E6DA1">
        <w:t>Mondero v. Lewes Surgical &amp; Med. Assocs., P.A., No. 14-588, 2014 WL 6968847, at *8 (D. Del. Dec. 9, 2014) (dismissing employee’s claim for breach of covenant of good faith and fair dealing because “there is a statutory remedy for retaliation”).</w:t>
      </w:r>
    </w:p>
  </w:footnote>
  <w:footnote w:id="69">
    <w:p w14:paraId="671E3A21" w14:textId="6BDF7685" w:rsidR="006E6DA1" w:rsidRPr="00531AEA" w:rsidRDefault="006E6DA1" w:rsidP="006E6DA1">
      <w:pPr>
        <w:pStyle w:val="FootnoteText"/>
      </w:pPr>
      <w:r w:rsidRPr="006E6DA1">
        <w:rPr>
          <w:vertAlign w:val="superscript"/>
        </w:rPr>
        <w:footnoteRef/>
      </w:r>
      <w:r w:rsidRPr="006E6DA1">
        <w:rPr>
          <w:i/>
        </w:rPr>
        <w:t>Lord</w:t>
      </w:r>
      <w:r w:rsidRPr="006E6DA1">
        <w:t>, 748 A.2d at 399 (citation omitted).</w:t>
      </w:r>
    </w:p>
  </w:footnote>
  <w:footnote w:id="70">
    <w:p w14:paraId="55061E0D" w14:textId="76D2AA6C" w:rsidR="006E6DA1" w:rsidRPr="00531AEA" w:rsidRDefault="006E6DA1" w:rsidP="006E6DA1">
      <w:pPr>
        <w:pStyle w:val="FootnoteText"/>
      </w:pPr>
      <w:r w:rsidRPr="006E6DA1">
        <w:rPr>
          <w:vertAlign w:val="superscript"/>
        </w:rPr>
        <w:footnoteRef/>
      </w:r>
      <w:r w:rsidRPr="006E6DA1">
        <w:rPr>
          <w:i/>
        </w:rPr>
        <w:t xml:space="preserve">Id. </w:t>
      </w:r>
      <w:r w:rsidRPr="006E6DA1">
        <w:t>at 398 (citations omitted).</w:t>
      </w:r>
    </w:p>
  </w:footnote>
  <w:footnote w:id="71">
    <w:p w14:paraId="5C72C9B8" w14:textId="7074FB76" w:rsidR="006E6DA1" w:rsidRPr="00531AEA" w:rsidRDefault="006E6DA1" w:rsidP="006E6DA1">
      <w:pPr>
        <w:pStyle w:val="FootnoteText"/>
      </w:pPr>
      <w:r w:rsidRPr="006E6DA1">
        <w:rPr>
          <w:vertAlign w:val="superscript"/>
        </w:rPr>
        <w:footnoteRef/>
      </w:r>
      <w:r w:rsidRPr="006E6DA1">
        <w:t>E.I. DuPont de Nemours &amp; Co. v. Pressman, 679 A.2d 436, 442 (Del. 1996).</w:t>
      </w:r>
    </w:p>
  </w:footnote>
  <w:footnote w:id="72">
    <w:p w14:paraId="2AD7DFA9" w14:textId="0AE0F6D6" w:rsidR="006E6DA1" w:rsidRPr="00531AEA" w:rsidRDefault="006E6DA1" w:rsidP="006E6DA1">
      <w:pPr>
        <w:pStyle w:val="FootnoteText"/>
      </w:pPr>
      <w:r w:rsidRPr="006E6DA1">
        <w:rPr>
          <w:vertAlign w:val="superscript"/>
        </w:rPr>
        <w:footnoteRef/>
      </w:r>
      <w:r w:rsidRPr="006E6DA1">
        <w:rPr>
          <w:i/>
        </w:rPr>
        <w:t xml:space="preserve">Id. </w:t>
      </w:r>
      <w:r w:rsidRPr="006E6DA1">
        <w:t xml:space="preserve">at 441 (citing Wagenseller v. Scottsdale </w:t>
      </w:r>
      <w:r w:rsidRPr="006E6DA1">
        <w:t>Mem’l Hosp., 147 Ariz. 370, 385, 710 P.2d 1025, 1040 (Ariz. 1985)).</w:t>
      </w:r>
    </w:p>
  </w:footnote>
  <w:footnote w:id="73">
    <w:p w14:paraId="0652C962" w14:textId="6F649698" w:rsidR="006E6DA1" w:rsidRPr="00531AEA" w:rsidRDefault="006E6DA1" w:rsidP="006E6DA1">
      <w:pPr>
        <w:pStyle w:val="FootnoteText"/>
        <w:rPr>
          <w:lang w:val="fr-FR"/>
        </w:rPr>
      </w:pPr>
      <w:r w:rsidRPr="006E6DA1">
        <w:rPr>
          <w:vertAlign w:val="superscript"/>
        </w:rPr>
        <w:footnoteRef/>
      </w:r>
      <w:r w:rsidRPr="006E6DA1">
        <w:t xml:space="preserve">Harmon v. State, No. CIV.A. 07C-01003 WLW, 2010 WL 8250826, at *2 (Del. Super. Ct. Sept. 27, 2010) (citing Dial v. </w:t>
      </w:r>
      <w:r w:rsidRPr="006E6DA1">
        <w:t>AstroPower, Inc., No. 98C-08-150-WTQ, 1999 Del. Super. 548 1999 WL 1441993, at *8–9 (Del. Super. Ct. Dec. 20, 1999)).</w:t>
      </w:r>
    </w:p>
  </w:footnote>
  <w:footnote w:id="74">
    <w:p w14:paraId="5CFBC302" w14:textId="736A1E1F" w:rsidR="006E6DA1" w:rsidRPr="00531AEA" w:rsidRDefault="006E6DA1" w:rsidP="006E6DA1">
      <w:pPr>
        <w:pStyle w:val="FootnoteText"/>
        <w:rPr>
          <w:lang w:val="fr-FR"/>
        </w:rPr>
      </w:pPr>
      <w:r w:rsidRPr="006E6DA1">
        <w:rPr>
          <w:vertAlign w:val="superscript"/>
        </w:rPr>
        <w:footnoteRef/>
      </w:r>
      <w:r w:rsidRPr="006E6DA1">
        <w:rPr>
          <w:i/>
        </w:rPr>
        <w:t>Pressman</w:t>
      </w:r>
      <w:r w:rsidRPr="006E6DA1">
        <w:t>, 679 A.2d at 443–44.</w:t>
      </w:r>
    </w:p>
  </w:footnote>
  <w:footnote w:id="75">
    <w:p w14:paraId="06B2C9C3" w14:textId="491275CF" w:rsidR="006E6DA1" w:rsidRPr="00531AEA" w:rsidRDefault="006E6DA1" w:rsidP="006E6DA1">
      <w:pPr>
        <w:pStyle w:val="FootnoteText"/>
      </w:pPr>
      <w:r w:rsidRPr="006E6DA1">
        <w:rPr>
          <w:vertAlign w:val="superscript"/>
        </w:rPr>
        <w:footnoteRef/>
      </w:r>
      <w:r w:rsidRPr="006E6DA1">
        <w:rPr>
          <w:i/>
        </w:rPr>
        <w:t>Id</w:t>
      </w:r>
      <w:r w:rsidRPr="006E6DA1">
        <w:t>. at 444.</w:t>
      </w:r>
    </w:p>
  </w:footnote>
  <w:footnote w:id="76">
    <w:p w14:paraId="52F87AB9" w14:textId="6AFA361B" w:rsidR="006E6DA1" w:rsidRPr="00531AEA" w:rsidRDefault="006E6DA1" w:rsidP="006E6DA1">
      <w:pPr>
        <w:pStyle w:val="FootnoteText"/>
      </w:pPr>
      <w:r w:rsidRPr="006E6DA1">
        <w:rPr>
          <w:vertAlign w:val="superscript"/>
        </w:rPr>
        <w:footnoteRef/>
      </w:r>
      <w:r w:rsidRPr="006E6DA1">
        <w:rPr>
          <w:i/>
        </w:rPr>
        <w:t>Id</w:t>
      </w:r>
      <w:r w:rsidRPr="006E6DA1">
        <w:t xml:space="preserve">. </w:t>
      </w:r>
      <w:r w:rsidRPr="006E6DA1">
        <w:rPr>
          <w:i/>
        </w:rPr>
        <w:t>Cf. Dial</w:t>
      </w:r>
      <w:r w:rsidRPr="006E6DA1">
        <w:t xml:space="preserve">, 1999 WL 14419931999 Del. Super. 548, at *9 (expressing doubts as to whether record supported plaintiff’s claim that employer made purposeful misrepresentations); Layfield v. Beebe Med. Ctr., Inc., No. CIV.A. 95C-12-007, 1997 WL 716900, at *5 (Del. Super. Ct. July 18, 1997), </w:t>
      </w:r>
      <w:r w:rsidRPr="006E6DA1">
        <w:rPr>
          <w:i/>
        </w:rPr>
        <w:t xml:space="preserve">on </w:t>
      </w:r>
      <w:r w:rsidRPr="006E6DA1">
        <w:rPr>
          <w:i/>
        </w:rPr>
        <w:t>reargument</w:t>
      </w:r>
      <w:r w:rsidRPr="006E6DA1">
        <w:t>, No. 95-C-12007, 1997 WL 817994 (Del. Super. Ct. Nov. 24, 1997) (record did not support plaintiff’s claim that her employer falsified or manipulated her employment record).</w:t>
      </w:r>
    </w:p>
  </w:footnote>
  <w:footnote w:id="77">
    <w:p w14:paraId="1A342B0B" w14:textId="75A49CF2" w:rsidR="006E6DA1" w:rsidRPr="00531AEA" w:rsidRDefault="006E6DA1" w:rsidP="006E6DA1">
      <w:pPr>
        <w:pStyle w:val="FootnoteText"/>
      </w:pPr>
      <w:r w:rsidRPr="006E6DA1">
        <w:rPr>
          <w:vertAlign w:val="superscript"/>
        </w:rPr>
        <w:footnoteRef/>
      </w:r>
      <w:r w:rsidRPr="006E6DA1">
        <w:rPr>
          <w:i/>
        </w:rPr>
        <w:t>See, e.g.</w:t>
      </w:r>
      <w:r w:rsidRPr="006E6DA1">
        <w:t xml:space="preserve">, Bloss v. Kershner, No. 93C-04-282 CHT, 2000 WL 303342, at *5 (Del. Super. Ct. Mar. 9, 2000), </w:t>
      </w:r>
      <w:r w:rsidRPr="006E6DA1">
        <w:rPr>
          <w:i/>
        </w:rPr>
        <w:t>aff’d</w:t>
      </w:r>
      <w:r w:rsidRPr="006E6DA1">
        <w:t>, 793 A.2d 1249 (Del. 2001) (citing Peterson v. Beebe Med. Ctr., Inc., Del. Super. Ct., C.A. No. 91C-07-147, Del Pesco, J. (Nov. 13, 1992) (ORDER) (finding employee’s subjective interpretation of statements regarding his employment insufficient to support claim that he was offered lifetime employment); Konitzer v. Carpenter, No. C.A. 92C-07-067, 1993 WL 562194, at *5–6 (Del. Super. Ct. Dec. 29, 1993) (noting that oral promises of permanent employment do not alter at-will employment relationship absent consideration); Asher v. A. I. DuPont Inst. of Nemours Found., No. 84C-JL-71, 1987 WL 14876, at *1 (Del. Super. Ct. June 19, 1987) (holding that oral assurances without more (e.g., consideration) are not sufficient to change at-will status); Edwards v. Lutheran Soc. Servs. of Dover, Inc., No. 83C-JN-22, 1987 WL 10271, at *1–2 (Del. Super. Ct. Apr. 8, 1987) (holding that employer’s asking prospective new executive director if he would be willing to stay more than two or three years, and expressing hope that he would stay longer, did not change at-will status).</w:t>
      </w:r>
    </w:p>
  </w:footnote>
  <w:footnote w:id="78">
    <w:p w14:paraId="2D3F21DD" w14:textId="246CF2C1" w:rsidR="006E6DA1" w:rsidRPr="00531AEA" w:rsidRDefault="006E6DA1" w:rsidP="006E6DA1">
      <w:pPr>
        <w:pStyle w:val="FootnoteText"/>
      </w:pPr>
      <w:r w:rsidRPr="006E6DA1">
        <w:rPr>
          <w:vertAlign w:val="superscript"/>
        </w:rPr>
        <w:footnoteRef/>
      </w:r>
      <w:r w:rsidRPr="006E6DA1">
        <w:t>Murphy &amp; Landon, P.A. v. Pernic, 121 A.3d 1215, 1222 (Del. 2015) (citing Avon Prods., Inc. v. Wilson, 513 A.2d 1315, 1317 (Del. 1986) (citations omitted)).</w:t>
      </w:r>
    </w:p>
  </w:footnote>
  <w:footnote w:id="79">
    <w:p w14:paraId="32E324BD" w14:textId="1576A0DA" w:rsidR="006E6DA1" w:rsidRPr="00531AEA" w:rsidRDefault="006E6DA1" w:rsidP="006E6DA1">
      <w:pPr>
        <w:pStyle w:val="FootnoteText"/>
      </w:pPr>
      <w:r w:rsidRPr="006E6DA1">
        <w:rPr>
          <w:vertAlign w:val="superscript"/>
        </w:rPr>
        <w:footnoteRef/>
      </w:r>
      <w:r w:rsidRPr="006E6DA1">
        <w:t xml:space="preserve">Haney v. Laub, 312 A.2d 330, 334 (Del. Sup. Ct. 1973) (citations omitted); </w:t>
      </w:r>
      <w:r w:rsidRPr="006E6DA1">
        <w:rPr>
          <w:i/>
        </w:rPr>
        <w:t>see also</w:t>
      </w:r>
      <w:r w:rsidRPr="006E6DA1">
        <w:t xml:space="preserve"> Carroll v. ABM Janitorial </w:t>
      </w:r>
      <w:r w:rsidRPr="006E6DA1">
        <w:t xml:space="preserve">Servs.-MID Atl., Inc., 970 F. Supp. 2d 292, 301 (D. Del. 2013), </w:t>
      </w:r>
      <w:r w:rsidRPr="006E6DA1">
        <w:rPr>
          <w:i/>
        </w:rPr>
        <w:t>aff’d</w:t>
      </w:r>
      <w:r w:rsidRPr="006E6DA1">
        <w:t>, 569 F. </w:t>
      </w:r>
      <w:r w:rsidRPr="006E6DA1">
        <w:t>App’x 110 (3d Cir. 2014) (finding no exception to at-will doctrine where plaintiff (supervisor) observed false timekeeping practices and reported it to another supervisor, but not superior).</w:t>
      </w:r>
    </w:p>
  </w:footnote>
  <w:footnote w:id="80">
    <w:p w14:paraId="69405A5B" w14:textId="077CDFC5" w:rsidR="006E6DA1" w:rsidRPr="00531AEA" w:rsidRDefault="006E6DA1" w:rsidP="006E6DA1">
      <w:pPr>
        <w:pStyle w:val="FootnoteText"/>
      </w:pPr>
      <w:r w:rsidRPr="006E6DA1">
        <w:rPr>
          <w:vertAlign w:val="superscript"/>
        </w:rPr>
        <w:footnoteRef/>
      </w:r>
      <w:r w:rsidRPr="006E6DA1">
        <w:t xml:space="preserve">Department of Corr. for State of Del. v. Toomey, 700 A.2d 735 (Del. 1997) (unpublished table opinion) (citing </w:t>
      </w:r>
      <w:r w:rsidRPr="006E6DA1">
        <w:rPr>
          <w:i/>
        </w:rPr>
        <w:t>Avon Prods.</w:t>
      </w:r>
      <w:r w:rsidRPr="006E6DA1">
        <w:t xml:space="preserve">, 513 A.2d at 1317); </w:t>
      </w:r>
      <w:r w:rsidRPr="006E6DA1">
        <w:rPr>
          <w:i/>
        </w:rPr>
        <w:t>see also</w:t>
      </w:r>
      <w:r w:rsidRPr="006E6DA1">
        <w:t xml:space="preserve"> Eaton v. Arch Telecom, Inc., 184 A.3d 1292 (Del. 2018) (unpublished table opinion).</w:t>
      </w:r>
    </w:p>
  </w:footnote>
  <w:footnote w:id="81">
    <w:p w14:paraId="3F9E8CCA" w14:textId="5CA1323A" w:rsidR="006E6DA1" w:rsidRPr="00531AEA" w:rsidRDefault="006E6DA1" w:rsidP="006E6DA1">
      <w:pPr>
        <w:pStyle w:val="FootnoteText"/>
      </w:pPr>
      <w:r w:rsidRPr="006E6DA1">
        <w:rPr>
          <w:vertAlign w:val="superscript"/>
        </w:rPr>
        <w:footnoteRef/>
      </w:r>
      <w:r w:rsidRPr="006E6DA1">
        <w:t xml:space="preserve">Calixte v. Mountaire Farms of Del., Inc., No. 13A-04-004, 2014 WL 1724847, at *2 (Del. Super. Ct. Apr. 29, 2014) (citing Jarrell v. </w:t>
      </w:r>
      <w:r w:rsidRPr="006E6DA1">
        <w:t>AmeriSpec Home Inspections, Inc</w:t>
      </w:r>
      <w:r w:rsidRPr="006E6DA1">
        <w:rPr>
          <w:i/>
        </w:rPr>
        <w:t>.,</w:t>
      </w:r>
      <w:r w:rsidRPr="006E6DA1">
        <w:t xml:space="preserve"> 2011 WL 3908162, at *4 (Del. Super. Ct. Aug. 30, 2011)).</w:t>
      </w:r>
    </w:p>
  </w:footnote>
  <w:footnote w:id="82">
    <w:p w14:paraId="6C6B6492" w14:textId="2F10CB9B" w:rsidR="006E6DA1" w:rsidRPr="00531AEA" w:rsidRDefault="006E6DA1" w:rsidP="006E6DA1">
      <w:pPr>
        <w:pStyle w:val="FootnoteText"/>
      </w:pPr>
      <w:r w:rsidRPr="006E6DA1">
        <w:rPr>
          <w:vertAlign w:val="superscript"/>
        </w:rPr>
        <w:footnoteRef/>
      </w:r>
      <w:r w:rsidRPr="006E6DA1">
        <w:rPr>
          <w:i/>
        </w:rPr>
        <w:t>Id.</w:t>
      </w:r>
    </w:p>
  </w:footnote>
  <w:footnote w:id="83">
    <w:p w14:paraId="111857D8" w14:textId="325FBD1F" w:rsidR="006E6DA1" w:rsidRPr="00531AEA" w:rsidRDefault="006E6DA1" w:rsidP="006E6DA1">
      <w:pPr>
        <w:pStyle w:val="FootnoteText"/>
      </w:pPr>
      <w:r w:rsidRPr="006E6DA1">
        <w:rPr>
          <w:vertAlign w:val="superscript"/>
        </w:rPr>
        <w:footnoteRef/>
      </w:r>
      <w:r w:rsidRPr="006E6DA1">
        <w:rPr>
          <w:i/>
        </w:rPr>
        <w:t>Id.</w:t>
      </w:r>
    </w:p>
  </w:footnote>
  <w:footnote w:id="84">
    <w:p w14:paraId="20E0EABE" w14:textId="05727768" w:rsidR="006E6DA1" w:rsidRPr="00531AEA" w:rsidRDefault="006E6DA1" w:rsidP="006E6DA1">
      <w:pPr>
        <w:pStyle w:val="FootnoteText"/>
      </w:pPr>
      <w:r w:rsidRPr="006E6DA1">
        <w:rPr>
          <w:vertAlign w:val="superscript"/>
        </w:rPr>
        <w:footnoteRef/>
      </w:r>
      <w:r w:rsidRPr="006E6DA1">
        <w:t>Heideck v. Kent Gen. Hosp., Inc., 446 A.2d 1095, 1096 (Del. 1982); Elite Cleaning Co. v. Capel, No. CIV.A. 690-N, 2006 WL 1565161, at *4 (Del. Ch. June 2, 2006) (citing Bray v. L.D. Caulk Dentsply Int'l, 748 A.2d 406, 2000 WL 313423, at *1 (TABLE) (Del. 2000) (unpublished table opinion)).</w:t>
      </w:r>
    </w:p>
  </w:footnote>
  <w:footnote w:id="85">
    <w:p w14:paraId="1BBB8221" w14:textId="4470C7DB" w:rsidR="006E6DA1" w:rsidRPr="00531AEA" w:rsidRDefault="006E6DA1" w:rsidP="006E6DA1">
      <w:pPr>
        <w:pStyle w:val="FootnoteText"/>
      </w:pPr>
      <w:r w:rsidRPr="006E6DA1">
        <w:rPr>
          <w:vertAlign w:val="superscript"/>
        </w:rPr>
        <w:footnoteRef/>
      </w:r>
      <w:r w:rsidRPr="006E6DA1">
        <w:t xml:space="preserve">No. CIV. A. 90C-MR-135, 1991 WL 113613, at *2 (Del. Super. Ct.), </w:t>
      </w:r>
      <w:r w:rsidRPr="006E6DA1">
        <w:rPr>
          <w:i/>
        </w:rPr>
        <w:t>aff'd</w:t>
      </w:r>
      <w:r w:rsidRPr="006E6DA1">
        <w:t xml:space="preserve">, 608 A.2d 727 (Del. 1991). </w:t>
      </w:r>
      <w:r w:rsidRPr="006E6DA1">
        <w:rPr>
          <w:i/>
        </w:rPr>
        <w:t xml:space="preserve">Cf. </w:t>
      </w:r>
      <w:r w:rsidRPr="006E6DA1">
        <w:t>Hampshire Grp., Ltd. v. Kuttner, No. CIV.A. 3607-VCS, 2010 WL 2739995, at *45 (Del. Ch. July 12, 2010) (applying South Carolina law and finding that, under South Carolina law, if employer wishes to issue mandatory written policies, and not alter an employee’s at-will status, employer must put a conspicuous disclaimer in its handbook).</w:t>
      </w:r>
    </w:p>
  </w:footnote>
  <w:footnote w:id="86">
    <w:p w14:paraId="46EE1963" w14:textId="5180E60C" w:rsidR="006E6DA1" w:rsidRPr="006E6DA1" w:rsidRDefault="006E6DA1" w:rsidP="006E6DA1">
      <w:pPr>
        <w:pStyle w:val="FootnoteText"/>
      </w:pPr>
      <w:r w:rsidRPr="006E6DA1">
        <w:rPr>
          <w:vertAlign w:val="superscript"/>
        </w:rPr>
        <w:footnoteRef/>
      </w:r>
      <w:r w:rsidRPr="006E6DA1">
        <w:t>Research. &amp; Trading Corp. v. Pfuhl, No. CIV. A. 12527, 1992 WL 345465, at *10 (Del. Ch. Nov. 18, 1992).</w:t>
      </w:r>
    </w:p>
    <w:p w14:paraId="3750B9F1" w14:textId="77777777" w:rsidR="006E6DA1" w:rsidRPr="00531AEA" w:rsidRDefault="006E6DA1" w:rsidP="005477A6">
      <w:pPr>
        <w:pStyle w:val="FootnoteText"/>
      </w:pPr>
    </w:p>
  </w:footnote>
  <w:footnote w:id="87">
    <w:p w14:paraId="62E2C9F7" w14:textId="35AFEFBB" w:rsidR="006E6DA1" w:rsidRPr="00531AEA" w:rsidRDefault="006E6DA1" w:rsidP="006E6DA1">
      <w:pPr>
        <w:pStyle w:val="FootnoteText"/>
      </w:pPr>
      <w:r w:rsidRPr="006E6DA1">
        <w:rPr>
          <w:vertAlign w:val="superscript"/>
        </w:rPr>
        <w:footnoteRef/>
      </w:r>
      <w:r w:rsidRPr="006E6DA1">
        <w:rPr>
          <w:i/>
        </w:rPr>
        <w:t>See</w:t>
      </w:r>
      <w:r w:rsidRPr="006E6DA1">
        <w:t xml:space="preserve"> VII., below.</w:t>
      </w:r>
    </w:p>
  </w:footnote>
  <w:footnote w:id="88">
    <w:p w14:paraId="0FE4C03A" w14:textId="350FA7EC" w:rsidR="006E6DA1" w:rsidRPr="00531AEA" w:rsidRDefault="006E6DA1" w:rsidP="006E6DA1">
      <w:pPr>
        <w:pStyle w:val="FootnoteText"/>
      </w:pPr>
      <w:r w:rsidRPr="006E6DA1">
        <w:rPr>
          <w:vertAlign w:val="superscript"/>
        </w:rPr>
        <w:footnoteRef/>
      </w:r>
      <w:r w:rsidRPr="006E6DA1">
        <w:t>748 A.2d 393, 400 (Del. 2000) (stating “quantifying damages in cases involving the wrongful discharge of an at-will employee is problematic”)</w:t>
      </w:r>
    </w:p>
  </w:footnote>
  <w:footnote w:id="89">
    <w:p w14:paraId="19F28583" w14:textId="4EB4D194" w:rsidR="006E6DA1" w:rsidRPr="00531AEA" w:rsidRDefault="006E6DA1" w:rsidP="006E6DA1">
      <w:pPr>
        <w:pStyle w:val="FootnoteText"/>
      </w:pPr>
      <w:r w:rsidRPr="006E6DA1">
        <w:rPr>
          <w:vertAlign w:val="superscript"/>
        </w:rPr>
        <w:footnoteRef/>
      </w:r>
      <w:r w:rsidRPr="006E6DA1">
        <w:t xml:space="preserve">E.I. DuPont de Nemours &amp; Co. v. Pressman, 679 A.2d 436, 448 (Del. 1996) (holding that punitive damages would not be available for any breach of employment contract which may be found by jury upon retrial of plaintiff’s claims); Owens v. Connections </w:t>
      </w:r>
      <w:r w:rsidRPr="006E6DA1">
        <w:t xml:space="preserve">Cmty. Support Programs, Inc., 840 F. Supp. 2d 791, 799 (D. Del. 2012) (dismissing claim for punitive damages, where plaintiff-employee only alleged breach of contract and breach of the covenant of good faith and fair </w:t>
      </w:r>
      <w:r w:rsidRPr="006E6DA1">
        <w:t>dealing, and did not allege any conduct that would independently amount to a tort).</w:t>
      </w:r>
    </w:p>
  </w:footnote>
  <w:footnote w:id="90">
    <w:p w14:paraId="3296F2E3" w14:textId="52153491" w:rsidR="006E6DA1" w:rsidRPr="00531AEA" w:rsidRDefault="006E6DA1" w:rsidP="006E6DA1">
      <w:pPr>
        <w:pStyle w:val="FootnoteText"/>
      </w:pPr>
      <w:r w:rsidRPr="006E6DA1">
        <w:rPr>
          <w:vertAlign w:val="superscript"/>
        </w:rPr>
        <w:footnoteRef/>
      </w:r>
      <w:r w:rsidRPr="006E6DA1">
        <w:t xml:space="preserve">19 </w:t>
      </w:r>
      <w:r w:rsidRPr="006E6DA1">
        <w:rPr>
          <w:smallCaps/>
        </w:rPr>
        <w:t xml:space="preserve">Del. Code </w:t>
      </w:r>
      <w:r w:rsidRPr="006E6DA1">
        <w:t>§2304 (2024).</w:t>
      </w:r>
    </w:p>
  </w:footnote>
  <w:footnote w:id="91">
    <w:p w14:paraId="505C426F" w14:textId="398CA43D" w:rsidR="006E6DA1" w:rsidRPr="00531AEA" w:rsidRDefault="006E6DA1" w:rsidP="006E6DA1">
      <w:pPr>
        <w:pStyle w:val="FootnoteText"/>
      </w:pPr>
      <w:r w:rsidRPr="006E6DA1">
        <w:rPr>
          <w:vertAlign w:val="superscript"/>
        </w:rPr>
        <w:footnoteRef/>
      </w:r>
      <w:r w:rsidRPr="006E6DA1">
        <w:t xml:space="preserve">Battista v. Chrysler Corp., 454 A.2d 286, 288 (Del. Super. Ct. 1982). </w:t>
      </w:r>
      <w:r w:rsidRPr="006E6DA1">
        <w:rPr>
          <w:i/>
        </w:rPr>
        <w:t>But see</w:t>
      </w:r>
      <w:r w:rsidRPr="006E6DA1">
        <w:t xml:space="preserve"> McGeary v. Mellon Bank, No. CIV.A. 87CAU1531CV, 1987 WL 764045, at *1 (Del. Super. Ct. Dec. 8, 1987) (workers’ compensation exclusivity did not control because cause of action “arose allegedly when plaintiff was fired by defendant Mellon Bank, and the subsequent actions of Mellon’s employees in notifying other employees of plaintiff’s discharge. The claims set forth by plaintiff do not arise out of the course of his employment, were not allegedly caused by the employment, and do not prevent plaintiff from seeking further employment.”).</w:t>
      </w:r>
    </w:p>
  </w:footnote>
  <w:footnote w:id="92">
    <w:p w14:paraId="4912EA4E" w14:textId="638580B0" w:rsidR="006E6DA1" w:rsidRPr="006E6DA1" w:rsidRDefault="006E6DA1" w:rsidP="006E6DA1">
      <w:pPr>
        <w:pStyle w:val="FootnoteText"/>
      </w:pPr>
      <w:r w:rsidRPr="006E6DA1">
        <w:rPr>
          <w:vertAlign w:val="superscript"/>
        </w:rPr>
        <w:footnoteRef/>
      </w:r>
      <w:r w:rsidRPr="006E6DA1">
        <w:t xml:space="preserve">Nieves v. Acme Mkts., Inc., 541 F. Supp. 2d 600, 611 (D. Del. 2008) (citing Rafferty v. Hartman Walsh Painting Co., 760 A.2d 157, 159 (Del. 2000)). </w:t>
      </w:r>
      <w:r w:rsidRPr="006E6DA1">
        <w:rPr>
          <w:i/>
        </w:rPr>
        <w:t>See also</w:t>
      </w:r>
      <w:r w:rsidRPr="006E6DA1">
        <w:t xml:space="preserve"> Segura v. M Cubed Techs., Inc., No. CV N18C-01-249 ALR, 2019 WL 1504048, at *2 (Del. Super. Ct. Apr. 4, 2019) (granting summary judgment where employee asserted negligence claims against employer).</w:t>
      </w:r>
    </w:p>
    <w:p w14:paraId="75B39E9B" w14:textId="77777777" w:rsidR="006E6DA1" w:rsidRPr="00531AEA" w:rsidRDefault="006E6DA1" w:rsidP="004B16FD">
      <w:pPr>
        <w:pStyle w:val="FootnoteText"/>
      </w:pPr>
    </w:p>
  </w:footnote>
  <w:footnote w:id="93">
    <w:p w14:paraId="0191EEA4" w14:textId="13A6D98D" w:rsidR="006E6DA1" w:rsidRPr="00531AEA" w:rsidRDefault="006E6DA1" w:rsidP="006E6DA1">
      <w:pPr>
        <w:pStyle w:val="FootnoteText"/>
      </w:pPr>
      <w:r w:rsidRPr="006E6DA1">
        <w:rPr>
          <w:vertAlign w:val="superscript"/>
        </w:rPr>
        <w:footnoteRef/>
      </w:r>
      <w:r w:rsidRPr="006E6DA1">
        <w:rPr>
          <w:i/>
        </w:rPr>
        <w:t>Battista,</w:t>
      </w:r>
      <w:r w:rsidRPr="006E6DA1">
        <w:t xml:space="preserve"> 454 A.2d at 288–89 (citing Foley v. Polaroid Corp., 413 N.E.2d 711, 716 (Mass. 1980)).</w:t>
      </w:r>
    </w:p>
  </w:footnote>
  <w:footnote w:id="94">
    <w:p w14:paraId="4636EC3C" w14:textId="02F4A222" w:rsidR="006E6DA1" w:rsidRPr="00531AEA" w:rsidRDefault="006E6DA1" w:rsidP="006E6DA1">
      <w:pPr>
        <w:pStyle w:val="FootnoteText"/>
      </w:pPr>
      <w:r w:rsidRPr="006E6DA1">
        <w:rPr>
          <w:vertAlign w:val="superscript"/>
        </w:rPr>
        <w:footnoteRef/>
      </w:r>
      <w:r w:rsidRPr="006E6DA1">
        <w:rPr>
          <w:i/>
        </w:rPr>
        <w:t xml:space="preserve">Id. </w:t>
      </w:r>
      <w:r w:rsidRPr="006E6DA1">
        <w:t>at 289 (“Focusing on the nature of the injury, one concludes that mental harm is the essence as well as an indispensable element of the tort.”); Limehouse v. Steak &amp; Ale Rest. Corp., 850 A.2d 302, at *3 (Del. 2004) (upholding the trial court’s determination that plaintiff’s claim for intentional infliction of emotional distress was preempted by the workers’ compensation statute and did not fall within any exception) (unpublished table opinion) (full opinion at 2004 Del. LEXIS 240 (Del. June 7, 2004)); Sharma v. Wesley, No. CV 18-1250 (MN), 2019 WL 3387786, at *7 (D. Del. July 26, 2019).</w:t>
      </w:r>
    </w:p>
  </w:footnote>
  <w:footnote w:id="95">
    <w:p w14:paraId="04CD2C01" w14:textId="7A09FBB8" w:rsidR="006E6DA1" w:rsidRPr="006E6DA1" w:rsidRDefault="006E6DA1" w:rsidP="006E6DA1">
      <w:pPr>
        <w:pStyle w:val="FootnoteText"/>
      </w:pPr>
      <w:r w:rsidRPr="006E6DA1">
        <w:rPr>
          <w:vertAlign w:val="superscript"/>
        </w:rPr>
        <w:footnoteRef/>
      </w:r>
      <w:r w:rsidRPr="006E6DA1">
        <w:t>Lord v. Souder, 748 A.2d 393, 402–03 (Del. 2000) (quoting Kaye v. Pantone, Inc., 395 A.2d 369, 373 (Del. Ch. 1978)) (“Prima facie tort is defined as ‘the intentional [infliction of harm], resulting in damage, without excuse or justification, by an act or series of acts which would otherwise be lawful and which acts do not fall within the categories of traditional tort.’”).</w:t>
      </w:r>
    </w:p>
    <w:p w14:paraId="4E1DE74C" w14:textId="77777777" w:rsidR="006E6DA1" w:rsidRPr="00531AEA" w:rsidRDefault="006E6DA1" w:rsidP="003D76C9">
      <w:pPr>
        <w:pStyle w:val="FootnoteText"/>
      </w:pPr>
    </w:p>
  </w:footnote>
  <w:footnote w:id="96">
    <w:p w14:paraId="03AA2A1B" w14:textId="7DFCB6C2" w:rsidR="006E6DA1" w:rsidRPr="00531AEA" w:rsidRDefault="006E6DA1" w:rsidP="006E6DA1">
      <w:pPr>
        <w:pStyle w:val="FootnoteText"/>
      </w:pPr>
      <w:r w:rsidRPr="006E6DA1">
        <w:rPr>
          <w:vertAlign w:val="superscript"/>
        </w:rPr>
        <w:footnoteRef/>
      </w:r>
      <w:r w:rsidRPr="006E6DA1">
        <w:t xml:space="preserve">Allison v. J.C. Bennington Co., No. 96C-04-047-WTQ, 1996 WL 944908, at *4 (Del. Super. Ct. Aug. 6, 1996); </w:t>
      </w:r>
      <w:r w:rsidRPr="006E6DA1">
        <w:rPr>
          <w:i/>
        </w:rPr>
        <w:t>see also</w:t>
      </w:r>
      <w:r w:rsidRPr="006E6DA1">
        <w:t xml:space="preserve"> Mergenthaler v. Asbestos Corp. of Am., 480 A.2d 647, 650 (Del. 1984) (physical and mental injuries that are otherwise compensable in Delaware’s workers’ compensation law are recoverable in connection with nonphysical tort only if they were items of damage peripheral or incidental to a physical tort); Roberts v. Delmarva Power &amp; Light Co., 2 A.3d 131, 143 (Del. Super. Ct. 2009) (granting summary judgment where Plaintiff failed to make a showing of physical injury).</w:t>
      </w:r>
    </w:p>
  </w:footnote>
  <w:footnote w:id="97">
    <w:p w14:paraId="7BA13F51" w14:textId="128E9105" w:rsidR="006E6DA1" w:rsidRPr="00531AEA" w:rsidRDefault="006E6DA1" w:rsidP="006E6DA1">
      <w:pPr>
        <w:pStyle w:val="FootnoteText"/>
      </w:pPr>
      <w:r w:rsidRPr="006E6DA1">
        <w:rPr>
          <w:vertAlign w:val="superscript"/>
        </w:rPr>
        <w:footnoteRef/>
      </w:r>
      <w:r w:rsidRPr="006E6DA1">
        <w:t xml:space="preserve">Konstantopoulos v. Westvaco Corp., 690 A.2d 936, 938–39 (Del. 1996) (holding employee’s claim of sexual harassment was barred by workers’ compensation exclusivity rule). </w:t>
      </w:r>
      <w:r w:rsidRPr="006E6DA1">
        <w:rPr>
          <w:i/>
        </w:rPr>
        <w:t xml:space="preserve">Id. </w:t>
      </w:r>
      <w:r w:rsidRPr="006E6DA1">
        <w:t xml:space="preserve">at 939 (The court further clarified that the “personal dispute” exception contained in the Act, 19 </w:t>
      </w:r>
      <w:r w:rsidRPr="006E6DA1">
        <w:rPr>
          <w:smallCaps/>
        </w:rPr>
        <w:t>Del. Code</w:t>
      </w:r>
      <w:r w:rsidRPr="006E6DA1">
        <w:t xml:space="preserve"> §2301(18)(b), had no bearing on the certified question before it because the employee’s injuries were not occasioned by conduct completely unrelated to activities of the workplace); </w:t>
      </w:r>
      <w:r w:rsidRPr="006E6DA1">
        <w:rPr>
          <w:i/>
        </w:rPr>
        <w:t>see also</w:t>
      </w:r>
      <w:r w:rsidRPr="006E6DA1">
        <w:t xml:space="preserve"> Williams v. Cato Oil, No. CIV.A. CPU509-001555, 2010 WL 3707583, at *5 (Del. Com. Pl. Sept. 7, 2010) (construing “personal dispute” exception narrowly).</w:t>
      </w:r>
    </w:p>
  </w:footnote>
  <w:footnote w:id="98">
    <w:p w14:paraId="3E995849" w14:textId="3C5464E1" w:rsidR="006E6DA1" w:rsidRPr="00531AEA" w:rsidRDefault="006E6DA1" w:rsidP="006E6DA1">
      <w:pPr>
        <w:pStyle w:val="FootnoteText"/>
      </w:pPr>
      <w:r w:rsidRPr="006E6DA1">
        <w:rPr>
          <w:vertAlign w:val="superscript"/>
        </w:rPr>
        <w:footnoteRef/>
      </w:r>
      <w:r w:rsidRPr="006E6DA1">
        <w:t>Grabowski v. Mangler, 956 A.2d 1217, 1221 (Del. 2008).</w:t>
      </w:r>
    </w:p>
  </w:footnote>
  <w:footnote w:id="99">
    <w:p w14:paraId="52CB6A1A" w14:textId="59A14806" w:rsidR="006E6DA1" w:rsidRPr="00531AEA" w:rsidRDefault="006E6DA1" w:rsidP="006E6DA1">
      <w:pPr>
        <w:pStyle w:val="FootnoteText"/>
      </w:pPr>
      <w:r w:rsidRPr="006E6DA1">
        <w:rPr>
          <w:vertAlign w:val="superscript"/>
        </w:rPr>
        <w:footnoteRef/>
      </w:r>
      <w:r w:rsidRPr="006E6DA1">
        <w:t xml:space="preserve">Dial v. </w:t>
      </w:r>
      <w:r w:rsidRPr="006E6DA1">
        <w:t>AstroPower, Inc., No. 98C-08-150-WTQ, 2000 WL 1211135, at *6–7 (Del. Super. Ct. June 20, 2000).</w:t>
      </w:r>
    </w:p>
  </w:footnote>
  <w:footnote w:id="100">
    <w:p w14:paraId="09A1C871" w14:textId="383A3EBC" w:rsidR="006E6DA1" w:rsidRPr="006E6DA1" w:rsidRDefault="006E6DA1" w:rsidP="006E6DA1">
      <w:pPr>
        <w:pStyle w:val="FootnoteText"/>
      </w:pPr>
      <w:r w:rsidRPr="006E6DA1">
        <w:rPr>
          <w:vertAlign w:val="superscript"/>
        </w:rPr>
        <w:footnoteRef/>
      </w:r>
      <w:r w:rsidRPr="006E6DA1">
        <w:rPr>
          <w:i/>
        </w:rPr>
        <w:t>Id.</w:t>
      </w:r>
    </w:p>
    <w:p w14:paraId="1E934F66" w14:textId="77777777" w:rsidR="006E6DA1" w:rsidRPr="00531AEA" w:rsidRDefault="006E6DA1" w:rsidP="001A55E7">
      <w:pPr>
        <w:pStyle w:val="FootnoteText"/>
      </w:pPr>
    </w:p>
  </w:footnote>
  <w:footnote w:id="101">
    <w:p w14:paraId="612AC978" w14:textId="2D8584A5" w:rsidR="006E6DA1" w:rsidRPr="00531AEA" w:rsidRDefault="006E6DA1" w:rsidP="006E6DA1">
      <w:pPr>
        <w:pStyle w:val="FootnoteText"/>
      </w:pPr>
      <w:r w:rsidRPr="006E6DA1">
        <w:rPr>
          <w:vertAlign w:val="superscript"/>
        </w:rPr>
        <w:footnoteRef/>
      </w:r>
      <w:r w:rsidRPr="006E6DA1">
        <w:rPr>
          <w:i/>
        </w:rPr>
        <w:t xml:space="preserve">Id. </w:t>
      </w:r>
      <w:r w:rsidRPr="006E6DA1">
        <w:t>at *7.</w:t>
      </w:r>
    </w:p>
  </w:footnote>
  <w:footnote w:id="102">
    <w:p w14:paraId="012C5A89" w14:textId="6A4DFC14" w:rsidR="006E6DA1" w:rsidRPr="00531AEA" w:rsidRDefault="006E6DA1" w:rsidP="006E6DA1">
      <w:pPr>
        <w:pStyle w:val="FootnoteText"/>
      </w:pPr>
      <w:r w:rsidRPr="006E6DA1">
        <w:rPr>
          <w:vertAlign w:val="superscript"/>
        </w:rPr>
        <w:footnoteRef/>
      </w:r>
      <w:r w:rsidRPr="006E6DA1">
        <w:t xml:space="preserve">Great Am. Opportunities, Inc. v. Cherrydale Fundraising, LLC, No. CIV.A. 3718-VCP, 2010 WL 338219, at *10 (Del. Ch. Jan. 29, 2010); Zachman v. Real Time Cloud Servs., LLC, No. CV 9729-VCG, 2020 WL 1522840, at *19 (Del. Ch. Mar. 31, 2020), </w:t>
      </w:r>
      <w:r w:rsidRPr="006E6DA1">
        <w:rPr>
          <w:i/>
        </w:rPr>
        <w:t>appeal dismissed</w:t>
      </w:r>
      <w:r w:rsidRPr="006E6DA1">
        <w:t xml:space="preserve">, 228 A.3d 1065 (Del.), and </w:t>
      </w:r>
      <w:r w:rsidRPr="006E6DA1">
        <w:rPr>
          <w:i/>
        </w:rPr>
        <w:t>judgment entered</w:t>
      </w:r>
      <w:r w:rsidRPr="006E6DA1">
        <w:t xml:space="preserve">, No. CV 9729-VCG, 2020 WL 4210935 (Del. Ch. July 22, 2020), and </w:t>
      </w:r>
      <w:r w:rsidRPr="006E6DA1">
        <w:rPr>
          <w:i/>
        </w:rPr>
        <w:t>aff’d</w:t>
      </w:r>
      <w:r w:rsidRPr="006E6DA1">
        <w:t>, 251 A.3d 115 (Del. 2021)</w:t>
      </w:r>
    </w:p>
  </w:footnote>
  <w:footnote w:id="103">
    <w:p w14:paraId="2404473F" w14:textId="025E2757" w:rsidR="006E6DA1" w:rsidRPr="00531AEA" w:rsidRDefault="006E6DA1" w:rsidP="006E6DA1">
      <w:pPr>
        <w:pStyle w:val="FootnoteText"/>
      </w:pPr>
      <w:r w:rsidRPr="006E6DA1">
        <w:rPr>
          <w:vertAlign w:val="superscript"/>
        </w:rPr>
        <w:footnoteRef/>
      </w:r>
      <w:r w:rsidRPr="006E6DA1">
        <w:rPr>
          <w:i/>
        </w:rPr>
        <w:t xml:space="preserve">Id. </w:t>
      </w:r>
      <w:r w:rsidRPr="006E6DA1">
        <w:t xml:space="preserve">at *10. </w:t>
      </w:r>
      <w:r w:rsidRPr="006E6DA1">
        <w:rPr>
          <w:i/>
        </w:rPr>
        <w:t xml:space="preserve">Cf. </w:t>
      </w:r>
      <w:r w:rsidRPr="006E6DA1">
        <w:t xml:space="preserve">Triton Constr. Co. v. Eastern Shore Elec. Serv., Inc., No. 3290-VCP, 2009 WL 1387115, at *19 (Del. Ch. Ct. May 18, 2009) (finding that plaintiff/employee electrical contractor could not maintain claim for tortious interference with contract because employee lacked valid employment contract). </w:t>
      </w:r>
      <w:r w:rsidRPr="006E6DA1">
        <w:rPr>
          <w:i/>
        </w:rPr>
        <w:t>See generally</w:t>
      </w:r>
      <w:r w:rsidRPr="006E6DA1">
        <w:t xml:space="preserve"> </w:t>
      </w:r>
      <w:r w:rsidRPr="006E6DA1">
        <w:rPr>
          <w:smallCaps/>
        </w:rPr>
        <w:t>Brian M. Malsberger, Tortious Interference in the Employment Context: A State-by-State Survey</w:t>
      </w:r>
      <w:r w:rsidRPr="006E6DA1">
        <w:t xml:space="preserve"> (Arlington, Va.: Bloomberg Law, 6th ed. 2019).</w:t>
      </w:r>
    </w:p>
  </w:footnote>
  <w:footnote w:id="104">
    <w:p w14:paraId="6524739E" w14:textId="29CB580B" w:rsidR="006E6DA1" w:rsidRPr="00531AEA" w:rsidRDefault="006E6DA1" w:rsidP="006E6DA1">
      <w:pPr>
        <w:pStyle w:val="FootnoteText"/>
      </w:pPr>
      <w:r w:rsidRPr="006E6DA1">
        <w:rPr>
          <w:vertAlign w:val="superscript"/>
        </w:rPr>
        <w:footnoteRef/>
      </w:r>
      <w:r w:rsidRPr="006E6DA1">
        <w:t>Gilliland v. St. Joseph’s at Providence Creek, C.A. No. 04C-09-042, 2006 WL 258259, at *8 (Del. Super. Ct. Jan. 27, 2006); Masterson-Carr v. Anesthesia Servs., P.A., No. CV N12C-11-107 MJB, 2015 WL 5168557, at *10 (Del. Super. Ct. Aug. 28, 2015).</w:t>
      </w:r>
    </w:p>
  </w:footnote>
  <w:footnote w:id="105">
    <w:p w14:paraId="18D3FD6E" w14:textId="768CED8E" w:rsidR="006E6DA1" w:rsidRPr="00531AEA" w:rsidRDefault="006E6DA1" w:rsidP="006E6DA1">
      <w:pPr>
        <w:pStyle w:val="FootnoteText"/>
      </w:pPr>
      <w:r w:rsidRPr="006E6DA1">
        <w:rPr>
          <w:vertAlign w:val="superscript"/>
        </w:rPr>
        <w:footnoteRef/>
      </w:r>
      <w:r w:rsidRPr="006E6DA1">
        <w:rPr>
          <w:i/>
        </w:rPr>
        <w:t>Gilliland</w:t>
      </w:r>
      <w:r w:rsidRPr="006E6DA1">
        <w:t> </w:t>
      </w:r>
      <w:r w:rsidRPr="006E6DA1">
        <w:rPr>
          <w:i/>
        </w:rPr>
        <w:t xml:space="preserve">2006 WL 258259, </w:t>
      </w:r>
      <w:r w:rsidRPr="006E6DA1">
        <w:t>at *8.</w:t>
      </w:r>
    </w:p>
  </w:footnote>
  <w:footnote w:id="106">
    <w:p w14:paraId="4A5B918D" w14:textId="17826A62" w:rsidR="006E6DA1" w:rsidRPr="00531AEA" w:rsidRDefault="006E6DA1" w:rsidP="006E6DA1">
      <w:pPr>
        <w:pStyle w:val="FootnoteText"/>
      </w:pPr>
      <w:r w:rsidRPr="006E6DA1">
        <w:rPr>
          <w:vertAlign w:val="superscript"/>
        </w:rPr>
        <w:footnoteRef/>
      </w:r>
      <w:r w:rsidRPr="006E6DA1">
        <w:rPr>
          <w:i/>
        </w:rPr>
        <w:t>Id.</w:t>
      </w:r>
    </w:p>
  </w:footnote>
  <w:footnote w:id="107">
    <w:p w14:paraId="231A0E25" w14:textId="0137E694" w:rsidR="006E6DA1" w:rsidRPr="00531AEA" w:rsidRDefault="006E6DA1" w:rsidP="006E6DA1">
      <w:pPr>
        <w:pStyle w:val="FootnoteText"/>
      </w:pPr>
      <w:r w:rsidRPr="006E6DA1">
        <w:rPr>
          <w:vertAlign w:val="superscript"/>
        </w:rPr>
        <w:footnoteRef/>
      </w:r>
      <w:r w:rsidRPr="006E6DA1">
        <w:rPr>
          <w:i/>
        </w:rPr>
        <w:t>Id.</w:t>
      </w:r>
    </w:p>
  </w:footnote>
  <w:footnote w:id="108">
    <w:p w14:paraId="73E8C0C7" w14:textId="58957F5A" w:rsidR="006E6DA1" w:rsidRPr="00531AEA" w:rsidRDefault="006E6DA1" w:rsidP="006E6DA1">
      <w:pPr>
        <w:pStyle w:val="FootnoteText"/>
      </w:pPr>
      <w:r w:rsidRPr="006E6DA1">
        <w:rPr>
          <w:vertAlign w:val="superscript"/>
        </w:rPr>
        <w:footnoteRef/>
      </w:r>
      <w:r w:rsidRPr="006E6DA1">
        <w:rPr>
          <w:i/>
        </w:rPr>
        <w:t>Id.</w:t>
      </w:r>
    </w:p>
  </w:footnote>
  <w:footnote w:id="109">
    <w:p w14:paraId="215C7931" w14:textId="7A437363" w:rsidR="006E6DA1" w:rsidRPr="00531AEA" w:rsidRDefault="006E6DA1" w:rsidP="006E6DA1">
      <w:pPr>
        <w:pStyle w:val="FootnoteText"/>
      </w:pPr>
      <w:r w:rsidRPr="006E6DA1">
        <w:rPr>
          <w:vertAlign w:val="superscript"/>
        </w:rPr>
        <w:footnoteRef/>
      </w:r>
      <w:r w:rsidRPr="006E6DA1">
        <w:rPr>
          <w:i/>
        </w:rPr>
        <w:t>Id.</w:t>
      </w:r>
    </w:p>
  </w:footnote>
  <w:footnote w:id="110">
    <w:p w14:paraId="0E0BACA0" w14:textId="08AEA484" w:rsidR="006E6DA1" w:rsidRPr="00531AEA" w:rsidRDefault="006E6DA1" w:rsidP="006E6DA1">
      <w:pPr>
        <w:pStyle w:val="FootnoteText"/>
      </w:pPr>
      <w:r w:rsidRPr="006E6DA1">
        <w:rPr>
          <w:vertAlign w:val="superscript"/>
        </w:rPr>
        <w:footnoteRef/>
      </w:r>
      <w:r w:rsidRPr="006E6DA1">
        <w:rPr>
          <w:i/>
        </w:rPr>
        <w:t>Id.</w:t>
      </w:r>
    </w:p>
  </w:footnote>
  <w:footnote w:id="111">
    <w:p w14:paraId="474436F1" w14:textId="049C8438" w:rsidR="006E6DA1" w:rsidRPr="00531AEA" w:rsidRDefault="006E6DA1" w:rsidP="006E6DA1">
      <w:pPr>
        <w:pStyle w:val="FootnoteText"/>
      </w:pPr>
      <w:r w:rsidRPr="006E6DA1">
        <w:rPr>
          <w:vertAlign w:val="superscript"/>
        </w:rPr>
        <w:footnoteRef/>
      </w:r>
      <w:r w:rsidRPr="006E6DA1">
        <w:t xml:space="preserve">Carroll v. ABM Janitorial </w:t>
      </w:r>
      <w:r w:rsidRPr="006E6DA1">
        <w:t>Servs.-Mid Atl., Inc., 970 F. Supp. 2d 292, 299–300 (D. Del. 2013) (citing Read v. Carpenter, No. 95C-03-171, 1995 WL 945544, at *2 (Del. Super. Ct. June 8, 1995)) (applying Delaware law).</w:t>
      </w:r>
    </w:p>
  </w:footnote>
  <w:footnote w:id="112">
    <w:p w14:paraId="132C4F42" w14:textId="2EE9FFB2" w:rsidR="006E6DA1" w:rsidRPr="00531AEA" w:rsidRDefault="006E6DA1" w:rsidP="006E6DA1">
      <w:pPr>
        <w:pStyle w:val="FootnoteText"/>
      </w:pPr>
      <w:r w:rsidRPr="006E6DA1">
        <w:rPr>
          <w:vertAlign w:val="superscript"/>
        </w:rPr>
        <w:footnoteRef/>
      </w:r>
      <w:r w:rsidRPr="006E6DA1">
        <w:rPr>
          <w:i/>
        </w:rPr>
        <w:t>See id.</w:t>
      </w:r>
      <w:r w:rsidRPr="006E6DA1">
        <w:t>; Gilliland v. St. Joseph’s at Providence Creek, No. 04C-09-042, 2006 WL 258259, at *8 (Del. Super. Ct. Jan. 27, 2006) (citing Lynch v. Mellon Bank of Del., 1992 WL 51880, *3 (Del. Super. Ct. Mar. 12, 1992)) (“[T]</w:t>
      </w:r>
      <w:r w:rsidRPr="006E6DA1">
        <w:t>he concept of self-publication has been accepted in a minority of other jurisdictions”, but Delaware is not one of them).</w:t>
      </w:r>
    </w:p>
  </w:footnote>
  <w:footnote w:id="113">
    <w:p w14:paraId="1B54EBF9" w14:textId="3F60EEB5" w:rsidR="006E6DA1" w:rsidRPr="00531AEA" w:rsidRDefault="006E6DA1" w:rsidP="006E6DA1">
      <w:pPr>
        <w:pStyle w:val="FootnoteText"/>
      </w:pPr>
      <w:r w:rsidRPr="006E6DA1">
        <w:rPr>
          <w:vertAlign w:val="superscript"/>
        </w:rPr>
        <w:footnoteRef/>
      </w:r>
      <w:r w:rsidRPr="006E6DA1">
        <w:t>Gillespie v. Hocker, No. CV 15-51-SLR, 2015 WL 4468922, at *7 (D. Del. July 22, 2015).</w:t>
      </w:r>
    </w:p>
  </w:footnote>
  <w:footnote w:id="114">
    <w:p w14:paraId="44ECEFC5" w14:textId="7ED24A02" w:rsidR="006E6DA1" w:rsidRPr="00531AEA" w:rsidRDefault="006E6DA1" w:rsidP="006E6DA1">
      <w:pPr>
        <w:pStyle w:val="FootnoteText"/>
      </w:pPr>
      <w:r w:rsidRPr="006E6DA1">
        <w:rPr>
          <w:vertAlign w:val="superscript"/>
        </w:rPr>
        <w:footnoteRef/>
      </w:r>
      <w:r w:rsidRPr="006E6DA1">
        <w:t xml:space="preserve">Outdoor Techs. Inc. v. </w:t>
      </w:r>
      <w:r w:rsidRPr="006E6DA1">
        <w:t>Allfirst Fin. Inc., No. 99C-09-151-WTQ, 2000 WL 141275, at *4 (Del. Super. Ct. Jan. 24, 2000).</w:t>
      </w:r>
    </w:p>
  </w:footnote>
  <w:footnote w:id="115">
    <w:p w14:paraId="52FCF318" w14:textId="4915BA9D" w:rsidR="006E6DA1" w:rsidRPr="006E6DA1" w:rsidRDefault="006E6DA1" w:rsidP="006E6DA1">
      <w:pPr>
        <w:pStyle w:val="FootnoteText"/>
      </w:pPr>
      <w:r w:rsidRPr="006E6DA1">
        <w:rPr>
          <w:vertAlign w:val="superscript"/>
        </w:rPr>
        <w:footnoteRef/>
      </w:r>
      <w:r w:rsidRPr="006E6DA1">
        <w:t xml:space="preserve">Dial v. </w:t>
      </w:r>
      <w:r w:rsidRPr="006E6DA1">
        <w:t>AstroPower, Inc., No. 98C-08-150-WTQ, 2000 WL 1211135, at *6 (Del. Super. Ct. June 20, 2000) (citing Outdoor Techs. Inc. v. Allfirst Fin. Inc., Del. Super. Ct., C.A No. 99C-09-151, Quillen, J. (Jan. 24, 2000), Slip Op. at 6).</w:t>
      </w:r>
    </w:p>
  </w:footnote>
  <w:footnote w:id="116">
    <w:p w14:paraId="7E446562" w14:textId="62031BCA" w:rsidR="006E6DA1" w:rsidRPr="00531AEA" w:rsidRDefault="006E6DA1" w:rsidP="006E6DA1">
      <w:pPr>
        <w:pStyle w:val="FootnoteText"/>
      </w:pPr>
      <w:r w:rsidRPr="006E6DA1">
        <w:rPr>
          <w:rStyle w:val="FootnoteReference"/>
        </w:rPr>
        <w:footnoteRef/>
      </w:r>
      <w:r w:rsidRPr="006E6DA1">
        <w:rPr>
          <w:i/>
        </w:rPr>
        <w:t>See generally</w:t>
      </w:r>
      <w:r w:rsidRPr="006E6DA1">
        <w:t xml:space="preserve"> </w:t>
      </w:r>
      <w:r w:rsidRPr="006E6DA1">
        <w:t>Fanean v. Rite Aid Corp. of Del., Inc., 984 A.2d 812, 825–26 (Del. Super. Ct. 2009); Colella v. GGP, Inc., C.A. No. CV N17C-11-195 FWW, 2021 WL 3662234, at *4 (Del. Super. Ct. Aug. 18, 2021).</w:t>
      </w:r>
    </w:p>
  </w:footnote>
  <w:footnote w:id="117">
    <w:p w14:paraId="1FFCFF3D" w14:textId="4FAE7966" w:rsidR="006E6DA1" w:rsidRPr="00531AEA" w:rsidRDefault="006E6DA1" w:rsidP="006E6DA1">
      <w:pPr>
        <w:pStyle w:val="FootnoteText"/>
      </w:pPr>
      <w:r w:rsidRPr="006E6DA1">
        <w:rPr>
          <w:vertAlign w:val="superscript"/>
        </w:rPr>
        <w:footnoteRef/>
      </w:r>
      <w:r w:rsidRPr="006E6DA1">
        <w:t xml:space="preserve">Anderson v. </w:t>
      </w:r>
      <w:r w:rsidRPr="006E6DA1">
        <w:t>Nittin Enters., Inc., 995 A.2d 154, 163 (Del. Super. Ct. 2010).</w:t>
      </w:r>
    </w:p>
  </w:footnote>
  <w:footnote w:id="118">
    <w:p w14:paraId="442C7495" w14:textId="2C4E0334" w:rsidR="006E6DA1" w:rsidRPr="00531AEA" w:rsidRDefault="006E6DA1" w:rsidP="006E6DA1">
      <w:pPr>
        <w:pStyle w:val="FootnoteText"/>
      </w:pPr>
      <w:r w:rsidRPr="006E6DA1">
        <w:rPr>
          <w:vertAlign w:val="superscript"/>
        </w:rPr>
        <w:footnoteRef/>
      </w:r>
      <w:r w:rsidRPr="006E6DA1">
        <w:rPr>
          <w:i/>
        </w:rPr>
        <w:t>Fanean</w:t>
      </w:r>
      <w:r w:rsidRPr="006E6DA1">
        <w:t>, 984 A.2d at 826.</w:t>
      </w:r>
    </w:p>
  </w:footnote>
  <w:footnote w:id="119">
    <w:p w14:paraId="6EDE4B59" w14:textId="47DDAE2B" w:rsidR="006E6DA1" w:rsidRPr="00531AEA" w:rsidRDefault="006E6DA1" w:rsidP="006E6DA1">
      <w:pPr>
        <w:pStyle w:val="FootnoteText"/>
      </w:pPr>
      <w:r w:rsidRPr="006E6DA1">
        <w:rPr>
          <w:vertAlign w:val="superscript"/>
        </w:rPr>
        <w:footnoteRef/>
      </w:r>
      <w:r w:rsidRPr="006E6DA1">
        <w:rPr>
          <w:i/>
        </w:rPr>
        <w:t>Id.</w:t>
      </w:r>
    </w:p>
  </w:footnote>
  <w:footnote w:id="120">
    <w:p w14:paraId="7A786AB9" w14:textId="1E6F7E04" w:rsidR="006E6DA1" w:rsidRPr="00531AEA" w:rsidRDefault="006E6DA1" w:rsidP="006E6DA1">
      <w:pPr>
        <w:pStyle w:val="FootnoteText"/>
      </w:pPr>
      <w:r w:rsidRPr="006E6DA1">
        <w:rPr>
          <w:vertAlign w:val="superscript"/>
        </w:rPr>
        <w:footnoteRef/>
      </w:r>
      <w:r w:rsidRPr="006E6DA1">
        <w:rPr>
          <w:i/>
        </w:rPr>
        <w:t>Id.</w:t>
      </w:r>
    </w:p>
  </w:footnote>
  <w:footnote w:id="121">
    <w:p w14:paraId="36987BA2" w14:textId="3642237D" w:rsidR="006E6DA1" w:rsidRPr="00531AEA" w:rsidRDefault="006E6DA1" w:rsidP="006E6DA1">
      <w:pPr>
        <w:pStyle w:val="FootnoteText"/>
      </w:pPr>
      <w:r w:rsidRPr="006E6DA1">
        <w:rPr>
          <w:vertAlign w:val="superscript"/>
        </w:rPr>
        <w:footnoteRef/>
      </w:r>
      <w:r w:rsidRPr="006E6DA1">
        <w:rPr>
          <w:i/>
        </w:rPr>
        <w:t>Id.</w:t>
      </w:r>
    </w:p>
  </w:footnote>
  <w:footnote w:id="122">
    <w:p w14:paraId="5719A0BB" w14:textId="260761A1" w:rsidR="006E6DA1" w:rsidRPr="00531AEA" w:rsidRDefault="006E6DA1" w:rsidP="006E6DA1">
      <w:pPr>
        <w:pStyle w:val="FootnoteText"/>
      </w:pPr>
      <w:r w:rsidRPr="006E6DA1">
        <w:rPr>
          <w:vertAlign w:val="superscript"/>
        </w:rPr>
        <w:footnoteRef/>
      </w:r>
      <w:r w:rsidRPr="006E6DA1">
        <w:t>Matthews v. Food Lion, L.L.C., 970 A.2d 257 (Del. 2009) (unpublished table opinion).</w:t>
      </w:r>
    </w:p>
  </w:footnote>
  <w:footnote w:id="123">
    <w:p w14:paraId="2C6F6670" w14:textId="3E4CEB43" w:rsidR="006E6DA1" w:rsidRPr="00531AEA" w:rsidRDefault="006E6DA1" w:rsidP="006E6DA1">
      <w:pPr>
        <w:pStyle w:val="FootnoteText"/>
      </w:pPr>
      <w:r w:rsidRPr="006E6DA1">
        <w:rPr>
          <w:vertAlign w:val="superscript"/>
        </w:rPr>
        <w:footnoteRef/>
      </w:r>
      <w:r w:rsidRPr="006E6DA1">
        <w:t>210 A.2d 709, 714–15 (Del. 1965).</w:t>
      </w:r>
    </w:p>
  </w:footnote>
  <w:footnote w:id="124">
    <w:p w14:paraId="01DB6FAC" w14:textId="300A8994" w:rsidR="006E6DA1" w:rsidRPr="006E6DA1" w:rsidRDefault="006E6DA1" w:rsidP="006E6DA1">
      <w:pPr>
        <w:pStyle w:val="FootnoteText"/>
      </w:pPr>
      <w:r w:rsidRPr="006E6DA1">
        <w:rPr>
          <w:vertAlign w:val="superscript"/>
        </w:rPr>
        <w:footnoteRef/>
      </w:r>
      <w:r w:rsidRPr="006E6DA1">
        <w:rPr>
          <w:i/>
        </w:rPr>
        <w:t>Id.</w:t>
      </w:r>
      <w:r w:rsidRPr="006E6DA1">
        <w:t xml:space="preserve">; </w:t>
      </w:r>
      <w:r w:rsidRPr="006E6DA1">
        <w:rPr>
          <w:i/>
        </w:rPr>
        <w:t xml:space="preserve">see also </w:t>
      </w:r>
      <w:r w:rsidRPr="006E6DA1">
        <w:t>Armstrong v. A.I. Dupont Hosp. for Child., 60 A.3d 414, 424 (Del. Super. Ct. 2012).</w:t>
      </w:r>
    </w:p>
  </w:footnote>
  <w:footnote w:id="125">
    <w:p w14:paraId="70BD93AC" w14:textId="7117E2C2" w:rsidR="006E6DA1" w:rsidRPr="00531AEA" w:rsidRDefault="006E6DA1" w:rsidP="006E6DA1">
      <w:pPr>
        <w:pStyle w:val="FootnoteText"/>
      </w:pPr>
      <w:r w:rsidRPr="006E6DA1">
        <w:rPr>
          <w:vertAlign w:val="superscript"/>
        </w:rPr>
        <w:footnoteRef/>
      </w:r>
      <w:r w:rsidRPr="006E6DA1">
        <w:t xml:space="preserve">Laugelle v. Bell Helicopter Textron, Inc., 88 A.3d 110, 125 n.81 (Del. Super. Ct. Mar. 19, 2014); </w:t>
      </w:r>
      <w:r w:rsidRPr="006E6DA1">
        <w:rPr>
          <w:i/>
        </w:rPr>
        <w:t>see also</w:t>
      </w:r>
      <w:r w:rsidRPr="006E6DA1">
        <w:t xml:space="preserve"> </w:t>
      </w:r>
      <w:r w:rsidRPr="006E6DA1">
        <w:rPr>
          <w:smallCaps/>
        </w:rPr>
        <w:t>Restatement (Second) Torts</w:t>
      </w:r>
      <w:r w:rsidRPr="006E6DA1">
        <w:t xml:space="preserve"> §313.</w:t>
      </w:r>
    </w:p>
  </w:footnote>
  <w:footnote w:id="126">
    <w:p w14:paraId="0719AC5E" w14:textId="76CCB168" w:rsidR="006E6DA1" w:rsidRPr="00531AEA" w:rsidRDefault="006E6DA1" w:rsidP="006E6DA1">
      <w:pPr>
        <w:pStyle w:val="FootnoteText"/>
        <w:rPr>
          <w:lang w:val="fr-FR"/>
        </w:rPr>
      </w:pPr>
      <w:r w:rsidRPr="006E6DA1">
        <w:rPr>
          <w:vertAlign w:val="superscript"/>
        </w:rPr>
        <w:footnoteRef/>
      </w:r>
      <w:r w:rsidRPr="006E6DA1">
        <w:t>No. 82C-AP-31, 1987 WL 17680, at *1 (Del. Super. Ct. Sept. 28, 1987).</w:t>
      </w:r>
    </w:p>
  </w:footnote>
  <w:footnote w:id="127">
    <w:p w14:paraId="4CE4C8B0" w14:textId="3C63287C" w:rsidR="006E6DA1" w:rsidRPr="00531AEA" w:rsidRDefault="006E6DA1" w:rsidP="006E6DA1">
      <w:pPr>
        <w:pStyle w:val="FootnoteText"/>
        <w:rPr>
          <w:lang w:val="es-ES"/>
        </w:rPr>
      </w:pPr>
      <w:r w:rsidRPr="006E6DA1">
        <w:rPr>
          <w:vertAlign w:val="superscript"/>
        </w:rPr>
        <w:footnoteRef/>
      </w:r>
      <w:r w:rsidRPr="006E6DA1">
        <w:t xml:space="preserve">11 </w:t>
      </w:r>
      <w:r w:rsidRPr="006E6DA1">
        <w:rPr>
          <w:smallCaps/>
        </w:rPr>
        <w:t>Del. Code Ann</w:t>
      </w:r>
      <w:r w:rsidRPr="006E6DA1">
        <w:t>. §840 (2024).</w:t>
      </w:r>
    </w:p>
  </w:footnote>
  <w:footnote w:id="128">
    <w:p w14:paraId="4A72DD8D" w14:textId="07B3D814" w:rsidR="006E6DA1" w:rsidRPr="00531AEA" w:rsidRDefault="006E6DA1" w:rsidP="006E6DA1">
      <w:pPr>
        <w:pStyle w:val="FootnoteText"/>
      </w:pPr>
      <w:r w:rsidRPr="006E6DA1">
        <w:rPr>
          <w:vertAlign w:val="superscript"/>
        </w:rPr>
        <w:footnoteRef/>
      </w:r>
      <w:r w:rsidRPr="006E6DA1">
        <w:t>No. 90C-JA-125, 1992 WL 51880, at *5 (Del. Super. Ct. Mar. 12, 1992).</w:t>
      </w:r>
    </w:p>
  </w:footnote>
  <w:footnote w:id="129">
    <w:p w14:paraId="5A5DC2E0" w14:textId="5F7D718D" w:rsidR="006E6DA1" w:rsidRPr="00531AEA" w:rsidRDefault="006E6DA1" w:rsidP="006E6DA1">
      <w:pPr>
        <w:pStyle w:val="FootnoteText"/>
      </w:pPr>
      <w:r w:rsidRPr="006E6DA1">
        <w:rPr>
          <w:rStyle w:val="FootnoteReference"/>
        </w:rPr>
        <w:footnoteRef/>
      </w:r>
      <w:r w:rsidRPr="006E6DA1">
        <w:rPr>
          <w:i/>
        </w:rPr>
        <w:t xml:space="preserve">Id. </w:t>
      </w:r>
      <w:r w:rsidRPr="006E6DA1">
        <w:t>at *2</w:t>
      </w:r>
    </w:p>
  </w:footnote>
  <w:footnote w:id="130">
    <w:p w14:paraId="42577548" w14:textId="6A7A05A9" w:rsidR="006E6DA1" w:rsidRPr="00531AEA" w:rsidRDefault="006E6DA1" w:rsidP="006E6DA1">
      <w:pPr>
        <w:pStyle w:val="FootnoteText"/>
      </w:pPr>
      <w:r w:rsidRPr="006E6DA1">
        <w:rPr>
          <w:rStyle w:val="FootnoteReference"/>
        </w:rPr>
        <w:footnoteRef/>
      </w:r>
      <w:r w:rsidRPr="006E6DA1">
        <w:rPr>
          <w:i/>
        </w:rPr>
        <w:t xml:space="preserve">Id. </w:t>
      </w:r>
      <w:r w:rsidRPr="006E6DA1">
        <w:t>at *5.</w:t>
      </w:r>
    </w:p>
  </w:footnote>
  <w:footnote w:id="131">
    <w:p w14:paraId="5752B6C1" w14:textId="52A1C568" w:rsidR="006E6DA1" w:rsidRPr="00531AEA" w:rsidRDefault="006E6DA1" w:rsidP="006E6DA1">
      <w:pPr>
        <w:pStyle w:val="FootnoteText"/>
        <w:rPr>
          <w:lang w:val="es-ES"/>
        </w:rPr>
      </w:pPr>
      <w:r w:rsidRPr="006E6DA1">
        <w:rPr>
          <w:vertAlign w:val="superscript"/>
        </w:rPr>
        <w:footnoteRef/>
      </w:r>
      <w:r w:rsidRPr="006E6DA1">
        <w:t>Henze v. Alloy Surfaces Co., No. C.A. 91C-06-20, 1992 WL 51861, at *2 (Del. Super. Ct. Mar. 16, 1992).</w:t>
      </w:r>
    </w:p>
  </w:footnote>
  <w:footnote w:id="132">
    <w:p w14:paraId="517DB617" w14:textId="4314FF21" w:rsidR="006E6DA1" w:rsidRPr="00531AEA" w:rsidRDefault="006E6DA1" w:rsidP="006E6DA1">
      <w:pPr>
        <w:pStyle w:val="FootnoteText"/>
      </w:pPr>
      <w:r w:rsidRPr="006E6DA1">
        <w:rPr>
          <w:vertAlign w:val="superscript"/>
        </w:rPr>
        <w:footnoteRef/>
      </w:r>
      <w:r w:rsidRPr="006E6DA1">
        <w:t xml:space="preserve">19 </w:t>
      </w:r>
      <w:r w:rsidRPr="006E6DA1">
        <w:rPr>
          <w:smallCaps/>
        </w:rPr>
        <w:t>Del. Code</w:t>
      </w:r>
      <w:r w:rsidRPr="006E6DA1">
        <w:t xml:space="preserve"> §710–719A (2024) (Delaware’s code is available online at http://delcode.delaware.gov).</w:t>
      </w:r>
    </w:p>
  </w:footnote>
  <w:footnote w:id="133">
    <w:p w14:paraId="126DB69B" w14:textId="3C81DD6D" w:rsidR="006E6DA1" w:rsidRPr="00531AEA" w:rsidRDefault="006E6DA1" w:rsidP="006E6DA1">
      <w:pPr>
        <w:pStyle w:val="FootnoteText"/>
      </w:pPr>
      <w:r w:rsidRPr="006E6DA1">
        <w:rPr>
          <w:vertAlign w:val="superscript"/>
        </w:rPr>
        <w:footnoteRef/>
      </w:r>
      <w:r w:rsidRPr="006E6DA1">
        <w:rPr>
          <w:i/>
        </w:rPr>
        <w:t xml:space="preserve">Id. </w:t>
      </w:r>
      <w:r w:rsidRPr="006E6DA1">
        <w:t xml:space="preserve">§711(a). Likewise, a labor organization may not exclude or expel from its membership any individual because of race, marital status, genetic information, color, age, religion, sex, sexual orientation, or national origin. </w:t>
      </w:r>
      <w:r w:rsidRPr="006E6DA1">
        <w:rPr>
          <w:i/>
        </w:rPr>
        <w:t xml:space="preserve">Id. </w:t>
      </w:r>
      <w:r w:rsidRPr="006E6DA1">
        <w:t xml:space="preserve">§711(c)(1). It also is an unlawful employment practice for any employer, employment agency, labor organization, or joint labor-management committee controlling apprenticeship or other training or retraining, including on-the-job training programs, to discharge any individual on the basis of such person’s race, marital status, color, age, religion, sex, sexual orientation, or national origin, because such person has opposed any practice prohibited by statute, or because such person has testified, assisted, or participated in any manner in an investigation, proceeding, or hearing to enforce the provisions of Delaware’s employment laws. </w:t>
      </w:r>
      <w:r w:rsidRPr="006E6DA1">
        <w:rPr>
          <w:i/>
        </w:rPr>
        <w:t xml:space="preserve">Id. </w:t>
      </w:r>
      <w:r w:rsidRPr="006E6DA1">
        <w:t>§711(f).</w:t>
      </w:r>
    </w:p>
  </w:footnote>
  <w:footnote w:id="134">
    <w:p w14:paraId="13FD796C" w14:textId="5D1867F3" w:rsidR="006E6DA1" w:rsidRPr="00531AEA" w:rsidRDefault="006E6DA1" w:rsidP="006E6DA1">
      <w:pPr>
        <w:pStyle w:val="FootnoteText"/>
      </w:pPr>
      <w:r w:rsidRPr="006E6DA1">
        <w:rPr>
          <w:vertAlign w:val="superscript"/>
        </w:rPr>
        <w:footnoteRef/>
      </w:r>
      <w:r w:rsidRPr="006E6DA1">
        <w:rPr>
          <w:i/>
        </w:rPr>
        <w:t xml:space="preserve">Id. </w:t>
      </w:r>
      <w:r w:rsidRPr="006E6DA1">
        <w:t>§711(h)(1).</w:t>
      </w:r>
    </w:p>
  </w:footnote>
  <w:footnote w:id="135">
    <w:p w14:paraId="723F66EC" w14:textId="0C58CED1" w:rsidR="006E6DA1" w:rsidRPr="00531AEA" w:rsidRDefault="006E6DA1" w:rsidP="006E6DA1">
      <w:pPr>
        <w:pStyle w:val="FootnoteText"/>
      </w:pPr>
      <w:r w:rsidRPr="006E6DA1">
        <w:rPr>
          <w:vertAlign w:val="superscript"/>
        </w:rPr>
        <w:footnoteRef/>
      </w:r>
      <w:r w:rsidRPr="006E6DA1">
        <w:rPr>
          <w:i/>
        </w:rPr>
        <w:t xml:space="preserve">Id. </w:t>
      </w:r>
      <w:r w:rsidRPr="006E6DA1">
        <w:t>§711(</w:t>
      </w:r>
      <w:r w:rsidRPr="006E6DA1">
        <w:t>i).</w:t>
      </w:r>
    </w:p>
  </w:footnote>
  <w:footnote w:id="136">
    <w:p w14:paraId="71A5B4CC" w14:textId="4602CCDE" w:rsidR="006E6DA1" w:rsidRPr="00531AEA" w:rsidRDefault="006E6DA1" w:rsidP="006E6DA1">
      <w:pPr>
        <w:pStyle w:val="FootnoteText"/>
      </w:pPr>
      <w:r w:rsidRPr="006E6DA1">
        <w:rPr>
          <w:vertAlign w:val="superscript"/>
        </w:rPr>
        <w:footnoteRef/>
      </w:r>
      <w:r w:rsidRPr="006E6DA1">
        <w:rPr>
          <w:i/>
        </w:rPr>
        <w:t xml:space="preserve">Id. </w:t>
      </w:r>
      <w:r w:rsidRPr="006E6DA1">
        <w:t>§711(j).</w:t>
      </w:r>
    </w:p>
  </w:footnote>
  <w:footnote w:id="137">
    <w:p w14:paraId="54AC058B" w14:textId="747A292D" w:rsidR="006E6DA1" w:rsidRPr="00531AEA" w:rsidRDefault="006E6DA1" w:rsidP="006E6DA1">
      <w:pPr>
        <w:pStyle w:val="FootnoteText"/>
      </w:pPr>
      <w:r w:rsidRPr="006E6DA1">
        <w:rPr>
          <w:vertAlign w:val="superscript"/>
        </w:rPr>
        <w:footnoteRef/>
      </w:r>
      <w:r w:rsidRPr="006E6DA1">
        <w:rPr>
          <w:i/>
        </w:rPr>
        <w:t xml:space="preserve">Id. </w:t>
      </w:r>
      <w:r w:rsidRPr="006E6DA1">
        <w:t>§711(k)(1).</w:t>
      </w:r>
    </w:p>
  </w:footnote>
  <w:footnote w:id="138">
    <w:p w14:paraId="4772B9A2" w14:textId="0D8A9CF6" w:rsidR="006E6DA1" w:rsidRPr="00531AEA" w:rsidRDefault="006E6DA1" w:rsidP="006E6DA1">
      <w:pPr>
        <w:pStyle w:val="FootnoteText"/>
      </w:pPr>
      <w:r w:rsidRPr="006E6DA1">
        <w:rPr>
          <w:vertAlign w:val="superscript"/>
        </w:rPr>
        <w:footnoteRef/>
      </w:r>
      <w:r w:rsidRPr="006E6DA1">
        <w:rPr>
          <w:i/>
        </w:rPr>
        <w:t xml:space="preserve">Id. </w:t>
      </w:r>
      <w:r w:rsidRPr="006E6DA1">
        <w:t>§719A.</w:t>
      </w:r>
    </w:p>
  </w:footnote>
  <w:footnote w:id="139">
    <w:p w14:paraId="68B250D3" w14:textId="1EEA6D67" w:rsidR="006E6DA1" w:rsidRPr="00531AEA" w:rsidRDefault="006E6DA1" w:rsidP="006E6DA1">
      <w:pPr>
        <w:pStyle w:val="FootnoteText"/>
      </w:pPr>
      <w:r w:rsidRPr="006E6DA1">
        <w:rPr>
          <w:vertAlign w:val="superscript"/>
        </w:rPr>
        <w:footnoteRef/>
      </w:r>
      <w:r w:rsidRPr="006E6DA1">
        <w:rPr>
          <w:i/>
        </w:rPr>
        <w:t xml:space="preserve">Id. </w:t>
      </w:r>
      <w:r w:rsidRPr="006E6DA1">
        <w:t xml:space="preserve">§724(a)(2). It is also unlawful to discharge a qualified disabled person </w:t>
      </w:r>
      <w:r w:rsidRPr="006E6DA1">
        <w:t xml:space="preserve">on the basis of physical, mental, or other examinations that are not directly related to the essential functions of the job. </w:t>
      </w:r>
      <w:r w:rsidRPr="006E6DA1">
        <w:rPr>
          <w:i/>
        </w:rPr>
        <w:t>See</w:t>
      </w:r>
      <w:r w:rsidRPr="006E6DA1">
        <w:t xml:space="preserve"> </w:t>
      </w:r>
      <w:r w:rsidRPr="006E6DA1">
        <w:rPr>
          <w:i/>
        </w:rPr>
        <w:t xml:space="preserve">id. </w:t>
      </w:r>
      <w:r w:rsidRPr="006E6DA1">
        <w:t>§724(a)(5).</w:t>
      </w:r>
    </w:p>
  </w:footnote>
  <w:footnote w:id="140">
    <w:p w14:paraId="48ADD8B8" w14:textId="2273D78B" w:rsidR="006E6DA1" w:rsidRPr="00531AEA" w:rsidRDefault="006E6DA1" w:rsidP="006E6DA1">
      <w:pPr>
        <w:pStyle w:val="FootnoteText"/>
      </w:pPr>
      <w:r w:rsidRPr="006E6DA1">
        <w:rPr>
          <w:vertAlign w:val="superscript"/>
        </w:rPr>
        <w:footnoteRef/>
      </w:r>
      <w:r w:rsidRPr="006E6DA1">
        <w:rPr>
          <w:i/>
        </w:rPr>
        <w:t xml:space="preserve">Id. </w:t>
      </w:r>
      <w:r w:rsidRPr="006E6DA1">
        <w:t>§§1701 et seq.</w:t>
      </w:r>
    </w:p>
  </w:footnote>
  <w:footnote w:id="141">
    <w:p w14:paraId="4BEAD751" w14:textId="5120C224" w:rsidR="006E6DA1" w:rsidRPr="00531AEA" w:rsidRDefault="006E6DA1" w:rsidP="006E6DA1">
      <w:pPr>
        <w:pStyle w:val="FootnoteText"/>
      </w:pPr>
      <w:r w:rsidRPr="006E6DA1">
        <w:rPr>
          <w:vertAlign w:val="superscript"/>
        </w:rPr>
        <w:footnoteRef/>
      </w:r>
      <w:r w:rsidRPr="006E6DA1">
        <w:rPr>
          <w:i/>
        </w:rPr>
        <w:t xml:space="preserve">Id. </w:t>
      </w:r>
      <w:r w:rsidRPr="006E6DA1">
        <w:t>§726.</w:t>
      </w:r>
    </w:p>
  </w:footnote>
  <w:footnote w:id="142">
    <w:p w14:paraId="60398814" w14:textId="70C4C654" w:rsidR="006E6DA1" w:rsidRPr="00531AEA" w:rsidRDefault="006E6DA1" w:rsidP="006E6DA1">
      <w:pPr>
        <w:pStyle w:val="FootnoteText"/>
      </w:pPr>
      <w:r w:rsidRPr="006E6DA1">
        <w:rPr>
          <w:vertAlign w:val="superscript"/>
        </w:rPr>
        <w:footnoteRef/>
      </w:r>
      <w:r w:rsidRPr="006E6DA1">
        <w:rPr>
          <w:i/>
        </w:rPr>
        <w:t xml:space="preserve">Id. </w:t>
      </w:r>
      <w:r w:rsidRPr="006E6DA1">
        <w:t>§735(b).</w:t>
      </w:r>
    </w:p>
  </w:footnote>
  <w:footnote w:id="143">
    <w:p w14:paraId="30AE1FFE" w14:textId="47F969E5" w:rsidR="006E6DA1" w:rsidRPr="00531AEA" w:rsidRDefault="006E6DA1" w:rsidP="006E6DA1">
      <w:pPr>
        <w:pStyle w:val="FootnoteText"/>
      </w:pPr>
      <w:r w:rsidRPr="006E6DA1">
        <w:rPr>
          <w:vertAlign w:val="superscript"/>
        </w:rPr>
        <w:footnoteRef/>
      </w:r>
      <w:r w:rsidRPr="006E6DA1">
        <w:rPr>
          <w:i/>
        </w:rPr>
        <w:t xml:space="preserve">Id. </w:t>
      </w:r>
      <w:r w:rsidRPr="006E6DA1">
        <w:t>§509(c).</w:t>
      </w:r>
    </w:p>
  </w:footnote>
  <w:footnote w:id="144">
    <w:p w14:paraId="0BCCBB5D" w14:textId="466046E4" w:rsidR="006E6DA1" w:rsidRPr="00531AEA" w:rsidRDefault="006E6DA1" w:rsidP="006E6DA1">
      <w:pPr>
        <w:pStyle w:val="FootnoteText"/>
        <w:rPr>
          <w:lang w:val="es-ES"/>
        </w:rPr>
      </w:pPr>
      <w:r w:rsidRPr="006E6DA1">
        <w:rPr>
          <w:vertAlign w:val="superscript"/>
        </w:rPr>
        <w:footnoteRef/>
      </w:r>
      <w:r w:rsidRPr="006E6DA1">
        <w:rPr>
          <w:i/>
        </w:rPr>
        <w:t xml:space="preserve">Id. </w:t>
      </w:r>
      <w:r w:rsidRPr="006E6DA1">
        <w:t>§910(a).</w:t>
      </w:r>
    </w:p>
  </w:footnote>
  <w:footnote w:id="145">
    <w:p w14:paraId="07598DF4" w14:textId="768C645A" w:rsidR="006E6DA1" w:rsidRPr="00531AEA" w:rsidRDefault="006E6DA1" w:rsidP="006E6DA1">
      <w:pPr>
        <w:pStyle w:val="FootnoteText"/>
        <w:rPr>
          <w:lang w:val="es-ES"/>
        </w:rPr>
      </w:pPr>
      <w:r w:rsidRPr="006E6DA1">
        <w:rPr>
          <w:vertAlign w:val="superscript"/>
        </w:rPr>
        <w:footnoteRef/>
      </w:r>
      <w:r w:rsidRPr="006E6DA1">
        <w:rPr>
          <w:i/>
        </w:rPr>
        <w:t xml:space="preserve">Id. </w:t>
      </w:r>
      <w:r w:rsidRPr="006E6DA1">
        <w:t>§1112.</w:t>
      </w:r>
    </w:p>
  </w:footnote>
  <w:footnote w:id="146">
    <w:p w14:paraId="1ECAA5CF" w14:textId="02F2D480" w:rsidR="006E6DA1" w:rsidRPr="00531AEA" w:rsidRDefault="006E6DA1" w:rsidP="006E6DA1">
      <w:pPr>
        <w:pStyle w:val="FootnoteText"/>
        <w:rPr>
          <w:lang w:val="es-ES"/>
        </w:rPr>
      </w:pPr>
      <w:r w:rsidRPr="006E6DA1">
        <w:rPr>
          <w:vertAlign w:val="superscript"/>
        </w:rPr>
        <w:footnoteRef/>
      </w:r>
      <w:r w:rsidRPr="006E6DA1">
        <w:rPr>
          <w:i/>
        </w:rPr>
        <w:t xml:space="preserve">Id. </w:t>
      </w:r>
      <w:r w:rsidRPr="006E6DA1">
        <w:t>§3509(a).</w:t>
      </w:r>
    </w:p>
  </w:footnote>
  <w:footnote w:id="147">
    <w:p w14:paraId="4E9283ED" w14:textId="178C65EA" w:rsidR="006E6DA1" w:rsidRPr="00531AEA" w:rsidRDefault="006E6DA1" w:rsidP="006E6DA1">
      <w:pPr>
        <w:pStyle w:val="FootnoteText"/>
      </w:pPr>
      <w:r w:rsidRPr="006E6DA1">
        <w:rPr>
          <w:vertAlign w:val="superscript"/>
        </w:rPr>
        <w:footnoteRef/>
      </w:r>
      <w:r w:rsidRPr="006E6DA1">
        <w:t xml:space="preserve">10 </w:t>
      </w:r>
      <w:r w:rsidRPr="006E6DA1">
        <w:rPr>
          <w:smallCaps/>
        </w:rPr>
        <w:t>Del. Code</w:t>
      </w:r>
      <w:r w:rsidRPr="006E6DA1">
        <w:t xml:space="preserve"> §4515(c) (2024).</w:t>
      </w:r>
    </w:p>
  </w:footnote>
  <w:footnote w:id="148">
    <w:p w14:paraId="68F442A4" w14:textId="002E7C15" w:rsidR="006E6DA1" w:rsidRPr="00531AEA" w:rsidRDefault="006E6DA1" w:rsidP="006E6DA1">
      <w:pPr>
        <w:pStyle w:val="FootnoteText"/>
        <w:rPr>
          <w:lang w:val="es-ES"/>
        </w:rPr>
      </w:pPr>
      <w:r w:rsidRPr="006E6DA1">
        <w:rPr>
          <w:rStyle w:val="FootnoteReference"/>
        </w:rPr>
        <w:footnoteRef/>
      </w:r>
      <w:r w:rsidRPr="006E6DA1">
        <w:t xml:space="preserve">16 </w:t>
      </w:r>
      <w:r w:rsidRPr="006E6DA1">
        <w:rPr>
          <w:smallCaps/>
        </w:rPr>
        <w:t>Del. Code</w:t>
      </w:r>
      <w:r w:rsidRPr="006E6DA1">
        <w:t xml:space="preserve"> §4905A(a)(3) (2024); Chance v. Kraft Heinz Foods Co., C.A. No. K18C-01-056-NEP, 2018 WL 6655670, at *3–7 (Del. Super. Ct. Dec. 17, 2018).</w:t>
      </w:r>
    </w:p>
  </w:footnote>
  <w:footnote w:id="149">
    <w:p w14:paraId="26382678" w14:textId="125ADC57" w:rsidR="006E6DA1" w:rsidRPr="007A46D5" w:rsidRDefault="006E6DA1" w:rsidP="006E6DA1">
      <w:pPr>
        <w:pStyle w:val="FootnoteText"/>
        <w:rPr>
          <w:lang w:val="es-ES"/>
        </w:rPr>
      </w:pPr>
      <w:r w:rsidRPr="006E6DA1">
        <w:rPr>
          <w:vertAlign w:val="superscript"/>
        </w:rPr>
        <w:footnoteRef/>
      </w:r>
      <w:r w:rsidRPr="006E6DA1">
        <w:t xml:space="preserve">20 </w:t>
      </w:r>
      <w:r w:rsidRPr="006E6DA1">
        <w:rPr>
          <w:smallCaps/>
        </w:rPr>
        <w:t>Del. Code</w:t>
      </w:r>
      <w:r w:rsidRPr="006E6DA1">
        <w:t xml:space="preserve"> §905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C1F73" w14:textId="77777777" w:rsidR="006E6DA1" w:rsidRPr="006E6DA1" w:rsidRDefault="006E6DA1" w:rsidP="006E6D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179A" w14:textId="77777777" w:rsidR="006E6DA1" w:rsidRPr="006E6DA1" w:rsidRDefault="006E6DA1" w:rsidP="006E6D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D23E3" w14:textId="77777777" w:rsidR="006E6DA1" w:rsidRPr="006E6DA1" w:rsidRDefault="006E6DA1" w:rsidP="006E6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2" w15:restartNumberingAfterBreak="0">
    <w:nsid w:val="10402758"/>
    <w:multiLevelType w:val="hybridMultilevel"/>
    <w:tmpl w:val="365CB6A2"/>
    <w:lvl w:ilvl="0" w:tplc="0ADC008E">
      <w:start w:val="1"/>
      <w:numFmt w:val="bullet"/>
      <w:lvlText w:val=""/>
      <w:lvlJc w:val="left"/>
      <w:pPr>
        <w:ind w:left="990" w:hanging="360"/>
      </w:pPr>
      <w:rPr>
        <w:rFonts w:ascii="Symbol" w:hAnsi="Symbol" w:hint="default"/>
      </w:rPr>
    </w:lvl>
    <w:lvl w:ilvl="1" w:tplc="B3900C54">
      <w:start w:val="1"/>
      <w:numFmt w:val="bullet"/>
      <w:lvlText w:val="o"/>
      <w:lvlJc w:val="left"/>
      <w:pPr>
        <w:ind w:left="1710" w:hanging="360"/>
      </w:pPr>
      <w:rPr>
        <w:rFonts w:ascii="Courier New" w:hAnsi="Courier New" w:cs="Courier New" w:hint="default"/>
      </w:rPr>
    </w:lvl>
    <w:lvl w:ilvl="2" w:tplc="5E3A455A">
      <w:start w:val="1"/>
      <w:numFmt w:val="bullet"/>
      <w:lvlText w:val=""/>
      <w:lvlJc w:val="left"/>
      <w:pPr>
        <w:ind w:left="2430" w:hanging="360"/>
      </w:pPr>
      <w:rPr>
        <w:rFonts w:ascii="Wingdings" w:hAnsi="Wingdings" w:hint="default"/>
      </w:rPr>
    </w:lvl>
    <w:lvl w:ilvl="3" w:tplc="1F684242" w:tentative="1">
      <w:start w:val="1"/>
      <w:numFmt w:val="bullet"/>
      <w:lvlText w:val=""/>
      <w:lvlJc w:val="left"/>
      <w:pPr>
        <w:ind w:left="3150" w:hanging="360"/>
      </w:pPr>
      <w:rPr>
        <w:rFonts w:ascii="Symbol" w:hAnsi="Symbol" w:hint="default"/>
      </w:rPr>
    </w:lvl>
    <w:lvl w:ilvl="4" w:tplc="524C8F48" w:tentative="1">
      <w:start w:val="1"/>
      <w:numFmt w:val="bullet"/>
      <w:lvlText w:val="o"/>
      <w:lvlJc w:val="left"/>
      <w:pPr>
        <w:ind w:left="3870" w:hanging="360"/>
      </w:pPr>
      <w:rPr>
        <w:rFonts w:ascii="Courier New" w:hAnsi="Courier New" w:cs="Courier New" w:hint="default"/>
      </w:rPr>
    </w:lvl>
    <w:lvl w:ilvl="5" w:tplc="3AAE787C" w:tentative="1">
      <w:start w:val="1"/>
      <w:numFmt w:val="bullet"/>
      <w:lvlText w:val=""/>
      <w:lvlJc w:val="left"/>
      <w:pPr>
        <w:ind w:left="4590" w:hanging="360"/>
      </w:pPr>
      <w:rPr>
        <w:rFonts w:ascii="Wingdings" w:hAnsi="Wingdings" w:hint="default"/>
      </w:rPr>
    </w:lvl>
    <w:lvl w:ilvl="6" w:tplc="9F2AAF78" w:tentative="1">
      <w:start w:val="1"/>
      <w:numFmt w:val="bullet"/>
      <w:lvlText w:val=""/>
      <w:lvlJc w:val="left"/>
      <w:pPr>
        <w:ind w:left="5310" w:hanging="360"/>
      </w:pPr>
      <w:rPr>
        <w:rFonts w:ascii="Symbol" w:hAnsi="Symbol" w:hint="default"/>
      </w:rPr>
    </w:lvl>
    <w:lvl w:ilvl="7" w:tplc="FCDE896C" w:tentative="1">
      <w:start w:val="1"/>
      <w:numFmt w:val="bullet"/>
      <w:lvlText w:val="o"/>
      <w:lvlJc w:val="left"/>
      <w:pPr>
        <w:ind w:left="6030" w:hanging="360"/>
      </w:pPr>
      <w:rPr>
        <w:rFonts w:ascii="Courier New" w:hAnsi="Courier New" w:cs="Courier New" w:hint="default"/>
      </w:rPr>
    </w:lvl>
    <w:lvl w:ilvl="8" w:tplc="81F0621C" w:tentative="1">
      <w:start w:val="1"/>
      <w:numFmt w:val="bullet"/>
      <w:lvlText w:val=""/>
      <w:lvlJc w:val="left"/>
      <w:pPr>
        <w:ind w:left="6750" w:hanging="360"/>
      </w:pPr>
      <w:rPr>
        <w:rFonts w:ascii="Wingdings" w:hAnsi="Wingdings" w:hint="default"/>
      </w:rPr>
    </w:lvl>
  </w:abstractNum>
  <w:abstractNum w:abstractNumId="13"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3"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38C04A62"/>
    <w:multiLevelType w:val="hybridMultilevel"/>
    <w:tmpl w:val="D0B083CE"/>
    <w:lvl w:ilvl="0" w:tplc="81C00B20">
      <w:start w:val="1"/>
      <w:numFmt w:val="decimal"/>
      <w:pStyle w:val="ListNumber"/>
      <w:lvlText w:val="%1."/>
      <w:lvlJc w:val="left"/>
      <w:pPr>
        <w:tabs>
          <w:tab w:val="num" w:pos="1080"/>
        </w:tabs>
        <w:ind w:left="1080" w:hanging="360"/>
      </w:pPr>
    </w:lvl>
    <w:lvl w:ilvl="1" w:tplc="13FAC5C6" w:tentative="1">
      <w:start w:val="1"/>
      <w:numFmt w:val="lowerLetter"/>
      <w:lvlText w:val="%2."/>
      <w:lvlJc w:val="left"/>
      <w:pPr>
        <w:ind w:left="2160" w:hanging="360"/>
      </w:pPr>
    </w:lvl>
    <w:lvl w:ilvl="2" w:tplc="E72AD99E" w:tentative="1">
      <w:start w:val="1"/>
      <w:numFmt w:val="lowerRoman"/>
      <w:lvlText w:val="%3."/>
      <w:lvlJc w:val="right"/>
      <w:pPr>
        <w:ind w:left="2880" w:hanging="180"/>
      </w:pPr>
    </w:lvl>
    <w:lvl w:ilvl="3" w:tplc="FA705D94" w:tentative="1">
      <w:start w:val="1"/>
      <w:numFmt w:val="decimal"/>
      <w:lvlText w:val="%4."/>
      <w:lvlJc w:val="left"/>
      <w:pPr>
        <w:ind w:left="3600" w:hanging="360"/>
      </w:pPr>
    </w:lvl>
    <w:lvl w:ilvl="4" w:tplc="90406772" w:tentative="1">
      <w:start w:val="1"/>
      <w:numFmt w:val="lowerLetter"/>
      <w:lvlText w:val="%5."/>
      <w:lvlJc w:val="left"/>
      <w:pPr>
        <w:ind w:left="4320" w:hanging="360"/>
      </w:pPr>
    </w:lvl>
    <w:lvl w:ilvl="5" w:tplc="F49E0DD8" w:tentative="1">
      <w:start w:val="1"/>
      <w:numFmt w:val="lowerRoman"/>
      <w:lvlText w:val="%6."/>
      <w:lvlJc w:val="right"/>
      <w:pPr>
        <w:ind w:left="5040" w:hanging="180"/>
      </w:pPr>
    </w:lvl>
    <w:lvl w:ilvl="6" w:tplc="7FBCCA04" w:tentative="1">
      <w:start w:val="1"/>
      <w:numFmt w:val="decimal"/>
      <w:lvlText w:val="%7."/>
      <w:lvlJc w:val="left"/>
      <w:pPr>
        <w:ind w:left="5760" w:hanging="360"/>
      </w:pPr>
    </w:lvl>
    <w:lvl w:ilvl="7" w:tplc="7AB01BE2" w:tentative="1">
      <w:start w:val="1"/>
      <w:numFmt w:val="lowerLetter"/>
      <w:lvlText w:val="%8."/>
      <w:lvlJc w:val="left"/>
      <w:pPr>
        <w:ind w:left="6480" w:hanging="360"/>
      </w:pPr>
    </w:lvl>
    <w:lvl w:ilvl="8" w:tplc="15689F04" w:tentative="1">
      <w:start w:val="1"/>
      <w:numFmt w:val="lowerRoman"/>
      <w:lvlText w:val="%9."/>
      <w:lvlJc w:val="right"/>
      <w:pPr>
        <w:ind w:left="7200" w:hanging="180"/>
      </w:pPr>
    </w:lvl>
  </w:abstractNum>
  <w:abstractNum w:abstractNumId="28"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9"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4"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4F00AB"/>
    <w:multiLevelType w:val="hybridMultilevel"/>
    <w:tmpl w:val="D26646F8"/>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38"/>
  </w:num>
  <w:num w:numId="2" w16cid:durableId="1796212711">
    <w:abstractNumId w:val="42"/>
  </w:num>
  <w:num w:numId="3" w16cid:durableId="560215516">
    <w:abstractNumId w:val="10"/>
  </w:num>
  <w:num w:numId="4" w16cid:durableId="127167174">
    <w:abstractNumId w:val="16"/>
  </w:num>
  <w:num w:numId="5" w16cid:durableId="530146565">
    <w:abstractNumId w:val="17"/>
  </w:num>
  <w:num w:numId="6" w16cid:durableId="1308701023">
    <w:abstractNumId w:val="15"/>
  </w:num>
  <w:num w:numId="7" w16cid:durableId="1164586576">
    <w:abstractNumId w:val="25"/>
  </w:num>
  <w:num w:numId="8" w16cid:durableId="390078248">
    <w:abstractNumId w:val="40"/>
  </w:num>
  <w:num w:numId="9" w16cid:durableId="1709836850">
    <w:abstractNumId w:val="32"/>
  </w:num>
  <w:num w:numId="10" w16cid:durableId="1514031139">
    <w:abstractNumId w:val="8"/>
  </w:num>
  <w:num w:numId="11" w16cid:durableId="439372092">
    <w:abstractNumId w:val="18"/>
  </w:num>
  <w:num w:numId="12" w16cid:durableId="1176964315">
    <w:abstractNumId w:val="11"/>
  </w:num>
  <w:num w:numId="13" w16cid:durableId="57481982">
    <w:abstractNumId w:val="37"/>
  </w:num>
  <w:num w:numId="14" w16cid:durableId="616182069">
    <w:abstractNumId w:val="35"/>
  </w:num>
  <w:num w:numId="15" w16cid:durableId="1331370395">
    <w:abstractNumId w:val="34"/>
  </w:num>
  <w:num w:numId="16" w16cid:durableId="2048220565">
    <w:abstractNumId w:val="19"/>
  </w:num>
  <w:num w:numId="17" w16cid:durableId="1376926949">
    <w:abstractNumId w:val="41"/>
  </w:num>
  <w:num w:numId="18" w16cid:durableId="353920111">
    <w:abstractNumId w:val="20"/>
  </w:num>
  <w:num w:numId="19" w16cid:durableId="1125343429">
    <w:abstractNumId w:val="29"/>
  </w:num>
  <w:num w:numId="20" w16cid:durableId="72313112">
    <w:abstractNumId w:val="22"/>
  </w:num>
  <w:num w:numId="21" w16cid:durableId="1413089690">
    <w:abstractNumId w:val="24"/>
  </w:num>
  <w:num w:numId="22" w16cid:durableId="1946451628">
    <w:abstractNumId w:val="30"/>
  </w:num>
  <w:num w:numId="23" w16cid:durableId="1714229662">
    <w:abstractNumId w:val="31"/>
  </w:num>
  <w:num w:numId="24" w16cid:durableId="1864049548">
    <w:abstractNumId w:val="42"/>
  </w:num>
  <w:num w:numId="25" w16cid:durableId="1312754695">
    <w:abstractNumId w:val="42"/>
  </w:num>
  <w:num w:numId="26" w16cid:durableId="1166363704">
    <w:abstractNumId w:val="21"/>
  </w:num>
  <w:num w:numId="27" w16cid:durableId="789670048">
    <w:abstractNumId w:val="28"/>
  </w:num>
  <w:num w:numId="28" w16cid:durableId="971784460">
    <w:abstractNumId w:val="33"/>
  </w:num>
  <w:num w:numId="29" w16cid:durableId="1803688727">
    <w:abstractNumId w:val="14"/>
  </w:num>
  <w:num w:numId="30" w16cid:durableId="154415689">
    <w:abstractNumId w:val="36"/>
  </w:num>
  <w:num w:numId="31" w16cid:durableId="109083732">
    <w:abstractNumId w:val="9"/>
  </w:num>
  <w:num w:numId="32" w16cid:durableId="1136098287">
    <w:abstractNumId w:val="26"/>
  </w:num>
  <w:num w:numId="33" w16cid:durableId="329909884">
    <w:abstractNumId w:val="23"/>
  </w:num>
  <w:num w:numId="34" w16cid:durableId="1326783886">
    <w:abstractNumId w:val="39"/>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 w:numId="43" w16cid:durableId="379867569">
    <w:abstractNumId w:val="27"/>
  </w:num>
  <w:num w:numId="44" w16cid:durableId="1367174501">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8D"/>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606"/>
    <w:rsid w:val="00423A79"/>
    <w:rsid w:val="004241D4"/>
    <w:rsid w:val="00425329"/>
    <w:rsid w:val="00426548"/>
    <w:rsid w:val="004270C4"/>
    <w:rsid w:val="00427563"/>
    <w:rsid w:val="004276EF"/>
    <w:rsid w:val="004277B9"/>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21F0"/>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CF9"/>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0C58"/>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6DA1"/>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4B01"/>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1D84"/>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BEE"/>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8DD"/>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22E4"/>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1D58"/>
    <w:rsid w:val="00B323B3"/>
    <w:rsid w:val="00B32731"/>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48D"/>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E44"/>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7A1"/>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D8F"/>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2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9"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9"/>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9"/>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uiPriority w:val="99"/>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9"/>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uiPriority w:val="99"/>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rsid w:val="000E1CF7"/>
    <w:rPr>
      <w:rFonts w:eastAsia="Times New Roman"/>
      <w:sz w:val="20"/>
      <w:szCs w:val="20"/>
      <w:lang w:bidi="ar-SA"/>
    </w:rPr>
  </w:style>
  <w:style w:type="character" w:styleId="FootnoteReference">
    <w:name w:val="footnote reference"/>
    <w:basedOn w:val="DefaultParagraphFont"/>
    <w:uiPriority w:val="99"/>
    <w:rsid w:val="00311088"/>
    <w:rPr>
      <w:vertAlign w:val="superscript"/>
    </w:rPr>
  </w:style>
  <w:style w:type="paragraph" w:styleId="FootnoteText">
    <w:name w:val="footnote text"/>
    <w:basedOn w:val="Normal"/>
    <w:link w:val="FootnoteTextChar"/>
    <w:uiPriority w:val="1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uiPriority w:val="99"/>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ChapterTitle">
    <w:name w:val="Chapter Title"/>
    <w:basedOn w:val="Normal"/>
    <w:uiPriority w:val="99"/>
    <w:rsid w:val="00423606"/>
    <w:pPr>
      <w:widowControl w:val="0"/>
      <w:suppressAutoHyphens/>
      <w:spacing w:before="0" w:after="480" w:line="280" w:lineRule="atLeast"/>
    </w:pPr>
    <w:rPr>
      <w:rFonts w:eastAsia="Times New Roman"/>
      <w:kern w:val="0"/>
      <w:sz w:val="48"/>
      <w:szCs w:val="28"/>
      <w:lang w:bidi="ar-SA"/>
    </w:rPr>
  </w:style>
  <w:style w:type="paragraph" w:customStyle="1" w:styleId="TOCHeading1">
    <w:name w:val="TOC Heading 1"/>
    <w:basedOn w:val="Normal"/>
    <w:uiPriority w:val="99"/>
    <w:rsid w:val="00423606"/>
    <w:pPr>
      <w:widowControl w:val="0"/>
      <w:tabs>
        <w:tab w:val="right" w:pos="480"/>
        <w:tab w:val="left" w:pos="600"/>
        <w:tab w:val="left" w:pos="960"/>
        <w:tab w:val="right" w:leader="dot" w:pos="7920"/>
        <w:tab w:val="right" w:pos="8640"/>
        <w:tab w:val="right" w:pos="9360"/>
      </w:tabs>
      <w:suppressAutoHyphens/>
      <w:autoSpaceDE w:val="0"/>
      <w:autoSpaceDN w:val="0"/>
      <w:adjustRightInd w:val="0"/>
      <w:spacing w:before="0" w:after="0" w:line="240" w:lineRule="atLeast"/>
      <w:ind w:left="600" w:hanging="600"/>
      <w:textAlignment w:val="center"/>
    </w:pPr>
    <w:rPr>
      <w:rFonts w:eastAsia="Times New Roman" w:cs="TimesNewRomanPSMT"/>
      <w:color w:val="000000"/>
      <w:kern w:val="0"/>
      <w:sz w:val="22"/>
      <w:szCs w:val="22"/>
      <w:lang w:bidi="ar-SA"/>
    </w:rPr>
  </w:style>
  <w:style w:type="paragraph" w:customStyle="1" w:styleId="BlockQuote">
    <w:name w:val="BlockQuote"/>
    <w:basedOn w:val="Normal"/>
    <w:uiPriority w:val="99"/>
    <w:rsid w:val="00423606"/>
    <w:pPr>
      <w:widowControl w:val="0"/>
      <w:tabs>
        <w:tab w:val="left" w:pos="1440"/>
      </w:tabs>
      <w:suppressAutoHyphens/>
      <w:spacing w:before="0" w:after="240"/>
      <w:ind w:left="720" w:right="720"/>
    </w:pPr>
    <w:rPr>
      <w:rFonts w:eastAsia="Times New Roman"/>
      <w:kern w:val="0"/>
      <w:sz w:val="20"/>
      <w:lang w:bidi="ar-SA"/>
    </w:rPr>
  </w:style>
  <w:style w:type="paragraph" w:styleId="ListNumber">
    <w:name w:val="List Number"/>
    <w:basedOn w:val="Normal"/>
    <w:uiPriority w:val="99"/>
    <w:rsid w:val="00423606"/>
    <w:pPr>
      <w:widowControl w:val="0"/>
      <w:numPr>
        <w:numId w:val="43"/>
      </w:numPr>
      <w:tabs>
        <w:tab w:val="clear" w:pos="1080"/>
        <w:tab w:val="left" w:pos="1440"/>
      </w:tabs>
      <w:suppressAutoHyphens/>
      <w:spacing w:before="0" w:after="240"/>
      <w:ind w:left="0" w:firstLine="0"/>
    </w:pPr>
    <w:rPr>
      <w:rFonts w:eastAsia="Times New Roman"/>
      <w:kern w:val="0"/>
      <w:lang w:bidi="ar-SA"/>
    </w:rPr>
  </w:style>
  <w:style w:type="paragraph" w:customStyle="1" w:styleId="board-authorFrontMatter">
    <w:name w:val="board-author (Front Matter)"/>
    <w:basedOn w:val="Normal"/>
    <w:uiPriority w:val="99"/>
    <w:rsid w:val="00423606"/>
    <w:pPr>
      <w:widowControl w:val="0"/>
      <w:tabs>
        <w:tab w:val="center" w:pos="1680"/>
        <w:tab w:val="center" w:pos="5280"/>
      </w:tabs>
      <w:suppressAutoHyphens/>
      <w:spacing w:before="0" w:after="0" w:line="240" w:lineRule="atLeast"/>
      <w:jc w:val="center"/>
    </w:pPr>
    <w:rPr>
      <w:rFonts w:eastAsia="Times New Roman"/>
      <w:smallCaps/>
      <w:kern w:val="0"/>
      <w:sz w:val="22"/>
      <w:szCs w:val="22"/>
      <w:lang w:bidi="ar-SA"/>
    </w:rPr>
  </w:style>
  <w:style w:type="paragraph" w:customStyle="1" w:styleId="board-firmFrontMatter">
    <w:name w:val="board-firm (Front Matter)"/>
    <w:basedOn w:val="Normal"/>
    <w:uiPriority w:val="99"/>
    <w:rsid w:val="00423606"/>
    <w:pPr>
      <w:widowControl w:val="0"/>
      <w:tabs>
        <w:tab w:val="center" w:pos="1680"/>
        <w:tab w:val="center" w:pos="5280"/>
      </w:tabs>
      <w:suppressAutoHyphens/>
      <w:spacing w:before="0" w:after="0" w:line="240" w:lineRule="atLeast"/>
      <w:jc w:val="center"/>
    </w:pPr>
    <w:rPr>
      <w:rFonts w:eastAsia="Times New Roman"/>
      <w:kern w:val="0"/>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saul.com/professionals/gary-b-eidelma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aul.com/professionals/devan-mccarrie"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aul.com/professionals/erik-p-pramschufer"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98BB8C6-60DC-4246-942D-7D3D92DE0FC5}"/>
      </w:docPartPr>
      <w:docPartBody>
        <w:p w:rsidR="00E117A4" w:rsidRDefault="00E117A4">
          <w:r w:rsidRPr="005478F4">
            <w:rPr>
              <w:rStyle w:val="PlaceholderText"/>
            </w:rPr>
            <w:t>Click or tap here to enter text.</w:t>
          </w:r>
        </w:p>
      </w:docPartBody>
    </w:docPart>
    <w:docPart>
      <w:docPartPr>
        <w:name w:val="7063D3D5F9A7432E993D4D89051797AF"/>
        <w:category>
          <w:name w:val="General"/>
          <w:gallery w:val="placeholder"/>
        </w:category>
        <w:types>
          <w:type w:val="bbPlcHdr"/>
        </w:types>
        <w:behaviors>
          <w:behavior w:val="content"/>
        </w:behaviors>
        <w:guid w:val="{40F9D365-1B56-4CAE-97CF-0404C42DC458}"/>
      </w:docPartPr>
      <w:docPartBody>
        <w:p w:rsidR="00E117A4" w:rsidRDefault="00E117A4">
          <w:r w:rsidRPr="005478F4">
            <w:rPr>
              <w:rStyle w:val="PlaceholderText"/>
            </w:rPr>
            <w:t>Unit.Start</w:t>
          </w:r>
        </w:p>
      </w:docPartBody>
    </w:docPart>
    <w:docPart>
      <w:docPartPr>
        <w:name w:val="34431CC3F5504184BE6511CA28188190"/>
        <w:category>
          <w:name w:val="General"/>
          <w:gallery w:val="placeholder"/>
        </w:category>
        <w:types>
          <w:type w:val="bbPlcHdr"/>
        </w:types>
        <w:behaviors>
          <w:behavior w:val="content"/>
        </w:behaviors>
        <w:guid w:val="{80269FB7-88F0-4776-91B6-5FB6289AFADD}"/>
      </w:docPartPr>
      <w:docPartBody>
        <w:p w:rsidR="00E117A4" w:rsidRDefault="00E117A4">
          <w:r w:rsidRPr="005478F4">
            <w:rPr>
              <w:rStyle w:val="PlaceholderText"/>
            </w:rPr>
            <w:t>Document</w:t>
          </w:r>
        </w:p>
      </w:docPartBody>
    </w:docPart>
    <w:docPart>
      <w:docPartPr>
        <w:name w:val="3BDECFF6DE6247DDAD8809D025DF6069"/>
        <w:category>
          <w:name w:val="General"/>
          <w:gallery w:val="placeholder"/>
        </w:category>
        <w:types>
          <w:type w:val="bbPlcHdr"/>
        </w:types>
        <w:behaviors>
          <w:behavior w:val="content"/>
        </w:behaviors>
        <w:guid w:val="{976CE685-670E-4B31-BD40-2200E7C74322}"/>
      </w:docPartPr>
      <w:docPartBody>
        <w:p w:rsidR="00E117A4" w:rsidRDefault="00E117A4">
          <w:r w:rsidRPr="005478F4">
            <w:rPr>
              <w:rStyle w:val="PlaceholderText"/>
            </w:rPr>
            <w:t>enter text</w:t>
          </w:r>
        </w:p>
      </w:docPartBody>
    </w:docPart>
    <w:docPart>
      <w:docPartPr>
        <w:name w:val="A2D732006A6C4F01BE1BAA40B413A5B7"/>
        <w:category>
          <w:name w:val="General"/>
          <w:gallery w:val="placeholder"/>
        </w:category>
        <w:types>
          <w:type w:val="bbPlcHdr"/>
        </w:types>
        <w:behaviors>
          <w:behavior w:val="content"/>
        </w:behaviors>
        <w:guid w:val="{D2825A4F-D4F3-4715-899F-10136590F881}"/>
      </w:docPartPr>
      <w:docPartBody>
        <w:p w:rsidR="00E117A4" w:rsidRDefault="00E117A4">
          <w:r w:rsidRPr="005478F4">
            <w:rPr>
              <w:rStyle w:val="PlaceholderText"/>
            </w:rPr>
            <w:t>enter text</w:t>
          </w:r>
        </w:p>
      </w:docPartBody>
    </w:docPart>
    <w:docPart>
      <w:docPartPr>
        <w:name w:val="C25C7759467346C6A9218B9790C7186F"/>
        <w:category>
          <w:name w:val="General"/>
          <w:gallery w:val="placeholder"/>
        </w:category>
        <w:types>
          <w:type w:val="bbPlcHdr"/>
        </w:types>
        <w:behaviors>
          <w:behavior w:val="content"/>
        </w:behaviors>
        <w:guid w:val="{23AB2963-38C7-4F3A-BD1D-8666B268E00E}"/>
      </w:docPartPr>
      <w:docPartBody>
        <w:p w:rsidR="00E117A4" w:rsidRDefault="00E117A4">
          <w:r w:rsidRPr="005478F4">
            <w:rPr>
              <w:rStyle w:val="PlaceholderText"/>
            </w:rPr>
            <w:t>enter REQUIRED text</w:t>
          </w:r>
        </w:p>
      </w:docPartBody>
    </w:docPart>
    <w:docPart>
      <w:docPartPr>
        <w:name w:val="F664A76B47C34642A870695DA81F1102"/>
        <w:category>
          <w:name w:val="General"/>
          <w:gallery w:val="placeholder"/>
        </w:category>
        <w:types>
          <w:type w:val="bbPlcHdr"/>
        </w:types>
        <w:behaviors>
          <w:behavior w:val="content"/>
        </w:behaviors>
        <w:guid w:val="{33BA68DD-7867-49D4-8F27-2E911ABAE352}"/>
      </w:docPartPr>
      <w:docPartBody>
        <w:p w:rsidR="00E117A4" w:rsidRDefault="00E117A4">
          <w:r w:rsidRPr="005478F4">
            <w:rPr>
              <w:rStyle w:val="PlaceholderText"/>
            </w:rPr>
            <w:t>enter REQUIRED text</w:t>
          </w:r>
        </w:p>
      </w:docPartBody>
    </w:docPart>
    <w:docPart>
      <w:docPartPr>
        <w:name w:val="422B910E3B664E52B3AB91E91D1438BA"/>
        <w:category>
          <w:name w:val="General"/>
          <w:gallery w:val="placeholder"/>
        </w:category>
        <w:types>
          <w:type w:val="bbPlcHdr"/>
        </w:types>
        <w:behaviors>
          <w:behavior w:val="content"/>
        </w:behaviors>
        <w:guid w:val="{B8484019-B8A0-4314-8925-C9712087333F}"/>
      </w:docPartPr>
      <w:docPartBody>
        <w:p w:rsidR="00E117A4" w:rsidRDefault="00E117A4">
          <w:r w:rsidRPr="005478F4">
            <w:rPr>
              <w:rStyle w:val="PlaceholderText"/>
            </w:rPr>
            <w:t>enter text</w:t>
          </w:r>
        </w:p>
      </w:docPartBody>
    </w:docPart>
    <w:docPart>
      <w:docPartPr>
        <w:name w:val="E70395639FA34CA8A2F79E140F22F81E"/>
        <w:category>
          <w:name w:val="General"/>
          <w:gallery w:val="placeholder"/>
        </w:category>
        <w:types>
          <w:type w:val="bbPlcHdr"/>
        </w:types>
        <w:behaviors>
          <w:behavior w:val="content"/>
        </w:behaviors>
        <w:guid w:val="{BBE7482E-25C3-4B68-976B-3A8489F11A4A}"/>
      </w:docPartPr>
      <w:docPartBody>
        <w:p w:rsidR="00E117A4" w:rsidRDefault="00E117A4">
          <w:r w:rsidRPr="005478F4">
            <w:rPr>
              <w:rStyle w:val="PlaceholderText"/>
            </w:rPr>
            <w:t>enter text</w:t>
          </w:r>
        </w:p>
      </w:docPartBody>
    </w:docPart>
    <w:docPart>
      <w:docPartPr>
        <w:name w:val="AD48000255AB452E875D37230FAEA7AA"/>
        <w:category>
          <w:name w:val="General"/>
          <w:gallery w:val="placeholder"/>
        </w:category>
        <w:types>
          <w:type w:val="bbPlcHdr"/>
        </w:types>
        <w:behaviors>
          <w:behavior w:val="content"/>
        </w:behaviors>
        <w:guid w:val="{D3DB950C-C6E2-429D-AFFA-A9F616059526}"/>
      </w:docPartPr>
      <w:docPartBody>
        <w:p w:rsidR="00E117A4" w:rsidRDefault="00E117A4">
          <w:r w:rsidRPr="005478F4">
            <w:rPr>
              <w:rStyle w:val="PlaceholderText"/>
            </w:rPr>
            <w:t>enter text</w:t>
          </w:r>
        </w:p>
      </w:docPartBody>
    </w:docPart>
    <w:docPart>
      <w:docPartPr>
        <w:name w:val="5BBC09CDB00E4A0FAE7553B4B8B2035A"/>
        <w:category>
          <w:name w:val="General"/>
          <w:gallery w:val="placeholder"/>
        </w:category>
        <w:types>
          <w:type w:val="bbPlcHdr"/>
        </w:types>
        <w:behaviors>
          <w:behavior w:val="content"/>
        </w:behaviors>
        <w:guid w:val="{D5E8333C-3303-483A-8FAD-EC0DB1757CAE}"/>
      </w:docPartPr>
      <w:docPartBody>
        <w:p w:rsidR="00E117A4" w:rsidRDefault="00E117A4">
          <w:r w:rsidRPr="005478F4">
            <w:rPr>
              <w:rStyle w:val="PlaceholderText"/>
            </w:rPr>
            <w:t>enter text</w:t>
          </w:r>
        </w:p>
      </w:docPartBody>
    </w:docPart>
    <w:docPart>
      <w:docPartPr>
        <w:name w:val="589C4E8C0FF149ED8764371B7C5D324E"/>
        <w:category>
          <w:name w:val="General"/>
          <w:gallery w:val="placeholder"/>
        </w:category>
        <w:types>
          <w:type w:val="bbPlcHdr"/>
        </w:types>
        <w:behaviors>
          <w:behavior w:val="content"/>
        </w:behaviors>
        <w:guid w:val="{5DD55AE7-80D4-4A69-8979-2BF370089A34}"/>
      </w:docPartPr>
      <w:docPartBody>
        <w:p w:rsidR="00E117A4" w:rsidRDefault="00E117A4">
          <w:r w:rsidRPr="005478F4">
            <w:rPr>
              <w:rStyle w:val="PlaceholderText"/>
            </w:rPr>
            <w:t>enter text</w:t>
          </w:r>
        </w:p>
      </w:docPartBody>
    </w:docPart>
    <w:docPart>
      <w:docPartPr>
        <w:name w:val="BD49AD5DA47B442E970E5C991AAD4933"/>
        <w:category>
          <w:name w:val="General"/>
          <w:gallery w:val="placeholder"/>
        </w:category>
        <w:types>
          <w:type w:val="bbPlcHdr"/>
        </w:types>
        <w:behaviors>
          <w:behavior w:val="content"/>
        </w:behaviors>
        <w:guid w:val="{3DEFFC51-F968-45C7-829F-EE402726DD39}"/>
      </w:docPartPr>
      <w:docPartBody>
        <w:p w:rsidR="00E117A4" w:rsidRDefault="00E117A4">
          <w:r w:rsidRPr="005478F4">
            <w:rPr>
              <w:rStyle w:val="PlaceholderText"/>
            </w:rPr>
            <w:t>enter text</w:t>
          </w:r>
        </w:p>
      </w:docPartBody>
    </w:docPart>
    <w:docPart>
      <w:docPartPr>
        <w:name w:val="AC43EDB61BBF4193AB743196ED98C5CD"/>
        <w:category>
          <w:name w:val="General"/>
          <w:gallery w:val="placeholder"/>
        </w:category>
        <w:types>
          <w:type w:val="bbPlcHdr"/>
        </w:types>
        <w:behaviors>
          <w:behavior w:val="content"/>
        </w:behaviors>
        <w:guid w:val="{5FC3374B-18BC-4BCD-BBD8-B2B2C61090BA}"/>
      </w:docPartPr>
      <w:docPartBody>
        <w:p w:rsidR="00E117A4" w:rsidRDefault="00E117A4">
          <w:r w:rsidRPr="005478F4">
            <w:rPr>
              <w:rStyle w:val="PlaceholderText"/>
            </w:rPr>
            <w:t>enter text</w:t>
          </w:r>
        </w:p>
      </w:docPartBody>
    </w:docPart>
    <w:docPart>
      <w:docPartPr>
        <w:name w:val="44DA4AB1957D4D96B3F5087DCCBA17E7"/>
        <w:category>
          <w:name w:val="General"/>
          <w:gallery w:val="placeholder"/>
        </w:category>
        <w:types>
          <w:type w:val="bbPlcHdr"/>
        </w:types>
        <w:behaviors>
          <w:behavior w:val="content"/>
        </w:behaviors>
        <w:guid w:val="{3A9AF9D9-9278-4255-ABAA-14780DF228CD}"/>
      </w:docPartPr>
      <w:docPartBody>
        <w:p w:rsidR="00E117A4" w:rsidRDefault="00E117A4">
          <w:r w:rsidRPr="005478F4">
            <w:rPr>
              <w:rStyle w:val="PlaceholderText"/>
            </w:rPr>
            <w:t>enter text</w:t>
          </w:r>
        </w:p>
      </w:docPartBody>
    </w:docPart>
    <w:docPart>
      <w:docPartPr>
        <w:name w:val="42837A3FC94E42C3807C93E4EC67541A"/>
        <w:category>
          <w:name w:val="General"/>
          <w:gallery w:val="placeholder"/>
        </w:category>
        <w:types>
          <w:type w:val="bbPlcHdr"/>
        </w:types>
        <w:behaviors>
          <w:behavior w:val="content"/>
        </w:behaviors>
        <w:guid w:val="{086E6DD4-0EFB-4F96-A85E-930555F98B5E}"/>
      </w:docPartPr>
      <w:docPartBody>
        <w:p w:rsidR="00E117A4" w:rsidRDefault="00E117A4">
          <w:r w:rsidRPr="005478F4">
            <w:rPr>
              <w:rStyle w:val="PlaceholderText"/>
            </w:rPr>
            <w:t>choose an item (REQUIRED)</w:t>
          </w:r>
        </w:p>
      </w:docPartBody>
    </w:docPart>
    <w:docPart>
      <w:docPartPr>
        <w:name w:val="307A14343CE04596BFF1C486A5C93C10"/>
        <w:category>
          <w:name w:val="General"/>
          <w:gallery w:val="placeholder"/>
        </w:category>
        <w:types>
          <w:type w:val="bbPlcHdr"/>
        </w:types>
        <w:behaviors>
          <w:behavior w:val="content"/>
        </w:behaviors>
        <w:guid w:val="{738E2995-95EA-4EB7-BF67-BF32F5E22177}"/>
      </w:docPartPr>
      <w:docPartBody>
        <w:p w:rsidR="00E117A4" w:rsidRDefault="00E117A4">
          <w:r w:rsidRPr="005478F4">
            <w:rPr>
              <w:rStyle w:val="PlaceholderText"/>
            </w:rPr>
            <w:t>enter text</w:t>
          </w:r>
        </w:p>
      </w:docPartBody>
    </w:docPart>
    <w:docPart>
      <w:docPartPr>
        <w:name w:val="0E8BCEF0D2404F269E2DC652ED24DBA0"/>
        <w:category>
          <w:name w:val="General"/>
          <w:gallery w:val="placeholder"/>
        </w:category>
        <w:types>
          <w:type w:val="bbPlcHdr"/>
        </w:types>
        <w:behaviors>
          <w:behavior w:val="content"/>
        </w:behaviors>
        <w:guid w:val="{EC91CA2D-7923-43BF-B96D-42047B16ED51}"/>
      </w:docPartPr>
      <w:docPartBody>
        <w:p w:rsidR="00E117A4" w:rsidRDefault="00E117A4">
          <w:r w:rsidRPr="005478F4">
            <w:rPr>
              <w:rStyle w:val="PlaceholderText"/>
            </w:rPr>
            <w:t>enter text</w:t>
          </w:r>
        </w:p>
      </w:docPartBody>
    </w:docPart>
    <w:docPart>
      <w:docPartPr>
        <w:name w:val="7F59EB0AEEC14BC69677952043747914"/>
        <w:category>
          <w:name w:val="General"/>
          <w:gallery w:val="placeholder"/>
        </w:category>
        <w:types>
          <w:type w:val="bbPlcHdr"/>
        </w:types>
        <w:behaviors>
          <w:behavior w:val="content"/>
        </w:behaviors>
        <w:guid w:val="{6B60AF47-A9BC-4DE8-9B6C-F4AA0473C5F1}"/>
      </w:docPartPr>
      <w:docPartBody>
        <w:p w:rsidR="00E117A4" w:rsidRDefault="00E117A4">
          <w:r w:rsidRPr="005478F4">
            <w:rPr>
              <w:rStyle w:val="PlaceholderText"/>
            </w:rPr>
            <w:t>enter REQUIRED text</w:t>
          </w:r>
        </w:p>
      </w:docPartBody>
    </w:docPart>
    <w:docPart>
      <w:docPartPr>
        <w:name w:val="DF637CDC32E84BE69BDBADCAA1620DE0"/>
        <w:category>
          <w:name w:val="General"/>
          <w:gallery w:val="placeholder"/>
        </w:category>
        <w:types>
          <w:type w:val="bbPlcHdr"/>
        </w:types>
        <w:behaviors>
          <w:behavior w:val="content"/>
        </w:behaviors>
        <w:guid w:val="{C6A53E48-30D1-4049-8BC6-760318363252}"/>
      </w:docPartPr>
      <w:docPartBody>
        <w:p w:rsidR="00E117A4" w:rsidRDefault="00E117A4">
          <w:r w:rsidRPr="005478F4">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7A4"/>
    <w:rsid w:val="004921F0"/>
    <w:rsid w:val="00600C58"/>
    <w:rsid w:val="00754B01"/>
    <w:rsid w:val="007A635E"/>
    <w:rsid w:val="00E11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7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nversion.options xmlns="http://www.bna.com/gateway/conversion.options">
  <ns0:tables xmlns:ns0="http://www.bna.com/gateway/conversion.options" tag="smart"/>
</conversion.options>
</file>

<file path=customXml/item2.xml><?xml version="1.0" encoding="utf-8"?>
<document xmlns="http://www.bna.com/gateway/unit.start">
  <ns0:unit.start xmlns:ns0="http://www.bna.com/gateway/unit.start" copyright.owner="enter text" part.name="enter text" part.num="enter text" subpart.name="enter text" unit.code="main0008" unit.name="Delaware" folio="183" class.code="A" class.name="Book Body" bna.id.prefix="8" pdm.name="Delaware" publication.name="Employment at Will A State-by-State Survey" acct.code="EMP2M20" date="2025-09-10" supplement="0" volume.num="1" service.code="emp-book"/>
</document>
</file>

<file path=customXml/item3.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4.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5.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glf-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lbs1500-book"/>
    <listitem value="hlbs2400-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vvp-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ADA3C72-C4A8-40A7-A93D-753FF12AADFE}">
  <ds:schemaRefs>
    <ds:schemaRef ds:uri="http://www.bna.com/gateway/conversion.options"/>
  </ds:schemaRefs>
</ds:datastoreItem>
</file>

<file path=customXml/itemProps2.xml><?xml version="1.0" encoding="utf-8"?>
<ds:datastoreItem xmlns:ds="http://schemas.openxmlformats.org/officeDocument/2006/customXml" ds:itemID="{B04FCA99-13B0-422B-ADC9-9491644FA79D}">
  <ds:schemaRefs>
    <ds:schemaRef ds:uri="http://www.bna.com/gateway/unit.start"/>
  </ds:schemaRefs>
</ds:datastoreItem>
</file>

<file path=customXml/itemProps3.xml><?xml version="1.0" encoding="utf-8"?>
<ds:datastoreItem xmlns:ds="http://schemas.openxmlformats.org/officeDocument/2006/customXml" ds:itemID="{88E47CC7-89B1-4334-9439-A1F1C1083F4F}">
  <ds:schemaRefs>
    <ds:schemaRef ds:uri="ReferenceServiceCodes"/>
  </ds:schemaRefs>
</ds:datastoreItem>
</file>

<file path=customXml/itemProps4.xml><?xml version="1.0" encoding="utf-8"?>
<ds:datastoreItem xmlns:ds="http://schemas.openxmlformats.org/officeDocument/2006/customXml" ds:itemID="{25203738-0C39-41F2-B232-E9DAD00FD52D}">
  <ds:schemaRefs>
    <ds:schemaRef ds:uri="PortfolioServiceCodes"/>
  </ds:schemaRefs>
</ds:datastoreItem>
</file>

<file path=customXml/itemProps5.xml><?xml version="1.0" encoding="utf-8"?>
<ds:datastoreItem xmlns:ds="http://schemas.openxmlformats.org/officeDocument/2006/customXml" ds:itemID="{732EAE1F-E5D5-464F-83ED-0773DAFAA229}">
  <ds:schemaRefs>
    <ds:schemaRef ds:uri="BookServiceCodes"/>
  </ds:schemaRefs>
</ds:datastoreItem>
</file>

<file path=customXml/itemProps6.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Template>
  <TotalTime>0</TotalTime>
  <Pages>1</Pages>
  <Words>6674</Words>
  <Characters>36963</Characters>
  <Application>Microsoft Office Word</Application>
  <DocSecurity>0</DocSecurity>
  <Lines>308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2025-09-16T15:45:00Z</dcterms:created>
  <dcterms:modified xsi:type="dcterms:W3CDTF">2025-09-16T15:45:00Z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