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410EC" w14:textId="471F2B9A" w:rsidR="00140ADC" w:rsidRPr="00353F57" w:rsidRDefault="00140ADC" w:rsidP="2A1B6384">
      <w:pPr>
        <w:spacing w:line="247" w:lineRule="auto"/>
        <w:rPr>
          <w:b/>
          <w:bCs/>
          <w:u w:val="single"/>
        </w:rPr>
      </w:pPr>
      <w:r w:rsidRPr="65EE6D46">
        <w:rPr>
          <w:b/>
          <w:bCs/>
          <w:u w:val="single"/>
        </w:rPr>
        <w:t xml:space="preserve">MLI Modifications: </w:t>
      </w:r>
      <w:r w:rsidR="5811E31B" w:rsidRPr="65EE6D46">
        <w:rPr>
          <w:b/>
          <w:bCs/>
          <w:u w:val="single"/>
        </w:rPr>
        <w:t>Curaçao</w:t>
      </w:r>
      <w:r w:rsidR="57F13AD6" w:rsidRPr="65EE6D46">
        <w:rPr>
          <w:b/>
          <w:bCs/>
          <w:u w:val="single"/>
        </w:rPr>
        <w:t>-</w:t>
      </w:r>
      <w:r w:rsidR="06339B92" w:rsidRPr="65EE6D46">
        <w:rPr>
          <w:b/>
          <w:bCs/>
          <w:u w:val="single"/>
        </w:rPr>
        <w:t>Malt</w:t>
      </w:r>
      <w:r w:rsidR="57F13AD6" w:rsidRPr="65EE6D46">
        <w:rPr>
          <w:b/>
          <w:bCs/>
          <w:u w:val="single"/>
        </w:rPr>
        <w:t>a</w:t>
      </w:r>
    </w:p>
    <w:p w14:paraId="2CEA064D" w14:textId="2C3153CB" w:rsidR="00140ADC" w:rsidRPr="00353F57" w:rsidRDefault="00140ADC" w:rsidP="65EE6D46">
      <w:pPr>
        <w:spacing w:line="247" w:lineRule="auto"/>
        <w:ind w:right="720"/>
        <w:jc w:val="both"/>
        <w:rPr>
          <w:i/>
          <w:iCs/>
        </w:rPr>
      </w:pPr>
      <w:r w:rsidRPr="65EE6D46">
        <w:rPr>
          <w:i/>
          <w:iCs/>
        </w:rPr>
        <w:t xml:space="preserve">Editor’s Note: This summary is based on the MLI positions submitted to the Depositary upon the deposit of the ratification instruments by </w:t>
      </w:r>
      <w:r w:rsidR="014C2DC5" w:rsidRPr="65EE6D46">
        <w:rPr>
          <w:i/>
          <w:iCs/>
        </w:rPr>
        <w:t>Curaçao</w:t>
      </w:r>
      <w:r w:rsidR="688D5531" w:rsidRPr="65EE6D46">
        <w:rPr>
          <w:i/>
          <w:iCs/>
        </w:rPr>
        <w:t xml:space="preserve"> </w:t>
      </w:r>
      <w:r w:rsidRPr="65EE6D46">
        <w:rPr>
          <w:i/>
          <w:iCs/>
        </w:rPr>
        <w:t xml:space="preserve">and </w:t>
      </w:r>
      <w:r w:rsidR="13029480" w:rsidRPr="65EE6D46">
        <w:rPr>
          <w:i/>
          <w:iCs/>
        </w:rPr>
        <w:t>Malt</w:t>
      </w:r>
      <w:r w:rsidR="1F2541E9" w:rsidRPr="65EE6D46">
        <w:rPr>
          <w:i/>
          <w:iCs/>
        </w:rPr>
        <w:t>a</w:t>
      </w:r>
      <w:r w:rsidRPr="65EE6D46">
        <w:rPr>
          <w:i/>
          <w:iCs/>
        </w:rPr>
        <w:t>, and does not constitute business, legal, tax, or other professional advice or services. It is intended only to provide a general guide</w:t>
      </w:r>
      <w:r w:rsidRPr="65EE6D46">
        <w:t xml:space="preserve">. </w:t>
      </w:r>
      <w:r w:rsidRPr="65EE6D46">
        <w:rPr>
          <w:i/>
          <w:iCs/>
        </w:rPr>
        <w:t xml:space="preserve">In applying the MLI provisions to this treaty, researchers should ensure they review other relevant MLI sources. Please see the Bloomberg Tax </w:t>
      </w:r>
      <w:hyperlink r:id="rId7">
        <w:r w:rsidRPr="65EE6D46">
          <w:rPr>
            <w:rStyle w:val="Hyperlink"/>
            <w:i/>
            <w:iCs/>
            <w:color w:val="auto"/>
          </w:rPr>
          <w:t>MLI Watch</w:t>
        </w:r>
      </w:hyperlink>
      <w:r w:rsidRPr="65EE6D46">
        <w:rPr>
          <w:i/>
          <w:iCs/>
        </w:rPr>
        <w:t xml:space="preserve"> page for further research. </w:t>
      </w:r>
    </w:p>
    <w:p w14:paraId="29008646" w14:textId="25B11151" w:rsidR="00140ADC" w:rsidRPr="00353F57" w:rsidRDefault="00140ADC" w:rsidP="2A1B6384">
      <w:pPr>
        <w:pStyle w:val="NoSpacing"/>
        <w:tabs>
          <w:tab w:val="left" w:pos="6576"/>
        </w:tabs>
        <w:spacing w:line="247" w:lineRule="auto"/>
      </w:pPr>
      <w:r w:rsidRPr="65EE6D46">
        <w:rPr>
          <w:b/>
          <w:bCs/>
        </w:rPr>
        <w:t xml:space="preserve">Date this </w:t>
      </w:r>
      <w:r w:rsidR="3EEC4CB9" w:rsidRPr="65EE6D46">
        <w:rPr>
          <w:b/>
          <w:bCs/>
        </w:rPr>
        <w:t>Convention</w:t>
      </w:r>
      <w:r w:rsidRPr="65EE6D46">
        <w:rPr>
          <w:b/>
          <w:bCs/>
        </w:rPr>
        <w:t xml:space="preserve"> is Modified by the MLI (Enters into Force):</w:t>
      </w:r>
      <w:r w:rsidRPr="65EE6D46">
        <w:t xml:space="preserve"> </w:t>
      </w:r>
      <w:r w:rsidR="3938C59F" w:rsidRPr="65EE6D46">
        <w:t>September 1, 2024</w:t>
      </w:r>
    </w:p>
    <w:p w14:paraId="142BFE27" w14:textId="008F80E7" w:rsidR="00140ADC" w:rsidRPr="00353F57" w:rsidRDefault="00140ADC" w:rsidP="2A1B6384">
      <w:pPr>
        <w:pStyle w:val="NoSpacing"/>
        <w:spacing w:line="247" w:lineRule="auto"/>
        <w:rPr>
          <w:rFonts w:ascii="Calibri" w:eastAsia="Calibri" w:hAnsi="Calibri" w:cs="Calibri"/>
        </w:rPr>
      </w:pPr>
      <w:bookmarkStart w:id="0" w:name="_Hlk64905213"/>
      <w:r w:rsidRPr="65EE6D46">
        <w:rPr>
          <w:b/>
          <w:bCs/>
        </w:rPr>
        <w:t>MLI instrument of ratification deposited (</w:t>
      </w:r>
      <w:r w:rsidR="13A29A70" w:rsidRPr="65EE6D46">
        <w:rPr>
          <w:b/>
          <w:bCs/>
        </w:rPr>
        <w:t>Curaçao</w:t>
      </w:r>
      <w:r w:rsidRPr="65EE6D46">
        <w:rPr>
          <w:b/>
          <w:bCs/>
        </w:rPr>
        <w:t xml:space="preserve">): </w:t>
      </w:r>
      <w:bookmarkEnd w:id="0"/>
      <w:r w:rsidR="1BE87A16" w:rsidRPr="65EE6D46">
        <w:rPr>
          <w:rFonts w:ascii="Calibri" w:eastAsia="Calibri" w:hAnsi="Calibri" w:cs="Calibri"/>
          <w:color w:val="000000" w:themeColor="text1"/>
        </w:rPr>
        <w:t>March 29, 2019</w:t>
      </w:r>
    </w:p>
    <w:p w14:paraId="76C1E605" w14:textId="45FFA2FE" w:rsidR="00140ADC" w:rsidRPr="00353F57" w:rsidRDefault="00140ADC" w:rsidP="2A1B6384">
      <w:pPr>
        <w:pStyle w:val="NoSpacing"/>
        <w:spacing w:line="247" w:lineRule="auto"/>
      </w:pPr>
      <w:r w:rsidRPr="65EE6D46">
        <w:rPr>
          <w:b/>
          <w:bCs/>
        </w:rPr>
        <w:t xml:space="preserve">MLI instrument of ratification deposited </w:t>
      </w:r>
      <w:r w:rsidR="00AD4EAF" w:rsidRPr="65EE6D46">
        <w:rPr>
          <w:b/>
          <w:bCs/>
        </w:rPr>
        <w:t>(</w:t>
      </w:r>
      <w:r w:rsidR="2A5968B3" w:rsidRPr="65EE6D46">
        <w:rPr>
          <w:b/>
          <w:bCs/>
        </w:rPr>
        <w:t>Malta</w:t>
      </w:r>
      <w:r w:rsidRPr="65EE6D46">
        <w:rPr>
          <w:b/>
          <w:bCs/>
        </w:rPr>
        <w:t xml:space="preserve">): </w:t>
      </w:r>
      <w:r w:rsidR="3307C649" w:rsidRPr="65EE6D46">
        <w:t>December 18, 2018</w:t>
      </w:r>
    </w:p>
    <w:p w14:paraId="07A25571" w14:textId="4A633AAE" w:rsidR="00140ADC" w:rsidRPr="00353F57" w:rsidRDefault="00140ADC" w:rsidP="2A1B6384">
      <w:pPr>
        <w:pStyle w:val="NoSpacing"/>
        <w:spacing w:line="247" w:lineRule="auto"/>
        <w:rPr>
          <w:shd w:val="clear" w:color="auto" w:fill="FFFFFF"/>
        </w:rPr>
      </w:pPr>
      <w:bookmarkStart w:id="1" w:name="_Hlk64905519"/>
      <w:bookmarkStart w:id="2" w:name="_Hlk66366943"/>
      <w:bookmarkStart w:id="3" w:name="_Hlk120025025"/>
      <w:r w:rsidRPr="65EE6D46">
        <w:rPr>
          <w:b/>
          <w:bCs/>
        </w:rPr>
        <w:t xml:space="preserve">MLI effective date, withholding taxes </w:t>
      </w:r>
      <w:r w:rsidR="009C0655" w:rsidRPr="65EE6D46">
        <w:rPr>
          <w:b/>
          <w:bCs/>
        </w:rPr>
        <w:t>(</w:t>
      </w:r>
      <w:r w:rsidR="6A0EDA93" w:rsidRPr="65EE6D46">
        <w:rPr>
          <w:b/>
          <w:bCs/>
        </w:rPr>
        <w:t>Curaçao</w:t>
      </w:r>
      <w:r w:rsidR="5553A81A" w:rsidRPr="65EE6D46">
        <w:rPr>
          <w:b/>
          <w:bCs/>
        </w:rPr>
        <w:t xml:space="preserve"> </w:t>
      </w:r>
      <w:r w:rsidR="0046659F" w:rsidRPr="65EE6D46">
        <w:rPr>
          <w:b/>
          <w:bCs/>
        </w:rPr>
        <w:t xml:space="preserve">and </w:t>
      </w:r>
      <w:r w:rsidR="1CE7D9A9" w:rsidRPr="65EE6D46">
        <w:rPr>
          <w:b/>
          <w:bCs/>
        </w:rPr>
        <w:t>Malt</w:t>
      </w:r>
      <w:r w:rsidR="658F03E2" w:rsidRPr="65EE6D46">
        <w:rPr>
          <w:b/>
          <w:bCs/>
        </w:rPr>
        <w:t>a</w:t>
      </w:r>
      <w:r w:rsidRPr="65EE6D46">
        <w:rPr>
          <w:b/>
          <w:bCs/>
        </w:rPr>
        <w:t>):</w:t>
      </w:r>
      <w:r w:rsidRPr="65EE6D46">
        <w:t xml:space="preserve"> </w:t>
      </w:r>
      <w:r w:rsidR="00AD4EAF" w:rsidRPr="65EE6D46">
        <w:t>January 1, 202</w:t>
      </w:r>
      <w:r w:rsidR="7ED2AD68" w:rsidRPr="65EE6D46">
        <w:t>5</w:t>
      </w:r>
    </w:p>
    <w:p w14:paraId="248CB9B7" w14:textId="228C7C58" w:rsidR="00140ADC" w:rsidRPr="00353F57" w:rsidRDefault="00140ADC" w:rsidP="65EE6D46">
      <w:pPr>
        <w:pStyle w:val="NoSpacing"/>
        <w:spacing w:line="247" w:lineRule="auto"/>
        <w:rPr>
          <w:b/>
          <w:bCs/>
        </w:rPr>
      </w:pPr>
      <w:bookmarkStart w:id="4" w:name="_Hlk69478354"/>
      <w:bookmarkEnd w:id="1"/>
      <w:bookmarkEnd w:id="2"/>
      <w:r w:rsidRPr="2A1B6384">
        <w:rPr>
          <w:b/>
          <w:bCs/>
          <w:shd w:val="clear" w:color="auto" w:fill="FFFFFF"/>
        </w:rPr>
        <w:t xml:space="preserve">MLI effective date, all other taxes </w:t>
      </w:r>
      <w:r w:rsidR="009C0655" w:rsidRPr="2A1B6384">
        <w:rPr>
          <w:b/>
          <w:bCs/>
        </w:rPr>
        <w:t>(</w:t>
      </w:r>
      <w:r w:rsidR="7809ACB0" w:rsidRPr="65EE6D46">
        <w:rPr>
          <w:b/>
          <w:bCs/>
        </w:rPr>
        <w:t>Curaçao</w:t>
      </w:r>
      <w:r w:rsidR="0046659F" w:rsidRPr="2A1B6384">
        <w:rPr>
          <w:b/>
          <w:bCs/>
        </w:rPr>
        <w:t>)</w:t>
      </w:r>
      <w:r w:rsidRPr="2A1B6384">
        <w:rPr>
          <w:b/>
          <w:bCs/>
          <w:shd w:val="clear" w:color="auto" w:fill="FFFFFF"/>
        </w:rPr>
        <w:t>: </w:t>
      </w:r>
      <w:r w:rsidR="6973DA94" w:rsidRPr="65EE6D46">
        <w:rPr>
          <w:shd w:val="clear" w:color="auto" w:fill="FFFFFF"/>
        </w:rPr>
        <w:t>March 1, 2025</w:t>
      </w:r>
      <w:bookmarkEnd w:id="3"/>
      <w:bookmarkEnd w:id="4"/>
    </w:p>
    <w:p w14:paraId="0BA5020F" w14:textId="65222877" w:rsidR="00140ADC" w:rsidRPr="00353F57" w:rsidRDefault="685E8704" w:rsidP="65EE6D46">
      <w:pPr>
        <w:pStyle w:val="NoSpacing"/>
        <w:spacing w:line="247" w:lineRule="auto"/>
        <w:rPr>
          <w:b/>
          <w:bCs/>
        </w:rPr>
      </w:pPr>
      <w:r w:rsidRPr="65EE6D46">
        <w:rPr>
          <w:b/>
          <w:bCs/>
        </w:rPr>
        <w:t>MLI effective date, all other taxes (Malta): </w:t>
      </w:r>
      <w:r w:rsidR="2EB83541" w:rsidRPr="65EE6D46">
        <w:t>January 1, 2026</w:t>
      </w:r>
    </w:p>
    <w:p w14:paraId="65BCCF83" w14:textId="77777777" w:rsidR="00353F57" w:rsidRPr="00353F57" w:rsidRDefault="00353F57" w:rsidP="00353F57">
      <w:pPr>
        <w:pStyle w:val="NoSpacing"/>
        <w:spacing w:line="247" w:lineRule="auto"/>
        <w:rPr>
          <w:rFonts w:cstheme="minorHAnsi"/>
        </w:rPr>
      </w:pPr>
    </w:p>
    <w:p w14:paraId="46DEE0E7" w14:textId="77777777" w:rsidR="00140ADC" w:rsidRPr="00353F57" w:rsidRDefault="00140ADC" w:rsidP="2A1B6384">
      <w:pPr>
        <w:pStyle w:val="NormalWeb"/>
        <w:shd w:val="clear" w:color="auto" w:fill="FFFFFF" w:themeFill="background1"/>
        <w:spacing w:before="0" w:beforeAutospacing="0" w:after="160" w:afterAutospacing="0" w:line="247" w:lineRule="auto"/>
        <w:rPr>
          <w:rFonts w:asciiTheme="minorHAnsi" w:hAnsiTheme="minorHAnsi" w:cstheme="minorBidi"/>
          <w:sz w:val="22"/>
          <w:szCs w:val="22"/>
        </w:rPr>
      </w:pPr>
      <w:bookmarkStart w:id="5" w:name="_Hlk66367100"/>
      <w:bookmarkStart w:id="6" w:name="_Hlk149751897"/>
      <w:r w:rsidRPr="2A1B6384">
        <w:rPr>
          <w:rFonts w:asciiTheme="minorHAnsi" w:hAnsiTheme="minorHAnsi" w:cstheme="minorBidi"/>
          <w:b/>
          <w:bCs/>
          <w:sz w:val="22"/>
          <w:szCs w:val="22"/>
        </w:rPr>
        <w:t>Purpose of a Covered Tax Agreement (MLI Article 6)</w:t>
      </w:r>
      <w:bookmarkEnd w:id="5"/>
      <w:bookmarkEnd w:id="6"/>
    </w:p>
    <w:p w14:paraId="09184586" w14:textId="51F1AED7" w:rsidR="1235F459" w:rsidRDefault="1235F459" w:rsidP="2A1B6384">
      <w:pPr>
        <w:spacing w:line="247" w:lineRule="auto"/>
        <w:rPr>
          <w:rFonts w:ascii="Calibri" w:eastAsia="Calibri" w:hAnsi="Calibri" w:cs="Calibri"/>
        </w:rPr>
      </w:pPr>
      <w:r w:rsidRPr="65EE6D46">
        <w:rPr>
          <w:rFonts w:ascii="Calibri" w:eastAsia="Calibri" w:hAnsi="Calibri" w:cs="Calibri"/>
          <w:color w:val="000000" w:themeColor="text1"/>
        </w:rPr>
        <w:t xml:space="preserve">According to MLI Art. 6(2), to meet the minimum standard, the text of MLI Art. 6(1), indicating the intent to eliminate double taxation without creating opportunities for non-taxation or reduced taxation through tax evasion or avoidance, including through treaty shopping arrangements, replaces the notified preamble language of this </w:t>
      </w:r>
      <w:r w:rsidR="019D92CD" w:rsidRPr="65EE6D46">
        <w:rPr>
          <w:rFonts w:ascii="Calibri" w:eastAsia="Calibri" w:hAnsi="Calibri" w:cs="Calibri"/>
          <w:color w:val="000000" w:themeColor="text1"/>
        </w:rPr>
        <w:t>Convention</w:t>
      </w:r>
      <w:r w:rsidRPr="65EE6D46">
        <w:rPr>
          <w:rFonts w:ascii="Calibri" w:eastAsia="Calibri" w:hAnsi="Calibri" w:cs="Calibri"/>
          <w:color w:val="000000" w:themeColor="text1"/>
        </w:rPr>
        <w:t xml:space="preserve">. </w:t>
      </w:r>
      <w:r w:rsidR="6301AB9E" w:rsidRPr="65EE6D46">
        <w:rPr>
          <w:rFonts w:ascii="Calibri" w:eastAsia="Calibri" w:hAnsi="Calibri" w:cs="Calibri"/>
        </w:rPr>
        <w:t>The optional language of MLI Art. 6(3), indicating a desire to develop an economic relationship and to enhance cooperation in tax matters is also included in this Convention.</w:t>
      </w:r>
    </w:p>
    <w:p w14:paraId="571F82C5" w14:textId="77777777" w:rsidR="00140ADC" w:rsidRPr="00353F57" w:rsidRDefault="00140ADC" w:rsidP="65EE6D46">
      <w:pPr>
        <w:spacing w:line="247" w:lineRule="auto"/>
      </w:pPr>
      <w:bookmarkStart w:id="7" w:name="_Hlk33693130"/>
      <w:r w:rsidRPr="65EE6D46">
        <w:rPr>
          <w:b/>
          <w:bCs/>
        </w:rPr>
        <w:t>Prevention of Treaty Abuse (MLI Article 7)</w:t>
      </w:r>
    </w:p>
    <w:p w14:paraId="4B8275DA" w14:textId="32B3CA6B" w:rsidR="00373483" w:rsidRPr="00353F57" w:rsidRDefault="0B3B18D0" w:rsidP="65EE6D46">
      <w:pPr>
        <w:spacing w:line="247" w:lineRule="auto"/>
      </w:pPr>
      <w:r w:rsidRPr="65EE6D46">
        <w:rPr>
          <w:rFonts w:ascii="Calibri" w:eastAsia="Calibri" w:hAnsi="Calibri" w:cs="Calibri"/>
        </w:rPr>
        <w:t>According to MLI Art. 7(2), to meet the minimum standard, the Principal Purpose Test (PPT) provision of MLI Art. 7(1), that denies benefits that would otherwise be provided where the principal purpose or one of the principal purposes of any arrangement or transaction was to obtain those benefits, as well as the optional language of MLI Art. 7(4), that provides that when treaty benefits are denied, the relevant competent authority is to grant the benefits that were denied or other benefits, if it determines that the benefits would have been granted in the absence of the transaction or arrangement, applies and supersedes the provisions of this Convention to the extent of incompatibility (i.e., MLI Art. 7(1) and MLI Art. 7(4) are added to this Convention).</w:t>
      </w:r>
      <w:bookmarkStart w:id="8" w:name="_Hlk149752024"/>
      <w:bookmarkStart w:id="9" w:name="_Hlk107245196"/>
      <w:r w:rsidR="00373483" w:rsidRPr="65EE6D46">
        <w:t xml:space="preserve"> </w:t>
      </w:r>
    </w:p>
    <w:bookmarkEnd w:id="8"/>
    <w:bookmarkEnd w:id="9"/>
    <w:bookmarkEnd w:id="7"/>
    <w:p w14:paraId="7CE96494" w14:textId="049B467C" w:rsidR="00140ADC" w:rsidRPr="00353F57" w:rsidRDefault="00140ADC" w:rsidP="65EE6D46">
      <w:pPr>
        <w:spacing w:line="247" w:lineRule="auto"/>
      </w:pPr>
      <w:r w:rsidRPr="65EE6D46">
        <w:rPr>
          <w:b/>
          <w:bCs/>
        </w:rPr>
        <w:t>Mutual Agreement Procedure (MLI Article 16)</w:t>
      </w:r>
    </w:p>
    <w:p w14:paraId="7BC8B89E" w14:textId="1A6CD727" w:rsidR="003E51DA" w:rsidRPr="00353F57" w:rsidRDefault="182C1A3A" w:rsidP="2A1B6384">
      <w:pPr>
        <w:spacing w:line="247" w:lineRule="auto"/>
        <w:rPr>
          <w:rFonts w:ascii="Calibri" w:eastAsia="Calibri" w:hAnsi="Calibri" w:cs="Calibri"/>
          <w:color w:val="000000" w:themeColor="text1"/>
          <w:shd w:val="clear" w:color="auto" w:fill="FFFFFF"/>
        </w:rPr>
      </w:pPr>
      <w:r w:rsidRPr="65EE6D46">
        <w:rPr>
          <w:rFonts w:ascii="Calibri" w:eastAsia="Calibri" w:hAnsi="Calibri" w:cs="Calibri"/>
          <w:color w:val="000000" w:themeColor="text1"/>
        </w:rPr>
        <w:t xml:space="preserve">The first sentence of MLI Art. 16(1), providing that a person may present a case to the competent authority of either jurisdiction, does not apply as </w:t>
      </w:r>
      <w:r w:rsidR="6670D41D" w:rsidRPr="65EE6D46">
        <w:t>Curaçao</w:t>
      </w:r>
      <w:r w:rsidRPr="65EE6D46">
        <w:rPr>
          <w:rFonts w:ascii="Calibri" w:eastAsia="Calibri" w:hAnsi="Calibri" w:cs="Calibri"/>
          <w:color w:val="000000" w:themeColor="text1"/>
        </w:rPr>
        <w:t xml:space="preserve"> intends to meet the minimum standard through other measures.</w:t>
      </w:r>
    </w:p>
    <w:p w14:paraId="7F35F1FE" w14:textId="13A3DD4D" w:rsidR="0F5C219B" w:rsidRDefault="182C1A3A" w:rsidP="2A1B6384">
      <w:pPr>
        <w:spacing w:line="247" w:lineRule="auto"/>
        <w:rPr>
          <w:rFonts w:ascii="Calibri" w:eastAsia="Calibri" w:hAnsi="Calibri" w:cs="Calibri"/>
        </w:rPr>
      </w:pPr>
      <w:r w:rsidRPr="65EE6D46">
        <w:rPr>
          <w:rFonts w:ascii="Calibri" w:eastAsia="Calibri" w:hAnsi="Calibri" w:cs="Calibri"/>
          <w:color w:val="000000" w:themeColor="text1"/>
        </w:rPr>
        <w:t xml:space="preserve">The remaining provisions of this Convention relating to dispute resolution are retained as they are considered </w:t>
      </w:r>
      <w:proofErr w:type="gramStart"/>
      <w:r w:rsidRPr="65EE6D46">
        <w:rPr>
          <w:rFonts w:ascii="Calibri" w:eastAsia="Calibri" w:hAnsi="Calibri" w:cs="Calibri"/>
          <w:color w:val="000000" w:themeColor="text1"/>
        </w:rPr>
        <w:t>consistent in</w:t>
      </w:r>
      <w:proofErr w:type="gramEnd"/>
      <w:r w:rsidRPr="65EE6D46">
        <w:rPr>
          <w:rFonts w:ascii="Calibri" w:eastAsia="Calibri" w:hAnsi="Calibri" w:cs="Calibri"/>
          <w:color w:val="000000" w:themeColor="text1"/>
        </w:rPr>
        <w:t xml:space="preserve"> content with the provisions of MLI Art. 16(</w:t>
      </w:r>
      <w:proofErr w:type="gramStart"/>
      <w:r w:rsidRPr="65EE6D46">
        <w:rPr>
          <w:rFonts w:ascii="Calibri" w:eastAsia="Calibri" w:hAnsi="Calibri" w:cs="Calibri"/>
          <w:color w:val="000000" w:themeColor="text1"/>
        </w:rPr>
        <w:t>1)(</w:t>
      </w:r>
      <w:proofErr w:type="gramEnd"/>
      <w:r w:rsidRPr="65EE6D46">
        <w:rPr>
          <w:rFonts w:ascii="Calibri" w:eastAsia="Calibri" w:hAnsi="Calibri" w:cs="Calibri"/>
          <w:color w:val="000000" w:themeColor="text1"/>
        </w:rPr>
        <w:t>second sentence), MLI Art. 16(2), and MLI Art. 16(3), and meet the minimum standard.</w:t>
      </w:r>
    </w:p>
    <w:sectPr w:rsidR="0F5C2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DC"/>
    <w:rsid w:val="00085660"/>
    <w:rsid w:val="000D0D49"/>
    <w:rsid w:val="000F60B2"/>
    <w:rsid w:val="00140ADC"/>
    <w:rsid w:val="00141FB2"/>
    <w:rsid w:val="001479C8"/>
    <w:rsid w:val="0020336C"/>
    <w:rsid w:val="00225409"/>
    <w:rsid w:val="0026236C"/>
    <w:rsid w:val="00267CAA"/>
    <w:rsid w:val="00281280"/>
    <w:rsid w:val="002D594C"/>
    <w:rsid w:val="002E4962"/>
    <w:rsid w:val="0033510A"/>
    <w:rsid w:val="00353F57"/>
    <w:rsid w:val="00373483"/>
    <w:rsid w:val="003E51DA"/>
    <w:rsid w:val="00437F4A"/>
    <w:rsid w:val="0046659F"/>
    <w:rsid w:val="00525566"/>
    <w:rsid w:val="00562F57"/>
    <w:rsid w:val="005B21C5"/>
    <w:rsid w:val="006828AF"/>
    <w:rsid w:val="006E4299"/>
    <w:rsid w:val="006E6A10"/>
    <w:rsid w:val="007029F9"/>
    <w:rsid w:val="0076268D"/>
    <w:rsid w:val="0077426E"/>
    <w:rsid w:val="007970ED"/>
    <w:rsid w:val="007A6331"/>
    <w:rsid w:val="00812355"/>
    <w:rsid w:val="00883886"/>
    <w:rsid w:val="00916E5B"/>
    <w:rsid w:val="00931988"/>
    <w:rsid w:val="009B3E4D"/>
    <w:rsid w:val="009C0655"/>
    <w:rsid w:val="009E2DDA"/>
    <w:rsid w:val="00A7555C"/>
    <w:rsid w:val="00AC1ECE"/>
    <w:rsid w:val="00AD4EAF"/>
    <w:rsid w:val="00AF3950"/>
    <w:rsid w:val="00B91BC0"/>
    <w:rsid w:val="00C3AED8"/>
    <w:rsid w:val="00C46322"/>
    <w:rsid w:val="00C54181"/>
    <w:rsid w:val="00CC7E6D"/>
    <w:rsid w:val="00D01A5A"/>
    <w:rsid w:val="00DE41E6"/>
    <w:rsid w:val="00E12FCF"/>
    <w:rsid w:val="00E5232E"/>
    <w:rsid w:val="00E66629"/>
    <w:rsid w:val="00E90990"/>
    <w:rsid w:val="00F33411"/>
    <w:rsid w:val="014C2DC5"/>
    <w:rsid w:val="019D92CD"/>
    <w:rsid w:val="03B60904"/>
    <w:rsid w:val="04B24D61"/>
    <w:rsid w:val="06339B92"/>
    <w:rsid w:val="0ACA3100"/>
    <w:rsid w:val="0B3B18D0"/>
    <w:rsid w:val="0CFFE23D"/>
    <w:rsid w:val="0F5C219B"/>
    <w:rsid w:val="1216332C"/>
    <w:rsid w:val="1235F459"/>
    <w:rsid w:val="13029480"/>
    <w:rsid w:val="13A29A70"/>
    <w:rsid w:val="182C1A3A"/>
    <w:rsid w:val="1A3B76ED"/>
    <w:rsid w:val="1A53E305"/>
    <w:rsid w:val="1A81CC00"/>
    <w:rsid w:val="1BE87A16"/>
    <w:rsid w:val="1CE7D9A9"/>
    <w:rsid w:val="1E54CACB"/>
    <w:rsid w:val="1F2541E9"/>
    <w:rsid w:val="25822940"/>
    <w:rsid w:val="25B1A230"/>
    <w:rsid w:val="269A7D2E"/>
    <w:rsid w:val="2937BDD7"/>
    <w:rsid w:val="293ABC50"/>
    <w:rsid w:val="2A1B6384"/>
    <w:rsid w:val="2A5968B3"/>
    <w:rsid w:val="2B1606EA"/>
    <w:rsid w:val="2BAD79A9"/>
    <w:rsid w:val="2EB83541"/>
    <w:rsid w:val="2F29D127"/>
    <w:rsid w:val="3013B78B"/>
    <w:rsid w:val="3307C649"/>
    <w:rsid w:val="3555CD1D"/>
    <w:rsid w:val="3573A58E"/>
    <w:rsid w:val="36BFB29A"/>
    <w:rsid w:val="36E8CDB8"/>
    <w:rsid w:val="37446841"/>
    <w:rsid w:val="3938C59F"/>
    <w:rsid w:val="3CB22F54"/>
    <w:rsid w:val="3EEC4CB9"/>
    <w:rsid w:val="44CA7DAC"/>
    <w:rsid w:val="45926674"/>
    <w:rsid w:val="45F3B7DC"/>
    <w:rsid w:val="4D1EF9CB"/>
    <w:rsid w:val="4D72BACB"/>
    <w:rsid w:val="4DDF8F33"/>
    <w:rsid w:val="4F3B1450"/>
    <w:rsid w:val="54FEEEFA"/>
    <w:rsid w:val="5553A81A"/>
    <w:rsid w:val="566994D7"/>
    <w:rsid w:val="56C332A2"/>
    <w:rsid w:val="57F13AD6"/>
    <w:rsid w:val="5811E31B"/>
    <w:rsid w:val="5B1A6DC9"/>
    <w:rsid w:val="5D6B7467"/>
    <w:rsid w:val="6301AB9E"/>
    <w:rsid w:val="658F03E2"/>
    <w:rsid w:val="65EE6D46"/>
    <w:rsid w:val="6670D41D"/>
    <w:rsid w:val="67BD7FCA"/>
    <w:rsid w:val="68308652"/>
    <w:rsid w:val="685E8704"/>
    <w:rsid w:val="688D5531"/>
    <w:rsid w:val="6973DA94"/>
    <w:rsid w:val="6A0EDA93"/>
    <w:rsid w:val="6AEE754A"/>
    <w:rsid w:val="6FDCAEC1"/>
    <w:rsid w:val="70531C55"/>
    <w:rsid w:val="73D8862F"/>
    <w:rsid w:val="74461E0D"/>
    <w:rsid w:val="7626F7BF"/>
    <w:rsid w:val="7809ACB0"/>
    <w:rsid w:val="780C74F8"/>
    <w:rsid w:val="79B88AEF"/>
    <w:rsid w:val="79EBD700"/>
    <w:rsid w:val="7A376001"/>
    <w:rsid w:val="7B83697D"/>
    <w:rsid w:val="7ED2A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4C8E"/>
  <w15:chartTrackingRefBased/>
  <w15:docId w15:val="{9AEE2A89-CD80-4A1A-92E1-21A48439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D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ADC"/>
    <w:rPr>
      <w:color w:val="0563C1" w:themeColor="hyperlink"/>
      <w:u w:val="single"/>
    </w:rPr>
  </w:style>
  <w:style w:type="paragraph" w:styleId="NoSpacing">
    <w:name w:val="No Spacing"/>
    <w:uiPriority w:val="1"/>
    <w:qFormat/>
    <w:rsid w:val="00140ADC"/>
    <w:pPr>
      <w:spacing w:after="0" w:line="240" w:lineRule="auto"/>
    </w:pPr>
    <w:rPr>
      <w:kern w:val="0"/>
      <w14:ligatures w14:val="none"/>
    </w:rPr>
  </w:style>
  <w:style w:type="paragraph" w:styleId="NormalWeb">
    <w:name w:val="Normal (Web)"/>
    <w:basedOn w:val="Normal"/>
    <w:uiPriority w:val="99"/>
    <w:unhideWhenUsed/>
    <w:rsid w:val="00140AD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0ADC"/>
    <w:rPr>
      <w:sz w:val="16"/>
      <w:szCs w:val="16"/>
    </w:rPr>
  </w:style>
  <w:style w:type="paragraph" w:styleId="CommentText">
    <w:name w:val="annotation text"/>
    <w:basedOn w:val="Normal"/>
    <w:link w:val="CommentTextChar"/>
    <w:uiPriority w:val="99"/>
    <w:unhideWhenUsed/>
    <w:rsid w:val="00140ADC"/>
    <w:pPr>
      <w:spacing w:line="240" w:lineRule="auto"/>
    </w:pPr>
    <w:rPr>
      <w:sz w:val="20"/>
      <w:szCs w:val="20"/>
    </w:rPr>
  </w:style>
  <w:style w:type="character" w:customStyle="1" w:styleId="CommentTextChar">
    <w:name w:val="Comment Text Char"/>
    <w:basedOn w:val="DefaultParagraphFont"/>
    <w:link w:val="CommentText"/>
    <w:uiPriority w:val="99"/>
    <w:rsid w:val="00140A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659F"/>
    <w:rPr>
      <w:b/>
      <w:bCs/>
    </w:rPr>
  </w:style>
  <w:style w:type="character" w:customStyle="1" w:styleId="CommentSubjectChar">
    <w:name w:val="Comment Subject Char"/>
    <w:basedOn w:val="CommentTextChar"/>
    <w:link w:val="CommentSubject"/>
    <w:uiPriority w:val="99"/>
    <w:semiHidden/>
    <w:rsid w:val="0046659F"/>
    <w:rPr>
      <w:b/>
      <w:bCs/>
      <w:kern w:val="0"/>
      <w:sz w:val="20"/>
      <w:szCs w:val="20"/>
      <w14:ligatures w14:val="none"/>
    </w:rPr>
  </w:style>
  <w:style w:type="paragraph" w:styleId="Revision">
    <w:name w:val="Revision"/>
    <w:hidden/>
    <w:uiPriority w:val="99"/>
    <w:semiHidden/>
    <w:rsid w:val="00E5232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loomberglaw.com/product/tax/page/MLI_wat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9E96B-646F-4E4D-8391-D44BE7D54103}">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customXml/itemProps2.xml><?xml version="1.0" encoding="utf-8"?>
<ds:datastoreItem xmlns:ds="http://schemas.openxmlformats.org/officeDocument/2006/customXml" ds:itemID="{F44B9173-CB3E-420D-8BA4-4B2FF337C489}">
  <ds:schemaRefs>
    <ds:schemaRef ds:uri="http://schemas.microsoft.com/sharepoint/v3/contenttype/forms"/>
  </ds:schemaRefs>
</ds:datastoreItem>
</file>

<file path=customXml/itemProps3.xml><?xml version="1.0" encoding="utf-8"?>
<ds:datastoreItem xmlns:ds="http://schemas.openxmlformats.org/officeDocument/2006/customXml" ds:itemID="{602AAE77-6B46-45FE-9ACD-3A8454A4A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Stolzman, Merve</dc:creator>
  <cp:keywords/>
  <dc:description/>
  <cp:lastModifiedBy>Cruz, Ricky</cp:lastModifiedBy>
  <cp:revision>2</cp:revision>
  <dcterms:created xsi:type="dcterms:W3CDTF">2024-10-10T22:06:00Z</dcterms:created>
  <dcterms:modified xsi:type="dcterms:W3CDTF">2024-10-10T22:06:00Z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86616f-5bb4-45d1-b9c4-7a19bded0f1d_Enabled">
    <vt:lpwstr>true</vt:lpwstr>
  </property>
  <property fmtid="{D5CDD505-2E9C-101B-9397-08002B2CF9AE}" pid="3" name="MSIP_Label_f786616f-5bb4-45d1-b9c4-7a19bded0f1d_SetDate">
    <vt:lpwstr>2023-11-02T15:41:09Z</vt:lpwstr>
  </property>
  <property fmtid="{D5CDD505-2E9C-101B-9397-08002B2CF9AE}" pid="4" name="MSIP_Label_f786616f-5bb4-45d1-b9c4-7a19bded0f1d_Method">
    <vt:lpwstr>Standard</vt:lpwstr>
  </property>
  <property fmtid="{D5CDD505-2E9C-101B-9397-08002B2CF9AE}" pid="5" name="MSIP_Label_f786616f-5bb4-45d1-b9c4-7a19bded0f1d_Name">
    <vt:lpwstr>Public</vt:lpwstr>
  </property>
  <property fmtid="{D5CDD505-2E9C-101B-9397-08002B2CF9AE}" pid="6" name="MSIP_Label_f786616f-5bb4-45d1-b9c4-7a19bded0f1d_SiteId">
    <vt:lpwstr>97be21fd-c601-4b16-9920-f5accc69da65</vt:lpwstr>
  </property>
  <property fmtid="{D5CDD505-2E9C-101B-9397-08002B2CF9AE}" pid="7" name="MSIP_Label_f786616f-5bb4-45d1-b9c4-7a19bded0f1d_ActionId">
    <vt:lpwstr>104b2123-1cee-4e16-b11a-0cb4e6b5e98a</vt:lpwstr>
  </property>
  <property fmtid="{D5CDD505-2E9C-101B-9397-08002B2CF9AE}" pid="8" name="MSIP_Label_f786616f-5bb4-45d1-b9c4-7a19bded0f1d_ContentBits">
    <vt:lpwstr>0</vt:lpwstr>
  </property>
  <property fmtid="{D5CDD505-2E9C-101B-9397-08002B2CF9AE}" pid="9" name="ContentTypeId">
    <vt:lpwstr>0x01010074045C6645180C49B5F3BF356B510BE9</vt:lpwstr>
  </property>
  <property fmtid="{D5CDD505-2E9C-101B-9397-08002B2CF9AE}" pid="10" name="MediaServiceImageTags">
    <vt:lpwstr/>
  </property>
</Properties>
</file>