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DA829" w14:textId="77777777" w:rsidR="0005433D" w:rsidRPr="0005433D" w:rsidRDefault="0005433D" w:rsidP="0005433D"/>
    <w:p w14:paraId="61BCF107" w14:textId="77777777" w:rsidR="0005433D" w:rsidRDefault="0005433D" w:rsidP="0005433D">
      <w:pPr>
        <w:pStyle w:val="Default"/>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670"/>
        <w:gridCol w:w="3670"/>
      </w:tblGrid>
      <w:tr w:rsidR="0005433D" w14:paraId="1A8C849F" w14:textId="77777777">
        <w:trPr>
          <w:trHeight w:val="145"/>
        </w:trPr>
        <w:tc>
          <w:tcPr>
            <w:tcW w:w="3670" w:type="dxa"/>
            <w:tcBorders>
              <w:top w:val="none" w:sz="6" w:space="0" w:color="auto"/>
              <w:bottom w:val="none" w:sz="6" w:space="0" w:color="auto"/>
              <w:right w:val="none" w:sz="6" w:space="0" w:color="auto"/>
            </w:tcBorders>
          </w:tcPr>
          <w:p w14:paraId="28777901" w14:textId="77777777" w:rsidR="0005433D" w:rsidRDefault="0005433D">
            <w:pPr>
              <w:pStyle w:val="Default"/>
              <w:rPr>
                <w:sz w:val="21"/>
                <w:szCs w:val="21"/>
              </w:rPr>
            </w:pPr>
            <w:r>
              <w:t xml:space="preserve"> </w:t>
            </w:r>
            <w:r>
              <w:rPr>
                <w:b/>
                <w:bCs/>
                <w:sz w:val="36"/>
                <w:szCs w:val="36"/>
              </w:rPr>
              <w:t xml:space="preserve">Credit Risk Officer </w:t>
            </w:r>
            <w:r>
              <w:rPr>
                <w:b/>
                <w:bCs/>
                <w:sz w:val="21"/>
                <w:szCs w:val="21"/>
              </w:rPr>
              <w:t xml:space="preserve">Job #: </w:t>
            </w:r>
          </w:p>
        </w:tc>
        <w:tc>
          <w:tcPr>
            <w:tcW w:w="3670" w:type="dxa"/>
            <w:tcBorders>
              <w:top w:val="none" w:sz="6" w:space="0" w:color="auto"/>
              <w:left w:val="none" w:sz="6" w:space="0" w:color="auto"/>
              <w:bottom w:val="none" w:sz="6" w:space="0" w:color="auto"/>
            </w:tcBorders>
          </w:tcPr>
          <w:p w14:paraId="0A69DE94" w14:textId="77777777" w:rsidR="0005433D" w:rsidRDefault="0005433D">
            <w:pPr>
              <w:pStyle w:val="Default"/>
              <w:rPr>
                <w:sz w:val="21"/>
                <w:szCs w:val="21"/>
              </w:rPr>
            </w:pPr>
            <w:r>
              <w:rPr>
                <w:sz w:val="21"/>
                <w:szCs w:val="21"/>
              </w:rPr>
              <w:t xml:space="preserve">req11696 </w:t>
            </w:r>
          </w:p>
        </w:tc>
      </w:tr>
      <w:tr w:rsidR="0005433D" w14:paraId="113F58B8" w14:textId="77777777">
        <w:trPr>
          <w:trHeight w:val="145"/>
        </w:trPr>
        <w:tc>
          <w:tcPr>
            <w:tcW w:w="3670" w:type="dxa"/>
            <w:tcBorders>
              <w:top w:val="none" w:sz="6" w:space="0" w:color="auto"/>
              <w:bottom w:val="none" w:sz="6" w:space="0" w:color="auto"/>
              <w:right w:val="none" w:sz="6" w:space="0" w:color="auto"/>
            </w:tcBorders>
          </w:tcPr>
          <w:p w14:paraId="1BC88BB9" w14:textId="77777777" w:rsidR="0005433D" w:rsidRDefault="0005433D">
            <w:pPr>
              <w:pStyle w:val="Default"/>
              <w:rPr>
                <w:sz w:val="21"/>
                <w:szCs w:val="21"/>
              </w:rPr>
            </w:pPr>
            <w:r>
              <w:rPr>
                <w:b/>
                <w:bCs/>
                <w:sz w:val="21"/>
                <w:szCs w:val="21"/>
              </w:rPr>
              <w:t xml:space="preserve">Organization: </w:t>
            </w:r>
          </w:p>
        </w:tc>
        <w:tc>
          <w:tcPr>
            <w:tcW w:w="3670" w:type="dxa"/>
            <w:tcBorders>
              <w:top w:val="none" w:sz="6" w:space="0" w:color="auto"/>
              <w:left w:val="none" w:sz="6" w:space="0" w:color="auto"/>
              <w:bottom w:val="none" w:sz="6" w:space="0" w:color="auto"/>
            </w:tcBorders>
          </w:tcPr>
          <w:p w14:paraId="77A50861" w14:textId="77777777" w:rsidR="0005433D" w:rsidRDefault="0005433D">
            <w:pPr>
              <w:pStyle w:val="Default"/>
              <w:rPr>
                <w:sz w:val="21"/>
                <w:szCs w:val="21"/>
              </w:rPr>
            </w:pPr>
            <w:r>
              <w:rPr>
                <w:sz w:val="21"/>
                <w:szCs w:val="21"/>
              </w:rPr>
              <w:t xml:space="preserve">IFC </w:t>
            </w:r>
          </w:p>
        </w:tc>
      </w:tr>
      <w:tr w:rsidR="0005433D" w14:paraId="3714C1C9" w14:textId="77777777">
        <w:trPr>
          <w:trHeight w:val="145"/>
        </w:trPr>
        <w:tc>
          <w:tcPr>
            <w:tcW w:w="3670" w:type="dxa"/>
            <w:tcBorders>
              <w:top w:val="none" w:sz="6" w:space="0" w:color="auto"/>
              <w:bottom w:val="none" w:sz="6" w:space="0" w:color="auto"/>
              <w:right w:val="none" w:sz="6" w:space="0" w:color="auto"/>
            </w:tcBorders>
          </w:tcPr>
          <w:p w14:paraId="463B387A" w14:textId="77777777" w:rsidR="0005433D" w:rsidRDefault="0005433D">
            <w:pPr>
              <w:pStyle w:val="Default"/>
              <w:rPr>
                <w:sz w:val="21"/>
                <w:szCs w:val="21"/>
              </w:rPr>
            </w:pPr>
            <w:r>
              <w:rPr>
                <w:b/>
                <w:bCs/>
                <w:sz w:val="21"/>
                <w:szCs w:val="21"/>
              </w:rPr>
              <w:t xml:space="preserve">Sector: </w:t>
            </w:r>
          </w:p>
        </w:tc>
        <w:tc>
          <w:tcPr>
            <w:tcW w:w="3670" w:type="dxa"/>
            <w:tcBorders>
              <w:top w:val="none" w:sz="6" w:space="0" w:color="auto"/>
              <w:left w:val="none" w:sz="6" w:space="0" w:color="auto"/>
              <w:bottom w:val="none" w:sz="6" w:space="0" w:color="auto"/>
            </w:tcBorders>
          </w:tcPr>
          <w:p w14:paraId="68F26B8C" w14:textId="77777777" w:rsidR="0005433D" w:rsidRDefault="0005433D">
            <w:pPr>
              <w:pStyle w:val="Default"/>
              <w:rPr>
                <w:sz w:val="21"/>
                <w:szCs w:val="21"/>
              </w:rPr>
            </w:pPr>
            <w:r>
              <w:rPr>
                <w:sz w:val="21"/>
                <w:szCs w:val="21"/>
              </w:rPr>
              <w:t xml:space="preserve">Risk </w:t>
            </w:r>
          </w:p>
        </w:tc>
      </w:tr>
      <w:tr w:rsidR="0005433D" w14:paraId="028C7C38" w14:textId="77777777">
        <w:trPr>
          <w:trHeight w:val="145"/>
        </w:trPr>
        <w:tc>
          <w:tcPr>
            <w:tcW w:w="3670" w:type="dxa"/>
            <w:tcBorders>
              <w:top w:val="none" w:sz="6" w:space="0" w:color="auto"/>
              <w:bottom w:val="none" w:sz="6" w:space="0" w:color="auto"/>
              <w:right w:val="none" w:sz="6" w:space="0" w:color="auto"/>
            </w:tcBorders>
          </w:tcPr>
          <w:p w14:paraId="325B1363" w14:textId="77777777" w:rsidR="0005433D" w:rsidRDefault="0005433D">
            <w:pPr>
              <w:pStyle w:val="Default"/>
              <w:rPr>
                <w:sz w:val="21"/>
                <w:szCs w:val="21"/>
              </w:rPr>
            </w:pPr>
            <w:r>
              <w:rPr>
                <w:b/>
                <w:bCs/>
                <w:sz w:val="21"/>
                <w:szCs w:val="21"/>
              </w:rPr>
              <w:t xml:space="preserve">Grade: </w:t>
            </w:r>
          </w:p>
        </w:tc>
        <w:tc>
          <w:tcPr>
            <w:tcW w:w="3670" w:type="dxa"/>
            <w:tcBorders>
              <w:top w:val="none" w:sz="6" w:space="0" w:color="auto"/>
              <w:left w:val="none" w:sz="6" w:space="0" w:color="auto"/>
              <w:bottom w:val="none" w:sz="6" w:space="0" w:color="auto"/>
            </w:tcBorders>
          </w:tcPr>
          <w:p w14:paraId="6B038EDC" w14:textId="77777777" w:rsidR="0005433D" w:rsidRDefault="0005433D">
            <w:pPr>
              <w:pStyle w:val="Default"/>
              <w:rPr>
                <w:sz w:val="21"/>
                <w:szCs w:val="21"/>
              </w:rPr>
            </w:pPr>
            <w:r>
              <w:rPr>
                <w:sz w:val="21"/>
                <w:szCs w:val="21"/>
              </w:rPr>
              <w:t xml:space="preserve">GF </w:t>
            </w:r>
          </w:p>
        </w:tc>
      </w:tr>
      <w:tr w:rsidR="0005433D" w14:paraId="421638C4" w14:textId="77777777">
        <w:trPr>
          <w:trHeight w:val="145"/>
        </w:trPr>
        <w:tc>
          <w:tcPr>
            <w:tcW w:w="3670" w:type="dxa"/>
            <w:tcBorders>
              <w:top w:val="none" w:sz="6" w:space="0" w:color="auto"/>
              <w:bottom w:val="none" w:sz="6" w:space="0" w:color="auto"/>
              <w:right w:val="none" w:sz="6" w:space="0" w:color="auto"/>
            </w:tcBorders>
          </w:tcPr>
          <w:p w14:paraId="62863234" w14:textId="77777777" w:rsidR="0005433D" w:rsidRDefault="0005433D">
            <w:pPr>
              <w:pStyle w:val="Default"/>
              <w:rPr>
                <w:sz w:val="21"/>
                <w:szCs w:val="21"/>
              </w:rPr>
            </w:pPr>
            <w:r>
              <w:rPr>
                <w:b/>
                <w:bCs/>
                <w:sz w:val="21"/>
                <w:szCs w:val="21"/>
              </w:rPr>
              <w:t xml:space="preserve">Term Duration: </w:t>
            </w:r>
          </w:p>
        </w:tc>
        <w:tc>
          <w:tcPr>
            <w:tcW w:w="3670" w:type="dxa"/>
            <w:tcBorders>
              <w:top w:val="none" w:sz="6" w:space="0" w:color="auto"/>
              <w:left w:val="none" w:sz="6" w:space="0" w:color="auto"/>
              <w:bottom w:val="none" w:sz="6" w:space="0" w:color="auto"/>
            </w:tcBorders>
          </w:tcPr>
          <w:p w14:paraId="5140E822" w14:textId="77777777" w:rsidR="0005433D" w:rsidRDefault="0005433D">
            <w:pPr>
              <w:pStyle w:val="Default"/>
              <w:rPr>
                <w:sz w:val="21"/>
                <w:szCs w:val="21"/>
              </w:rPr>
            </w:pPr>
            <w:r>
              <w:rPr>
                <w:sz w:val="21"/>
                <w:szCs w:val="21"/>
              </w:rPr>
              <w:t xml:space="preserve">3 4 years 0 months </w:t>
            </w:r>
          </w:p>
        </w:tc>
      </w:tr>
      <w:tr w:rsidR="0005433D" w14:paraId="01CBB2B5" w14:textId="77777777">
        <w:trPr>
          <w:trHeight w:val="145"/>
        </w:trPr>
        <w:tc>
          <w:tcPr>
            <w:tcW w:w="3670" w:type="dxa"/>
            <w:tcBorders>
              <w:top w:val="none" w:sz="6" w:space="0" w:color="auto"/>
              <w:bottom w:val="none" w:sz="6" w:space="0" w:color="auto"/>
              <w:right w:val="none" w:sz="6" w:space="0" w:color="auto"/>
            </w:tcBorders>
          </w:tcPr>
          <w:p w14:paraId="698C9DED" w14:textId="77777777" w:rsidR="0005433D" w:rsidRDefault="0005433D">
            <w:pPr>
              <w:pStyle w:val="Default"/>
              <w:rPr>
                <w:sz w:val="21"/>
                <w:szCs w:val="21"/>
              </w:rPr>
            </w:pPr>
            <w:r>
              <w:rPr>
                <w:b/>
                <w:bCs/>
                <w:sz w:val="21"/>
                <w:szCs w:val="21"/>
              </w:rPr>
              <w:t xml:space="preserve">Recruitment Type: </w:t>
            </w:r>
          </w:p>
        </w:tc>
        <w:tc>
          <w:tcPr>
            <w:tcW w:w="3670" w:type="dxa"/>
            <w:tcBorders>
              <w:top w:val="none" w:sz="6" w:space="0" w:color="auto"/>
              <w:left w:val="none" w:sz="6" w:space="0" w:color="auto"/>
              <w:bottom w:val="none" w:sz="6" w:space="0" w:color="auto"/>
            </w:tcBorders>
          </w:tcPr>
          <w:p w14:paraId="52938E6C" w14:textId="77777777" w:rsidR="0005433D" w:rsidRDefault="0005433D">
            <w:pPr>
              <w:pStyle w:val="Default"/>
              <w:rPr>
                <w:sz w:val="21"/>
                <w:szCs w:val="21"/>
              </w:rPr>
            </w:pPr>
            <w:r>
              <w:rPr>
                <w:sz w:val="21"/>
                <w:szCs w:val="21"/>
              </w:rPr>
              <w:t xml:space="preserve">Local Recruitment </w:t>
            </w:r>
          </w:p>
        </w:tc>
      </w:tr>
      <w:tr w:rsidR="0005433D" w14:paraId="54315B19" w14:textId="77777777">
        <w:trPr>
          <w:trHeight w:val="145"/>
        </w:trPr>
        <w:tc>
          <w:tcPr>
            <w:tcW w:w="3670" w:type="dxa"/>
            <w:tcBorders>
              <w:top w:val="none" w:sz="6" w:space="0" w:color="auto"/>
              <w:bottom w:val="none" w:sz="6" w:space="0" w:color="auto"/>
              <w:right w:val="none" w:sz="6" w:space="0" w:color="auto"/>
            </w:tcBorders>
          </w:tcPr>
          <w:p w14:paraId="7E938BB0" w14:textId="77777777" w:rsidR="0005433D" w:rsidRDefault="0005433D">
            <w:pPr>
              <w:pStyle w:val="Default"/>
              <w:rPr>
                <w:sz w:val="21"/>
                <w:szCs w:val="21"/>
              </w:rPr>
            </w:pPr>
            <w:r>
              <w:rPr>
                <w:b/>
                <w:bCs/>
                <w:sz w:val="21"/>
                <w:szCs w:val="21"/>
              </w:rPr>
              <w:t xml:space="preserve">Location: </w:t>
            </w:r>
          </w:p>
        </w:tc>
        <w:tc>
          <w:tcPr>
            <w:tcW w:w="3670" w:type="dxa"/>
            <w:tcBorders>
              <w:top w:val="none" w:sz="6" w:space="0" w:color="auto"/>
              <w:left w:val="none" w:sz="6" w:space="0" w:color="auto"/>
              <w:bottom w:val="none" w:sz="6" w:space="0" w:color="auto"/>
            </w:tcBorders>
          </w:tcPr>
          <w:p w14:paraId="7D62D925" w14:textId="77777777" w:rsidR="0005433D" w:rsidRDefault="0005433D">
            <w:pPr>
              <w:pStyle w:val="Default"/>
              <w:rPr>
                <w:sz w:val="21"/>
                <w:szCs w:val="21"/>
              </w:rPr>
            </w:pPr>
            <w:r>
              <w:rPr>
                <w:sz w:val="21"/>
                <w:szCs w:val="21"/>
              </w:rPr>
              <w:t xml:space="preserve">Washington DC, Vienna, Singapore </w:t>
            </w:r>
          </w:p>
        </w:tc>
      </w:tr>
      <w:tr w:rsidR="0005433D" w14:paraId="6CDB41B5" w14:textId="77777777">
        <w:trPr>
          <w:trHeight w:val="145"/>
        </w:trPr>
        <w:tc>
          <w:tcPr>
            <w:tcW w:w="3670" w:type="dxa"/>
            <w:tcBorders>
              <w:top w:val="none" w:sz="6" w:space="0" w:color="auto"/>
              <w:bottom w:val="none" w:sz="6" w:space="0" w:color="auto"/>
              <w:right w:val="none" w:sz="6" w:space="0" w:color="auto"/>
            </w:tcBorders>
          </w:tcPr>
          <w:p w14:paraId="0480B543" w14:textId="77777777" w:rsidR="0005433D" w:rsidRDefault="0005433D">
            <w:pPr>
              <w:pStyle w:val="Default"/>
              <w:rPr>
                <w:sz w:val="21"/>
                <w:szCs w:val="21"/>
              </w:rPr>
            </w:pPr>
            <w:r>
              <w:rPr>
                <w:b/>
                <w:bCs/>
                <w:sz w:val="21"/>
                <w:szCs w:val="21"/>
              </w:rPr>
              <w:t xml:space="preserve">Required Language(s): </w:t>
            </w:r>
          </w:p>
        </w:tc>
        <w:tc>
          <w:tcPr>
            <w:tcW w:w="3670" w:type="dxa"/>
            <w:tcBorders>
              <w:top w:val="none" w:sz="6" w:space="0" w:color="auto"/>
              <w:left w:val="none" w:sz="6" w:space="0" w:color="auto"/>
              <w:bottom w:val="none" w:sz="6" w:space="0" w:color="auto"/>
            </w:tcBorders>
          </w:tcPr>
          <w:p w14:paraId="58B68363" w14:textId="77777777" w:rsidR="0005433D" w:rsidRDefault="0005433D">
            <w:pPr>
              <w:pStyle w:val="Default"/>
              <w:rPr>
                <w:sz w:val="21"/>
                <w:szCs w:val="21"/>
              </w:rPr>
            </w:pPr>
            <w:r>
              <w:rPr>
                <w:sz w:val="21"/>
                <w:szCs w:val="21"/>
              </w:rPr>
              <w:t xml:space="preserve">English </w:t>
            </w:r>
          </w:p>
        </w:tc>
      </w:tr>
      <w:tr w:rsidR="0005433D" w14:paraId="6950FF93" w14:textId="77777777">
        <w:trPr>
          <w:trHeight w:val="145"/>
        </w:trPr>
        <w:tc>
          <w:tcPr>
            <w:tcW w:w="3670" w:type="dxa"/>
            <w:tcBorders>
              <w:top w:val="none" w:sz="6" w:space="0" w:color="auto"/>
              <w:bottom w:val="none" w:sz="6" w:space="0" w:color="auto"/>
              <w:right w:val="none" w:sz="6" w:space="0" w:color="auto"/>
            </w:tcBorders>
          </w:tcPr>
          <w:p w14:paraId="3274A74E" w14:textId="77777777" w:rsidR="0005433D" w:rsidRDefault="0005433D">
            <w:pPr>
              <w:pStyle w:val="Default"/>
              <w:rPr>
                <w:sz w:val="21"/>
                <w:szCs w:val="21"/>
              </w:rPr>
            </w:pPr>
            <w:r>
              <w:rPr>
                <w:b/>
                <w:bCs/>
                <w:sz w:val="21"/>
                <w:szCs w:val="21"/>
              </w:rPr>
              <w:t xml:space="preserve">Preferred Language(s): </w:t>
            </w:r>
          </w:p>
        </w:tc>
        <w:tc>
          <w:tcPr>
            <w:tcW w:w="3670" w:type="dxa"/>
            <w:tcBorders>
              <w:top w:val="none" w:sz="6" w:space="0" w:color="auto"/>
              <w:left w:val="none" w:sz="6" w:space="0" w:color="auto"/>
              <w:bottom w:val="none" w:sz="6" w:space="0" w:color="auto"/>
            </w:tcBorders>
          </w:tcPr>
          <w:p w14:paraId="40431A33" w14:textId="77777777" w:rsidR="0005433D" w:rsidRDefault="0005433D">
            <w:pPr>
              <w:pStyle w:val="Default"/>
              <w:rPr>
                <w:sz w:val="21"/>
                <w:szCs w:val="21"/>
              </w:rPr>
            </w:pPr>
            <w:r>
              <w:rPr>
                <w:sz w:val="21"/>
                <w:szCs w:val="21"/>
              </w:rPr>
              <w:t xml:space="preserve">English </w:t>
            </w:r>
          </w:p>
        </w:tc>
      </w:tr>
      <w:tr w:rsidR="0005433D" w14:paraId="4388F699" w14:textId="77777777">
        <w:trPr>
          <w:trHeight w:val="145"/>
        </w:trPr>
        <w:tc>
          <w:tcPr>
            <w:tcW w:w="3670" w:type="dxa"/>
            <w:tcBorders>
              <w:top w:val="none" w:sz="6" w:space="0" w:color="auto"/>
              <w:bottom w:val="none" w:sz="6" w:space="0" w:color="auto"/>
              <w:right w:val="none" w:sz="6" w:space="0" w:color="auto"/>
            </w:tcBorders>
          </w:tcPr>
          <w:p w14:paraId="63699D91" w14:textId="77777777" w:rsidR="0005433D" w:rsidRDefault="0005433D">
            <w:pPr>
              <w:pStyle w:val="Default"/>
              <w:rPr>
                <w:sz w:val="21"/>
                <w:szCs w:val="21"/>
              </w:rPr>
            </w:pPr>
            <w:r>
              <w:rPr>
                <w:b/>
                <w:bCs/>
                <w:sz w:val="21"/>
                <w:szCs w:val="21"/>
              </w:rPr>
              <w:t xml:space="preserve">Closing Date: </w:t>
            </w:r>
          </w:p>
        </w:tc>
        <w:tc>
          <w:tcPr>
            <w:tcW w:w="3670" w:type="dxa"/>
            <w:tcBorders>
              <w:top w:val="none" w:sz="6" w:space="0" w:color="auto"/>
              <w:left w:val="none" w:sz="6" w:space="0" w:color="auto"/>
              <w:bottom w:val="none" w:sz="6" w:space="0" w:color="auto"/>
            </w:tcBorders>
          </w:tcPr>
          <w:p w14:paraId="65CEA47B" w14:textId="77777777" w:rsidR="0005433D" w:rsidRDefault="0005433D">
            <w:pPr>
              <w:pStyle w:val="Default"/>
              <w:rPr>
                <w:sz w:val="21"/>
                <w:szCs w:val="21"/>
              </w:rPr>
            </w:pPr>
            <w:r>
              <w:rPr>
                <w:sz w:val="21"/>
                <w:szCs w:val="21"/>
              </w:rPr>
              <w:t xml:space="preserve">[TBC] </w:t>
            </w:r>
          </w:p>
        </w:tc>
      </w:tr>
    </w:tbl>
    <w:p w14:paraId="3434D3F8" w14:textId="77777777" w:rsidR="0005433D" w:rsidRPr="0005433D" w:rsidRDefault="0005433D" w:rsidP="0005433D"/>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225"/>
      </w:tblGrid>
      <w:tr w:rsidR="0005433D" w:rsidRPr="006F1566" w14:paraId="27BEB809" w14:textId="77777777">
        <w:trPr>
          <w:trHeight w:val="3634"/>
        </w:trPr>
        <w:tc>
          <w:tcPr>
            <w:tcW w:w="9225" w:type="dxa"/>
            <w:tcBorders>
              <w:top w:val="none" w:sz="6" w:space="0" w:color="auto"/>
              <w:bottom w:val="none" w:sz="6" w:space="0" w:color="auto"/>
            </w:tcBorders>
          </w:tcPr>
          <w:p w14:paraId="69B4B186" w14:textId="77777777" w:rsidR="0005433D" w:rsidRPr="006F1566" w:rsidRDefault="0005433D" w:rsidP="0005433D">
            <w:pPr>
              <w:rPr>
                <w:rFonts w:asciiTheme="majorHAnsi" w:hAnsiTheme="majorHAnsi"/>
                <w:sz w:val="36"/>
                <w:szCs w:val="36"/>
              </w:rPr>
            </w:pPr>
            <w:r w:rsidRPr="006F1566">
              <w:rPr>
                <w:rFonts w:asciiTheme="majorHAnsi" w:hAnsiTheme="majorHAnsi"/>
                <w:sz w:val="36"/>
                <w:szCs w:val="36"/>
              </w:rPr>
              <w:t xml:space="preserve"> </w:t>
            </w:r>
            <w:r w:rsidRPr="006F1566">
              <w:rPr>
                <w:rFonts w:asciiTheme="majorHAnsi" w:hAnsiTheme="majorHAnsi"/>
                <w:b/>
                <w:bCs/>
                <w:sz w:val="36"/>
                <w:szCs w:val="36"/>
              </w:rPr>
              <w:t xml:space="preserve">Description </w:t>
            </w:r>
          </w:p>
          <w:p w14:paraId="540B591D" w14:textId="77777777" w:rsidR="0005433D" w:rsidRPr="006F1566" w:rsidRDefault="0005433D" w:rsidP="0005433D">
            <w:pPr>
              <w:rPr>
                <w:rFonts w:asciiTheme="majorHAnsi" w:hAnsiTheme="majorHAnsi"/>
                <w:sz w:val="36"/>
                <w:szCs w:val="36"/>
              </w:rPr>
            </w:pPr>
            <w:r w:rsidRPr="006F1566">
              <w:rPr>
                <w:rFonts w:asciiTheme="majorHAnsi" w:hAnsiTheme="majorHAnsi"/>
                <w:sz w:val="36"/>
                <w:szCs w:val="36"/>
              </w:rPr>
              <w:t xml:space="preserve">IFC—a member of the World Bank Group—is the largest global development institution focused on the private sector in emerging markets. We work in more than 100 countries, using our capital, expertise, and influence to create markets and opportunities in developing countries. For more information, visit www.ifc.org. </w:t>
            </w:r>
          </w:p>
          <w:p w14:paraId="52669BE7" w14:textId="77777777" w:rsidR="0005433D" w:rsidRPr="006F1566" w:rsidRDefault="0005433D" w:rsidP="0005433D">
            <w:pPr>
              <w:rPr>
                <w:rFonts w:asciiTheme="majorHAnsi" w:hAnsiTheme="majorHAnsi"/>
                <w:sz w:val="36"/>
                <w:szCs w:val="36"/>
              </w:rPr>
            </w:pPr>
            <w:r w:rsidRPr="006F1566">
              <w:rPr>
                <w:rFonts w:asciiTheme="majorHAnsi" w:hAnsiTheme="majorHAnsi"/>
                <w:sz w:val="36"/>
                <w:szCs w:val="36"/>
              </w:rPr>
              <w:t xml:space="preserve">We leverage our products and services—as well as </w:t>
            </w:r>
            <w:proofErr w:type="gramStart"/>
            <w:r w:rsidRPr="006F1566">
              <w:rPr>
                <w:rFonts w:asciiTheme="majorHAnsi" w:hAnsiTheme="majorHAnsi"/>
                <w:sz w:val="36"/>
                <w:szCs w:val="36"/>
              </w:rPr>
              <w:t>products</w:t>
            </w:r>
            <w:proofErr w:type="gramEnd"/>
            <w:r w:rsidRPr="006F1566">
              <w:rPr>
                <w:rFonts w:asciiTheme="majorHAnsi" w:hAnsiTheme="majorHAnsi"/>
                <w:sz w:val="36"/>
                <w:szCs w:val="36"/>
              </w:rPr>
              <w:t xml:space="preserve"> and services of other institutions across the World Bank Group—to create markets that address the biggest development challenges of our time. We apply our financial resources, technical expertise, global experience, and innovative thinking to help our clients and partners overcome financial, operational, and other challenges. </w:t>
            </w:r>
          </w:p>
          <w:p w14:paraId="4577DC1D" w14:textId="77777777" w:rsidR="0005433D" w:rsidRPr="006F1566" w:rsidRDefault="0005433D" w:rsidP="0005433D">
            <w:pPr>
              <w:rPr>
                <w:rFonts w:asciiTheme="majorHAnsi" w:hAnsiTheme="majorHAnsi"/>
                <w:sz w:val="36"/>
                <w:szCs w:val="36"/>
              </w:rPr>
            </w:pPr>
            <w:r w:rsidRPr="006F1566">
              <w:rPr>
                <w:rFonts w:asciiTheme="majorHAnsi" w:hAnsiTheme="majorHAnsi"/>
                <w:sz w:val="36"/>
                <w:szCs w:val="36"/>
              </w:rPr>
              <w:lastRenderedPageBreak/>
              <w:t xml:space="preserve">IFC is also a leading mobilizer of third-party resources for projects. Our willingness to engage in difficult environments and our leadership in crowding-in private finance enable us to extend our footprint and have a development impact well beyond our direct resources. </w:t>
            </w:r>
          </w:p>
          <w:p w14:paraId="3F2A09C9" w14:textId="4AC63744" w:rsidR="0005433D" w:rsidRPr="006F1566" w:rsidRDefault="0005433D" w:rsidP="0005433D">
            <w:pPr>
              <w:rPr>
                <w:rFonts w:asciiTheme="majorHAnsi" w:hAnsiTheme="majorHAnsi"/>
                <w:sz w:val="36"/>
                <w:szCs w:val="36"/>
              </w:rPr>
            </w:pPr>
            <w:r w:rsidRPr="006F1566">
              <w:rPr>
                <w:rFonts w:asciiTheme="majorHAnsi" w:hAnsiTheme="majorHAnsi"/>
                <w:sz w:val="36"/>
                <w:szCs w:val="36"/>
              </w:rPr>
              <w:t xml:space="preserve">IFC’s Credit Risk Department: IFC's Credit and Investment Risk Department (CIR) is responsible for providing an independent assessment of risks for all new investment transactions and material portfolio events. Being a part of the formal investment approval hierarchy, CIR serves as a “second pair of eyes”. CIR works to strengthen IFC's credit culture, investment quality, and impact by working closely with investment and supporting departments across the Corporation. </w:t>
            </w:r>
          </w:p>
          <w:p w14:paraId="1315E18D"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b/>
                <w:bCs/>
                <w:sz w:val="36"/>
                <w:szCs w:val="36"/>
              </w:rPr>
              <w:t xml:space="preserve">CIR is tasked to: </w:t>
            </w:r>
          </w:p>
          <w:p w14:paraId="497AA2DB"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cs="Calibri"/>
                <w:sz w:val="36"/>
                <w:szCs w:val="36"/>
              </w:rPr>
              <w:t xml:space="preserve">• </w:t>
            </w:r>
            <w:r w:rsidRPr="006F1566">
              <w:rPr>
                <w:rFonts w:asciiTheme="majorHAnsi" w:hAnsiTheme="majorHAnsi"/>
                <w:sz w:val="36"/>
                <w:szCs w:val="36"/>
              </w:rPr>
              <w:t xml:space="preserve">For new investment proposals and material portfolio actions, assessing investment and credit risk and guiding Investment teams with decision makers to arrive at structures that appropriately mitigate and compensate IFC for identified risks, meet IFC’s minimum investment standards as required by any applicable policies, procedures, or guidelines, meet profitability targets for equity and mezzanine investments and are within the risk appetite established by senior </w:t>
            </w:r>
            <w:proofErr w:type="gramStart"/>
            <w:r w:rsidRPr="006F1566">
              <w:rPr>
                <w:rFonts w:asciiTheme="majorHAnsi" w:hAnsiTheme="majorHAnsi"/>
                <w:sz w:val="36"/>
                <w:szCs w:val="36"/>
              </w:rPr>
              <w:t>management;</w:t>
            </w:r>
            <w:proofErr w:type="gramEnd"/>
            <w:r w:rsidRPr="006F1566">
              <w:rPr>
                <w:rFonts w:asciiTheme="majorHAnsi" w:hAnsiTheme="majorHAnsi"/>
                <w:sz w:val="36"/>
                <w:szCs w:val="36"/>
              </w:rPr>
              <w:t xml:space="preserve"> </w:t>
            </w:r>
          </w:p>
          <w:p w14:paraId="00C69416"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cs="Calibri"/>
                <w:sz w:val="36"/>
                <w:szCs w:val="36"/>
              </w:rPr>
              <w:t xml:space="preserve">• </w:t>
            </w:r>
            <w:r w:rsidRPr="006F1566">
              <w:rPr>
                <w:rFonts w:asciiTheme="majorHAnsi" w:hAnsiTheme="majorHAnsi"/>
                <w:sz w:val="36"/>
                <w:szCs w:val="36"/>
              </w:rPr>
              <w:t xml:space="preserve">For new investment proposals and material portfolio actions, provide expert input to identify upside potential and </w:t>
            </w:r>
            <w:r w:rsidRPr="006F1566">
              <w:rPr>
                <w:rFonts w:asciiTheme="majorHAnsi" w:hAnsiTheme="majorHAnsi"/>
                <w:sz w:val="36"/>
                <w:szCs w:val="36"/>
              </w:rPr>
              <w:lastRenderedPageBreak/>
              <w:t xml:space="preserve">vulnerabilities associated with new transactions as well as waivers and changes to existing investments and ensure value addition opportunities and risks are fully identified, disclosed, clearly and synthetically communicated and understood throughout the approval process </w:t>
            </w:r>
          </w:p>
          <w:p w14:paraId="5D2BD261"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cs="Calibri"/>
                <w:sz w:val="36"/>
                <w:szCs w:val="36"/>
              </w:rPr>
              <w:t xml:space="preserve">• </w:t>
            </w:r>
            <w:r w:rsidRPr="006F1566">
              <w:rPr>
                <w:rFonts w:asciiTheme="majorHAnsi" w:hAnsiTheme="majorHAnsi"/>
                <w:sz w:val="36"/>
                <w:szCs w:val="36"/>
              </w:rPr>
              <w:t xml:space="preserve">Maintaining a strong credit and equity culture within IFC and supporting dissemination of credit and equity expertise and best practice through various knowledge management activities, the development of credit and equity standards, credit and equity risk policies, structuring guidelines and procedures, deal acceptance criteria, and business process improvements. </w:t>
            </w:r>
          </w:p>
          <w:p w14:paraId="7532AA87"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cs="Calibri"/>
                <w:sz w:val="36"/>
                <w:szCs w:val="36"/>
              </w:rPr>
              <w:t xml:space="preserve">• </w:t>
            </w:r>
            <w:r w:rsidRPr="006F1566">
              <w:rPr>
                <w:rFonts w:asciiTheme="majorHAnsi" w:hAnsiTheme="majorHAnsi"/>
                <w:sz w:val="36"/>
                <w:szCs w:val="36"/>
              </w:rPr>
              <w:t xml:space="preserve">Encouraging global consistency in the application of IFC's credit standards and investment </w:t>
            </w:r>
            <w:proofErr w:type="gramStart"/>
            <w:r w:rsidRPr="006F1566">
              <w:rPr>
                <w:rFonts w:asciiTheme="majorHAnsi" w:hAnsiTheme="majorHAnsi"/>
                <w:sz w:val="36"/>
                <w:szCs w:val="36"/>
              </w:rPr>
              <w:t>guidelines;</w:t>
            </w:r>
            <w:proofErr w:type="gramEnd"/>
            <w:r w:rsidRPr="006F1566">
              <w:rPr>
                <w:rFonts w:asciiTheme="majorHAnsi" w:hAnsiTheme="majorHAnsi"/>
                <w:sz w:val="36"/>
                <w:szCs w:val="36"/>
              </w:rPr>
              <w:t xml:space="preserve"> </w:t>
            </w:r>
          </w:p>
          <w:p w14:paraId="33C4F9CD"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cs="Calibri"/>
                <w:sz w:val="36"/>
                <w:szCs w:val="36"/>
              </w:rPr>
              <w:t xml:space="preserve">• </w:t>
            </w:r>
            <w:r w:rsidRPr="006F1566">
              <w:rPr>
                <w:rFonts w:asciiTheme="majorHAnsi" w:hAnsiTheme="majorHAnsi"/>
                <w:sz w:val="36"/>
                <w:szCs w:val="36"/>
              </w:rPr>
              <w:t xml:space="preserve">At the portfolio level, CIR helps to monitor, and highlight to IFC management, global and sector trends as well as other high-level issues that could adversely impact the credit quality of IFC's investment portfolio through: </w:t>
            </w:r>
          </w:p>
          <w:p w14:paraId="26AFF196"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cs="Calibri"/>
                <w:sz w:val="36"/>
                <w:szCs w:val="36"/>
              </w:rPr>
              <w:t xml:space="preserve">• </w:t>
            </w:r>
            <w:r w:rsidRPr="006F1566">
              <w:rPr>
                <w:rFonts w:asciiTheme="majorHAnsi" w:hAnsiTheme="majorHAnsi"/>
                <w:sz w:val="36"/>
                <w:szCs w:val="36"/>
              </w:rPr>
              <w:t xml:space="preserve">Identifying aggregate balance sheet risks by product, sub-sector and </w:t>
            </w:r>
            <w:proofErr w:type="gramStart"/>
            <w:r w:rsidRPr="006F1566">
              <w:rPr>
                <w:rFonts w:asciiTheme="majorHAnsi" w:hAnsiTheme="majorHAnsi"/>
                <w:sz w:val="36"/>
                <w:szCs w:val="36"/>
              </w:rPr>
              <w:t>region;</w:t>
            </w:r>
            <w:proofErr w:type="gramEnd"/>
            <w:r w:rsidRPr="006F1566">
              <w:rPr>
                <w:rFonts w:asciiTheme="majorHAnsi" w:hAnsiTheme="majorHAnsi"/>
                <w:sz w:val="36"/>
                <w:szCs w:val="36"/>
              </w:rPr>
              <w:t xml:space="preserve"> </w:t>
            </w:r>
          </w:p>
          <w:p w14:paraId="46D3BF3D"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cs="Calibri"/>
                <w:sz w:val="36"/>
                <w:szCs w:val="36"/>
              </w:rPr>
              <w:t xml:space="preserve">• </w:t>
            </w:r>
            <w:r w:rsidRPr="006F1566">
              <w:rPr>
                <w:rFonts w:asciiTheme="majorHAnsi" w:hAnsiTheme="majorHAnsi"/>
                <w:sz w:val="36"/>
                <w:szCs w:val="36"/>
              </w:rPr>
              <w:t xml:space="preserve">Participating in country and regional sector reviews, as well as in portfolio </w:t>
            </w:r>
            <w:proofErr w:type="gramStart"/>
            <w:r w:rsidRPr="006F1566">
              <w:rPr>
                <w:rFonts w:asciiTheme="majorHAnsi" w:hAnsiTheme="majorHAnsi"/>
                <w:sz w:val="36"/>
                <w:szCs w:val="36"/>
              </w:rPr>
              <w:t>reviews;</w:t>
            </w:r>
            <w:proofErr w:type="gramEnd"/>
            <w:r w:rsidRPr="006F1566">
              <w:rPr>
                <w:rFonts w:asciiTheme="majorHAnsi" w:hAnsiTheme="majorHAnsi"/>
                <w:sz w:val="36"/>
                <w:szCs w:val="36"/>
              </w:rPr>
              <w:t xml:space="preserve"> </w:t>
            </w:r>
          </w:p>
          <w:p w14:paraId="445C6665"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cs="Calibri"/>
                <w:sz w:val="36"/>
                <w:szCs w:val="36"/>
              </w:rPr>
              <w:t xml:space="preserve">• </w:t>
            </w:r>
            <w:r w:rsidRPr="006F1566">
              <w:rPr>
                <w:rFonts w:asciiTheme="majorHAnsi" w:hAnsiTheme="majorHAnsi"/>
                <w:sz w:val="36"/>
                <w:szCs w:val="36"/>
              </w:rPr>
              <w:t xml:space="preserve">Recommending adjustments to IFC policy and investment guidelines as markets evolve and based on IFC investment experience. </w:t>
            </w:r>
          </w:p>
          <w:p w14:paraId="27D1055D" w14:textId="77777777" w:rsidR="0005433D" w:rsidRPr="006F1566" w:rsidRDefault="0005433D" w:rsidP="0005433D">
            <w:pPr>
              <w:pStyle w:val="Default"/>
              <w:rPr>
                <w:rFonts w:asciiTheme="majorHAnsi" w:hAnsiTheme="majorHAnsi"/>
                <w:sz w:val="36"/>
                <w:szCs w:val="36"/>
              </w:rPr>
            </w:pPr>
          </w:p>
          <w:p w14:paraId="39206A42" w14:textId="435BD226" w:rsidR="0005433D" w:rsidRPr="006F1566" w:rsidRDefault="0005433D" w:rsidP="004828E7">
            <w:pPr>
              <w:rPr>
                <w:rFonts w:asciiTheme="majorHAnsi" w:hAnsiTheme="majorHAnsi"/>
                <w:sz w:val="36"/>
                <w:szCs w:val="36"/>
              </w:rPr>
            </w:pPr>
            <w:r w:rsidRPr="006F1566">
              <w:rPr>
                <w:rFonts w:asciiTheme="majorHAnsi" w:hAnsiTheme="majorHAnsi"/>
                <w:sz w:val="36"/>
                <w:szCs w:val="36"/>
              </w:rPr>
              <w:t xml:space="preserve">The CIR department is divided into three major regions (Latin America &amp; Europe, Asia Pacific, and Middle East &amp; Africa) in </w:t>
            </w:r>
            <w:r w:rsidRPr="006F1566">
              <w:rPr>
                <w:rFonts w:asciiTheme="majorHAnsi" w:hAnsiTheme="majorHAnsi"/>
                <w:sz w:val="36"/>
                <w:szCs w:val="36"/>
              </w:rPr>
              <w:lastRenderedPageBreak/>
              <w:t xml:space="preserve">addition to equity. The selected candidate will be based in Washington, DC, Vienna, or Singapore. </w:t>
            </w:r>
          </w:p>
          <w:p w14:paraId="2B993A46" w14:textId="38CDB7E1" w:rsidR="0005433D" w:rsidRPr="006F1566" w:rsidRDefault="0005433D" w:rsidP="0005433D">
            <w:pPr>
              <w:pStyle w:val="Default"/>
              <w:rPr>
                <w:rFonts w:asciiTheme="majorHAnsi" w:hAnsiTheme="majorHAnsi"/>
                <w:sz w:val="36"/>
                <w:szCs w:val="36"/>
              </w:rPr>
            </w:pPr>
            <w:r w:rsidRPr="006F1566">
              <w:rPr>
                <w:rFonts w:asciiTheme="majorHAnsi" w:hAnsiTheme="majorHAnsi"/>
                <w:sz w:val="36"/>
                <w:szCs w:val="36"/>
              </w:rPr>
              <w:t>IFC has embarked on an ambitious new strategy to stimulate more investme</w:t>
            </w:r>
            <w:r w:rsidR="00CB465E">
              <w:rPr>
                <w:rFonts w:asciiTheme="majorHAnsi" w:hAnsiTheme="majorHAnsi"/>
                <w:sz w:val="36"/>
                <w:szCs w:val="36"/>
              </w:rPr>
              <w:t>n</w:t>
            </w:r>
            <w:r w:rsidRPr="006F1566">
              <w:rPr>
                <w:rFonts w:asciiTheme="majorHAnsi" w:hAnsiTheme="majorHAnsi"/>
                <w:sz w:val="36"/>
                <w:szCs w:val="36"/>
              </w:rPr>
              <w:t xml:space="preserve">t by Creating Markets, mobilizing, innovation and increasing presence in our member countries. This new and ambitious strategy requires a shift in our approach to proactively create, deepen and expand markets and projects. This strategy also relies on upstream work with Governments and World Bank colleagues to enable private sector solutions and financing. Working with clients, we will first seek private sector solutions to address development challenges, where such solutions are advisable and ca be effective, and reserve public financing for projects only when other options ae suboptimal. Creating Markets is a proactive and systematic approach to market creation and mobilization of private sector solutions across the WB, that includes developing undeveloped </w:t>
            </w:r>
            <w:proofErr w:type="gramStart"/>
            <w:r w:rsidRPr="006F1566">
              <w:rPr>
                <w:rFonts w:asciiTheme="majorHAnsi" w:hAnsiTheme="majorHAnsi"/>
                <w:sz w:val="36"/>
                <w:szCs w:val="36"/>
              </w:rPr>
              <w:t>markets, or</w:t>
            </w:r>
            <w:proofErr w:type="gramEnd"/>
            <w:r w:rsidRPr="006F1566">
              <w:rPr>
                <w:rFonts w:asciiTheme="majorHAnsi" w:hAnsiTheme="majorHAnsi"/>
                <w:sz w:val="36"/>
                <w:szCs w:val="36"/>
              </w:rPr>
              <w:t xml:space="preserve"> fostering systemic changes </w:t>
            </w:r>
            <w:proofErr w:type="gramStart"/>
            <w:r w:rsidRPr="006F1566">
              <w:rPr>
                <w:rFonts w:asciiTheme="majorHAnsi" w:hAnsiTheme="majorHAnsi"/>
                <w:sz w:val="36"/>
                <w:szCs w:val="36"/>
              </w:rPr>
              <w:t>o existing</w:t>
            </w:r>
            <w:proofErr w:type="gramEnd"/>
            <w:r w:rsidRPr="006F1566">
              <w:rPr>
                <w:rFonts w:asciiTheme="majorHAnsi" w:hAnsiTheme="majorHAnsi"/>
                <w:sz w:val="36"/>
                <w:szCs w:val="36"/>
              </w:rPr>
              <w:t xml:space="preserve"> and less developed markets. </w:t>
            </w:r>
          </w:p>
          <w:p w14:paraId="305D502B"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sz w:val="36"/>
                <w:szCs w:val="36"/>
              </w:rPr>
              <w:t xml:space="preserve">This ambitious business plan requires from the CIR new approaches and ways to support </w:t>
            </w:r>
            <w:proofErr w:type="gramStart"/>
            <w:r w:rsidRPr="006F1566">
              <w:rPr>
                <w:rFonts w:asciiTheme="majorHAnsi" w:hAnsiTheme="majorHAnsi"/>
                <w:sz w:val="36"/>
                <w:szCs w:val="36"/>
              </w:rPr>
              <w:t>IFC</w:t>
            </w:r>
            <w:proofErr w:type="gramEnd"/>
            <w:r w:rsidRPr="006F1566">
              <w:rPr>
                <w:rFonts w:asciiTheme="majorHAnsi" w:hAnsiTheme="majorHAnsi"/>
                <w:sz w:val="36"/>
                <w:szCs w:val="36"/>
              </w:rPr>
              <w:t xml:space="preserve"> strategy while maintaining our long-term financial sustainability and asset quality. </w:t>
            </w:r>
          </w:p>
          <w:p w14:paraId="06D95911"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b/>
                <w:bCs/>
                <w:sz w:val="36"/>
                <w:szCs w:val="36"/>
              </w:rPr>
              <w:t xml:space="preserve">Credit Risk Officer Description </w:t>
            </w:r>
          </w:p>
          <w:p w14:paraId="5B3A93AD"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sz w:val="36"/>
                <w:szCs w:val="36"/>
              </w:rPr>
              <w:t xml:space="preserve">The mid-career professional position as Credit Risk Officer (F1/F2) (CRO) in CIR will provide the selected candidate with an opportunity to: </w:t>
            </w:r>
          </w:p>
          <w:p w14:paraId="71403E05"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cs="Calibri"/>
                <w:sz w:val="36"/>
                <w:szCs w:val="36"/>
              </w:rPr>
              <w:lastRenderedPageBreak/>
              <w:t xml:space="preserve">• </w:t>
            </w:r>
            <w:r w:rsidRPr="006F1566">
              <w:rPr>
                <w:rFonts w:asciiTheme="majorHAnsi" w:hAnsiTheme="majorHAnsi"/>
                <w:sz w:val="36"/>
                <w:szCs w:val="36"/>
              </w:rPr>
              <w:t xml:space="preserve">Develop a deeper understanding of IFC’s investment business from a risk perspective and </w:t>
            </w:r>
            <w:proofErr w:type="gramStart"/>
            <w:r w:rsidRPr="006F1566">
              <w:rPr>
                <w:rFonts w:asciiTheme="majorHAnsi" w:hAnsiTheme="majorHAnsi"/>
                <w:sz w:val="36"/>
                <w:szCs w:val="36"/>
              </w:rPr>
              <w:t>strengthening</w:t>
            </w:r>
            <w:proofErr w:type="gramEnd"/>
            <w:r w:rsidRPr="006F1566">
              <w:rPr>
                <w:rFonts w:asciiTheme="majorHAnsi" w:hAnsiTheme="majorHAnsi"/>
                <w:sz w:val="36"/>
                <w:szCs w:val="36"/>
              </w:rPr>
              <w:t xml:space="preserve"> his / her credit and equity analytical </w:t>
            </w:r>
            <w:proofErr w:type="gramStart"/>
            <w:r w:rsidRPr="006F1566">
              <w:rPr>
                <w:rFonts w:asciiTheme="majorHAnsi" w:hAnsiTheme="majorHAnsi"/>
                <w:sz w:val="36"/>
                <w:szCs w:val="36"/>
              </w:rPr>
              <w:t>skills;</w:t>
            </w:r>
            <w:proofErr w:type="gramEnd"/>
            <w:r w:rsidRPr="006F1566">
              <w:rPr>
                <w:rFonts w:asciiTheme="majorHAnsi" w:hAnsiTheme="majorHAnsi"/>
                <w:sz w:val="36"/>
                <w:szCs w:val="36"/>
              </w:rPr>
              <w:t xml:space="preserve"> </w:t>
            </w:r>
          </w:p>
          <w:p w14:paraId="48982E6B"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cs="Calibri"/>
                <w:sz w:val="36"/>
                <w:szCs w:val="36"/>
              </w:rPr>
              <w:t xml:space="preserve">• </w:t>
            </w:r>
            <w:r w:rsidRPr="006F1566">
              <w:rPr>
                <w:rFonts w:asciiTheme="majorHAnsi" w:hAnsiTheme="majorHAnsi"/>
                <w:sz w:val="36"/>
                <w:szCs w:val="36"/>
              </w:rPr>
              <w:t>Get broad-based exposure to the Investment and Credit Risk Department’s approach to assessing projects across a wide range of products both Debt and Equity, countries (including investment in FCS and IDA countries), and Industries (Financial Institutions, Structured Finance and Capital Markets, Infrastructure, Telecom &amp; Technology, and Manufacturing, Agribusiness &amp; Services</w:t>
            </w:r>
            <w:proofErr w:type="gramStart"/>
            <w:r w:rsidRPr="006F1566">
              <w:rPr>
                <w:rFonts w:asciiTheme="majorHAnsi" w:hAnsiTheme="majorHAnsi"/>
                <w:sz w:val="36"/>
                <w:szCs w:val="36"/>
              </w:rPr>
              <w:t>);</w:t>
            </w:r>
            <w:proofErr w:type="gramEnd"/>
            <w:r w:rsidRPr="006F1566">
              <w:rPr>
                <w:rFonts w:asciiTheme="majorHAnsi" w:hAnsiTheme="majorHAnsi"/>
                <w:sz w:val="36"/>
                <w:szCs w:val="36"/>
              </w:rPr>
              <w:t xml:space="preserve"> </w:t>
            </w:r>
          </w:p>
          <w:p w14:paraId="1139883B"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cs="Calibri"/>
                <w:sz w:val="36"/>
                <w:szCs w:val="36"/>
              </w:rPr>
              <w:t xml:space="preserve">• </w:t>
            </w:r>
            <w:r w:rsidRPr="006F1566">
              <w:rPr>
                <w:rFonts w:asciiTheme="majorHAnsi" w:hAnsiTheme="majorHAnsi"/>
                <w:sz w:val="36"/>
                <w:szCs w:val="36"/>
              </w:rPr>
              <w:t xml:space="preserve">Develop unique investment experience in Emerging Market Countries and in FCS and IDA countries, including Ukraine; leverage lessons of IFC’s experience operating in these markets and apply globally recognized best practices and standards. </w:t>
            </w:r>
          </w:p>
          <w:p w14:paraId="672BEC3D"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cs="Calibri"/>
                <w:sz w:val="36"/>
                <w:szCs w:val="36"/>
              </w:rPr>
              <w:t xml:space="preserve">• </w:t>
            </w:r>
            <w:r w:rsidRPr="006F1566">
              <w:rPr>
                <w:rFonts w:asciiTheme="majorHAnsi" w:hAnsiTheme="majorHAnsi"/>
                <w:sz w:val="36"/>
                <w:szCs w:val="36"/>
              </w:rPr>
              <w:t xml:space="preserve">The CO will report to </w:t>
            </w:r>
            <w:proofErr w:type="gramStart"/>
            <w:r w:rsidRPr="006F1566">
              <w:rPr>
                <w:rFonts w:asciiTheme="majorHAnsi" w:hAnsiTheme="majorHAnsi"/>
                <w:sz w:val="36"/>
                <w:szCs w:val="36"/>
              </w:rPr>
              <w:t>relevant</w:t>
            </w:r>
            <w:proofErr w:type="gramEnd"/>
            <w:r w:rsidRPr="006F1566">
              <w:rPr>
                <w:rFonts w:asciiTheme="majorHAnsi" w:hAnsiTheme="majorHAnsi"/>
                <w:sz w:val="36"/>
                <w:szCs w:val="36"/>
              </w:rPr>
              <w:t xml:space="preserve"> Regional Chief Risk Officer. The CO will have the following responsibilities under the guidance of the RCRO and Chief Credit Officers (CCOs): </w:t>
            </w:r>
          </w:p>
          <w:p w14:paraId="0396A6C0" w14:textId="77777777" w:rsidR="0005433D" w:rsidRPr="006F1566" w:rsidRDefault="0005433D" w:rsidP="0005433D">
            <w:pPr>
              <w:pStyle w:val="Default"/>
              <w:rPr>
                <w:rFonts w:asciiTheme="majorHAnsi" w:hAnsiTheme="majorHAnsi" w:cstheme="minorBidi"/>
                <w:color w:val="auto"/>
                <w:sz w:val="36"/>
                <w:szCs w:val="36"/>
              </w:rPr>
            </w:pPr>
          </w:p>
          <w:p w14:paraId="4587C487"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sz w:val="36"/>
                <w:szCs w:val="36"/>
              </w:rPr>
              <w:t xml:space="preserve">With the guidance from RCRO and CCOs, review investment concepts and investment proposals, including financial models, credit ratings, transaction term sheets, and other project documents prepared by project teams, and contribute to CCO’s discussions with transactions teams and decision-making process. The CO is expected to have an opportunity to work on over 20-30 investment proposals across different stages with various CCOs per year, across different investment products (e.g., equity, debt, mezzanine), industries or de-risking </w:t>
            </w:r>
            <w:proofErr w:type="gramStart"/>
            <w:r w:rsidRPr="006F1566">
              <w:rPr>
                <w:rFonts w:asciiTheme="majorHAnsi" w:hAnsiTheme="majorHAnsi"/>
                <w:sz w:val="36"/>
                <w:szCs w:val="36"/>
              </w:rPr>
              <w:t>tools;</w:t>
            </w:r>
            <w:proofErr w:type="gramEnd"/>
            <w:r w:rsidRPr="006F1566">
              <w:rPr>
                <w:rFonts w:asciiTheme="majorHAnsi" w:hAnsiTheme="majorHAnsi"/>
                <w:sz w:val="36"/>
                <w:szCs w:val="36"/>
              </w:rPr>
              <w:t xml:space="preserve"> </w:t>
            </w:r>
          </w:p>
          <w:p w14:paraId="048B5267"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cs="Calibri"/>
                <w:sz w:val="36"/>
                <w:szCs w:val="36"/>
              </w:rPr>
              <w:lastRenderedPageBreak/>
              <w:t xml:space="preserve">• </w:t>
            </w:r>
            <w:r w:rsidRPr="006F1566">
              <w:rPr>
                <w:rFonts w:asciiTheme="majorHAnsi" w:hAnsiTheme="majorHAnsi"/>
                <w:sz w:val="36"/>
                <w:szCs w:val="36"/>
              </w:rPr>
              <w:t xml:space="preserve">Working directly with transaction teams to facilitate incorporation of CIR feedback in the analysis and presentation of the investment materials to support a more efficient and effective decision-making </w:t>
            </w:r>
            <w:proofErr w:type="gramStart"/>
            <w:r w:rsidRPr="006F1566">
              <w:rPr>
                <w:rFonts w:asciiTheme="majorHAnsi" w:hAnsiTheme="majorHAnsi"/>
                <w:sz w:val="36"/>
                <w:szCs w:val="36"/>
              </w:rPr>
              <w:t>process;</w:t>
            </w:r>
            <w:proofErr w:type="gramEnd"/>
            <w:r w:rsidRPr="006F1566">
              <w:rPr>
                <w:rFonts w:asciiTheme="majorHAnsi" w:hAnsiTheme="majorHAnsi"/>
                <w:sz w:val="36"/>
                <w:szCs w:val="36"/>
              </w:rPr>
              <w:t xml:space="preserve"> </w:t>
            </w:r>
          </w:p>
          <w:p w14:paraId="6FE4E759"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cs="Calibri"/>
                <w:sz w:val="36"/>
                <w:szCs w:val="36"/>
              </w:rPr>
              <w:t xml:space="preserve">• </w:t>
            </w:r>
            <w:r w:rsidRPr="006F1566">
              <w:rPr>
                <w:rFonts w:asciiTheme="majorHAnsi" w:hAnsiTheme="majorHAnsi"/>
                <w:sz w:val="36"/>
                <w:szCs w:val="36"/>
              </w:rPr>
              <w:t xml:space="preserve">Periodic review of credit ratings for portfolio transactions and working closely with the Ratings team, to verify the quality of credit assessments carried out by portfolio teams, hence supporting prudent management of IFC’s </w:t>
            </w:r>
            <w:proofErr w:type="gramStart"/>
            <w:r w:rsidRPr="006F1566">
              <w:rPr>
                <w:rFonts w:asciiTheme="majorHAnsi" w:hAnsiTheme="majorHAnsi"/>
                <w:sz w:val="36"/>
                <w:szCs w:val="36"/>
              </w:rPr>
              <w:t>portfolio;</w:t>
            </w:r>
            <w:proofErr w:type="gramEnd"/>
            <w:r w:rsidRPr="006F1566">
              <w:rPr>
                <w:rFonts w:asciiTheme="majorHAnsi" w:hAnsiTheme="majorHAnsi"/>
                <w:sz w:val="36"/>
                <w:szCs w:val="36"/>
              </w:rPr>
              <w:t xml:space="preserve"> </w:t>
            </w:r>
          </w:p>
          <w:p w14:paraId="3B8C286F"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cs="Calibri"/>
                <w:sz w:val="36"/>
                <w:szCs w:val="36"/>
              </w:rPr>
              <w:t xml:space="preserve">• </w:t>
            </w:r>
            <w:r w:rsidRPr="006F1566">
              <w:rPr>
                <w:rFonts w:asciiTheme="majorHAnsi" w:hAnsiTheme="majorHAnsi"/>
                <w:sz w:val="36"/>
                <w:szCs w:val="36"/>
              </w:rPr>
              <w:t xml:space="preserve">The CO will support analysis of major macro and portfolio trends, focusing on our earlier warning signals and integrating these views into pipeline and business development discussions. Summarize insights and present key findings to business stakeholders and senior </w:t>
            </w:r>
            <w:proofErr w:type="gramStart"/>
            <w:r w:rsidRPr="006F1566">
              <w:rPr>
                <w:rFonts w:asciiTheme="majorHAnsi" w:hAnsiTheme="majorHAnsi"/>
                <w:sz w:val="36"/>
                <w:szCs w:val="36"/>
              </w:rPr>
              <w:t>management;</w:t>
            </w:r>
            <w:proofErr w:type="gramEnd"/>
            <w:r w:rsidRPr="006F1566">
              <w:rPr>
                <w:rFonts w:asciiTheme="majorHAnsi" w:hAnsiTheme="majorHAnsi"/>
                <w:sz w:val="36"/>
                <w:szCs w:val="36"/>
              </w:rPr>
              <w:t xml:space="preserve"> </w:t>
            </w:r>
          </w:p>
          <w:p w14:paraId="0AF801C5"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cs="Calibri"/>
                <w:sz w:val="36"/>
                <w:szCs w:val="36"/>
              </w:rPr>
              <w:t xml:space="preserve">• </w:t>
            </w:r>
            <w:r w:rsidRPr="006F1566">
              <w:rPr>
                <w:rFonts w:asciiTheme="majorHAnsi" w:hAnsiTheme="majorHAnsi"/>
                <w:sz w:val="36"/>
                <w:szCs w:val="36"/>
              </w:rPr>
              <w:t xml:space="preserve">Attend portfolio reviews and watchlist meetings, helping to identify key portfolio trends, necessary actions and monitoring follow-up </w:t>
            </w:r>
            <w:proofErr w:type="gramStart"/>
            <w:r w:rsidRPr="006F1566">
              <w:rPr>
                <w:rFonts w:asciiTheme="majorHAnsi" w:hAnsiTheme="majorHAnsi"/>
                <w:sz w:val="36"/>
                <w:szCs w:val="36"/>
              </w:rPr>
              <w:t>items;</w:t>
            </w:r>
            <w:proofErr w:type="gramEnd"/>
            <w:r w:rsidRPr="006F1566">
              <w:rPr>
                <w:rFonts w:asciiTheme="majorHAnsi" w:hAnsiTheme="majorHAnsi"/>
                <w:sz w:val="36"/>
                <w:szCs w:val="36"/>
              </w:rPr>
              <w:t xml:space="preserve"> </w:t>
            </w:r>
          </w:p>
          <w:p w14:paraId="67689511"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cs="Calibri"/>
                <w:sz w:val="36"/>
                <w:szCs w:val="36"/>
              </w:rPr>
              <w:t xml:space="preserve">• </w:t>
            </w:r>
            <w:r w:rsidRPr="006F1566">
              <w:rPr>
                <w:rFonts w:asciiTheme="majorHAnsi" w:hAnsiTheme="majorHAnsi"/>
                <w:sz w:val="36"/>
                <w:szCs w:val="36"/>
              </w:rPr>
              <w:t xml:space="preserve">Support the processing of waivers, rights issues, stress testing and other ad-hoc portfolio </w:t>
            </w:r>
            <w:proofErr w:type="gramStart"/>
            <w:r w:rsidRPr="006F1566">
              <w:rPr>
                <w:rFonts w:asciiTheme="majorHAnsi" w:hAnsiTheme="majorHAnsi"/>
                <w:sz w:val="36"/>
                <w:szCs w:val="36"/>
              </w:rPr>
              <w:t>matters;</w:t>
            </w:r>
            <w:proofErr w:type="gramEnd"/>
            <w:r w:rsidRPr="006F1566">
              <w:rPr>
                <w:rFonts w:asciiTheme="majorHAnsi" w:hAnsiTheme="majorHAnsi"/>
                <w:sz w:val="36"/>
                <w:szCs w:val="36"/>
              </w:rPr>
              <w:t xml:space="preserve"> </w:t>
            </w:r>
          </w:p>
          <w:p w14:paraId="322B975A" w14:textId="333E13F3" w:rsidR="0005433D" w:rsidRPr="006F1566" w:rsidRDefault="0005433D" w:rsidP="0005433D">
            <w:pPr>
              <w:pStyle w:val="Default"/>
              <w:rPr>
                <w:rFonts w:asciiTheme="majorHAnsi" w:hAnsiTheme="majorHAnsi"/>
                <w:sz w:val="36"/>
                <w:szCs w:val="36"/>
              </w:rPr>
            </w:pPr>
            <w:r w:rsidRPr="006F1566">
              <w:rPr>
                <w:rFonts w:asciiTheme="majorHAnsi" w:hAnsiTheme="majorHAnsi" w:cs="Calibri"/>
                <w:sz w:val="36"/>
                <w:szCs w:val="36"/>
              </w:rPr>
              <w:t xml:space="preserve">• </w:t>
            </w:r>
            <w:r w:rsidRPr="006F1566">
              <w:rPr>
                <w:rFonts w:asciiTheme="majorHAnsi" w:hAnsiTheme="majorHAnsi"/>
                <w:sz w:val="36"/>
                <w:szCs w:val="36"/>
              </w:rPr>
              <w:t xml:space="preserve">Preparation of training materials, lessons learned, case studies, CIR FAQs other knowledge management material across different industries and </w:t>
            </w:r>
            <w:proofErr w:type="gramStart"/>
            <w:r w:rsidRPr="006F1566">
              <w:rPr>
                <w:rFonts w:asciiTheme="majorHAnsi" w:hAnsiTheme="majorHAnsi"/>
                <w:sz w:val="36"/>
                <w:szCs w:val="36"/>
              </w:rPr>
              <w:t>invent</w:t>
            </w:r>
            <w:proofErr w:type="gramEnd"/>
            <w:r w:rsidRPr="006F1566">
              <w:rPr>
                <w:rFonts w:asciiTheme="majorHAnsi" w:hAnsiTheme="majorHAnsi"/>
                <w:sz w:val="36"/>
                <w:szCs w:val="36"/>
              </w:rPr>
              <w:t xml:space="preserve"> products, and promoting knowledge sharing and their application in ne</w:t>
            </w:r>
            <w:r w:rsidR="00784D25">
              <w:rPr>
                <w:rFonts w:asciiTheme="majorHAnsi" w:hAnsiTheme="majorHAnsi"/>
                <w:sz w:val="36"/>
                <w:szCs w:val="36"/>
              </w:rPr>
              <w:t>w</w:t>
            </w:r>
            <w:r w:rsidRPr="006F1566">
              <w:rPr>
                <w:rFonts w:asciiTheme="majorHAnsi" w:hAnsiTheme="majorHAnsi"/>
                <w:sz w:val="36"/>
                <w:szCs w:val="36"/>
              </w:rPr>
              <w:t xml:space="preserve"> </w:t>
            </w:r>
            <w:r w:rsidR="00470E96">
              <w:rPr>
                <w:rFonts w:asciiTheme="majorHAnsi" w:hAnsiTheme="majorHAnsi"/>
                <w:sz w:val="36"/>
                <w:szCs w:val="36"/>
              </w:rPr>
              <w:t>inv</w:t>
            </w:r>
            <w:r w:rsidRPr="006F1566">
              <w:rPr>
                <w:rFonts w:asciiTheme="majorHAnsi" w:hAnsiTheme="majorHAnsi"/>
                <w:sz w:val="36"/>
                <w:szCs w:val="36"/>
              </w:rPr>
              <w:t xml:space="preserve">estment or portfolio </w:t>
            </w:r>
            <w:proofErr w:type="gramStart"/>
            <w:r w:rsidRPr="006F1566">
              <w:rPr>
                <w:rFonts w:asciiTheme="majorHAnsi" w:hAnsiTheme="majorHAnsi"/>
                <w:sz w:val="36"/>
                <w:szCs w:val="36"/>
              </w:rPr>
              <w:t>decisions;</w:t>
            </w:r>
            <w:proofErr w:type="gramEnd"/>
            <w:r w:rsidRPr="006F1566">
              <w:rPr>
                <w:rFonts w:asciiTheme="majorHAnsi" w:hAnsiTheme="majorHAnsi"/>
                <w:sz w:val="36"/>
                <w:szCs w:val="36"/>
              </w:rPr>
              <w:t xml:space="preserve"> </w:t>
            </w:r>
          </w:p>
          <w:p w14:paraId="4D5A19EE"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cs="Calibri"/>
                <w:sz w:val="36"/>
                <w:szCs w:val="36"/>
              </w:rPr>
              <w:t xml:space="preserve">• </w:t>
            </w:r>
            <w:r w:rsidRPr="006F1566">
              <w:rPr>
                <w:rFonts w:asciiTheme="majorHAnsi" w:hAnsiTheme="majorHAnsi"/>
                <w:sz w:val="36"/>
                <w:szCs w:val="36"/>
              </w:rPr>
              <w:t xml:space="preserve">Assist in </w:t>
            </w:r>
            <w:proofErr w:type="gramStart"/>
            <w:r w:rsidRPr="006F1566">
              <w:rPr>
                <w:rFonts w:asciiTheme="majorHAnsi" w:hAnsiTheme="majorHAnsi"/>
                <w:sz w:val="36"/>
                <w:szCs w:val="36"/>
              </w:rPr>
              <w:t>preparation</w:t>
            </w:r>
            <w:proofErr w:type="gramEnd"/>
            <w:r w:rsidRPr="006F1566">
              <w:rPr>
                <w:rFonts w:asciiTheme="majorHAnsi" w:hAnsiTheme="majorHAnsi"/>
                <w:sz w:val="36"/>
                <w:szCs w:val="36"/>
              </w:rPr>
              <w:t xml:space="preserve"> of corporate guidelines for credit assessment and credit </w:t>
            </w:r>
            <w:proofErr w:type="gramStart"/>
            <w:r w:rsidRPr="006F1566">
              <w:rPr>
                <w:rFonts w:asciiTheme="majorHAnsi" w:hAnsiTheme="majorHAnsi"/>
                <w:sz w:val="36"/>
                <w:szCs w:val="36"/>
              </w:rPr>
              <w:t>ratings;</w:t>
            </w:r>
            <w:proofErr w:type="gramEnd"/>
            <w:r w:rsidRPr="006F1566">
              <w:rPr>
                <w:rFonts w:asciiTheme="majorHAnsi" w:hAnsiTheme="majorHAnsi"/>
                <w:sz w:val="36"/>
                <w:szCs w:val="36"/>
              </w:rPr>
              <w:t xml:space="preserve"> </w:t>
            </w:r>
          </w:p>
          <w:p w14:paraId="14A1AF2F"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cs="Calibri"/>
                <w:sz w:val="36"/>
                <w:szCs w:val="36"/>
              </w:rPr>
              <w:t xml:space="preserve">• </w:t>
            </w:r>
            <w:r w:rsidRPr="006F1566">
              <w:rPr>
                <w:rFonts w:asciiTheme="majorHAnsi" w:hAnsiTheme="majorHAnsi"/>
                <w:sz w:val="36"/>
                <w:szCs w:val="36"/>
              </w:rPr>
              <w:t xml:space="preserve">Summarize insights and present key findings to business stakeholders and senior </w:t>
            </w:r>
            <w:proofErr w:type="gramStart"/>
            <w:r w:rsidRPr="006F1566">
              <w:rPr>
                <w:rFonts w:asciiTheme="majorHAnsi" w:hAnsiTheme="majorHAnsi"/>
                <w:sz w:val="36"/>
                <w:szCs w:val="36"/>
              </w:rPr>
              <w:t>management;</w:t>
            </w:r>
            <w:proofErr w:type="gramEnd"/>
            <w:r w:rsidRPr="006F1566">
              <w:rPr>
                <w:rFonts w:asciiTheme="majorHAnsi" w:hAnsiTheme="majorHAnsi"/>
                <w:sz w:val="36"/>
                <w:szCs w:val="36"/>
              </w:rPr>
              <w:t xml:space="preserve"> </w:t>
            </w:r>
          </w:p>
          <w:p w14:paraId="19CA4AE2"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cs="Calibri"/>
                <w:sz w:val="36"/>
                <w:szCs w:val="36"/>
              </w:rPr>
              <w:t xml:space="preserve">• </w:t>
            </w:r>
            <w:r w:rsidRPr="006F1566">
              <w:rPr>
                <w:rFonts w:asciiTheme="majorHAnsi" w:hAnsiTheme="majorHAnsi"/>
                <w:sz w:val="36"/>
                <w:szCs w:val="36"/>
              </w:rPr>
              <w:t xml:space="preserve">Collaborate with other IFC Credit and Investment teams globally and </w:t>
            </w:r>
            <w:proofErr w:type="gramStart"/>
            <w:r w:rsidRPr="006F1566">
              <w:rPr>
                <w:rFonts w:asciiTheme="majorHAnsi" w:hAnsiTheme="majorHAnsi"/>
                <w:sz w:val="36"/>
                <w:szCs w:val="36"/>
              </w:rPr>
              <w:t>regionally;</w:t>
            </w:r>
            <w:proofErr w:type="gramEnd"/>
            <w:r w:rsidRPr="006F1566">
              <w:rPr>
                <w:rFonts w:asciiTheme="majorHAnsi" w:hAnsiTheme="majorHAnsi"/>
                <w:sz w:val="36"/>
                <w:szCs w:val="36"/>
              </w:rPr>
              <w:t xml:space="preserve"> </w:t>
            </w:r>
          </w:p>
          <w:p w14:paraId="00A78B69"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cs="Calibri"/>
                <w:sz w:val="36"/>
                <w:szCs w:val="36"/>
              </w:rPr>
              <w:lastRenderedPageBreak/>
              <w:t xml:space="preserve">• </w:t>
            </w:r>
            <w:r w:rsidRPr="006F1566">
              <w:rPr>
                <w:rFonts w:asciiTheme="majorHAnsi" w:hAnsiTheme="majorHAnsi"/>
                <w:sz w:val="36"/>
                <w:szCs w:val="36"/>
              </w:rPr>
              <w:t xml:space="preserve">Participate in key corporate or CIR initiatives like the development of new credit tools, </w:t>
            </w:r>
            <w:proofErr w:type="gramStart"/>
            <w:r w:rsidRPr="006F1566">
              <w:rPr>
                <w:rFonts w:asciiTheme="majorHAnsi" w:hAnsiTheme="majorHAnsi"/>
                <w:sz w:val="36"/>
                <w:szCs w:val="36"/>
              </w:rPr>
              <w:t>and or</w:t>
            </w:r>
            <w:proofErr w:type="gramEnd"/>
            <w:r w:rsidRPr="006F1566">
              <w:rPr>
                <w:rFonts w:asciiTheme="majorHAnsi" w:hAnsiTheme="majorHAnsi"/>
                <w:sz w:val="36"/>
                <w:szCs w:val="36"/>
              </w:rPr>
              <w:t xml:space="preserve"> dashboards, preparation of portfolio </w:t>
            </w:r>
            <w:proofErr w:type="gramStart"/>
            <w:r w:rsidRPr="006F1566">
              <w:rPr>
                <w:rFonts w:asciiTheme="majorHAnsi" w:hAnsiTheme="majorHAnsi"/>
                <w:sz w:val="36"/>
                <w:szCs w:val="36"/>
              </w:rPr>
              <w:t>presentations;</w:t>
            </w:r>
            <w:proofErr w:type="gramEnd"/>
            <w:r w:rsidRPr="006F1566">
              <w:rPr>
                <w:rFonts w:asciiTheme="majorHAnsi" w:hAnsiTheme="majorHAnsi"/>
                <w:sz w:val="36"/>
                <w:szCs w:val="36"/>
              </w:rPr>
              <w:t xml:space="preserve"> </w:t>
            </w:r>
          </w:p>
          <w:p w14:paraId="369BDD50"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cs="Calibri"/>
                <w:sz w:val="36"/>
                <w:szCs w:val="36"/>
              </w:rPr>
              <w:t xml:space="preserve">• </w:t>
            </w:r>
            <w:r w:rsidRPr="006F1566">
              <w:rPr>
                <w:rFonts w:asciiTheme="majorHAnsi" w:hAnsiTheme="majorHAnsi"/>
                <w:sz w:val="36"/>
                <w:szCs w:val="36"/>
              </w:rPr>
              <w:t xml:space="preserve">Support data analytics </w:t>
            </w:r>
            <w:proofErr w:type="gramStart"/>
            <w:r w:rsidRPr="006F1566">
              <w:rPr>
                <w:rFonts w:asciiTheme="majorHAnsi" w:hAnsiTheme="majorHAnsi"/>
                <w:sz w:val="36"/>
                <w:szCs w:val="36"/>
              </w:rPr>
              <w:t>including on</w:t>
            </w:r>
            <w:proofErr w:type="gramEnd"/>
            <w:r w:rsidRPr="006F1566">
              <w:rPr>
                <w:rFonts w:asciiTheme="majorHAnsi" w:hAnsiTheme="majorHAnsi"/>
                <w:sz w:val="36"/>
                <w:szCs w:val="36"/>
              </w:rPr>
              <w:t xml:space="preserve"> tracking pipeline and commitments, IRM outcomes, and communication of IFC’s portfolio, ratings trends and loss experience to inform new credit programs and of CIRs activities. </w:t>
            </w:r>
          </w:p>
          <w:p w14:paraId="14861950" w14:textId="77777777" w:rsidR="0005433D" w:rsidRPr="006F1566" w:rsidRDefault="0005433D" w:rsidP="0005433D">
            <w:pPr>
              <w:pStyle w:val="Default"/>
              <w:rPr>
                <w:rFonts w:asciiTheme="majorHAnsi" w:hAnsiTheme="majorHAnsi" w:cs="Calibri"/>
                <w:sz w:val="36"/>
                <w:szCs w:val="36"/>
              </w:rPr>
            </w:pPr>
            <w:r w:rsidRPr="006F1566">
              <w:rPr>
                <w:rFonts w:asciiTheme="majorHAnsi" w:hAnsiTheme="majorHAnsi" w:cs="Calibri"/>
                <w:sz w:val="36"/>
                <w:szCs w:val="36"/>
              </w:rPr>
              <w:t xml:space="preserve">• Support deployment of UCL/UCB and </w:t>
            </w:r>
            <w:proofErr w:type="gramStart"/>
            <w:r w:rsidRPr="006F1566">
              <w:rPr>
                <w:rFonts w:asciiTheme="majorHAnsi" w:hAnsiTheme="majorHAnsi" w:cs="Calibri"/>
                <w:sz w:val="36"/>
                <w:szCs w:val="36"/>
              </w:rPr>
              <w:t>SPD;</w:t>
            </w:r>
            <w:proofErr w:type="gramEnd"/>
            <w:r w:rsidRPr="006F1566">
              <w:rPr>
                <w:rFonts w:asciiTheme="majorHAnsi" w:hAnsiTheme="majorHAnsi" w:cs="Calibri"/>
                <w:sz w:val="36"/>
                <w:szCs w:val="36"/>
              </w:rPr>
              <w:t xml:space="preserve"> </w:t>
            </w:r>
          </w:p>
          <w:p w14:paraId="4B875C65"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sz w:val="36"/>
                <w:szCs w:val="36"/>
              </w:rPr>
              <w:t xml:space="preserve">• Support the RCRO and CCOs in discussions regarding the Country and Industry Strategy, Private Sector Diagnostics and Creating Market Initiatives. </w:t>
            </w:r>
          </w:p>
          <w:p w14:paraId="22F07904" w14:textId="77777777" w:rsidR="0005433D" w:rsidRPr="006F1566" w:rsidRDefault="0005433D" w:rsidP="0005433D">
            <w:pPr>
              <w:pStyle w:val="Default"/>
              <w:rPr>
                <w:rFonts w:asciiTheme="majorHAnsi" w:hAnsiTheme="majorHAnsi"/>
                <w:sz w:val="36"/>
                <w:szCs w:val="36"/>
              </w:rPr>
            </w:pPr>
          </w:p>
          <w:p w14:paraId="7E5F5E9F"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b/>
                <w:bCs/>
                <w:sz w:val="36"/>
                <w:szCs w:val="36"/>
              </w:rPr>
              <w:t xml:space="preserve">Reporting Lines </w:t>
            </w:r>
          </w:p>
          <w:p w14:paraId="2BBE079A"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sz w:val="36"/>
                <w:szCs w:val="36"/>
              </w:rPr>
              <w:t xml:space="preserve">CRO will be a member of the CIR team and will participate in all departmental activities. She/he will have a Primary Supervisor and </w:t>
            </w:r>
            <w:proofErr w:type="gramStart"/>
            <w:r w:rsidRPr="006F1566">
              <w:rPr>
                <w:rFonts w:asciiTheme="majorHAnsi" w:hAnsiTheme="majorHAnsi"/>
                <w:sz w:val="36"/>
                <w:szCs w:val="36"/>
              </w:rPr>
              <w:t>a RCRO</w:t>
            </w:r>
            <w:proofErr w:type="gramEnd"/>
            <w:r w:rsidRPr="006F1566">
              <w:rPr>
                <w:rFonts w:asciiTheme="majorHAnsi" w:hAnsiTheme="majorHAnsi"/>
                <w:sz w:val="36"/>
                <w:szCs w:val="36"/>
              </w:rPr>
              <w:t xml:space="preserve"> for reporting. The Primary Supervisor and the RCRO will provide overall guidance and oversight and manage her/his work program. In addition, the CRO will work with CCOs across the department in order to get as broad </w:t>
            </w:r>
            <w:proofErr w:type="gramStart"/>
            <w:r w:rsidRPr="006F1566">
              <w:rPr>
                <w:rFonts w:asciiTheme="majorHAnsi" w:hAnsiTheme="majorHAnsi"/>
                <w:sz w:val="36"/>
                <w:szCs w:val="36"/>
              </w:rPr>
              <w:t>an</w:t>
            </w:r>
            <w:proofErr w:type="gramEnd"/>
            <w:r w:rsidRPr="006F1566">
              <w:rPr>
                <w:rFonts w:asciiTheme="majorHAnsi" w:hAnsiTheme="majorHAnsi"/>
                <w:sz w:val="36"/>
                <w:szCs w:val="36"/>
              </w:rPr>
              <w:t xml:space="preserve"> experience across sectors and regions as is possible. </w:t>
            </w:r>
          </w:p>
          <w:p w14:paraId="343672F1" w14:textId="77777777" w:rsidR="0005433D" w:rsidRDefault="0005433D" w:rsidP="0005433D">
            <w:pPr>
              <w:pStyle w:val="Default"/>
              <w:rPr>
                <w:rFonts w:asciiTheme="majorHAnsi" w:hAnsiTheme="majorHAnsi"/>
                <w:b/>
                <w:bCs/>
                <w:sz w:val="36"/>
                <w:szCs w:val="36"/>
              </w:rPr>
            </w:pPr>
            <w:r w:rsidRPr="006F1566">
              <w:rPr>
                <w:rFonts w:asciiTheme="majorHAnsi" w:hAnsiTheme="majorHAnsi"/>
                <w:b/>
                <w:bCs/>
                <w:sz w:val="36"/>
                <w:szCs w:val="36"/>
              </w:rPr>
              <w:t xml:space="preserve">Selection Criteria </w:t>
            </w:r>
          </w:p>
          <w:p w14:paraId="27E452C8" w14:textId="62A2A31E" w:rsidR="0005433D" w:rsidRPr="006F1566" w:rsidRDefault="0005433D" w:rsidP="0005433D">
            <w:pPr>
              <w:pStyle w:val="Default"/>
              <w:rPr>
                <w:rFonts w:asciiTheme="majorHAnsi" w:hAnsiTheme="majorHAnsi"/>
                <w:sz w:val="36"/>
                <w:szCs w:val="36"/>
              </w:rPr>
            </w:pPr>
            <w:r w:rsidRPr="006F1566">
              <w:rPr>
                <w:rFonts w:asciiTheme="majorHAnsi" w:hAnsiTheme="majorHAnsi"/>
                <w:sz w:val="36"/>
                <w:szCs w:val="36"/>
              </w:rPr>
              <w:t xml:space="preserve">• Investment/risk professionals, with a </w:t>
            </w:r>
            <w:proofErr w:type="gramStart"/>
            <w:r w:rsidRPr="006F1566">
              <w:rPr>
                <w:rFonts w:asciiTheme="majorHAnsi" w:hAnsiTheme="majorHAnsi"/>
                <w:sz w:val="36"/>
                <w:szCs w:val="36"/>
              </w:rPr>
              <w:t>minimum</w:t>
            </w:r>
            <w:proofErr w:type="gramEnd"/>
            <w:r w:rsidRPr="006F1566">
              <w:rPr>
                <w:rFonts w:asciiTheme="majorHAnsi" w:hAnsiTheme="majorHAnsi"/>
                <w:sz w:val="36"/>
                <w:szCs w:val="36"/>
              </w:rPr>
              <w:t xml:space="preserve"> 5 years of experience in c</w:t>
            </w:r>
            <w:r w:rsidR="00AF3489">
              <w:rPr>
                <w:rFonts w:asciiTheme="majorHAnsi" w:hAnsiTheme="majorHAnsi"/>
                <w:sz w:val="36"/>
                <w:szCs w:val="36"/>
              </w:rPr>
              <w:t>redit risk management</w:t>
            </w:r>
            <w:r w:rsidRPr="006F1566">
              <w:rPr>
                <w:rFonts w:asciiTheme="majorHAnsi" w:hAnsiTheme="majorHAnsi"/>
                <w:sz w:val="36"/>
                <w:szCs w:val="36"/>
              </w:rPr>
              <w:t xml:space="preserve"> </w:t>
            </w:r>
            <w:r w:rsidR="00AF3489">
              <w:rPr>
                <w:rFonts w:asciiTheme="majorHAnsi" w:hAnsiTheme="majorHAnsi"/>
                <w:sz w:val="36"/>
                <w:szCs w:val="36"/>
              </w:rPr>
              <w:t>i</w:t>
            </w:r>
            <w:r w:rsidRPr="006F1566">
              <w:rPr>
                <w:rFonts w:asciiTheme="majorHAnsi" w:hAnsiTheme="majorHAnsi"/>
                <w:sz w:val="36"/>
                <w:szCs w:val="36"/>
              </w:rPr>
              <w:t>nvestments (corporate finance, project finance, equity, commercial</w:t>
            </w:r>
            <w:r w:rsidR="0037204C">
              <w:rPr>
                <w:rFonts w:asciiTheme="majorHAnsi" w:hAnsiTheme="majorHAnsi"/>
                <w:sz w:val="36"/>
                <w:szCs w:val="36"/>
              </w:rPr>
              <w:t xml:space="preserve"> </w:t>
            </w:r>
            <w:r w:rsidRPr="006F1566">
              <w:rPr>
                <w:rFonts w:asciiTheme="majorHAnsi" w:hAnsiTheme="majorHAnsi"/>
                <w:sz w:val="36"/>
                <w:szCs w:val="36"/>
              </w:rPr>
              <w:t xml:space="preserve">banking, </w:t>
            </w:r>
            <w:r w:rsidR="0037204C">
              <w:rPr>
                <w:rFonts w:asciiTheme="majorHAnsi" w:hAnsiTheme="majorHAnsi"/>
                <w:sz w:val="36"/>
                <w:szCs w:val="36"/>
              </w:rPr>
              <w:t xml:space="preserve">investment banking </w:t>
            </w:r>
            <w:r w:rsidRPr="006F1566">
              <w:rPr>
                <w:rFonts w:asciiTheme="majorHAnsi" w:hAnsiTheme="majorHAnsi"/>
                <w:sz w:val="36"/>
                <w:szCs w:val="36"/>
              </w:rPr>
              <w:t xml:space="preserve">transaction advisory services, private equity, asset management, management and assessment and committed and passionate about IFC’s m experience in credit risk management as well as exposure to multiple subsectors and all </w:t>
            </w:r>
            <w:proofErr w:type="spellStart"/>
            <w:r w:rsidRPr="006F1566">
              <w:rPr>
                <w:rFonts w:asciiTheme="majorHAnsi" w:hAnsiTheme="majorHAnsi"/>
                <w:sz w:val="36"/>
                <w:szCs w:val="36"/>
              </w:rPr>
              <w:t>produ</w:t>
            </w:r>
            <w:proofErr w:type="spellEnd"/>
            <w:r w:rsidRPr="006F1566">
              <w:rPr>
                <w:rFonts w:asciiTheme="majorHAnsi" w:hAnsiTheme="majorHAnsi"/>
                <w:sz w:val="36"/>
                <w:szCs w:val="36"/>
              </w:rPr>
              <w:t xml:space="preserve"> distinct </w:t>
            </w:r>
            <w:proofErr w:type="gramStart"/>
            <w:r w:rsidRPr="006F1566">
              <w:rPr>
                <w:rFonts w:asciiTheme="majorHAnsi" w:hAnsiTheme="majorHAnsi"/>
                <w:sz w:val="36"/>
                <w:szCs w:val="36"/>
              </w:rPr>
              <w:t>advantage</w:t>
            </w:r>
            <w:proofErr w:type="gramEnd"/>
            <w:r w:rsidRPr="006F1566">
              <w:rPr>
                <w:rFonts w:asciiTheme="majorHAnsi" w:hAnsiTheme="majorHAnsi"/>
                <w:sz w:val="36"/>
                <w:szCs w:val="36"/>
              </w:rPr>
              <w:t xml:space="preserve">. </w:t>
            </w:r>
          </w:p>
          <w:p w14:paraId="7D488437"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sz w:val="36"/>
                <w:szCs w:val="36"/>
              </w:rPr>
              <w:lastRenderedPageBreak/>
              <w:t xml:space="preserve">• The professional must be team-oriented, able to juggle multiple tasks, and comfortably work and deliver high-quality results under tight deadlines in a multi-cultural work environment. Travel may be expected. Selected candidates will be invited for an interview. </w:t>
            </w:r>
          </w:p>
          <w:p w14:paraId="62052FB5"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sz w:val="36"/>
                <w:szCs w:val="36"/>
              </w:rPr>
              <w:t xml:space="preserve">• Excellent numeric and analytical skills and good communication skills both written and </w:t>
            </w:r>
            <w:proofErr w:type="gramStart"/>
            <w:r w:rsidRPr="006F1566">
              <w:rPr>
                <w:rFonts w:asciiTheme="majorHAnsi" w:hAnsiTheme="majorHAnsi"/>
                <w:sz w:val="36"/>
                <w:szCs w:val="36"/>
              </w:rPr>
              <w:t>verbal;</w:t>
            </w:r>
            <w:proofErr w:type="gramEnd"/>
            <w:r w:rsidRPr="006F1566">
              <w:rPr>
                <w:rFonts w:asciiTheme="majorHAnsi" w:hAnsiTheme="majorHAnsi"/>
                <w:sz w:val="36"/>
                <w:szCs w:val="36"/>
              </w:rPr>
              <w:t xml:space="preserve"> </w:t>
            </w:r>
          </w:p>
          <w:p w14:paraId="7C042B29"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sz w:val="36"/>
                <w:szCs w:val="36"/>
              </w:rPr>
              <w:t xml:space="preserve">• Strong analytical skills and knowledge of IFC investment </w:t>
            </w:r>
            <w:proofErr w:type="gramStart"/>
            <w:r w:rsidRPr="006F1566">
              <w:rPr>
                <w:rFonts w:asciiTheme="majorHAnsi" w:hAnsiTheme="majorHAnsi"/>
                <w:sz w:val="36"/>
                <w:szCs w:val="36"/>
              </w:rPr>
              <w:t>products;</w:t>
            </w:r>
            <w:proofErr w:type="gramEnd"/>
            <w:r w:rsidRPr="006F1566">
              <w:rPr>
                <w:rFonts w:asciiTheme="majorHAnsi" w:hAnsiTheme="majorHAnsi"/>
                <w:sz w:val="36"/>
                <w:szCs w:val="36"/>
              </w:rPr>
              <w:t xml:space="preserve"> </w:t>
            </w:r>
          </w:p>
          <w:p w14:paraId="46F8C020"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sz w:val="36"/>
                <w:szCs w:val="36"/>
              </w:rPr>
              <w:t xml:space="preserve">• Excellent analytical and problem-solving ability, with an eye for </w:t>
            </w:r>
            <w:proofErr w:type="gramStart"/>
            <w:r w:rsidRPr="006F1566">
              <w:rPr>
                <w:rFonts w:asciiTheme="majorHAnsi" w:hAnsiTheme="majorHAnsi"/>
                <w:sz w:val="36"/>
                <w:szCs w:val="36"/>
              </w:rPr>
              <w:t>detail;</w:t>
            </w:r>
            <w:proofErr w:type="gramEnd"/>
            <w:r w:rsidRPr="006F1566">
              <w:rPr>
                <w:rFonts w:asciiTheme="majorHAnsi" w:hAnsiTheme="majorHAnsi"/>
                <w:sz w:val="36"/>
                <w:szCs w:val="36"/>
              </w:rPr>
              <w:t xml:space="preserve"> </w:t>
            </w:r>
          </w:p>
          <w:p w14:paraId="4FEF6BC2"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sz w:val="36"/>
                <w:szCs w:val="36"/>
              </w:rPr>
              <w:t xml:space="preserve">• Ability to build good relationships with </w:t>
            </w:r>
            <w:proofErr w:type="gramStart"/>
            <w:r w:rsidRPr="006F1566">
              <w:rPr>
                <w:rFonts w:asciiTheme="majorHAnsi" w:hAnsiTheme="majorHAnsi"/>
                <w:sz w:val="36"/>
                <w:szCs w:val="36"/>
              </w:rPr>
              <w:t>stakeholders;</w:t>
            </w:r>
            <w:proofErr w:type="gramEnd"/>
            <w:r w:rsidRPr="006F1566">
              <w:rPr>
                <w:rFonts w:asciiTheme="majorHAnsi" w:hAnsiTheme="majorHAnsi"/>
                <w:sz w:val="36"/>
                <w:szCs w:val="36"/>
              </w:rPr>
              <w:t xml:space="preserve"> </w:t>
            </w:r>
          </w:p>
          <w:p w14:paraId="2F05CD0A"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sz w:val="36"/>
                <w:szCs w:val="36"/>
              </w:rPr>
              <w:t xml:space="preserve">• Preferable the candidate has </w:t>
            </w:r>
            <w:proofErr w:type="gramStart"/>
            <w:r w:rsidRPr="006F1566">
              <w:rPr>
                <w:rFonts w:asciiTheme="majorHAnsi" w:hAnsiTheme="majorHAnsi"/>
                <w:sz w:val="36"/>
                <w:szCs w:val="36"/>
              </w:rPr>
              <w:t>Master’s Degree</w:t>
            </w:r>
            <w:proofErr w:type="gramEnd"/>
            <w:r w:rsidRPr="006F1566">
              <w:rPr>
                <w:rFonts w:asciiTheme="majorHAnsi" w:hAnsiTheme="majorHAnsi"/>
                <w:sz w:val="36"/>
                <w:szCs w:val="36"/>
              </w:rPr>
              <w:t xml:space="preserve"> in relevant area. Fluency in additional languages </w:t>
            </w:r>
            <w:proofErr w:type="gramStart"/>
            <w:r w:rsidRPr="006F1566">
              <w:rPr>
                <w:rFonts w:asciiTheme="majorHAnsi" w:hAnsiTheme="majorHAnsi"/>
                <w:sz w:val="36"/>
                <w:szCs w:val="36"/>
              </w:rPr>
              <w:t>are</w:t>
            </w:r>
            <w:proofErr w:type="gramEnd"/>
            <w:r w:rsidRPr="006F1566">
              <w:rPr>
                <w:rFonts w:asciiTheme="majorHAnsi" w:hAnsiTheme="majorHAnsi"/>
                <w:sz w:val="36"/>
                <w:szCs w:val="36"/>
              </w:rPr>
              <w:t xml:space="preserve"> also desirable. </w:t>
            </w:r>
          </w:p>
          <w:p w14:paraId="3F3FB00A" w14:textId="77777777" w:rsidR="0005433D" w:rsidRPr="006F1566" w:rsidRDefault="0005433D" w:rsidP="0005433D">
            <w:pPr>
              <w:pStyle w:val="Default"/>
              <w:rPr>
                <w:rFonts w:asciiTheme="majorHAnsi" w:hAnsiTheme="majorHAnsi"/>
                <w:sz w:val="36"/>
                <w:szCs w:val="36"/>
              </w:rPr>
            </w:pPr>
          </w:p>
          <w:p w14:paraId="22440D4B" w14:textId="37DC9F8E" w:rsidR="0005433D" w:rsidRPr="006F1566" w:rsidRDefault="0005433D" w:rsidP="0005433D">
            <w:pPr>
              <w:rPr>
                <w:rFonts w:asciiTheme="majorHAnsi" w:hAnsiTheme="majorHAnsi"/>
                <w:sz w:val="36"/>
                <w:szCs w:val="36"/>
              </w:rPr>
            </w:pPr>
          </w:p>
        </w:tc>
      </w:tr>
    </w:tbl>
    <w:p w14:paraId="478FCB9F" w14:textId="77777777" w:rsidR="0087180F" w:rsidRPr="006F1566" w:rsidRDefault="0087180F">
      <w:pPr>
        <w:rPr>
          <w:rFonts w:asciiTheme="majorHAnsi" w:hAnsiTheme="majorHAnsi"/>
          <w:sz w:val="36"/>
          <w:szCs w:val="36"/>
        </w:rPr>
      </w:pPr>
    </w:p>
    <w:sectPr w:rsidR="0087180F" w:rsidRPr="006F15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altName w:val="Verdana"/>
    <w:panose1 w:val="020B0604030504040204"/>
    <w:charset w:val="00"/>
    <w:family w:val="swiss"/>
    <w:pitch w:val="variable"/>
    <w:sig w:usb0="A00006FF" w:usb1="4000205B" w:usb2="00000010" w:usb3="00000000" w:csb0="0000019F" w:csb1="00000000"/>
  </w:font>
  <w:font w:name="Calibri">
    <w:altName w:val="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33D"/>
    <w:rsid w:val="0005433D"/>
    <w:rsid w:val="0016312B"/>
    <w:rsid w:val="00176EBC"/>
    <w:rsid w:val="001F07B1"/>
    <w:rsid w:val="0037204C"/>
    <w:rsid w:val="00470E96"/>
    <w:rsid w:val="004828E7"/>
    <w:rsid w:val="00522E44"/>
    <w:rsid w:val="006F1566"/>
    <w:rsid w:val="00730F31"/>
    <w:rsid w:val="00784D25"/>
    <w:rsid w:val="00865300"/>
    <w:rsid w:val="0087180F"/>
    <w:rsid w:val="00AF3489"/>
    <w:rsid w:val="00B5558F"/>
    <w:rsid w:val="00CB465E"/>
    <w:rsid w:val="00DB49D9"/>
    <w:rsid w:val="00F20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29D71"/>
  <w15:chartTrackingRefBased/>
  <w15:docId w15:val="{BA10E9D2-1A3D-4447-A5B9-C5061307D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43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43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43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43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43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43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43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43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43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3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43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43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43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43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43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3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3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33D"/>
    <w:rPr>
      <w:rFonts w:eastAsiaTheme="majorEastAsia" w:cstheme="majorBidi"/>
      <w:color w:val="272727" w:themeColor="text1" w:themeTint="D8"/>
    </w:rPr>
  </w:style>
  <w:style w:type="paragraph" w:styleId="Title">
    <w:name w:val="Title"/>
    <w:basedOn w:val="Normal"/>
    <w:next w:val="Normal"/>
    <w:link w:val="TitleChar"/>
    <w:uiPriority w:val="10"/>
    <w:qFormat/>
    <w:rsid w:val="000543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43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3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43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33D"/>
    <w:pPr>
      <w:spacing w:before="160"/>
      <w:jc w:val="center"/>
    </w:pPr>
    <w:rPr>
      <w:i/>
      <w:iCs/>
      <w:color w:val="404040" w:themeColor="text1" w:themeTint="BF"/>
    </w:rPr>
  </w:style>
  <w:style w:type="character" w:customStyle="1" w:styleId="QuoteChar">
    <w:name w:val="Quote Char"/>
    <w:basedOn w:val="DefaultParagraphFont"/>
    <w:link w:val="Quote"/>
    <w:uiPriority w:val="29"/>
    <w:rsid w:val="0005433D"/>
    <w:rPr>
      <w:i/>
      <w:iCs/>
      <w:color w:val="404040" w:themeColor="text1" w:themeTint="BF"/>
    </w:rPr>
  </w:style>
  <w:style w:type="paragraph" w:styleId="ListParagraph">
    <w:name w:val="List Paragraph"/>
    <w:basedOn w:val="Normal"/>
    <w:uiPriority w:val="34"/>
    <w:qFormat/>
    <w:rsid w:val="0005433D"/>
    <w:pPr>
      <w:ind w:left="720"/>
      <w:contextualSpacing/>
    </w:pPr>
  </w:style>
  <w:style w:type="character" w:styleId="IntenseEmphasis">
    <w:name w:val="Intense Emphasis"/>
    <w:basedOn w:val="DefaultParagraphFont"/>
    <w:uiPriority w:val="21"/>
    <w:qFormat/>
    <w:rsid w:val="0005433D"/>
    <w:rPr>
      <w:i/>
      <w:iCs/>
      <w:color w:val="0F4761" w:themeColor="accent1" w:themeShade="BF"/>
    </w:rPr>
  </w:style>
  <w:style w:type="paragraph" w:styleId="IntenseQuote">
    <w:name w:val="Intense Quote"/>
    <w:basedOn w:val="Normal"/>
    <w:next w:val="Normal"/>
    <w:link w:val="IntenseQuoteChar"/>
    <w:uiPriority w:val="30"/>
    <w:qFormat/>
    <w:rsid w:val="000543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433D"/>
    <w:rPr>
      <w:i/>
      <w:iCs/>
      <w:color w:val="0F4761" w:themeColor="accent1" w:themeShade="BF"/>
    </w:rPr>
  </w:style>
  <w:style w:type="character" w:styleId="IntenseReference">
    <w:name w:val="Intense Reference"/>
    <w:basedOn w:val="DefaultParagraphFont"/>
    <w:uiPriority w:val="32"/>
    <w:qFormat/>
    <w:rsid w:val="0005433D"/>
    <w:rPr>
      <w:b/>
      <w:bCs/>
      <w:smallCaps/>
      <w:color w:val="0F4761" w:themeColor="accent1" w:themeShade="BF"/>
      <w:spacing w:val="5"/>
    </w:rPr>
  </w:style>
  <w:style w:type="paragraph" w:customStyle="1" w:styleId="Default">
    <w:name w:val="Default"/>
    <w:rsid w:val="0005433D"/>
    <w:pPr>
      <w:autoSpaceDE w:val="0"/>
      <w:autoSpaceDN w:val="0"/>
      <w:adjustRightInd w:val="0"/>
      <w:spacing w:after="0" w:line="240" w:lineRule="auto"/>
    </w:pPr>
    <w:rPr>
      <w:rFonts w:ascii="Verdana" w:hAnsi="Verdana" w:cs="Verdana"/>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6616f-5bb4-45d1-b9c4-7a19bded0f1d}" enabled="1" method="Standard" siteId="{97be21fd-c601-4b16-9920-f5accc69da65}" removed="0"/>
</clbl:labelList>
</file>

<file path=docProps/app.xml><?xml version="1.0" encoding="utf-8"?>
<Properties xmlns="http://schemas.openxmlformats.org/officeDocument/2006/extended-properties" xmlns:vt="http://schemas.openxmlformats.org/officeDocument/2006/docPropsVTypes">
  <Template>Normal</Template>
  <TotalTime>1</TotalTime>
  <Pages>8</Pages>
  <Words>1455</Words>
  <Characters>8847</Characters>
  <Application>Microsoft Office Word</Application>
  <DocSecurity>0</DocSecurity>
  <Lines>205</Lines>
  <Paragraphs>79</Paragraphs>
  <ScaleCrop>false</ScaleCrop>
  <Company>Bloomberg Industry Group</Company>
  <LinksUpToDate>false</LinksUpToDate>
  <CharactersWithSpaces>10223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Cruz, Ricky</dc:creator>
  <cp:keywords/>
  <dc:description/>
  <cp:lastModifiedBy>Cruz, Ricky</cp:lastModifiedBy>
  <cp:revision>2</cp:revision>
  <dcterms:created xsi:type="dcterms:W3CDTF">2025-05-27T18:39:00Z</dcterms:created>
  <dcterms:modified xsi:type="dcterms:W3CDTF">2025-05-27T18:39:00Z</dcterms:modified>
</cp:coreProperties>
</file>