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17F2" w14:textId="77777777" w:rsidR="00A97205" w:rsidRDefault="00A97205" w:rsidP="00A97205">
      <w:r>
        <w:t>&lt;</w:t>
      </w:r>
      <w:proofErr w:type="spellStart"/>
      <w:proofErr w:type="gramStart"/>
      <w:r>
        <w:t>pdm.module</w:t>
      </w:r>
      <w:proofErr w:type="spellEnd"/>
      <w:proofErr w:type="gramEnd"/>
      <w:r>
        <w:t>&gt;</w:t>
      </w:r>
    </w:p>
    <w:p w14:paraId="5D0E55AF" w14:textId="77777777" w:rsidR="00A97205" w:rsidRDefault="00A97205" w:rsidP="00A97205">
      <w:r>
        <w:t xml:space="preserve">  &lt;table </w:t>
      </w:r>
      <w:proofErr w:type="spellStart"/>
      <w:r>
        <w:t>pgwide</w:t>
      </w:r>
      <w:proofErr w:type="spellEnd"/>
      <w:r>
        <w:t>="1" frame="all" id="4e432c6054d84204bdb4424080f4410e"&gt;</w:t>
      </w:r>
    </w:p>
    <w:p w14:paraId="09FA1250" w14:textId="77777777" w:rsidR="00A97205" w:rsidRDefault="00A97205" w:rsidP="00A97205">
      <w:r>
        <w:t xml:space="preserve">    &lt;</w:t>
      </w:r>
      <w:proofErr w:type="spellStart"/>
      <w:r>
        <w:t>tgroup</w:t>
      </w:r>
      <w:proofErr w:type="spellEnd"/>
      <w:r>
        <w:t xml:space="preserve"> cols="1" </w:t>
      </w:r>
      <w:proofErr w:type="spellStart"/>
      <w:r>
        <w:t>rowsep</w:t>
      </w:r>
      <w:proofErr w:type="spellEnd"/>
      <w:r>
        <w:t>="1"&gt;</w:t>
      </w:r>
    </w:p>
    <w:p w14:paraId="599D4494" w14:textId="77777777" w:rsidR="00A97205" w:rsidRDefault="00A97205" w:rsidP="00A97205">
      <w:r>
        <w:t xml:space="preserve">      &lt;</w:t>
      </w:r>
      <w:proofErr w:type="spellStart"/>
      <w:r>
        <w:t>colspec</w:t>
      </w:r>
      <w:proofErr w:type="spellEnd"/>
      <w:r>
        <w:t xml:space="preserve"> </w:t>
      </w:r>
      <w:proofErr w:type="spellStart"/>
      <w:r>
        <w:t>colnum</w:t>
      </w:r>
      <w:proofErr w:type="spellEnd"/>
      <w:r>
        <w:t xml:space="preserve">="1" </w:t>
      </w:r>
      <w:proofErr w:type="spellStart"/>
      <w:r>
        <w:t>colname</w:t>
      </w:r>
      <w:proofErr w:type="spellEnd"/>
      <w:r>
        <w:t xml:space="preserve">="col1" align="left" </w:t>
      </w:r>
      <w:proofErr w:type="spellStart"/>
      <w:r>
        <w:t>colwidth</w:t>
      </w:r>
      <w:proofErr w:type="spellEnd"/>
      <w:r>
        <w:t xml:space="preserve">="10548*" </w:t>
      </w:r>
      <w:proofErr w:type="spellStart"/>
      <w:r>
        <w:t>typesize</w:t>
      </w:r>
      <w:proofErr w:type="spellEnd"/>
      <w:r>
        <w:t xml:space="preserve">="11" </w:t>
      </w:r>
      <w:proofErr w:type="spellStart"/>
      <w:r>
        <w:t>colsep</w:t>
      </w:r>
      <w:proofErr w:type="spellEnd"/>
      <w:r>
        <w:t>="0"/&gt;</w:t>
      </w:r>
    </w:p>
    <w:p w14:paraId="015CC07B" w14:textId="77777777" w:rsidR="00A97205" w:rsidRDefault="00A97205" w:rsidP="00A97205">
      <w:r>
        <w:t xml:space="preserve">      &lt;</w:t>
      </w:r>
      <w:proofErr w:type="spellStart"/>
      <w:r>
        <w:t>tbody</w:t>
      </w:r>
      <w:proofErr w:type="spellEnd"/>
      <w:r>
        <w:t>&gt;</w:t>
      </w:r>
    </w:p>
    <w:p w14:paraId="5E50D293" w14:textId="77777777" w:rsidR="00A97205" w:rsidRDefault="00A97205" w:rsidP="00A97205">
      <w:r>
        <w:t xml:space="preserve">        &lt;row id="08fcf3ef13af4a84bd4c54b96bc97296"&gt;</w:t>
      </w:r>
    </w:p>
    <w:p w14:paraId="5DAB2B77" w14:textId="77777777" w:rsidR="00A97205" w:rsidRDefault="00A97205" w:rsidP="00A97205">
      <w:r>
        <w:t xml:space="preserve">          &lt;entry align="center"&gt;</w:t>
      </w:r>
    </w:p>
    <w:p w14:paraId="0AAF6646" w14:textId="77777777" w:rsidR="00A97205" w:rsidRDefault="00A97205" w:rsidP="00A97205">
      <w:r>
        <w:t xml:space="preserve">&lt;p </w:t>
      </w:r>
      <w:proofErr w:type="gramStart"/>
      <w:r>
        <w:t>justify</w:t>
      </w:r>
      <w:proofErr w:type="gramEnd"/>
      <w:r>
        <w:t>="c" id="98bfce40d0134968aaa6bf6a52577f53"&gt;&lt;</w:t>
      </w:r>
      <w:proofErr w:type="spellStart"/>
      <w:proofErr w:type="gramStart"/>
      <w:r>
        <w:t>bb.bookmark</w:t>
      </w:r>
      <w:proofErr w:type="spellEnd"/>
      <w:proofErr w:type="gramEnd"/>
      <w:r>
        <w:t xml:space="preserve"> name="Jersey"/&gt;&lt;</w:t>
      </w:r>
      <w:proofErr w:type="spellStart"/>
      <w:r>
        <w:t>emph</w:t>
      </w:r>
      <w:proofErr w:type="spellEnd"/>
      <w:r>
        <w:t xml:space="preserve"> face="b"&gt;Jersey&lt;/</w:t>
      </w:r>
      <w:proofErr w:type="spellStart"/>
      <w:r>
        <w:t>emph</w:t>
      </w:r>
      <w:proofErr w:type="spellEnd"/>
      <w:r>
        <w:t>&gt; &lt;/p&gt;</w:t>
      </w:r>
    </w:p>
    <w:p w14:paraId="05F35071" w14:textId="77777777" w:rsidR="00A97205" w:rsidRDefault="00A97205" w:rsidP="00A97205">
      <w:r>
        <w:t>&lt;/entry&gt;</w:t>
      </w:r>
    </w:p>
    <w:p w14:paraId="6261BDB0" w14:textId="77777777" w:rsidR="00A97205" w:rsidRDefault="00A97205" w:rsidP="00A97205">
      <w:r>
        <w:t xml:space="preserve">        &lt;/row&gt;</w:t>
      </w:r>
    </w:p>
    <w:p w14:paraId="5AB70372" w14:textId="77777777" w:rsidR="00A97205" w:rsidRDefault="00A97205" w:rsidP="00A97205">
      <w:r>
        <w:t xml:space="preserve">        &lt;row id="cfa04fe3b98b4a96a4ce4c8d7a607434"&gt;</w:t>
      </w:r>
    </w:p>
    <w:p w14:paraId="3A0C0594" w14:textId="77777777" w:rsidR="00A97205" w:rsidRDefault="00A97205" w:rsidP="00A97205">
      <w:r>
        <w:t xml:space="preserve">          &lt;entry align="center"&gt;</w:t>
      </w:r>
    </w:p>
    <w:p w14:paraId="7A3EDE72" w14:textId="77777777" w:rsidR="00A97205" w:rsidRDefault="00A97205" w:rsidP="00A97205">
      <w:r>
        <w:t xml:space="preserve">&lt;p </w:t>
      </w:r>
      <w:proofErr w:type="gramStart"/>
      <w:r>
        <w:t>justify</w:t>
      </w:r>
      <w:proofErr w:type="gramEnd"/>
      <w:r>
        <w:t>="c" id="b7d85166c94346508b4f50664399282e"&gt;&lt;</w:t>
      </w:r>
      <w:proofErr w:type="spellStart"/>
      <w:r>
        <w:t>emph</w:t>
      </w:r>
      <w:proofErr w:type="spellEnd"/>
      <w:r>
        <w:t xml:space="preserve"> face="b"&gt;Country-by-Country Report&lt;/</w:t>
      </w:r>
      <w:proofErr w:type="spellStart"/>
      <w:r>
        <w:t>emph</w:t>
      </w:r>
      <w:proofErr w:type="spellEnd"/>
      <w:r>
        <w:t>&gt;&lt;/p&gt;</w:t>
      </w:r>
    </w:p>
    <w:p w14:paraId="58E8B9E4" w14:textId="77777777" w:rsidR="00A97205" w:rsidRDefault="00A97205" w:rsidP="00A97205">
      <w:r>
        <w:t>&lt;/entry&gt;</w:t>
      </w:r>
    </w:p>
    <w:p w14:paraId="7330510B" w14:textId="77777777" w:rsidR="00A97205" w:rsidRDefault="00A97205" w:rsidP="00A97205">
      <w:r>
        <w:t xml:space="preserve">        &lt;/row&gt;</w:t>
      </w:r>
    </w:p>
    <w:p w14:paraId="1FA1FE72" w14:textId="77777777" w:rsidR="00A97205" w:rsidRDefault="00A97205" w:rsidP="00A97205">
      <w:r>
        <w:t xml:space="preserve">        &lt;row id="d150888697f64023ad0c5183de689141"&gt;</w:t>
      </w:r>
    </w:p>
    <w:p w14:paraId="24AB212D" w14:textId="77777777" w:rsidR="00A97205" w:rsidRDefault="00A97205" w:rsidP="00A97205">
      <w:r>
        <w:t xml:space="preserve">          &lt;entry&gt;</w:t>
      </w:r>
    </w:p>
    <w:p w14:paraId="542472F2" w14:textId="77777777" w:rsidR="00A97205" w:rsidRDefault="00A97205" w:rsidP="00A97205">
      <w:r>
        <w:t xml:space="preserve">            &lt;p id="9e6fb6ec4a68452d9dffa4c149a99af0"&gt;&lt;</w:t>
      </w:r>
      <w:proofErr w:type="spellStart"/>
      <w:r>
        <w:t>emph</w:t>
      </w:r>
      <w:proofErr w:type="spellEnd"/>
      <w:r>
        <w:t xml:space="preserve"> face="bi"&gt;Effective Date:&lt;/</w:t>
      </w:r>
      <w:proofErr w:type="spellStart"/>
      <w:r>
        <w:t>emph</w:t>
      </w:r>
      <w:proofErr w:type="spellEnd"/>
      <w:r>
        <w:t>&gt; For accounting periods beginning on or after January 1, 2016.&lt;/p&gt;&lt;p id="0ac88882012448bc814ad991808f355d"&gt;&lt;</w:t>
      </w:r>
      <w:proofErr w:type="spellStart"/>
      <w:r>
        <w:t>emph</w:t>
      </w:r>
      <w:proofErr w:type="spellEnd"/>
      <w:r>
        <w:t xml:space="preserve"> face="bi"&gt;Filing Threshold:&lt;/</w:t>
      </w:r>
      <w:proofErr w:type="spellStart"/>
      <w:r>
        <w:t>emph</w:t>
      </w:r>
      <w:proofErr w:type="spellEnd"/>
      <w:r>
        <w:t>&gt; MNEs with annual consolidated group revenue equal to or exceeding €750 million in the previous 12 month accounting period.&lt;/p&gt;&lt;p id="c48eed19d4754213a2acfc36e63bda68"&gt;&lt;</w:t>
      </w:r>
      <w:proofErr w:type="spellStart"/>
      <w:r>
        <w:t>emph</w:t>
      </w:r>
      <w:proofErr w:type="spellEnd"/>
      <w:r>
        <w:t xml:space="preserve"> face="bi"&gt;Local Filing:&lt;/</w:t>
      </w:r>
      <w:proofErr w:type="spellStart"/>
      <w:r>
        <w:t>emph</w:t>
      </w:r>
      <w:proofErr w:type="spellEnd"/>
      <w:r>
        <w:t xml:space="preserve">&gt; A Jersey resident entity that is not the ultimate parent entity of the MNE group may be required to file the </w:t>
      </w:r>
      <w:proofErr w:type="spellStart"/>
      <w:r>
        <w:t>CbC</w:t>
      </w:r>
      <w:proofErr w:type="spellEnd"/>
      <w:r>
        <w:t xml:space="preserve"> report directly with the Jersey tax authorities if certain conditions are met.&lt;/p&gt;&lt;p id="88547a525efd411eae84ad945a78f20a"&gt;&lt;</w:t>
      </w:r>
      <w:proofErr w:type="spellStart"/>
      <w:r>
        <w:t>emph</w:t>
      </w:r>
      <w:proofErr w:type="spellEnd"/>
      <w:r>
        <w:t xml:space="preserve"> face="bi"&gt;Information Reported:&lt;/</w:t>
      </w:r>
      <w:proofErr w:type="spellStart"/>
      <w:r>
        <w:t>emph</w:t>
      </w:r>
      <w:proofErr w:type="spellEnd"/>
      <w:r>
        <w:t xml:space="preserve">&gt; Consistent with OECD guidance.&lt;/p&gt;&lt;p </w:t>
      </w:r>
      <w:r>
        <w:lastRenderedPageBreak/>
        <w:t>id="56089c29d41849e096581bc86decea70"&gt;&lt;</w:t>
      </w:r>
      <w:proofErr w:type="spellStart"/>
      <w:r>
        <w:t>emph</w:t>
      </w:r>
      <w:proofErr w:type="spellEnd"/>
      <w:r>
        <w:t xml:space="preserve"> face="bi"&gt;Forms/Filing Instructions:&lt;/</w:t>
      </w:r>
      <w:proofErr w:type="spellStart"/>
      <w:r>
        <w:t>emph</w:t>
      </w:r>
      <w:proofErr w:type="spellEnd"/>
      <w:r>
        <w:t>&gt;&lt;</w:t>
      </w:r>
      <w:proofErr w:type="spellStart"/>
      <w:r>
        <w:t>source.list.item</w:t>
      </w:r>
      <w:proofErr w:type="spellEnd"/>
      <w:r>
        <w:t xml:space="preserve"> level="2"&gt; - </w:t>
      </w:r>
      <w:proofErr w:type="spellStart"/>
      <w:r>
        <w:t>CbC</w:t>
      </w:r>
      <w:proofErr w:type="spellEnd"/>
      <w:r>
        <w:t xml:space="preserve"> Notification of Reporting Entity: submitted via the Jersey AEOI portal.&lt;/</w:t>
      </w:r>
      <w:proofErr w:type="spellStart"/>
      <w:r>
        <w:t>source.list.item</w:t>
      </w:r>
      <w:proofErr w:type="spellEnd"/>
      <w:r>
        <w:t>&gt;&lt;</w:t>
      </w:r>
      <w:proofErr w:type="spellStart"/>
      <w:r>
        <w:t>source.list.item</w:t>
      </w:r>
      <w:proofErr w:type="spellEnd"/>
      <w:r>
        <w:t xml:space="preserve"> level="2"&gt; - </w:t>
      </w:r>
      <w:proofErr w:type="spellStart"/>
      <w:r>
        <w:t>CbC</w:t>
      </w:r>
      <w:proofErr w:type="spellEnd"/>
      <w:r>
        <w:t xml:space="preserve"> Report: submitted via the Jersey AEOI portal.&lt;/</w:t>
      </w:r>
      <w:proofErr w:type="spellStart"/>
      <w:r>
        <w:t>source.list.item</w:t>
      </w:r>
      <w:proofErr w:type="spellEnd"/>
      <w:r>
        <w:t>&gt;&lt;/p&gt;&lt;p id="2a52828cc833412b8cd937d352986387"&gt;&lt;</w:t>
      </w:r>
      <w:proofErr w:type="spellStart"/>
      <w:r>
        <w:t>emph</w:t>
      </w:r>
      <w:proofErr w:type="spellEnd"/>
      <w:r>
        <w:t xml:space="preserve"> face="bi"&gt;Deadline for Filing Notification of Reporting Entity:&lt;/</w:t>
      </w:r>
      <w:proofErr w:type="spellStart"/>
      <w:r>
        <w:t>emph</w:t>
      </w:r>
      <w:proofErr w:type="spellEnd"/>
      <w:r>
        <w:t>&gt; By the end of the relevant accounting period.&lt;/p&gt;&lt;p id="4c868b6fe1dc47ebbb09ca3639dbd3af"&gt;&lt;</w:t>
      </w:r>
      <w:proofErr w:type="spellStart"/>
      <w:r>
        <w:t>emph</w:t>
      </w:r>
      <w:proofErr w:type="spellEnd"/>
      <w:r>
        <w:t xml:space="preserve"> face="bi"&gt;Deadline for Filing </w:t>
      </w:r>
      <w:proofErr w:type="spellStart"/>
      <w:r>
        <w:t>CbC</w:t>
      </w:r>
      <w:proofErr w:type="spellEnd"/>
      <w:r>
        <w:t xml:space="preserve"> Report:&lt;/</w:t>
      </w:r>
      <w:proofErr w:type="spellStart"/>
      <w:r>
        <w:t>emph</w:t>
      </w:r>
      <w:proofErr w:type="spellEnd"/>
      <w:r>
        <w:t>&gt; Within 12 months after the end of the relevant accounting period.&lt;/p&gt;&lt;p id="be979148a82445cf94ce3dec855e7230"&gt;&lt;</w:t>
      </w:r>
      <w:proofErr w:type="spellStart"/>
      <w:r>
        <w:t>emph</w:t>
      </w:r>
      <w:proofErr w:type="spellEnd"/>
      <w:r>
        <w:t xml:space="preserve"> face="bi"&gt;Penalties:&lt;/</w:t>
      </w:r>
      <w:proofErr w:type="spellStart"/>
      <w:r>
        <w:t>emph</w:t>
      </w:r>
      <w:proofErr w:type="spellEnd"/>
      <w:r>
        <w:t xml:space="preserve">&gt; A penalty of £300 may apply for failure to comply with obligation under the </w:t>
      </w:r>
      <w:proofErr w:type="spellStart"/>
      <w:r>
        <w:t>CbC</w:t>
      </w:r>
      <w:proofErr w:type="spellEnd"/>
      <w:r>
        <w:t xml:space="preserve"> regulations (additional daily default penalties may apply if the non-compliance continues). Additional penalties up to £3,000 may apply for deliberately providing inaccurate information.&lt;/p&gt;&lt;p id="52e1de4ae5604d1995b67e27ec1a25b9"&gt;&lt;</w:t>
      </w:r>
      <w:proofErr w:type="spellStart"/>
      <w:r>
        <w:t>emph</w:t>
      </w:r>
      <w:proofErr w:type="spellEnd"/>
      <w:r>
        <w:t xml:space="preserve"> face="bi"&gt;Exchange of Information&lt;/</w:t>
      </w:r>
      <w:proofErr w:type="spellStart"/>
      <w:r>
        <w:t>emph</w:t>
      </w:r>
      <w:proofErr w:type="spellEnd"/>
      <w:r>
        <w:t>&gt;&lt;</w:t>
      </w:r>
      <w:proofErr w:type="spellStart"/>
      <w:r>
        <w:t>source.list.item</w:t>
      </w:r>
      <w:proofErr w:type="spellEnd"/>
      <w:r>
        <w:t xml:space="preserve"> level="2"&gt;— MCAA </w:t>
      </w:r>
      <w:proofErr w:type="spellStart"/>
      <w:r>
        <w:t>CbC</w:t>
      </w:r>
      <w:proofErr w:type="spellEnd"/>
      <w:r>
        <w:t>: signed.&lt;/</w:t>
      </w:r>
      <w:proofErr w:type="spellStart"/>
      <w:r>
        <w:t>source.list.item</w:t>
      </w:r>
      <w:proofErr w:type="spellEnd"/>
      <w:r>
        <w:t>&gt;&lt;</w:t>
      </w:r>
      <w:proofErr w:type="spellStart"/>
      <w:r>
        <w:t>source.list.item</w:t>
      </w:r>
      <w:proofErr w:type="spellEnd"/>
      <w:r>
        <w:t xml:space="preserve"> level="2"&gt;- U.S. CAA </w:t>
      </w:r>
      <w:proofErr w:type="spellStart"/>
      <w:r>
        <w:t>CbC</w:t>
      </w:r>
      <w:proofErr w:type="spellEnd"/>
      <w:r>
        <w:t>: signed.&lt;/</w:t>
      </w:r>
      <w:proofErr w:type="spellStart"/>
      <w:r>
        <w:t>source.list.item</w:t>
      </w:r>
      <w:proofErr w:type="spellEnd"/>
      <w:r>
        <w:t>&gt;&lt;</w:t>
      </w:r>
      <w:proofErr w:type="spellStart"/>
      <w:r>
        <w:t>source.list.item</w:t>
      </w:r>
      <w:proofErr w:type="spellEnd"/>
      <w:r>
        <w:t xml:space="preserve"> level="2"&gt;— Other CAA </w:t>
      </w:r>
      <w:proofErr w:type="spellStart"/>
      <w:r>
        <w:t>CbC</w:t>
      </w:r>
      <w:proofErr w:type="spellEnd"/>
      <w:r>
        <w:t>: Guernsey, Isle of Man, U.K., U.S.&lt;/</w:t>
      </w:r>
      <w:proofErr w:type="spellStart"/>
      <w:r>
        <w:t>source.list.item</w:t>
      </w:r>
      <w:proofErr w:type="spellEnd"/>
      <w:r>
        <w:t>&gt;&lt;</w:t>
      </w:r>
      <w:proofErr w:type="spellStart"/>
      <w:r>
        <w:t>emph</w:t>
      </w:r>
      <w:proofErr w:type="spellEnd"/>
      <w:r>
        <w:t xml:space="preserve">&gt;For a schedule of </w:t>
      </w:r>
      <w:proofErr w:type="spellStart"/>
      <w:r>
        <w:t>CbC</w:t>
      </w:r>
      <w:proofErr w:type="spellEnd"/>
      <w:r>
        <w:t xml:space="preserve"> report and </w:t>
      </w:r>
      <w:proofErr w:type="spellStart"/>
      <w:r>
        <w:t>CbC</w:t>
      </w:r>
      <w:proofErr w:type="spellEnd"/>
      <w:r>
        <w:t xml:space="preserve"> notification deadlines (by country), please see &lt;cite.url ref="https://www.bloomberglaw.com/product/tax/document/X7UHS658000000"&gt;CbC Reporting Deadlines&lt;/cite.url&gt;.&lt;/</w:t>
      </w:r>
      <w:proofErr w:type="spellStart"/>
      <w:r>
        <w:t>emph</w:t>
      </w:r>
      <w:proofErr w:type="spellEnd"/>
      <w:r>
        <w:t>&gt;&lt;/p&gt;</w:t>
      </w:r>
    </w:p>
    <w:p w14:paraId="155A7F37" w14:textId="77777777" w:rsidR="00A97205" w:rsidRDefault="00A97205" w:rsidP="00A97205">
      <w:r>
        <w:t xml:space="preserve">          &lt;/entry&gt;</w:t>
      </w:r>
    </w:p>
    <w:p w14:paraId="4BCF1787" w14:textId="77777777" w:rsidR="00A97205" w:rsidRDefault="00A97205" w:rsidP="00A97205">
      <w:r>
        <w:t xml:space="preserve">        &lt;/row&gt;</w:t>
      </w:r>
    </w:p>
    <w:p w14:paraId="62C678DF" w14:textId="77777777" w:rsidR="00A97205" w:rsidRDefault="00A97205" w:rsidP="00A97205">
      <w:r>
        <w:t xml:space="preserve">        &lt;row id="38810db25151426da4475ef118589c3e"&gt;</w:t>
      </w:r>
    </w:p>
    <w:p w14:paraId="7317F340" w14:textId="77777777" w:rsidR="00A97205" w:rsidRDefault="00A97205" w:rsidP="00A97205">
      <w:r>
        <w:t xml:space="preserve">          &lt;entry align="center"&gt;</w:t>
      </w:r>
    </w:p>
    <w:p w14:paraId="78DBE232" w14:textId="77777777" w:rsidR="00A97205" w:rsidRDefault="00A97205" w:rsidP="00A97205">
      <w:r>
        <w:t>&lt;p id="dce5d86095fd4d67ac118be6a91d547e"&gt;&lt;</w:t>
      </w:r>
      <w:proofErr w:type="spellStart"/>
      <w:r>
        <w:t>emph</w:t>
      </w:r>
      <w:proofErr w:type="spellEnd"/>
      <w:r>
        <w:t xml:space="preserve"> face="b"&gt;Master File&lt;/</w:t>
      </w:r>
      <w:proofErr w:type="spellStart"/>
      <w:r>
        <w:t>emph</w:t>
      </w:r>
      <w:proofErr w:type="spellEnd"/>
      <w:r>
        <w:t>&gt; &lt;/p&gt;</w:t>
      </w:r>
    </w:p>
    <w:p w14:paraId="2681936C" w14:textId="77777777" w:rsidR="00A97205" w:rsidRDefault="00A97205" w:rsidP="00A97205">
      <w:r>
        <w:t>&lt;/entry&gt;</w:t>
      </w:r>
    </w:p>
    <w:p w14:paraId="5401686E" w14:textId="77777777" w:rsidR="00A97205" w:rsidRDefault="00A97205" w:rsidP="00A97205">
      <w:r>
        <w:t xml:space="preserve">        &lt;/row&gt;</w:t>
      </w:r>
    </w:p>
    <w:p w14:paraId="551027C4" w14:textId="77777777" w:rsidR="00A97205" w:rsidRDefault="00A97205" w:rsidP="00A97205">
      <w:r>
        <w:t xml:space="preserve">        &lt;row id="3b578f657c304844a251c3d2d3686590"&gt;</w:t>
      </w:r>
    </w:p>
    <w:p w14:paraId="67D261F1" w14:textId="77777777" w:rsidR="00A97205" w:rsidRDefault="00A97205" w:rsidP="00A97205">
      <w:r>
        <w:t xml:space="preserve">          &lt;entry&gt;</w:t>
      </w:r>
    </w:p>
    <w:p w14:paraId="0D044F4B" w14:textId="77777777" w:rsidR="00A97205" w:rsidRDefault="00A97205" w:rsidP="00A97205">
      <w:r>
        <w:t xml:space="preserve">            &lt;p id="4f3976e3b495450c8103677481609fdd"&gt;There are no transfer pricing rules in Jersey&lt;/p&gt;</w:t>
      </w:r>
    </w:p>
    <w:p w14:paraId="7962A392" w14:textId="77777777" w:rsidR="00A97205" w:rsidRDefault="00A97205" w:rsidP="00A97205">
      <w:r>
        <w:lastRenderedPageBreak/>
        <w:t xml:space="preserve">          &lt;/entry&gt;</w:t>
      </w:r>
    </w:p>
    <w:p w14:paraId="582A0223" w14:textId="77777777" w:rsidR="00A97205" w:rsidRDefault="00A97205" w:rsidP="00A97205">
      <w:r>
        <w:t xml:space="preserve">        &lt;/row&gt;</w:t>
      </w:r>
    </w:p>
    <w:p w14:paraId="5EA0DA58" w14:textId="77777777" w:rsidR="00A97205" w:rsidRDefault="00A97205" w:rsidP="00A97205">
      <w:r>
        <w:t xml:space="preserve">        &lt;row id="8fb0be068404476493e4e49ad78b9ec9"&gt;</w:t>
      </w:r>
    </w:p>
    <w:p w14:paraId="5BE555CE" w14:textId="77777777" w:rsidR="00A97205" w:rsidRDefault="00A97205" w:rsidP="00A97205">
      <w:r>
        <w:t xml:space="preserve">          &lt;entry align="center"&gt;</w:t>
      </w:r>
    </w:p>
    <w:p w14:paraId="0819B900" w14:textId="77777777" w:rsidR="00A97205" w:rsidRDefault="00A97205" w:rsidP="00A97205">
      <w:r>
        <w:t xml:space="preserve">&lt;p </w:t>
      </w:r>
      <w:proofErr w:type="gramStart"/>
      <w:r>
        <w:t>justify</w:t>
      </w:r>
      <w:proofErr w:type="gramEnd"/>
      <w:r>
        <w:t>="c" id="578a1200c1314e2887cc3cacbb27b1ac"&gt;&lt;</w:t>
      </w:r>
      <w:proofErr w:type="spellStart"/>
      <w:r>
        <w:t>emph</w:t>
      </w:r>
      <w:proofErr w:type="spellEnd"/>
      <w:r>
        <w:t xml:space="preserve"> face="b"&gt;Local File&lt;/</w:t>
      </w:r>
      <w:proofErr w:type="spellStart"/>
      <w:r>
        <w:t>emph</w:t>
      </w:r>
      <w:proofErr w:type="spellEnd"/>
      <w:r>
        <w:t>&gt; &lt;/p&gt;</w:t>
      </w:r>
    </w:p>
    <w:p w14:paraId="5DDADD76" w14:textId="77777777" w:rsidR="00A97205" w:rsidRDefault="00A97205" w:rsidP="00A97205">
      <w:r>
        <w:t>&lt;/entry&gt;</w:t>
      </w:r>
    </w:p>
    <w:p w14:paraId="306ED501" w14:textId="77777777" w:rsidR="00A97205" w:rsidRDefault="00A97205" w:rsidP="00A97205">
      <w:r>
        <w:t xml:space="preserve">        &lt;/row&gt;</w:t>
      </w:r>
    </w:p>
    <w:p w14:paraId="26EE58BD" w14:textId="77777777" w:rsidR="00A97205" w:rsidRDefault="00A97205" w:rsidP="00A97205">
      <w:r>
        <w:t xml:space="preserve">        &lt;row id="70dce7d242a1471ba4f89daabbc01efe"&gt;</w:t>
      </w:r>
    </w:p>
    <w:p w14:paraId="20CF082E" w14:textId="77777777" w:rsidR="00A97205" w:rsidRDefault="00A97205" w:rsidP="00A97205">
      <w:r>
        <w:t xml:space="preserve">          &lt;entry&gt;</w:t>
      </w:r>
    </w:p>
    <w:p w14:paraId="4179850F" w14:textId="77777777" w:rsidR="00A97205" w:rsidRDefault="00A97205" w:rsidP="00A97205">
      <w:r>
        <w:t xml:space="preserve">            &lt;p id="48fcfa5d702e4ce6b9db79472dae69e8"&gt;There are no transfer pricing rules in </w:t>
      </w:r>
      <w:proofErr w:type="gramStart"/>
      <w:r>
        <w:t>Jersey.&lt;</w:t>
      </w:r>
      <w:proofErr w:type="gramEnd"/>
      <w:r>
        <w:t>/p&gt;</w:t>
      </w:r>
    </w:p>
    <w:p w14:paraId="6DF25AB3" w14:textId="77777777" w:rsidR="00A97205" w:rsidRDefault="00A97205" w:rsidP="00A97205">
      <w:r>
        <w:t xml:space="preserve">          &lt;/entry&gt;</w:t>
      </w:r>
    </w:p>
    <w:p w14:paraId="058E8575" w14:textId="77777777" w:rsidR="00A97205" w:rsidRDefault="00A97205" w:rsidP="00A97205">
      <w:r>
        <w:t xml:space="preserve">        &lt;/row&gt;</w:t>
      </w:r>
    </w:p>
    <w:p w14:paraId="47A299DE" w14:textId="77777777" w:rsidR="00A97205" w:rsidRDefault="00A97205" w:rsidP="00A97205">
      <w:r>
        <w:t xml:space="preserve">      &lt;/</w:t>
      </w:r>
      <w:proofErr w:type="spellStart"/>
      <w:r>
        <w:t>tbody</w:t>
      </w:r>
      <w:proofErr w:type="spellEnd"/>
      <w:r>
        <w:t>&gt;</w:t>
      </w:r>
    </w:p>
    <w:p w14:paraId="43F5B49D" w14:textId="77777777" w:rsidR="00A97205" w:rsidRDefault="00A97205" w:rsidP="00A97205">
      <w:r>
        <w:t xml:space="preserve">    &lt;/</w:t>
      </w:r>
      <w:proofErr w:type="spellStart"/>
      <w:r>
        <w:t>tgroup</w:t>
      </w:r>
      <w:proofErr w:type="spellEnd"/>
      <w:r>
        <w:t>&gt;</w:t>
      </w:r>
    </w:p>
    <w:p w14:paraId="441EB224" w14:textId="77777777" w:rsidR="00A97205" w:rsidRDefault="00A97205" w:rsidP="00A97205">
      <w:r>
        <w:t xml:space="preserve">  &lt;/table&gt;</w:t>
      </w:r>
    </w:p>
    <w:p w14:paraId="757EB90A" w14:textId="68A4F760" w:rsidR="0087180F" w:rsidRDefault="00A97205" w:rsidP="00A97205">
      <w:r>
        <w:t>&lt;/</w:t>
      </w:r>
      <w:proofErr w:type="spellStart"/>
      <w:proofErr w:type="gramStart"/>
      <w:r>
        <w:t>pdm.module</w:t>
      </w:r>
      <w:proofErr w:type="spellEnd"/>
      <w:proofErr w:type="gramEnd"/>
      <w:r>
        <w:t>&gt;</w:t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05"/>
    <w:rsid w:val="001F07B1"/>
    <w:rsid w:val="00865300"/>
    <w:rsid w:val="0087180F"/>
    <w:rsid w:val="00A97205"/>
    <w:rsid w:val="00B5558F"/>
    <w:rsid w:val="00E17FC5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C8BC"/>
  <w15:chartTrackingRefBased/>
  <w15:docId w15:val="{156326C2-D467-47E4-A14B-9EB893B7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Company>Bloomberg Industry Group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2025-08-28T20:38:00Z</dcterms:created>
  <dcterms:modified xsi:type="dcterms:W3CDTF">2025-08-28T20:39:00Z</dcterms:modified>
</cp:coreProperties>
</file>