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3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2"/>
        <w:rPr>
          <w:sz w:val="20"/>
        </w:rPr>
      </w:pPr>
      <w:r>
        <w:rPr>
          <w:sz w:val="20"/>
        </w:rPr>
        <w:drawing>
          <wp:inline distT="0" distB="0" distL="0" distR="0">
            <wp:extent cx="1633383" cy="71570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383" cy="71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u w:val="none"/>
        </w:rPr>
      </w:pPr>
      <w:r>
        <w:rPr>
          <w:spacing w:val="-2"/>
          <w:u w:val="single"/>
        </w:rPr>
        <w:t>Jersey</w:t>
      </w:r>
    </w:p>
    <w:p>
      <w:pPr>
        <w:pStyle w:val="Heading1"/>
        <w:spacing w:before="233"/>
        <w:jc w:val="center"/>
      </w:pPr>
      <w:r>
        <w:rPr/>
        <w:t>Summary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CbC</w:t>
      </w:r>
      <w:r>
        <w:rPr>
          <w:spacing w:val="-5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Pricing</w:t>
      </w:r>
      <w:r>
        <w:rPr>
          <w:spacing w:val="-6"/>
        </w:rPr>
        <w:t> </w:t>
      </w:r>
      <w:r>
        <w:rPr/>
        <w:t>Documentation</w:t>
      </w:r>
      <w:r>
        <w:rPr>
          <w:spacing w:val="-6"/>
        </w:rPr>
        <w:t> </w:t>
      </w:r>
      <w:r>
        <w:rPr>
          <w:spacing w:val="-2"/>
        </w:rPr>
        <w:t>Rules</w:t>
      </w:r>
    </w:p>
    <w:p>
      <w:pPr>
        <w:spacing w:before="23"/>
        <w:ind w:left="1080" w:right="5" w:firstLine="0"/>
        <w:jc w:val="center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detailed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guidance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latest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updates,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hyperlink r:id="rId7">
        <w:r>
          <w:rPr>
            <w:i/>
            <w:color w:val="0562C1"/>
            <w:sz w:val="24"/>
            <w:u w:val="single" w:color="0562C1"/>
          </w:rPr>
          <w:t>Bloomberg</w:t>
        </w:r>
        <w:r>
          <w:rPr>
            <w:i/>
            <w:color w:val="0562C1"/>
            <w:spacing w:val="-1"/>
            <w:sz w:val="24"/>
            <w:u w:val="single" w:color="0562C1"/>
          </w:rPr>
          <w:t> </w:t>
        </w:r>
        <w:r>
          <w:rPr>
            <w:i/>
            <w:color w:val="0562C1"/>
            <w:sz w:val="24"/>
            <w:u w:val="single" w:color="0562C1"/>
          </w:rPr>
          <w:t>Tax</w:t>
        </w:r>
        <w:r>
          <w:rPr>
            <w:i/>
            <w:color w:val="0562C1"/>
            <w:spacing w:val="-2"/>
            <w:sz w:val="24"/>
            <w:u w:val="single" w:color="0562C1"/>
          </w:rPr>
          <w:t> </w:t>
        </w:r>
        <w:r>
          <w:rPr>
            <w:i/>
            <w:color w:val="0562C1"/>
            <w:sz w:val="24"/>
            <w:u w:val="single" w:color="0562C1"/>
          </w:rPr>
          <w:t>BEPS</w:t>
        </w:r>
        <w:r>
          <w:rPr>
            <w:i/>
            <w:color w:val="0562C1"/>
            <w:spacing w:val="-1"/>
            <w:sz w:val="24"/>
            <w:u w:val="single" w:color="0562C1"/>
          </w:rPr>
          <w:t> </w:t>
        </w:r>
        <w:r>
          <w:rPr>
            <w:i/>
            <w:color w:val="0562C1"/>
            <w:spacing w:val="-2"/>
            <w:sz w:val="24"/>
            <w:u w:val="single" w:color="0562C1"/>
          </w:rPr>
          <w:t>Tracker.</w:t>
        </w:r>
      </w:hyperlink>
    </w:p>
    <w:p>
      <w:pPr>
        <w:pStyle w:val="BodyText"/>
        <w:spacing w:before="48"/>
        <w:rPr>
          <w:i/>
          <w:sz w:val="28"/>
        </w:rPr>
      </w:pPr>
    </w:p>
    <w:p>
      <w:pPr>
        <w:pStyle w:val="Heading1"/>
      </w:pPr>
      <w:r>
        <w:rPr>
          <w:spacing w:val="-2"/>
          <w:u w:val="single"/>
        </w:rPr>
        <w:t>Country-by-Country</w:t>
      </w:r>
      <w:r>
        <w:rPr>
          <w:spacing w:val="17"/>
          <w:u w:val="single"/>
        </w:rPr>
        <w:t> </w:t>
      </w:r>
      <w:r>
        <w:rPr>
          <w:spacing w:val="-2"/>
          <w:u w:val="single"/>
        </w:rPr>
        <w:t>Report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6" w:after="0"/>
        <w:ind w:left="1440" w:right="0" w:hanging="360"/>
        <w:jc w:val="left"/>
        <w:rPr>
          <w:sz w:val="22"/>
        </w:rPr>
      </w:pPr>
      <w:r>
        <w:rPr>
          <w:i/>
          <w:sz w:val="22"/>
          <w:u w:val="single"/>
        </w:rPr>
        <w:t>Effective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Date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accounting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periods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beginning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after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January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1,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2016.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9" w:lineRule="auto" w:before="18" w:after="0"/>
        <w:ind w:left="1440" w:right="105" w:hanging="360"/>
        <w:jc w:val="left"/>
        <w:rPr>
          <w:sz w:val="22"/>
        </w:rPr>
      </w:pPr>
      <w:r>
        <w:rPr>
          <w:i/>
          <w:sz w:val="22"/>
          <w:u w:val="single"/>
        </w:rPr>
        <w:t>Filing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Threshold:</w:t>
      </w:r>
      <w:r>
        <w:rPr>
          <w:i/>
          <w:sz w:val="22"/>
          <w:u w:val="none"/>
        </w:rPr>
        <w:t> </w:t>
      </w:r>
      <w:r>
        <w:rPr>
          <w:sz w:val="22"/>
          <w:u w:val="none"/>
        </w:rPr>
        <w:t>MNEs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annual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consolidated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group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revenue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equal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exceeding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€750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million in the previous 12 month accounting period.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9" w:lineRule="auto" w:before="0" w:after="0"/>
        <w:ind w:left="1440" w:right="146" w:hanging="360"/>
        <w:jc w:val="left"/>
        <w:rPr>
          <w:sz w:val="22"/>
        </w:rPr>
      </w:pPr>
      <w:r>
        <w:rPr>
          <w:i/>
          <w:sz w:val="22"/>
          <w:u w:val="single"/>
        </w:rPr>
        <w:t>Local Filing:</w:t>
      </w:r>
      <w:r>
        <w:rPr>
          <w:i/>
          <w:spacing w:val="-1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Jersey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resident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entity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that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not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ultimate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parent entity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MNE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group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 required to file the CbC report directly with the Jersey tax authorities if certain conditions are met.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69" w:lineRule="exact" w:before="0" w:after="0"/>
        <w:ind w:left="1440" w:right="0" w:hanging="360"/>
        <w:jc w:val="left"/>
        <w:rPr>
          <w:sz w:val="22"/>
        </w:rPr>
      </w:pPr>
      <w:r>
        <w:rPr>
          <w:i/>
          <w:sz w:val="22"/>
          <w:u w:val="single"/>
        </w:rPr>
        <w:t>Information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Reported:</w:t>
      </w:r>
      <w:r>
        <w:rPr>
          <w:i/>
          <w:spacing w:val="-6"/>
          <w:sz w:val="22"/>
          <w:u w:val="single"/>
        </w:rPr>
        <w:t> </w:t>
      </w:r>
      <w:r>
        <w:rPr>
          <w:sz w:val="22"/>
          <w:u w:val="none"/>
        </w:rPr>
        <w:t>Consistent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OECD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guidance.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6" w:after="0"/>
        <w:ind w:left="1440" w:right="0" w:hanging="360"/>
        <w:jc w:val="left"/>
        <w:rPr>
          <w:sz w:val="22"/>
        </w:rPr>
      </w:pPr>
      <w:r>
        <w:rPr>
          <w:i/>
          <w:sz w:val="22"/>
          <w:u w:val="single"/>
        </w:rPr>
        <w:t>Forms/Filing</w:t>
      </w:r>
      <w:r>
        <w:rPr>
          <w:i/>
          <w:spacing w:val="-8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Instructions</w:t>
      </w:r>
      <w:r>
        <w:rPr>
          <w:spacing w:val="-2"/>
          <w:sz w:val="22"/>
          <w:u w:val="none"/>
        </w:rPr>
        <w:t>: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9" w:after="0"/>
        <w:ind w:left="1799" w:right="0" w:hanging="359"/>
        <w:jc w:val="left"/>
        <w:rPr>
          <w:sz w:val="22"/>
        </w:rPr>
      </w:pPr>
      <w:r>
        <w:rPr>
          <w:sz w:val="22"/>
        </w:rPr>
        <w:t>CbC</w:t>
      </w:r>
      <w:r>
        <w:rPr>
          <w:spacing w:val="-6"/>
          <w:sz w:val="22"/>
        </w:rPr>
        <w:t> </w:t>
      </w:r>
      <w:r>
        <w:rPr>
          <w:sz w:val="22"/>
        </w:rPr>
        <w:t>Notification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Entity:</w:t>
      </w:r>
      <w:r>
        <w:rPr>
          <w:spacing w:val="48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via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Jersey</w:t>
      </w:r>
      <w:r>
        <w:rPr>
          <w:spacing w:val="-6"/>
          <w:sz w:val="22"/>
        </w:rPr>
        <w:t> </w:t>
      </w:r>
      <w:r>
        <w:rPr>
          <w:sz w:val="22"/>
        </w:rPr>
        <w:t>AEOI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portal.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0" w:after="0"/>
        <w:ind w:left="1799" w:right="0" w:hanging="360"/>
        <w:jc w:val="left"/>
        <w:rPr>
          <w:sz w:val="22"/>
        </w:rPr>
      </w:pPr>
      <w:r>
        <w:rPr>
          <w:sz w:val="22"/>
        </w:rPr>
        <w:t>CbC</w:t>
      </w:r>
      <w:r>
        <w:rPr>
          <w:spacing w:val="-4"/>
          <w:sz w:val="22"/>
        </w:rPr>
        <w:t> </w:t>
      </w:r>
      <w:r>
        <w:rPr>
          <w:sz w:val="22"/>
        </w:rPr>
        <w:t>Report:</w:t>
      </w:r>
      <w:r>
        <w:rPr>
          <w:spacing w:val="51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Jersey</w:t>
      </w:r>
      <w:r>
        <w:rPr>
          <w:spacing w:val="-2"/>
          <w:sz w:val="22"/>
        </w:rPr>
        <w:t> </w:t>
      </w:r>
      <w:r>
        <w:rPr>
          <w:sz w:val="22"/>
        </w:rPr>
        <w:t>AEOI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portal.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9" w:after="0"/>
        <w:ind w:left="1440" w:right="0" w:hanging="360"/>
        <w:jc w:val="left"/>
        <w:rPr>
          <w:sz w:val="22"/>
        </w:rPr>
      </w:pPr>
      <w:r>
        <w:rPr>
          <w:i/>
          <w:sz w:val="22"/>
          <w:u w:val="single"/>
        </w:rPr>
        <w:t>Deadline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Filing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Notification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Reporting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Entity:</w:t>
      </w:r>
      <w:r>
        <w:rPr>
          <w:i/>
          <w:spacing w:val="-6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end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relevant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accounting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period.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8" w:after="0"/>
        <w:ind w:left="1440" w:right="0" w:hanging="360"/>
        <w:jc w:val="left"/>
        <w:rPr>
          <w:sz w:val="22"/>
        </w:rPr>
      </w:pPr>
      <w:r>
        <w:rPr>
          <w:i/>
          <w:sz w:val="22"/>
          <w:u w:val="single"/>
        </w:rPr>
        <w:t>Deadline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Filing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CbC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Report:</w:t>
      </w:r>
      <w:r>
        <w:rPr>
          <w:i/>
          <w:spacing w:val="-4"/>
          <w:sz w:val="22"/>
          <w:u w:val="none"/>
        </w:rPr>
        <w:t> </w:t>
      </w:r>
      <w:r>
        <w:rPr>
          <w:sz w:val="22"/>
          <w:u w:val="none"/>
        </w:rPr>
        <w:t>Within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12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months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after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end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relevant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accounting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period.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9" w:lineRule="auto" w:before="21" w:after="0"/>
        <w:ind w:left="1440" w:right="657" w:hanging="360"/>
        <w:jc w:val="left"/>
        <w:rPr>
          <w:sz w:val="22"/>
        </w:rPr>
      </w:pPr>
      <w:r>
        <w:rPr>
          <w:i/>
          <w:sz w:val="22"/>
          <w:u w:val="single"/>
        </w:rPr>
        <w:t>Penalties:</w:t>
      </w:r>
      <w:r>
        <w:rPr>
          <w:i/>
          <w:spacing w:val="40"/>
          <w:sz w:val="22"/>
          <w:u w:val="none"/>
        </w:rPr>
        <w:t> </w:t>
      </w:r>
      <w:r>
        <w:rPr>
          <w:sz w:val="22"/>
          <w:u w:val="none"/>
        </w:rPr>
        <w:t>A penalty of £300 may apply for failure to comply with obligation under the CbC regulations (additional daily default penalties may apply if the non-compliance continues). Additional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penalties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up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£3,000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apply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deliberately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providing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inaccurate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65" w:lineRule="exact" w:before="0" w:after="0"/>
        <w:ind w:left="1440" w:right="0" w:hanging="360"/>
        <w:jc w:val="left"/>
        <w:rPr>
          <w:i/>
          <w:sz w:val="22"/>
        </w:rPr>
      </w:pPr>
      <w:r>
        <w:rPr>
          <w:i/>
          <w:sz w:val="22"/>
          <w:u w:val="single"/>
        </w:rPr>
        <w:t>Exchange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3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sz w:val="22"/>
        </w:rPr>
        <w:t>MCAA</w:t>
      </w:r>
      <w:r>
        <w:rPr>
          <w:spacing w:val="-3"/>
          <w:sz w:val="22"/>
        </w:rPr>
        <w:t> </w:t>
      </w:r>
      <w:r>
        <w:rPr>
          <w:sz w:val="22"/>
        </w:rPr>
        <w:t>CbC: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signed.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9" w:after="0"/>
        <w:ind w:left="1799" w:right="0" w:hanging="359"/>
        <w:jc w:val="left"/>
        <w:rPr>
          <w:sz w:val="22"/>
        </w:rPr>
      </w:pPr>
      <w:r>
        <w:rPr>
          <w:sz w:val="22"/>
        </w:rPr>
        <w:t>U.S.</w:t>
      </w:r>
      <w:r>
        <w:rPr>
          <w:spacing w:val="-2"/>
          <w:sz w:val="22"/>
        </w:rPr>
        <w:t> </w:t>
      </w:r>
      <w:r>
        <w:rPr>
          <w:sz w:val="22"/>
        </w:rPr>
        <w:t>CAA</w:t>
      </w:r>
      <w:r>
        <w:rPr>
          <w:spacing w:val="-3"/>
          <w:sz w:val="22"/>
        </w:rPr>
        <w:t> </w:t>
      </w:r>
      <w:r>
        <w:rPr>
          <w:sz w:val="22"/>
        </w:rPr>
        <w:t>CbC: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signed.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8" w:after="0"/>
        <w:ind w:left="1799" w:right="0" w:hanging="360"/>
        <w:jc w:val="left"/>
        <w:rPr>
          <w:sz w:val="22"/>
        </w:rPr>
      </w:pP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CAA</w:t>
      </w:r>
      <w:r>
        <w:rPr>
          <w:spacing w:val="-3"/>
          <w:sz w:val="22"/>
        </w:rPr>
        <w:t> </w:t>
      </w:r>
      <w:r>
        <w:rPr>
          <w:sz w:val="22"/>
        </w:rPr>
        <w:t>CbC:</w:t>
      </w:r>
      <w:r>
        <w:rPr>
          <w:spacing w:val="50"/>
          <w:sz w:val="22"/>
        </w:rPr>
        <w:t> </w:t>
      </w:r>
      <w:r>
        <w:rPr>
          <w:sz w:val="22"/>
        </w:rPr>
        <w:t>Guernsey,</w:t>
      </w:r>
      <w:r>
        <w:rPr>
          <w:spacing w:val="-3"/>
          <w:sz w:val="22"/>
        </w:rPr>
        <w:t> </w:t>
      </w:r>
      <w:r>
        <w:rPr>
          <w:sz w:val="22"/>
        </w:rPr>
        <w:t>Isle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Man,</w:t>
      </w:r>
      <w:r>
        <w:rPr>
          <w:spacing w:val="-3"/>
          <w:sz w:val="22"/>
        </w:rPr>
        <w:t> </w:t>
      </w:r>
      <w:r>
        <w:rPr>
          <w:sz w:val="22"/>
        </w:rPr>
        <w:t>U.K.,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U.S.</w:t>
      </w:r>
    </w:p>
    <w:p>
      <w:pPr>
        <w:pStyle w:val="BodyText"/>
        <w:spacing w:before="55"/>
      </w:pPr>
    </w:p>
    <w:p>
      <w:pPr>
        <w:spacing w:line="261" w:lineRule="auto" w:before="1"/>
        <w:ind w:left="1080" w:right="0" w:hanging="1"/>
        <w:jc w:val="left"/>
        <w:rPr>
          <w:i/>
          <w:sz w:val="24"/>
        </w:rPr>
      </w:pP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schedule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CbC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report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CbC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notification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deadlines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country),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please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see</w:t>
      </w:r>
      <w:r>
        <w:rPr>
          <w:i/>
          <w:spacing w:val="-2"/>
          <w:sz w:val="22"/>
        </w:rPr>
        <w:t> </w:t>
      </w:r>
      <w:hyperlink r:id="rId8">
        <w:r>
          <w:rPr>
            <w:i/>
            <w:color w:val="0562C1"/>
            <w:sz w:val="24"/>
            <w:u w:val="single" w:color="0562C1"/>
          </w:rPr>
          <w:t>CbC</w:t>
        </w:r>
        <w:r>
          <w:rPr>
            <w:i/>
            <w:color w:val="0562C1"/>
            <w:spacing w:val="-3"/>
            <w:sz w:val="24"/>
            <w:u w:val="single" w:color="0562C1"/>
          </w:rPr>
          <w:t> </w:t>
        </w:r>
        <w:r>
          <w:rPr>
            <w:i/>
            <w:color w:val="0562C1"/>
            <w:sz w:val="24"/>
            <w:u w:val="single" w:color="0562C1"/>
          </w:rPr>
          <w:t>Reporting</w:t>
        </w:r>
      </w:hyperlink>
      <w:r>
        <w:rPr>
          <w:i/>
          <w:color w:val="0562C1"/>
          <w:sz w:val="24"/>
          <w:u w:val="none"/>
        </w:rPr>
        <w:t> </w:t>
      </w:r>
      <w:hyperlink r:id="rId8">
        <w:r>
          <w:rPr>
            <w:i/>
            <w:color w:val="0562C1"/>
            <w:spacing w:val="-2"/>
            <w:sz w:val="24"/>
            <w:u w:val="single" w:color="0562C1"/>
          </w:rPr>
          <w:t>Deadlines</w:t>
        </w:r>
        <w:r>
          <w:rPr>
            <w:i/>
            <w:spacing w:val="-2"/>
            <w:sz w:val="24"/>
            <w:u w:val="none"/>
          </w:rPr>
          <w:t>.</w:t>
        </w:r>
      </w:hyperlink>
    </w:p>
    <w:p>
      <w:pPr>
        <w:pStyle w:val="BodyText"/>
        <w:spacing w:before="20"/>
        <w:rPr>
          <w:i/>
          <w:sz w:val="28"/>
        </w:rPr>
      </w:pPr>
    </w:p>
    <w:p>
      <w:pPr>
        <w:pStyle w:val="Heading1"/>
      </w:pPr>
      <w:r>
        <w:rPr>
          <w:u w:val="single"/>
        </w:rPr>
        <w:t>Master</w:t>
      </w:r>
      <w:r>
        <w:rPr>
          <w:spacing w:val="-4"/>
          <w:u w:val="single"/>
        </w:rPr>
        <w:t> File</w:t>
      </w:r>
    </w:p>
    <w:p>
      <w:pPr>
        <w:pStyle w:val="BodyText"/>
        <w:spacing w:before="27"/>
        <w:ind w:left="1080"/>
      </w:pP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pricing</w:t>
      </w:r>
      <w:r>
        <w:rPr>
          <w:spacing w:val="-2"/>
        </w:rPr>
        <w:t> </w:t>
      </w:r>
      <w:r>
        <w:rPr/>
        <w:t>rules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Jersey.</w:t>
      </w:r>
    </w:p>
    <w:p>
      <w:pPr>
        <w:pStyle w:val="BodyText"/>
        <w:spacing w:before="40"/>
      </w:pPr>
    </w:p>
    <w:p>
      <w:pPr>
        <w:pStyle w:val="Heading1"/>
        <w:spacing w:before="1"/>
      </w:pPr>
      <w:r>
        <w:rPr>
          <w:u w:val="single"/>
        </w:rPr>
        <w:t>Local</w:t>
      </w:r>
      <w:r>
        <w:rPr>
          <w:spacing w:val="-4"/>
          <w:u w:val="single"/>
        </w:rPr>
        <w:t> File</w:t>
      </w:r>
    </w:p>
    <w:p>
      <w:pPr>
        <w:pStyle w:val="BodyText"/>
        <w:spacing w:before="24"/>
        <w:ind w:left="1080"/>
      </w:pP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pricing</w:t>
      </w:r>
      <w:r>
        <w:rPr>
          <w:spacing w:val="-2"/>
        </w:rPr>
        <w:t> </w:t>
      </w:r>
      <w:r>
        <w:rPr/>
        <w:t>rules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Jersey.</w:t>
      </w:r>
    </w:p>
    <w:sectPr>
      <w:footerReference w:type="default" r:id="rId5"/>
      <w:type w:val="continuous"/>
      <w:pgSz w:w="12240" w:h="15840"/>
      <w:pgMar w:header="0" w:footer="833" w:top="400" w:bottom="1020" w:left="36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901700</wp:posOffset>
              </wp:positionH>
              <wp:positionV relativeFrom="page">
                <wp:posOffset>9389618</wp:posOffset>
              </wp:positionV>
              <wp:extent cx="1953260" cy="2222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5326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1801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Bell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Arlington,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Virginia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22202</w:t>
                          </w:r>
                        </w:p>
                        <w:p>
                          <w:pPr>
                            <w:spacing w:line="171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Copyright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Bureau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National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Affairs,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9.340027pt;width:153.8pt;height:17.5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1801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South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Bell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Street,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Arlington,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Virginia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22202</w:t>
                    </w:r>
                  </w:p>
                  <w:p>
                    <w:pPr>
                      <w:spacing w:line="171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Copyright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©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2021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The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Bureau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of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National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Affairs,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5697761</wp:posOffset>
              </wp:positionH>
              <wp:positionV relativeFrom="page">
                <wp:posOffset>9389618</wp:posOffset>
              </wp:positionV>
              <wp:extent cx="995044" cy="2222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95044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more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information,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visit</w:t>
                          </w:r>
                        </w:p>
                        <w:p>
                          <w:pPr>
                            <w:spacing w:line="171" w:lineRule="exact" w:before="0"/>
                            <w:ind w:left="24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pro.bloombergtax.com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642639pt;margin-top:739.340027pt;width:78.350pt;height:17.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For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more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information,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>visit</w:t>
                    </w:r>
                  </w:p>
                  <w:p>
                    <w:pPr>
                      <w:spacing w:line="171" w:lineRule="exact" w:before="0"/>
                      <w:ind w:left="24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2"/>
                        <w:sz w:val="14"/>
                      </w:rPr>
                      <w:t>pro.bloombergtax.com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"/>
      <w:lvlJc w:val="left"/>
      <w:pPr>
        <w:ind w:left="179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80" w:right="2"/>
      <w:jc w:val="center"/>
    </w:pPr>
    <w:rPr>
      <w:rFonts w:ascii="Times New Roman" w:hAnsi="Times New Roman" w:eastAsia="Times New Roman" w:cs="Times New Roman"/>
      <w:b/>
      <w:bCs/>
      <w:sz w:val="52"/>
      <w:szCs w:val="5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bloomberglaw.com/product/tax/aqb_chart/9bb39ea8a46615df084bb71ee395949e" TargetMode="External"/><Relationship Id="rId8" Type="http://schemas.openxmlformats.org/officeDocument/2006/relationships/hyperlink" Target="https://www.bloomberglaw.com/product/tax/document/X7UHS658000000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Ian</dc:creator>
  <dc:description/>
  <dcterms:created xsi:type="dcterms:W3CDTF">2025-08-27T18:11:42Z</dcterms:created>
  <dcterms:modified xsi:type="dcterms:W3CDTF">2025-08-27T18:11:42Z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D:20210406065004</vt:lpwstr>
  </property>
</Properties>
</file>