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1D4C" w14:textId="77777777" w:rsidR="00494B49" w:rsidRPr="00804D04" w:rsidRDefault="00494B49" w:rsidP="003B0773">
      <w:pPr>
        <w:pStyle w:val="BChapterName"/>
        <w:jc w:val="left"/>
      </w:pPr>
      <w:r w:rsidRPr="00804D04">
        <w:t>Section 1411 — Net Investment Income Tax</w:t>
      </w:r>
      <w:r>
        <w:t xml:space="preserve"> (511-1</w:t>
      </w:r>
      <w:r w:rsidRPr="00F45B2B">
        <w:rPr>
          <w:vertAlign w:val="superscript"/>
        </w:rPr>
        <w:t>st</w:t>
      </w:r>
      <w:r>
        <w:t xml:space="preserve"> T.M) </w:t>
      </w:r>
    </w:p>
    <w:p w14:paraId="4F78CE8A" w14:textId="77777777" w:rsidR="00494B49" w:rsidRDefault="00494B49" w:rsidP="00804D04">
      <w:pPr>
        <w:pStyle w:val="p"/>
        <w:ind w:firstLine="0"/>
      </w:pPr>
      <w:r>
        <w:t xml:space="preserve">by </w:t>
      </w:r>
    </w:p>
    <w:p w14:paraId="68986D7B" w14:textId="77777777" w:rsidR="00494B49" w:rsidRDefault="00494B49">
      <w:pPr>
        <w:pStyle w:val="author"/>
      </w:pPr>
      <w:r>
        <w:t>David H. Kirk</w:t>
      </w:r>
    </w:p>
    <w:p w14:paraId="3AACF05C" w14:textId="77777777" w:rsidR="00494B49" w:rsidRDefault="00494B49">
      <w:pPr>
        <w:pStyle w:val="organization"/>
      </w:pPr>
      <w:r>
        <w:t xml:space="preserve">Ernst &amp; Young LLP Washington, DC </w:t>
      </w:r>
    </w:p>
    <w:p w14:paraId="178DC9BF" w14:textId="77777777" w:rsidR="00494B49" w:rsidRDefault="00494B49">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35817370" w14:textId="77777777" w:rsidR="00494B49" w:rsidRDefault="00494B49">
      <w:pPr>
        <w:pStyle w:val="p"/>
      </w:pPr>
      <w:r>
        <w:t>Acknowledgments</w:t>
      </w:r>
    </w:p>
    <w:p w14:paraId="42365B5E" w14:textId="77777777" w:rsidR="00494B49" w:rsidRDefault="00494B49">
      <w:pPr>
        <w:pStyle w:val="p"/>
      </w:pPr>
      <w:r>
        <w:t>For Maribeth, Jack and Sasha.</w:t>
      </w:r>
    </w:p>
    <w:p w14:paraId="3A5BEA28" w14:textId="77777777" w:rsidR="00494B49" w:rsidRDefault="00494B49">
      <w:pPr>
        <w:pStyle w:val="p"/>
      </w:pPr>
      <w:r>
        <w:t xml:space="preserve">The author would like to thank the following members of Ernst &amp; Young LLP for their technical and editorial assistance with this portfolio: Carolyn Lafon, Justin Ransome, David Chan, Laura </w:t>
      </w:r>
      <w:proofErr w:type="spellStart"/>
      <w:r>
        <w:t>MacDonough</w:t>
      </w:r>
      <w:proofErr w:type="spellEnd"/>
      <w:r>
        <w:t xml:space="preserve">, Sean Ford, Maureen Sanelli, Robert </w:t>
      </w:r>
      <w:proofErr w:type="spellStart"/>
      <w:r>
        <w:t>Schachat</w:t>
      </w:r>
      <w:proofErr w:type="spellEnd"/>
      <w:r>
        <w:t>, Seda Livian, Ashley Weyenberg, Justin Lynch, and Caryn Friedman. 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7332E588"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029C8CEB" w14:textId="77777777" w:rsidR="00494B49" w:rsidRDefault="00494B49" w:rsidP="00F45B2B">
      <w:pPr>
        <w:pStyle w:val="p"/>
        <w:ind w:firstLine="0"/>
        <w:rPr>
          <w:b/>
          <w:bCs/>
          <w:sz w:val="26"/>
          <w:szCs w:val="26"/>
        </w:rPr>
      </w:pPr>
      <w:r>
        <w:rPr>
          <w:b/>
          <w:bCs/>
          <w:sz w:val="26"/>
          <w:szCs w:val="26"/>
        </w:rPr>
        <w:lastRenderedPageBreak/>
        <w:t>Section 1411 — Net Investment Income Tax</w:t>
      </w:r>
    </w:p>
    <w:p w14:paraId="4AD6C63F" w14:textId="77777777" w:rsidR="00494B49" w:rsidRDefault="00494B49" w:rsidP="003B0773">
      <w:pPr>
        <w:pStyle w:val="BChapterName"/>
        <w:jc w:val="left"/>
      </w:pPr>
      <w:r>
        <w:t>PORTFOLIO DESCRIPTION</w:t>
      </w:r>
    </w:p>
    <w:p w14:paraId="2C80458B" w14:textId="77777777" w:rsidR="00494B49" w:rsidRDefault="00494B49">
      <w:pPr>
        <w:pStyle w:val="p"/>
      </w:pPr>
      <w:r>
        <w:t>Tax Management Portfolio, 511 T.M.,</w:t>
      </w:r>
      <w:r>
        <w:rPr>
          <w:i/>
          <w:iCs/>
        </w:rPr>
        <w:t xml:space="preserve"> Section 1411 — Net Investment Income Tax</w:t>
      </w:r>
      <w:r>
        <w:t xml:space="preserve">,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added §1411 to a new Chapter 2A of Subtitle A (Income Taxes) of the Code effective for tax years beginning after December 31, 2012. </w:t>
      </w:r>
    </w:p>
    <w:p w14:paraId="4FF8AA21" w14:textId="77777777" w:rsidR="00494B49" w:rsidRDefault="00494B49">
      <w:pPr>
        <w:pStyle w:val="p"/>
      </w:pPr>
      <w:r>
        <w:t>In the case of an individual, §1411(a)(1) imposes a tax (in addition to any other tax imposed by subtitle A, such as AMT or self-employment tax) for each tax year equal to 3.8% of the lesser of: (A) the individual's net investment income for such tax year, or (B) the excess (if any) of: (</w:t>
      </w:r>
      <w:proofErr w:type="spellStart"/>
      <w:r>
        <w:t>i</w:t>
      </w:r>
      <w:proofErr w:type="spellEnd"/>
      <w:r>
        <w:t>) the individual's modified adjusted gross income for such tax year, over (ii) the threshold amount. In the case of an estate or trust, §1411(a)(2) imposes a tax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§67(e)) for such tax year, over (ii) the dollar amount at which the highest tax bracket in §1(e) begins for such tax year. </w:t>
      </w:r>
    </w:p>
    <w:p w14:paraId="11A39C84" w14:textId="77777777" w:rsidR="00494B49" w:rsidRDefault="00494B49">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4CB83657" w14:textId="77777777" w:rsidR="00494B49" w:rsidRDefault="00494B49">
      <w:pPr>
        <w:pStyle w:val="p"/>
      </w:pPr>
      <w:r>
        <w:t xml:space="preserve">This Portfolio may be cited as Kirk, 511 T.M., </w:t>
      </w:r>
      <w:r>
        <w:rPr>
          <w:i/>
          <w:iCs/>
        </w:rPr>
        <w:t>Section 1411 — Net Investment Income Tax</w:t>
      </w:r>
      <w:r>
        <w:t>.</w:t>
      </w:r>
    </w:p>
    <w:p w14:paraId="52097EE5" w14:textId="77777777" w:rsidR="00494B49" w:rsidRDefault="00494B49"/>
    <w:tbl>
      <w:tblPr>
        <w:tblW w:w="0" w:type="auto"/>
        <w:tblInd w:w="1" w:type="dxa"/>
        <w:tblLayout w:type="fixed"/>
        <w:tblCellMar>
          <w:left w:w="1" w:type="dxa"/>
          <w:right w:w="1" w:type="dxa"/>
        </w:tblCellMar>
        <w:tblLook w:val="0000" w:firstRow="0" w:lastRow="0" w:firstColumn="0" w:lastColumn="0" w:noHBand="0" w:noVBand="0"/>
      </w:tblPr>
      <w:tblGrid>
        <w:gridCol w:w="8499"/>
      </w:tblGrid>
      <w:tr w:rsidR="00494B49" w14:paraId="6C904919" w14:textId="77777777">
        <w:tc>
          <w:tcPr>
            <w:tcW w:w="8499" w:type="dxa"/>
            <w:tcBorders>
              <w:top w:val="nil"/>
              <w:left w:val="nil"/>
              <w:bottom w:val="nil"/>
              <w:right w:val="nil"/>
            </w:tcBorders>
          </w:tcPr>
          <w:p w14:paraId="5156087B" w14:textId="77777777" w:rsidR="00494B49" w:rsidRDefault="00494B49">
            <w:pPr>
              <w:rPr>
                <w:sz w:val="18"/>
                <w:szCs w:val="18"/>
              </w:rPr>
            </w:pPr>
            <w: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76512BEE" w14:textId="77777777" w:rsidR="00494B49" w:rsidRDefault="00494B49">
      <w:pPr>
        <w:rPr>
          <w:sz w:val="18"/>
          <w:szCs w:val="18"/>
        </w:rPr>
      </w:pPr>
    </w:p>
    <w:p w14:paraId="230F4060" w14:textId="77777777" w:rsidR="00494B49" w:rsidRDefault="00494B49">
      <w:pPr>
        <w:rPr>
          <w:rFonts w:ascii="Times New Roman" w:eastAsiaTheme="minorEastAsia" w:hAnsi="Times New Roman" w:cs="Times New Roman"/>
          <w:b/>
          <w:bCs/>
          <w:kern w:val="0"/>
          <w:sz w:val="26"/>
          <w:szCs w:val="26"/>
        </w:rPr>
      </w:pPr>
      <w:r>
        <w:rPr>
          <w:b/>
          <w:bCs/>
          <w:sz w:val="26"/>
          <w:szCs w:val="26"/>
        </w:rPr>
        <w:br w:type="page"/>
      </w:r>
    </w:p>
    <w:p w14:paraId="1B25608B" w14:textId="77777777" w:rsidR="00494B49" w:rsidRDefault="00494B49" w:rsidP="003B0773">
      <w:pPr>
        <w:pStyle w:val="BChapterName"/>
      </w:pPr>
      <w:r>
        <w:lastRenderedPageBreak/>
        <w:t xml:space="preserve">TABLE OF CONTENTS </w:t>
      </w:r>
    </w:p>
    <w:p w14:paraId="03F57AC8" w14:textId="77777777" w:rsidR="00494B49" w:rsidRDefault="00494B49">
      <w:pPr>
        <w:rPr>
          <w:b/>
          <w:bCs/>
          <w:sz w:val="26"/>
          <w:szCs w:val="26"/>
        </w:rPr>
      </w:pPr>
      <w:r>
        <w:rPr>
          <w:b/>
          <w:bCs/>
          <w:sz w:val="26"/>
          <w:szCs w:val="26"/>
        </w:rPr>
        <w:t xml:space="preserve">DETAILED ANALYSIS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94B49" w:rsidRPr="003B0773" w14:paraId="2E16D6F0" w14:textId="77777777" w:rsidTr="003B0773">
        <w:tc>
          <w:tcPr>
            <w:tcW w:w="9606" w:type="dxa"/>
          </w:tcPr>
          <w:p w14:paraId="7B740CAA"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 Introduction</w:t>
            </w:r>
          </w:p>
        </w:tc>
      </w:tr>
      <w:tr w:rsidR="00494B49" w:rsidRPr="003B0773" w14:paraId="6BD68999" w14:textId="77777777" w:rsidTr="003B0773">
        <w:tc>
          <w:tcPr>
            <w:tcW w:w="9606" w:type="dxa"/>
          </w:tcPr>
          <w:p w14:paraId="3D406E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Statutory Overview</w:t>
            </w:r>
          </w:p>
        </w:tc>
      </w:tr>
      <w:tr w:rsidR="00494B49" w:rsidRPr="003B0773" w14:paraId="10F9E669" w14:textId="77777777" w:rsidTr="003B0773">
        <w:tc>
          <w:tcPr>
            <w:tcW w:w="9606" w:type="dxa"/>
          </w:tcPr>
          <w:p w14:paraId="2069AC0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1411 Generally</w:t>
            </w:r>
          </w:p>
        </w:tc>
      </w:tr>
      <w:tr w:rsidR="00494B49" w:rsidRPr="003B0773" w14:paraId="1907F92C" w14:textId="77777777" w:rsidTr="003B0773">
        <w:tc>
          <w:tcPr>
            <w:tcW w:w="9606" w:type="dxa"/>
          </w:tcPr>
          <w:p w14:paraId="5E08F76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The Section 1411 Tax Base</w:t>
            </w:r>
          </w:p>
        </w:tc>
      </w:tr>
      <w:tr w:rsidR="00494B49" w:rsidRPr="003B0773" w14:paraId="1ECD66E1" w14:textId="77777777" w:rsidTr="003B0773">
        <w:tc>
          <w:tcPr>
            <w:tcW w:w="9606" w:type="dxa"/>
          </w:tcPr>
          <w:p w14:paraId="61EEBCC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to Individuals</w:t>
            </w:r>
          </w:p>
        </w:tc>
      </w:tr>
      <w:tr w:rsidR="00494B49" w:rsidRPr="003B0773" w14:paraId="4DD9D3F8" w14:textId="77777777" w:rsidTr="003B0773">
        <w:tc>
          <w:tcPr>
            <w:tcW w:w="9606" w:type="dxa"/>
          </w:tcPr>
          <w:p w14:paraId="48F082E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to Estates and Trusts</w:t>
            </w:r>
          </w:p>
        </w:tc>
      </w:tr>
      <w:tr w:rsidR="00494B49" w:rsidRPr="003B0773" w14:paraId="475BFBD5" w14:textId="77777777" w:rsidTr="003B0773">
        <w:tc>
          <w:tcPr>
            <w:tcW w:w="9606" w:type="dxa"/>
          </w:tcPr>
          <w:p w14:paraId="38A5AF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Calculation of Net Investment Income</w:t>
            </w:r>
          </w:p>
        </w:tc>
      </w:tr>
      <w:tr w:rsidR="00494B49" w:rsidRPr="003B0773" w14:paraId="52EA47DA" w14:textId="77777777" w:rsidTr="003B0773">
        <w:tc>
          <w:tcPr>
            <w:tcW w:w="9606" w:type="dxa"/>
          </w:tcPr>
          <w:p w14:paraId="2ED8EC34"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Legislative History</w:t>
            </w:r>
          </w:p>
        </w:tc>
      </w:tr>
      <w:tr w:rsidR="00494B49" w:rsidRPr="003B0773" w14:paraId="48783AFF" w14:textId="77777777" w:rsidTr="003B0773">
        <w:tc>
          <w:tcPr>
            <w:tcW w:w="9606" w:type="dxa"/>
          </w:tcPr>
          <w:p w14:paraId="00D3628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IRS Guidance and Regulations</w:t>
            </w:r>
          </w:p>
        </w:tc>
      </w:tr>
      <w:tr w:rsidR="00494B49" w:rsidRPr="003B0773" w14:paraId="02E14154" w14:textId="77777777" w:rsidTr="003B0773">
        <w:tc>
          <w:tcPr>
            <w:tcW w:w="9606" w:type="dxa"/>
          </w:tcPr>
          <w:p w14:paraId="477C33E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2013 Final Regulations</w:t>
            </w:r>
          </w:p>
        </w:tc>
      </w:tr>
      <w:tr w:rsidR="00494B49" w:rsidRPr="003B0773" w14:paraId="41A18080" w14:textId="77777777" w:rsidTr="003B0773">
        <w:tc>
          <w:tcPr>
            <w:tcW w:w="9606" w:type="dxa"/>
          </w:tcPr>
          <w:p w14:paraId="1693DD6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2013 Proposed Regulations</w:t>
            </w:r>
          </w:p>
        </w:tc>
      </w:tr>
      <w:tr w:rsidR="00494B49" w:rsidRPr="003B0773" w14:paraId="7C2B8CE7" w14:textId="77777777" w:rsidTr="003B0773">
        <w:tc>
          <w:tcPr>
            <w:tcW w:w="9606" w:type="dxa"/>
          </w:tcPr>
          <w:p w14:paraId="6BCB95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IRS.gov Frequently Asked Questions</w:t>
            </w:r>
          </w:p>
        </w:tc>
      </w:tr>
      <w:tr w:rsidR="00494B49" w:rsidRPr="003B0773" w14:paraId="21F4F053" w14:textId="77777777" w:rsidTr="003B0773">
        <w:tc>
          <w:tcPr>
            <w:tcW w:w="9606" w:type="dxa"/>
          </w:tcPr>
          <w:p w14:paraId="2DC9635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Effective Dates and Taxpayer Reliance</w:t>
            </w:r>
          </w:p>
        </w:tc>
      </w:tr>
      <w:tr w:rsidR="00494B49" w:rsidRPr="003B0773" w14:paraId="41B90275" w14:textId="77777777" w:rsidTr="003B0773">
        <w:tc>
          <w:tcPr>
            <w:tcW w:w="9606" w:type="dxa"/>
          </w:tcPr>
          <w:p w14:paraId="4CB4735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II. General Operating Principles</w:t>
            </w:r>
          </w:p>
        </w:tc>
      </w:tr>
      <w:tr w:rsidR="00494B49" w:rsidRPr="003B0773" w14:paraId="23D42B84" w14:textId="77777777" w:rsidTr="003B0773">
        <w:tc>
          <w:tcPr>
            <w:tcW w:w="9606" w:type="dxa"/>
          </w:tcPr>
          <w:p w14:paraId="71A00B0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Chapter 1 Principles in Chapter 2A</w:t>
            </w:r>
          </w:p>
        </w:tc>
      </w:tr>
      <w:tr w:rsidR="00494B49" w:rsidRPr="003B0773" w14:paraId="27210A5A" w14:textId="77777777" w:rsidTr="003B0773">
        <w:tc>
          <w:tcPr>
            <w:tcW w:w="9606" w:type="dxa"/>
          </w:tcPr>
          <w:p w14:paraId="1D96394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Credits</w:t>
            </w:r>
          </w:p>
        </w:tc>
      </w:tr>
      <w:tr w:rsidR="00494B49" w:rsidRPr="003B0773" w14:paraId="6E3CC349" w14:textId="77777777" w:rsidTr="003B0773">
        <w:tc>
          <w:tcPr>
            <w:tcW w:w="9606" w:type="dxa"/>
          </w:tcPr>
          <w:p w14:paraId="3996EE3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Definitions</w:t>
            </w:r>
          </w:p>
        </w:tc>
      </w:tr>
      <w:tr w:rsidR="00494B49" w:rsidRPr="003B0773" w14:paraId="6612E25E" w14:textId="77777777" w:rsidTr="003B0773">
        <w:tc>
          <w:tcPr>
            <w:tcW w:w="9606" w:type="dxa"/>
          </w:tcPr>
          <w:p w14:paraId="2C1CC08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Net Investment Income </w:t>
            </w:r>
          </w:p>
        </w:tc>
      </w:tr>
      <w:tr w:rsidR="00494B49" w:rsidRPr="003B0773" w14:paraId="29E900A4" w14:textId="77777777" w:rsidTr="003B0773">
        <w:tc>
          <w:tcPr>
            <w:tcW w:w="9606" w:type="dxa"/>
          </w:tcPr>
          <w:p w14:paraId="7D831C7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Excluded Income </w:t>
            </w:r>
          </w:p>
        </w:tc>
      </w:tr>
      <w:tr w:rsidR="00494B49" w:rsidRPr="003B0773" w14:paraId="6FB5577E" w14:textId="77777777" w:rsidTr="003B0773">
        <w:tc>
          <w:tcPr>
            <w:tcW w:w="9606" w:type="dxa"/>
          </w:tcPr>
          <w:p w14:paraId="6ACA589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Trades or Businesses to Which the NIIT Applies</w:t>
            </w:r>
          </w:p>
        </w:tc>
      </w:tr>
      <w:tr w:rsidR="00494B49" w:rsidRPr="003B0773" w14:paraId="2FEEDE66" w14:textId="77777777" w:rsidTr="003B0773">
        <w:tc>
          <w:tcPr>
            <w:tcW w:w="9606" w:type="dxa"/>
          </w:tcPr>
          <w:p w14:paraId="1AEA77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Trade or Business That Is a Passive Activity — §1411(c)(2)(A)</w:t>
            </w:r>
          </w:p>
        </w:tc>
      </w:tr>
      <w:tr w:rsidR="00494B49" w:rsidRPr="003B0773" w14:paraId="3C1196F7" w14:textId="77777777" w:rsidTr="003B0773">
        <w:tc>
          <w:tcPr>
            <w:tcW w:w="9606" w:type="dxa"/>
          </w:tcPr>
          <w:p w14:paraId="79D6AF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Passive Activities Under Section 469 </w:t>
            </w:r>
          </w:p>
        </w:tc>
      </w:tr>
      <w:tr w:rsidR="00494B49" w:rsidRPr="003B0773" w14:paraId="706D1ACC" w14:textId="77777777" w:rsidTr="003B0773">
        <w:tc>
          <w:tcPr>
            <w:tcW w:w="9606" w:type="dxa"/>
          </w:tcPr>
          <w:p w14:paraId="09D94D0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Effect of Section 469 Recharacterization Rules</w:t>
            </w:r>
          </w:p>
        </w:tc>
      </w:tr>
      <w:tr w:rsidR="00494B49" w:rsidRPr="003B0773" w14:paraId="28774E31" w14:textId="77777777" w:rsidTr="003B0773">
        <w:tc>
          <w:tcPr>
            <w:tcW w:w="9606" w:type="dxa"/>
          </w:tcPr>
          <w:p w14:paraId="24A9FDB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Income Recharacterization Rules</w:t>
            </w:r>
          </w:p>
        </w:tc>
      </w:tr>
      <w:tr w:rsidR="00494B49" w:rsidRPr="003B0773" w14:paraId="7AD8A935" w14:textId="77777777" w:rsidTr="003B0773">
        <w:tc>
          <w:tcPr>
            <w:tcW w:w="9606" w:type="dxa"/>
          </w:tcPr>
          <w:p w14:paraId="03FF792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Substantially Appreciated Property</w:t>
            </w:r>
          </w:p>
        </w:tc>
      </w:tr>
      <w:tr w:rsidR="00494B49" w:rsidRPr="003B0773" w14:paraId="0BC68AAC" w14:textId="77777777" w:rsidTr="003B0773">
        <w:tc>
          <w:tcPr>
            <w:tcW w:w="9606" w:type="dxa"/>
          </w:tcPr>
          <w:p w14:paraId="64E04B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 Rules</w:t>
            </w:r>
          </w:p>
        </w:tc>
      </w:tr>
      <w:tr w:rsidR="00494B49" w:rsidRPr="003B0773" w14:paraId="78E886E3" w14:textId="77777777" w:rsidTr="003B0773">
        <w:tc>
          <w:tcPr>
            <w:tcW w:w="9606" w:type="dxa"/>
          </w:tcPr>
          <w:p w14:paraId="5AC2A95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Regrouping</w:t>
            </w:r>
          </w:p>
        </w:tc>
      </w:tr>
      <w:tr w:rsidR="00494B49" w:rsidRPr="003B0773" w14:paraId="07F08BB4" w14:textId="77777777" w:rsidTr="003B0773">
        <w:tc>
          <w:tcPr>
            <w:tcW w:w="9606" w:type="dxa"/>
          </w:tcPr>
          <w:p w14:paraId="0B8BA97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Trade or Business of Rental Real Estate</w:t>
            </w:r>
          </w:p>
        </w:tc>
      </w:tr>
      <w:tr w:rsidR="00494B49" w:rsidRPr="003B0773" w14:paraId="64C3C7FF" w14:textId="77777777" w:rsidTr="003B0773">
        <w:tc>
          <w:tcPr>
            <w:tcW w:w="9606" w:type="dxa"/>
          </w:tcPr>
          <w:p w14:paraId="322C3396" w14:textId="77777777" w:rsidR="00494B49" w:rsidRPr="003B0773" w:rsidRDefault="00494B49" w:rsidP="000463E5">
            <w:pPr>
              <w:tabs>
                <w:tab w:val="left" w:pos="4185"/>
              </w:tabs>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Farming Operations</w:t>
            </w:r>
            <w:r w:rsidRPr="003B0773">
              <w:rPr>
                <w:rFonts w:ascii="Times New Roman" w:hAnsi="Times New Roman" w:cs="Times New Roman"/>
                <w:snapToGrid w:val="0"/>
                <w:sz w:val="18"/>
                <w:szCs w:val="18"/>
              </w:rPr>
              <w:tab/>
            </w:r>
          </w:p>
        </w:tc>
      </w:tr>
      <w:tr w:rsidR="00494B49" w:rsidRPr="003B0773" w14:paraId="36FDCBD2" w14:textId="77777777" w:rsidTr="003B0773">
        <w:tc>
          <w:tcPr>
            <w:tcW w:w="9606" w:type="dxa"/>
          </w:tcPr>
          <w:p w14:paraId="45DC7EE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Trade or Business of Trading in Financial Instruments or Commodities — §1411(c)(2)(B)</w:t>
            </w:r>
          </w:p>
        </w:tc>
      </w:tr>
      <w:tr w:rsidR="00494B49" w:rsidRPr="003B0773" w14:paraId="108084E5" w14:textId="77777777" w:rsidTr="003B0773">
        <w:tc>
          <w:tcPr>
            <w:tcW w:w="9606" w:type="dxa"/>
          </w:tcPr>
          <w:p w14:paraId="418117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Financial Instruments and Commodities</w:t>
            </w:r>
          </w:p>
        </w:tc>
      </w:tr>
      <w:tr w:rsidR="00494B49" w:rsidRPr="003B0773" w14:paraId="4967DBB2" w14:textId="77777777" w:rsidTr="003B0773">
        <w:tc>
          <w:tcPr>
            <w:tcW w:w="9606" w:type="dxa"/>
          </w:tcPr>
          <w:p w14:paraId="2D7700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Interaction with Passive Activities</w:t>
            </w:r>
          </w:p>
        </w:tc>
      </w:tr>
      <w:tr w:rsidR="00494B49" w:rsidRPr="003B0773" w14:paraId="0C34D50C" w14:textId="77777777" w:rsidTr="003B0773">
        <w:tc>
          <w:tcPr>
            <w:tcW w:w="9606" w:type="dxa"/>
          </w:tcPr>
          <w:p w14:paraId="3064203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III. "Gross" Net Investment Income — §1411(c)(1)(A) </w:t>
            </w:r>
          </w:p>
        </w:tc>
      </w:tr>
      <w:tr w:rsidR="00494B49" w:rsidRPr="003B0773" w14:paraId="15E23C1E" w14:textId="77777777" w:rsidTr="003B0773">
        <w:tc>
          <w:tcPr>
            <w:tcW w:w="9606" w:type="dxa"/>
          </w:tcPr>
          <w:p w14:paraId="61DDD28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799BF90C" w14:textId="77777777" w:rsidTr="003B0773">
        <w:tc>
          <w:tcPr>
            <w:tcW w:w="9606" w:type="dxa"/>
          </w:tcPr>
          <w:p w14:paraId="232911C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Dividends, Annuities, Royalties and Rents — §1411(c)(1)(A)(</w:t>
            </w:r>
            <w:proofErr w:type="spellStart"/>
            <w:r w:rsidRPr="003B0773">
              <w:rPr>
                <w:rFonts w:ascii="Times New Roman" w:hAnsi="Times New Roman" w:cs="Times New Roman"/>
                <w:snapToGrid w:val="0"/>
                <w:sz w:val="18"/>
                <w:szCs w:val="18"/>
              </w:rPr>
              <w:t>i</w:t>
            </w:r>
            <w:proofErr w:type="spellEnd"/>
            <w:r w:rsidRPr="003B0773">
              <w:rPr>
                <w:rFonts w:ascii="Times New Roman" w:hAnsi="Times New Roman" w:cs="Times New Roman"/>
                <w:snapToGrid w:val="0"/>
                <w:sz w:val="18"/>
                <w:szCs w:val="18"/>
              </w:rPr>
              <w:t>)</w:t>
            </w:r>
          </w:p>
        </w:tc>
      </w:tr>
      <w:tr w:rsidR="00494B49" w:rsidRPr="003B0773" w14:paraId="0C0A57FF" w14:textId="77777777" w:rsidTr="003B0773">
        <w:tc>
          <w:tcPr>
            <w:tcW w:w="9606" w:type="dxa"/>
          </w:tcPr>
          <w:p w14:paraId="6FAE47E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Income from Investment of Working Capital</w:t>
            </w:r>
          </w:p>
        </w:tc>
      </w:tr>
      <w:tr w:rsidR="00494B49" w:rsidRPr="003B0773" w14:paraId="09D68486" w14:textId="77777777" w:rsidTr="003B0773">
        <w:tc>
          <w:tcPr>
            <w:tcW w:w="9606" w:type="dxa"/>
          </w:tcPr>
          <w:p w14:paraId="03DE7F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`Derived in the Ordinary Course of a Trade or Business' Exception</w:t>
            </w:r>
          </w:p>
        </w:tc>
      </w:tr>
      <w:tr w:rsidR="00494B49" w:rsidRPr="003B0773" w14:paraId="66F4EE91" w14:textId="77777777" w:rsidTr="003B0773">
        <w:tc>
          <w:tcPr>
            <w:tcW w:w="9606" w:type="dxa"/>
          </w:tcPr>
          <w:p w14:paraId="05A6B18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Testing for a Trade or Business</w:t>
            </w:r>
          </w:p>
        </w:tc>
      </w:tr>
      <w:tr w:rsidR="00494B49" w:rsidRPr="003B0773" w14:paraId="5611AB96" w14:textId="77777777" w:rsidTr="003B0773">
        <w:tc>
          <w:tcPr>
            <w:tcW w:w="9606" w:type="dxa"/>
          </w:tcPr>
          <w:p w14:paraId="5D7113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Derived in the Ordinary Course</w:t>
            </w:r>
          </w:p>
        </w:tc>
      </w:tr>
      <w:tr w:rsidR="00494B49" w:rsidRPr="003B0773" w14:paraId="6D5C6952" w14:textId="77777777" w:rsidTr="003B0773">
        <w:tc>
          <w:tcPr>
            <w:tcW w:w="9606" w:type="dxa"/>
          </w:tcPr>
          <w:p w14:paraId="7EF08CF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Role of §1411(c)(3) — Treatment of Working Capital</w:t>
            </w:r>
          </w:p>
        </w:tc>
      </w:tr>
      <w:tr w:rsidR="00494B49" w:rsidRPr="003B0773" w14:paraId="1DFC09AF" w14:textId="77777777" w:rsidTr="003B0773">
        <w:tc>
          <w:tcPr>
            <w:tcW w:w="9606" w:type="dxa"/>
          </w:tcPr>
          <w:p w14:paraId="0D4152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Interest</w:t>
            </w:r>
          </w:p>
        </w:tc>
      </w:tr>
      <w:tr w:rsidR="00494B49" w:rsidRPr="003B0773" w14:paraId="1652F298" w14:textId="77777777" w:rsidTr="003B0773">
        <w:tc>
          <w:tcPr>
            <w:tcW w:w="9606" w:type="dxa"/>
          </w:tcPr>
          <w:p w14:paraId="690C422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Interest and Interest-Equivalents</w:t>
            </w:r>
          </w:p>
        </w:tc>
      </w:tr>
      <w:tr w:rsidR="00494B49" w:rsidRPr="003B0773" w14:paraId="0C52B974" w14:textId="77777777" w:rsidTr="003B0773">
        <w:tc>
          <w:tcPr>
            <w:tcW w:w="9606" w:type="dxa"/>
          </w:tcPr>
          <w:p w14:paraId="0731609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Common Interest Income</w:t>
            </w:r>
          </w:p>
        </w:tc>
      </w:tr>
      <w:tr w:rsidR="00494B49" w:rsidRPr="003B0773" w14:paraId="322007ED" w14:textId="77777777" w:rsidTr="003B0773">
        <w:tc>
          <w:tcPr>
            <w:tcW w:w="9606" w:type="dxa"/>
          </w:tcPr>
          <w:p w14:paraId="5CA146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Items Treated as Interest for NIIT Purposes</w:t>
            </w:r>
          </w:p>
        </w:tc>
      </w:tr>
      <w:tr w:rsidR="00494B49" w:rsidRPr="003B0773" w14:paraId="610C85F0" w14:textId="77777777" w:rsidTr="003B0773">
        <w:tc>
          <w:tcPr>
            <w:tcW w:w="9606" w:type="dxa"/>
          </w:tcPr>
          <w:p w14:paraId="11DCDCB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Items Not Treated as Interest</w:t>
            </w:r>
          </w:p>
        </w:tc>
      </w:tr>
      <w:tr w:rsidR="00494B49" w:rsidRPr="003B0773" w14:paraId="69B2373C" w14:textId="77777777" w:rsidTr="003B0773">
        <w:tc>
          <w:tcPr>
            <w:tcW w:w="9606" w:type="dxa"/>
          </w:tcPr>
          <w:p w14:paraId="387B352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Interest Derived in the Ordinary Course of a Trade or Business </w:t>
            </w:r>
          </w:p>
        </w:tc>
      </w:tr>
      <w:tr w:rsidR="00494B49" w:rsidRPr="003B0773" w14:paraId="4BF34171" w14:textId="77777777" w:rsidTr="003B0773">
        <w:tc>
          <w:tcPr>
            <w:tcW w:w="9606" w:type="dxa"/>
          </w:tcPr>
          <w:p w14:paraId="74FDE9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Interest</w:t>
            </w:r>
          </w:p>
        </w:tc>
      </w:tr>
      <w:tr w:rsidR="00494B49" w:rsidRPr="003B0773" w14:paraId="19F91E80" w14:textId="77777777" w:rsidTr="003B0773">
        <w:tc>
          <w:tcPr>
            <w:tcW w:w="9606" w:type="dxa"/>
          </w:tcPr>
          <w:p w14:paraId="4E226E9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Interest Rules </w:t>
            </w:r>
          </w:p>
        </w:tc>
      </w:tr>
      <w:tr w:rsidR="00494B49" w:rsidRPr="003B0773" w14:paraId="65F3B092" w14:textId="77777777" w:rsidTr="003B0773">
        <w:tc>
          <w:tcPr>
            <w:tcW w:w="9606" w:type="dxa"/>
          </w:tcPr>
          <w:p w14:paraId="0513DC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Interest Rules Under NIIT</w:t>
            </w:r>
          </w:p>
        </w:tc>
      </w:tr>
      <w:tr w:rsidR="00494B49" w:rsidRPr="003B0773" w14:paraId="69560A3A" w14:textId="77777777" w:rsidTr="003B0773">
        <w:tc>
          <w:tcPr>
            <w:tcW w:w="9606" w:type="dxa"/>
          </w:tcPr>
          <w:p w14:paraId="50C9D0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Interest Included in Net Earnings from Self-Employment</w:t>
            </w:r>
          </w:p>
        </w:tc>
      </w:tr>
      <w:tr w:rsidR="00494B49" w:rsidRPr="003B0773" w14:paraId="594E4030" w14:textId="77777777" w:rsidTr="003B0773">
        <w:tc>
          <w:tcPr>
            <w:tcW w:w="9606" w:type="dxa"/>
          </w:tcPr>
          <w:p w14:paraId="24D34D6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Dividends</w:t>
            </w:r>
          </w:p>
        </w:tc>
      </w:tr>
      <w:tr w:rsidR="00494B49" w:rsidRPr="003B0773" w14:paraId="10CE1C28" w14:textId="77777777" w:rsidTr="003B0773">
        <w:tc>
          <w:tcPr>
            <w:tcW w:w="9606" w:type="dxa"/>
          </w:tcPr>
          <w:p w14:paraId="2A01595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Dividends and Dividend-Equivalents</w:t>
            </w:r>
          </w:p>
        </w:tc>
      </w:tr>
      <w:tr w:rsidR="00494B49" w:rsidRPr="003B0773" w14:paraId="7693121B" w14:textId="77777777" w:rsidTr="003B0773">
        <w:tc>
          <w:tcPr>
            <w:tcW w:w="9606" w:type="dxa"/>
          </w:tcPr>
          <w:p w14:paraId="4E1AD6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Dividends Derived in the Ordinary Course of a Trade or Business </w:t>
            </w:r>
          </w:p>
        </w:tc>
      </w:tr>
      <w:tr w:rsidR="00494B49" w:rsidRPr="003B0773" w14:paraId="1031EC39" w14:textId="77777777" w:rsidTr="003B0773">
        <w:tc>
          <w:tcPr>
            <w:tcW w:w="9606" w:type="dxa"/>
          </w:tcPr>
          <w:p w14:paraId="032A7E0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Income from CFCs and PFICs</w:t>
            </w:r>
          </w:p>
        </w:tc>
      </w:tr>
      <w:tr w:rsidR="00494B49" w:rsidRPr="003B0773" w14:paraId="428FC1AB" w14:textId="77777777" w:rsidTr="003B0773">
        <w:tc>
          <w:tcPr>
            <w:tcW w:w="9606" w:type="dxa"/>
          </w:tcPr>
          <w:p w14:paraId="66400F1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Dividends Included in Net Earnings from Self-Employment</w:t>
            </w:r>
          </w:p>
        </w:tc>
      </w:tr>
      <w:tr w:rsidR="00494B49" w:rsidRPr="003B0773" w14:paraId="103B3B87" w14:textId="77777777" w:rsidTr="003B0773">
        <w:tc>
          <w:tcPr>
            <w:tcW w:w="9606" w:type="dxa"/>
          </w:tcPr>
          <w:p w14:paraId="20058E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5. Annuities</w:t>
            </w:r>
          </w:p>
        </w:tc>
      </w:tr>
      <w:tr w:rsidR="00494B49" w:rsidRPr="003B0773" w14:paraId="579847B2" w14:textId="77777777" w:rsidTr="003B0773">
        <w:tc>
          <w:tcPr>
            <w:tcW w:w="9606" w:type="dxa"/>
          </w:tcPr>
          <w:p w14:paraId="4B675E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Annuities</w:t>
            </w:r>
          </w:p>
        </w:tc>
      </w:tr>
      <w:tr w:rsidR="00494B49" w:rsidRPr="003B0773" w14:paraId="01DC193B" w14:textId="77777777" w:rsidTr="003B0773">
        <w:tc>
          <w:tcPr>
            <w:tcW w:w="9606" w:type="dxa"/>
          </w:tcPr>
          <w:p w14:paraId="08034E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Foreign Pensions</w:t>
            </w:r>
          </w:p>
        </w:tc>
      </w:tr>
      <w:tr w:rsidR="00494B49" w:rsidRPr="003B0773" w14:paraId="3E1FD233" w14:textId="77777777" w:rsidTr="003B0773">
        <w:tc>
          <w:tcPr>
            <w:tcW w:w="9606" w:type="dxa"/>
          </w:tcPr>
          <w:p w14:paraId="73C094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Lottery Winnings</w:t>
            </w:r>
          </w:p>
        </w:tc>
      </w:tr>
      <w:tr w:rsidR="00494B49" w:rsidRPr="003B0773" w14:paraId="70D8FDB6" w14:textId="77777777" w:rsidTr="003B0773">
        <w:tc>
          <w:tcPr>
            <w:tcW w:w="9606" w:type="dxa"/>
          </w:tcPr>
          <w:p w14:paraId="65CFD2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Sales of Annuities, Endowment, and Life Insurance Contracts</w:t>
            </w:r>
          </w:p>
        </w:tc>
      </w:tr>
      <w:tr w:rsidR="00494B49" w:rsidRPr="003B0773" w14:paraId="02FB71E7" w14:textId="77777777" w:rsidTr="003B0773">
        <w:tc>
          <w:tcPr>
            <w:tcW w:w="9606" w:type="dxa"/>
          </w:tcPr>
          <w:p w14:paraId="4F8A2D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Foreign Life Insurance Contacts</w:t>
            </w:r>
          </w:p>
        </w:tc>
      </w:tr>
      <w:tr w:rsidR="00494B49" w:rsidRPr="003B0773" w14:paraId="49F47CD3" w14:textId="77777777" w:rsidTr="003B0773">
        <w:tc>
          <w:tcPr>
            <w:tcW w:w="9606" w:type="dxa"/>
          </w:tcPr>
          <w:p w14:paraId="034D5CF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Annuities Derived in the Ordinary Course of a Trade or Business </w:t>
            </w:r>
          </w:p>
        </w:tc>
      </w:tr>
      <w:tr w:rsidR="00494B49" w:rsidRPr="003B0773" w14:paraId="26765203" w14:textId="77777777" w:rsidTr="003B0773">
        <w:tc>
          <w:tcPr>
            <w:tcW w:w="9606" w:type="dxa"/>
          </w:tcPr>
          <w:p w14:paraId="4365764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Information Reporting</w:t>
            </w:r>
          </w:p>
        </w:tc>
      </w:tr>
      <w:tr w:rsidR="00494B49" w:rsidRPr="003B0773" w14:paraId="22FFC2AC" w14:textId="77777777" w:rsidTr="003B0773">
        <w:tc>
          <w:tcPr>
            <w:tcW w:w="9606" w:type="dxa"/>
          </w:tcPr>
          <w:p w14:paraId="243511F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Royalties</w:t>
            </w:r>
          </w:p>
        </w:tc>
      </w:tr>
      <w:tr w:rsidR="00494B49" w:rsidRPr="003B0773" w14:paraId="399DF0DE" w14:textId="77777777" w:rsidTr="003B0773">
        <w:tc>
          <w:tcPr>
            <w:tcW w:w="9606" w:type="dxa"/>
          </w:tcPr>
          <w:p w14:paraId="48DBF6F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Royalties</w:t>
            </w:r>
          </w:p>
        </w:tc>
      </w:tr>
      <w:tr w:rsidR="00494B49" w:rsidRPr="003B0773" w14:paraId="38BFB784" w14:textId="77777777" w:rsidTr="003B0773">
        <w:tc>
          <w:tcPr>
            <w:tcW w:w="9606" w:type="dxa"/>
          </w:tcPr>
          <w:p w14:paraId="7B2E42A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Royalties Derived in the Ordinary Course of a Trade or Business</w:t>
            </w:r>
          </w:p>
        </w:tc>
      </w:tr>
      <w:tr w:rsidR="00494B49" w:rsidRPr="003B0773" w14:paraId="6F53EC00" w14:textId="77777777" w:rsidTr="003B0773">
        <w:tc>
          <w:tcPr>
            <w:tcW w:w="9606" w:type="dxa"/>
          </w:tcPr>
          <w:p w14:paraId="2DF01B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Royalties from Intangibles Licensing</w:t>
            </w:r>
          </w:p>
        </w:tc>
      </w:tr>
      <w:tr w:rsidR="00494B49" w:rsidRPr="003B0773" w14:paraId="4FB71F95" w14:textId="77777777" w:rsidTr="003B0773">
        <w:tc>
          <w:tcPr>
            <w:tcW w:w="9606" w:type="dxa"/>
          </w:tcPr>
          <w:p w14:paraId="0191C1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Mineral Royalties</w:t>
            </w:r>
          </w:p>
        </w:tc>
      </w:tr>
      <w:tr w:rsidR="00494B49" w:rsidRPr="003B0773" w14:paraId="1D0EEC2B" w14:textId="77777777" w:rsidTr="003B0773">
        <w:tc>
          <w:tcPr>
            <w:tcW w:w="9606" w:type="dxa"/>
          </w:tcPr>
          <w:p w14:paraId="3F4389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Royalties</w:t>
            </w:r>
          </w:p>
        </w:tc>
      </w:tr>
      <w:tr w:rsidR="00494B49" w:rsidRPr="003B0773" w14:paraId="3181CD3D" w14:textId="77777777" w:rsidTr="003B0773">
        <w:tc>
          <w:tcPr>
            <w:tcW w:w="9606" w:type="dxa"/>
          </w:tcPr>
          <w:p w14:paraId="6086E16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Royalty Rules </w:t>
            </w:r>
          </w:p>
        </w:tc>
      </w:tr>
      <w:tr w:rsidR="00494B49" w:rsidRPr="003B0773" w14:paraId="597769E6" w14:textId="77777777" w:rsidTr="003B0773">
        <w:tc>
          <w:tcPr>
            <w:tcW w:w="9606" w:type="dxa"/>
          </w:tcPr>
          <w:p w14:paraId="5BAB661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Royalty Rules Under NIIT</w:t>
            </w:r>
          </w:p>
        </w:tc>
      </w:tr>
      <w:tr w:rsidR="00494B49" w:rsidRPr="003B0773" w14:paraId="411FC0C6" w14:textId="77777777" w:rsidTr="003B0773">
        <w:tc>
          <w:tcPr>
            <w:tcW w:w="9606" w:type="dxa"/>
          </w:tcPr>
          <w:p w14:paraId="552680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Royalty Income Included in Net Earnings from Self-Employment</w:t>
            </w:r>
          </w:p>
        </w:tc>
      </w:tr>
      <w:tr w:rsidR="00494B49" w:rsidRPr="003B0773" w14:paraId="1E360F27" w14:textId="77777777" w:rsidTr="003B0773">
        <w:tc>
          <w:tcPr>
            <w:tcW w:w="9606" w:type="dxa"/>
          </w:tcPr>
          <w:p w14:paraId="7A33544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Rents</w:t>
            </w:r>
          </w:p>
        </w:tc>
      </w:tr>
      <w:tr w:rsidR="00494B49" w:rsidRPr="003B0773" w14:paraId="04E347CA" w14:textId="77777777" w:rsidTr="003B0773">
        <w:tc>
          <w:tcPr>
            <w:tcW w:w="9606" w:type="dxa"/>
          </w:tcPr>
          <w:p w14:paraId="1AF0045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Rents</w:t>
            </w:r>
          </w:p>
        </w:tc>
      </w:tr>
      <w:tr w:rsidR="00494B49" w:rsidRPr="003B0773" w14:paraId="7474EC3B" w14:textId="77777777" w:rsidTr="003B0773">
        <w:tc>
          <w:tcPr>
            <w:tcW w:w="9606" w:type="dxa"/>
          </w:tcPr>
          <w:p w14:paraId="1E45BD1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Rents Derived in the Ordinary Course of a Trade or Business </w:t>
            </w:r>
          </w:p>
        </w:tc>
      </w:tr>
      <w:tr w:rsidR="00494B49" w:rsidRPr="003B0773" w14:paraId="040DBCBA" w14:textId="77777777" w:rsidTr="003B0773">
        <w:tc>
          <w:tcPr>
            <w:tcW w:w="9606" w:type="dxa"/>
          </w:tcPr>
          <w:p w14:paraId="4497867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Self-Charged Rents</w:t>
            </w:r>
          </w:p>
        </w:tc>
      </w:tr>
      <w:tr w:rsidR="00494B49" w:rsidRPr="003B0773" w14:paraId="15A2BBFE" w14:textId="77777777" w:rsidTr="003B0773">
        <w:tc>
          <w:tcPr>
            <w:tcW w:w="9606" w:type="dxa"/>
          </w:tcPr>
          <w:p w14:paraId="1E0DE1F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Existing Passive Loss Self-Charged Rent Rules </w:t>
            </w:r>
          </w:p>
        </w:tc>
      </w:tr>
      <w:tr w:rsidR="00494B49" w:rsidRPr="003B0773" w14:paraId="2A382EBE" w14:textId="77777777" w:rsidTr="003B0773">
        <w:tc>
          <w:tcPr>
            <w:tcW w:w="9606" w:type="dxa"/>
          </w:tcPr>
          <w:p w14:paraId="1F12AB0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Self-Charged Rent Rules for NIIT Purposes</w:t>
            </w:r>
          </w:p>
        </w:tc>
      </w:tr>
      <w:tr w:rsidR="00494B49" w:rsidRPr="003B0773" w14:paraId="0DBC7478" w14:textId="77777777" w:rsidTr="003B0773">
        <w:tc>
          <w:tcPr>
            <w:tcW w:w="9606" w:type="dxa"/>
          </w:tcPr>
          <w:p w14:paraId="48660AE3"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Rental Income</w:t>
            </w:r>
          </w:p>
        </w:tc>
      </w:tr>
      <w:tr w:rsidR="00494B49" w:rsidRPr="003B0773" w14:paraId="7A4B8563" w14:textId="77777777" w:rsidTr="003B0773">
        <w:tc>
          <w:tcPr>
            <w:tcW w:w="9606" w:type="dxa"/>
          </w:tcPr>
          <w:p w14:paraId="11CCD67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Exclusion of Gain on Disposition of Self-Rented Property</w:t>
            </w:r>
          </w:p>
        </w:tc>
      </w:tr>
      <w:tr w:rsidR="00494B49" w:rsidRPr="003B0773" w14:paraId="1853843B" w14:textId="77777777" w:rsidTr="003B0773">
        <w:tc>
          <w:tcPr>
            <w:tcW w:w="9606" w:type="dxa"/>
          </w:tcPr>
          <w:p w14:paraId="3E492D1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Rents Received by Real Estate Professionals</w:t>
            </w:r>
          </w:p>
        </w:tc>
      </w:tr>
      <w:tr w:rsidR="00494B49" w:rsidRPr="003B0773" w14:paraId="61BF2B3D" w14:textId="77777777" w:rsidTr="003B0773">
        <w:tc>
          <w:tcPr>
            <w:tcW w:w="9606" w:type="dxa"/>
          </w:tcPr>
          <w:p w14:paraId="570479B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Section 469 Treatment of Real Estate Professionals</w:t>
            </w:r>
          </w:p>
        </w:tc>
      </w:tr>
      <w:tr w:rsidR="00494B49" w:rsidRPr="003B0773" w14:paraId="2EE32029" w14:textId="77777777" w:rsidTr="003B0773">
        <w:tc>
          <w:tcPr>
            <w:tcW w:w="9606" w:type="dxa"/>
          </w:tcPr>
          <w:p w14:paraId="7DEAAC5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Disconnects Between Sections 469 and 1411 </w:t>
            </w:r>
          </w:p>
        </w:tc>
      </w:tr>
      <w:tr w:rsidR="00494B49" w:rsidRPr="003B0773" w14:paraId="2189660A" w14:textId="77777777" w:rsidTr="003B0773">
        <w:tc>
          <w:tcPr>
            <w:tcW w:w="9606" w:type="dxa"/>
          </w:tcPr>
          <w:p w14:paraId="5A559D8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Real Estate Professionals Who Meet NIIT Safe Harbor</w:t>
            </w:r>
          </w:p>
        </w:tc>
      </w:tr>
      <w:tr w:rsidR="00494B49" w:rsidRPr="003B0773" w14:paraId="6E0B3206" w14:textId="77777777" w:rsidTr="003B0773">
        <w:tc>
          <w:tcPr>
            <w:tcW w:w="9606" w:type="dxa"/>
          </w:tcPr>
          <w:p w14:paraId="2F1C5C3C"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Safe Harbor Requirements</w:t>
            </w:r>
          </w:p>
        </w:tc>
      </w:tr>
      <w:tr w:rsidR="00494B49" w:rsidRPr="003B0773" w14:paraId="7895CA9F" w14:textId="77777777" w:rsidTr="003B0773">
        <w:tc>
          <w:tcPr>
            <w:tcW w:w="9606" w:type="dxa"/>
          </w:tcPr>
          <w:p w14:paraId="3E8B144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Consequences of Meeting Safe Harbor </w:t>
            </w:r>
          </w:p>
        </w:tc>
      </w:tr>
      <w:tr w:rsidR="00494B49" w:rsidRPr="003B0773" w14:paraId="663DD219" w14:textId="77777777" w:rsidTr="003B0773">
        <w:tc>
          <w:tcPr>
            <w:tcW w:w="9606" w:type="dxa"/>
          </w:tcPr>
          <w:p w14:paraId="258B260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Treatment of Real Estate Professionals Who Do Not Meet NIIT Safe Harbor</w:t>
            </w:r>
          </w:p>
        </w:tc>
      </w:tr>
      <w:tr w:rsidR="00494B49" w:rsidRPr="003B0773" w14:paraId="00B15A05" w14:textId="77777777" w:rsidTr="003B0773">
        <w:tc>
          <w:tcPr>
            <w:tcW w:w="9606" w:type="dxa"/>
          </w:tcPr>
          <w:p w14:paraId="6CB1EBD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e. Rental of Farm Land </w:t>
            </w:r>
          </w:p>
        </w:tc>
      </w:tr>
      <w:tr w:rsidR="00494B49" w:rsidRPr="003B0773" w14:paraId="0FEF3237" w14:textId="77777777" w:rsidTr="003B0773">
        <w:tc>
          <w:tcPr>
            <w:tcW w:w="9606" w:type="dxa"/>
          </w:tcPr>
          <w:p w14:paraId="2ED72D3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Difference Between `Rents' and Income from a §469 `Rental Activity'</w:t>
            </w:r>
          </w:p>
        </w:tc>
      </w:tr>
      <w:tr w:rsidR="00494B49" w:rsidRPr="003B0773" w14:paraId="75A6FFB4" w14:textId="77777777" w:rsidTr="003B0773">
        <w:tc>
          <w:tcPr>
            <w:tcW w:w="9606" w:type="dxa"/>
          </w:tcPr>
          <w:p w14:paraId="666617A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Other Income Items Derived from §1411(c)(2) Trades or Businesses — §1411(c)(1)(A)(ii)</w:t>
            </w:r>
          </w:p>
        </w:tc>
      </w:tr>
      <w:tr w:rsidR="00494B49" w:rsidRPr="003B0773" w14:paraId="527EEADC" w14:textId="77777777" w:rsidTr="003B0773">
        <w:tc>
          <w:tcPr>
            <w:tcW w:w="9606" w:type="dxa"/>
          </w:tcPr>
          <w:p w14:paraId="22AC993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w:t>
            </w:r>
          </w:p>
        </w:tc>
      </w:tr>
      <w:tr w:rsidR="00494B49" w:rsidRPr="003B0773" w14:paraId="574DC53A" w14:textId="77777777" w:rsidTr="003B0773">
        <w:tc>
          <w:tcPr>
            <w:tcW w:w="9606" w:type="dxa"/>
          </w:tcPr>
          <w:p w14:paraId="6A04DA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from CFCs and PFICs as Category II Income</w:t>
            </w:r>
          </w:p>
        </w:tc>
      </w:tr>
      <w:tr w:rsidR="00494B49" w:rsidRPr="003B0773" w14:paraId="14C079AD" w14:textId="77777777" w:rsidTr="003B0773">
        <w:tc>
          <w:tcPr>
            <w:tcW w:w="9606" w:type="dxa"/>
          </w:tcPr>
          <w:p w14:paraId="5D94139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Net Gain from Disposition of Property — §1411(c)(1)(A)(iii)</w:t>
            </w:r>
          </w:p>
        </w:tc>
      </w:tr>
      <w:tr w:rsidR="00494B49" w:rsidRPr="003B0773" w14:paraId="5ED408A4" w14:textId="77777777" w:rsidTr="003B0773">
        <w:tc>
          <w:tcPr>
            <w:tcW w:w="9606" w:type="dxa"/>
          </w:tcPr>
          <w:p w14:paraId="370891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Scope of Category III Income</w:t>
            </w:r>
          </w:p>
        </w:tc>
      </w:tr>
      <w:tr w:rsidR="00494B49" w:rsidRPr="003B0773" w14:paraId="00FFE51A" w14:textId="77777777" w:rsidTr="003B0773">
        <w:tc>
          <w:tcPr>
            <w:tcW w:w="9606" w:type="dxa"/>
          </w:tcPr>
          <w:p w14:paraId="075C7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Gains and Losses Excluded from Taxable Income</w:t>
            </w:r>
          </w:p>
        </w:tc>
      </w:tr>
      <w:tr w:rsidR="00494B49" w:rsidRPr="003B0773" w14:paraId="7567640E" w14:textId="77777777" w:rsidTr="003B0773">
        <w:tc>
          <w:tcPr>
            <w:tcW w:w="9606" w:type="dxa"/>
          </w:tcPr>
          <w:p w14:paraId="7404C0D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Deferred Gain or Loss </w:t>
            </w:r>
          </w:p>
        </w:tc>
      </w:tr>
      <w:tr w:rsidR="00494B49" w:rsidRPr="003B0773" w14:paraId="483530B4" w14:textId="77777777" w:rsidTr="003B0773">
        <w:tc>
          <w:tcPr>
            <w:tcW w:w="9606" w:type="dxa"/>
          </w:tcPr>
          <w:p w14:paraId="1A76520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w:t>
            </w:r>
          </w:p>
        </w:tc>
      </w:tr>
      <w:tr w:rsidR="00494B49" w:rsidRPr="003B0773" w14:paraId="29A18E21" w14:textId="77777777" w:rsidTr="003B0773">
        <w:tc>
          <w:tcPr>
            <w:tcW w:w="9606" w:type="dxa"/>
          </w:tcPr>
          <w:p w14:paraId="3B9A4DA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Opportunity Zone Funds</w:t>
            </w:r>
          </w:p>
        </w:tc>
      </w:tr>
      <w:tr w:rsidR="00494B49" w:rsidRPr="003B0773" w14:paraId="7CC72FEF" w14:textId="77777777" w:rsidTr="003B0773">
        <w:tc>
          <w:tcPr>
            <w:tcW w:w="9606" w:type="dxa"/>
          </w:tcPr>
          <w:p w14:paraId="35D6640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Installment Sales and Private Annuities </w:t>
            </w:r>
          </w:p>
        </w:tc>
      </w:tr>
      <w:tr w:rsidR="00494B49" w:rsidRPr="003B0773" w14:paraId="512BDAC5" w14:textId="77777777" w:rsidTr="003B0773">
        <w:tc>
          <w:tcPr>
            <w:tcW w:w="9606" w:type="dxa"/>
          </w:tcPr>
          <w:p w14:paraId="0086DF2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from Entities </w:t>
            </w:r>
          </w:p>
        </w:tc>
      </w:tr>
      <w:tr w:rsidR="00494B49" w:rsidRPr="003B0773" w14:paraId="06E6A9CE" w14:textId="77777777" w:rsidTr="003B0773">
        <w:tc>
          <w:tcPr>
            <w:tcW w:w="9606" w:type="dxa"/>
          </w:tcPr>
          <w:p w14:paraId="1A749E3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Pre-2013 Capital Loss Carryforwards</w:t>
            </w:r>
          </w:p>
        </w:tc>
      </w:tr>
      <w:tr w:rsidR="00494B49" w:rsidRPr="003B0773" w14:paraId="40D42E94" w14:textId="77777777" w:rsidTr="003B0773">
        <w:tc>
          <w:tcPr>
            <w:tcW w:w="9606" w:type="dxa"/>
          </w:tcPr>
          <w:p w14:paraId="5A0D070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Gain Attributable to Investment of Working Capital</w:t>
            </w:r>
          </w:p>
        </w:tc>
      </w:tr>
      <w:tr w:rsidR="00494B49" w:rsidRPr="003B0773" w14:paraId="052E5ABF" w14:textId="77777777" w:rsidTr="003B0773">
        <w:tc>
          <w:tcPr>
            <w:tcW w:w="9606" w:type="dxa"/>
          </w:tcPr>
          <w:p w14:paraId="270BA7B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Sale of Partnership Interest or S Corporation Stock</w:t>
            </w:r>
          </w:p>
        </w:tc>
      </w:tr>
      <w:tr w:rsidR="00494B49" w:rsidRPr="003B0773" w14:paraId="0D3E8C6C" w14:textId="77777777" w:rsidTr="003B0773">
        <w:tc>
          <w:tcPr>
            <w:tcW w:w="9606" w:type="dxa"/>
          </w:tcPr>
          <w:p w14:paraId="5E5C12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`Dispositions'</w:t>
            </w:r>
          </w:p>
        </w:tc>
      </w:tr>
      <w:tr w:rsidR="00494B49" w:rsidRPr="003B0773" w14:paraId="482E00D2" w14:textId="77777777" w:rsidTr="003B0773">
        <w:tc>
          <w:tcPr>
            <w:tcW w:w="9606" w:type="dxa"/>
          </w:tcPr>
          <w:p w14:paraId="339DCF7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Interaction with Properly Allocable Deductions </w:t>
            </w:r>
          </w:p>
        </w:tc>
      </w:tr>
      <w:tr w:rsidR="00494B49" w:rsidRPr="003B0773" w14:paraId="30085293" w14:textId="77777777" w:rsidTr="003B0773">
        <w:tc>
          <w:tcPr>
            <w:tcW w:w="9606" w:type="dxa"/>
          </w:tcPr>
          <w:p w14:paraId="27E24F4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Capital vs. Ordinary Gains and Losses</w:t>
            </w:r>
          </w:p>
        </w:tc>
      </w:tr>
      <w:tr w:rsidR="00494B49" w:rsidRPr="003B0773" w14:paraId="2DA1B68A" w14:textId="77777777" w:rsidTr="003B0773">
        <w:tc>
          <w:tcPr>
            <w:tcW w:w="9606" w:type="dxa"/>
          </w:tcPr>
          <w:p w14:paraId="4A54ADF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Exception for Gain or Loss Attributable to Property Held in a Non-§1411(c)(2) Trade or Business</w:t>
            </w:r>
          </w:p>
        </w:tc>
      </w:tr>
      <w:tr w:rsidR="00494B49" w:rsidRPr="003B0773" w14:paraId="72724B1C" w14:textId="77777777" w:rsidTr="003B0773">
        <w:tc>
          <w:tcPr>
            <w:tcW w:w="9606" w:type="dxa"/>
          </w:tcPr>
          <w:p w14:paraId="2FE4AA9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Held for Use in a Non-§1411(c)(2) Trade or Business</w:t>
            </w:r>
          </w:p>
        </w:tc>
      </w:tr>
      <w:tr w:rsidR="00494B49" w:rsidRPr="003B0773" w14:paraId="2C056E1D" w14:textId="77777777" w:rsidTr="003B0773">
        <w:tc>
          <w:tcPr>
            <w:tcW w:w="9606" w:type="dxa"/>
          </w:tcPr>
          <w:p w14:paraId="25B8579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`Held' vs. `Used' vs. `Held for Use'</w:t>
            </w:r>
          </w:p>
        </w:tc>
      </w:tr>
      <w:tr w:rsidR="00494B49" w:rsidRPr="003B0773" w14:paraId="1D35169E" w14:textId="77777777" w:rsidTr="003B0773">
        <w:tc>
          <w:tcPr>
            <w:tcW w:w="9606" w:type="dxa"/>
          </w:tcPr>
          <w:p w14:paraId="675E06B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1231 Classification as a Proxy?</w:t>
            </w:r>
          </w:p>
        </w:tc>
      </w:tr>
      <w:tr w:rsidR="00494B49" w:rsidRPr="003B0773" w14:paraId="68D65A6E" w14:textId="77777777" w:rsidTr="003B0773">
        <w:tc>
          <w:tcPr>
            <w:tcW w:w="9606" w:type="dxa"/>
          </w:tcPr>
          <w:p w14:paraId="18B1675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167 as a Proxy?</w:t>
            </w:r>
          </w:p>
        </w:tc>
      </w:tr>
      <w:tr w:rsidR="00494B49" w:rsidRPr="003B0773" w14:paraId="0B127CE4" w14:textId="77777777" w:rsidTr="003B0773">
        <w:tc>
          <w:tcPr>
            <w:tcW w:w="9606" w:type="dxa"/>
          </w:tcPr>
          <w:p w14:paraId="0258286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Section 1221(a)(2) as a Proxy?</w:t>
            </w:r>
          </w:p>
        </w:tc>
      </w:tr>
      <w:tr w:rsidR="00494B49" w:rsidRPr="003B0773" w14:paraId="4CA0E9CD" w14:textId="77777777" w:rsidTr="003B0773">
        <w:tc>
          <w:tcPr>
            <w:tcW w:w="9606" w:type="dxa"/>
          </w:tcPr>
          <w:p w14:paraId="5F4DF44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Working Capital</w:t>
            </w:r>
          </w:p>
        </w:tc>
      </w:tr>
      <w:tr w:rsidR="00494B49" w:rsidRPr="003B0773" w14:paraId="3F568556" w14:textId="77777777" w:rsidTr="003B0773">
        <w:tc>
          <w:tcPr>
            <w:tcW w:w="9606" w:type="dxa"/>
          </w:tcPr>
          <w:p w14:paraId="543639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to Certain Nonpassive Activities Arising from §469 Recharacterizations </w:t>
            </w:r>
          </w:p>
        </w:tc>
      </w:tr>
      <w:tr w:rsidR="00494B49" w:rsidRPr="003B0773" w14:paraId="1D85770F" w14:textId="77777777" w:rsidTr="003B0773">
        <w:tc>
          <w:tcPr>
            <w:tcW w:w="9606" w:type="dxa"/>
          </w:tcPr>
          <w:p w14:paraId="75461AF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(1) Income Recharacterizations — Under Reg. §1.469-2(f)(10)</w:t>
            </w:r>
          </w:p>
        </w:tc>
      </w:tr>
      <w:tr w:rsidR="00494B49" w:rsidRPr="003B0773" w14:paraId="2A268CA1" w14:textId="77777777" w:rsidTr="003B0773">
        <w:tc>
          <w:tcPr>
            <w:tcW w:w="9606" w:type="dxa"/>
          </w:tcPr>
          <w:p w14:paraId="243541B5"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Income Recharacterizations Beyond/Apart from Reg. §1.469-2(f)(10)</w:t>
            </w:r>
          </w:p>
        </w:tc>
      </w:tr>
      <w:tr w:rsidR="00494B49" w:rsidRPr="003B0773" w14:paraId="7421FEC2" w14:textId="77777777" w:rsidTr="003B0773">
        <w:tc>
          <w:tcPr>
            <w:tcW w:w="9606" w:type="dxa"/>
          </w:tcPr>
          <w:p w14:paraId="23EDC81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Activity Recharacterizations</w:t>
            </w:r>
          </w:p>
        </w:tc>
      </w:tr>
      <w:tr w:rsidR="00494B49" w:rsidRPr="003B0773" w14:paraId="7DDC84C9" w14:textId="77777777" w:rsidTr="003B0773">
        <w:tc>
          <w:tcPr>
            <w:tcW w:w="9606" w:type="dxa"/>
          </w:tcPr>
          <w:p w14:paraId="5737419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Gains and Losses Taken into Account in Computing Net Earnings from Self-Employment </w:t>
            </w:r>
          </w:p>
        </w:tc>
      </w:tr>
      <w:tr w:rsidR="00494B49" w:rsidRPr="003B0773" w14:paraId="7D69D295" w14:textId="77777777" w:rsidTr="003B0773">
        <w:tc>
          <w:tcPr>
            <w:tcW w:w="9606" w:type="dxa"/>
          </w:tcPr>
          <w:p w14:paraId="0FDF1D0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8. Special Treatment of Carryover Capital Losses </w:t>
            </w:r>
          </w:p>
        </w:tc>
      </w:tr>
      <w:tr w:rsidR="00494B49" w:rsidRPr="003B0773" w14:paraId="7D220234" w14:textId="77777777" w:rsidTr="003B0773">
        <w:tc>
          <w:tcPr>
            <w:tcW w:w="9606" w:type="dxa"/>
          </w:tcPr>
          <w:p w14:paraId="5FC0A90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Special Rules</w:t>
            </w:r>
          </w:p>
        </w:tc>
      </w:tr>
      <w:tr w:rsidR="00494B49" w:rsidRPr="003B0773" w14:paraId="60DF5C2F" w14:textId="77777777" w:rsidTr="003B0773">
        <w:tc>
          <w:tcPr>
            <w:tcW w:w="9606" w:type="dxa"/>
          </w:tcPr>
          <w:p w14:paraId="1CBB84B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Treatment of Receipts and Payments on Notional Principal Contracts </w:t>
            </w:r>
          </w:p>
        </w:tc>
      </w:tr>
      <w:tr w:rsidR="00494B49" w:rsidRPr="003B0773" w14:paraId="04A8D7D7" w14:textId="77777777" w:rsidTr="003B0773">
        <w:tc>
          <w:tcPr>
            <w:tcW w:w="9606" w:type="dxa"/>
          </w:tcPr>
          <w:p w14:paraId="73E073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Notional Principal Contracts Held in a §1411 Trade or Business</w:t>
            </w:r>
          </w:p>
        </w:tc>
      </w:tr>
      <w:tr w:rsidR="00494B49" w:rsidRPr="003B0773" w14:paraId="5E490C4C" w14:textId="77777777" w:rsidTr="003B0773">
        <w:tc>
          <w:tcPr>
            <w:tcW w:w="9606" w:type="dxa"/>
          </w:tcPr>
          <w:p w14:paraId="5C6D0A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Notional Principal Contracts Held for Investment </w:t>
            </w:r>
          </w:p>
        </w:tc>
      </w:tr>
      <w:tr w:rsidR="00494B49" w:rsidRPr="003B0773" w14:paraId="798BF044" w14:textId="77777777" w:rsidTr="003B0773">
        <w:tc>
          <w:tcPr>
            <w:tcW w:w="9606" w:type="dxa"/>
          </w:tcPr>
          <w:p w14:paraId="3369B68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Income and Deductions</w:t>
            </w:r>
          </w:p>
        </w:tc>
      </w:tr>
      <w:tr w:rsidR="00494B49" w:rsidRPr="003B0773" w14:paraId="3491A198" w14:textId="77777777" w:rsidTr="003B0773">
        <w:tc>
          <w:tcPr>
            <w:tcW w:w="9606" w:type="dxa"/>
          </w:tcPr>
          <w:p w14:paraId="088D6CB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Limited Scope of NPCs</w:t>
            </w:r>
          </w:p>
        </w:tc>
      </w:tr>
      <w:tr w:rsidR="00494B49" w:rsidRPr="003B0773" w14:paraId="2B3D4A10" w14:textId="77777777" w:rsidTr="003B0773">
        <w:tc>
          <w:tcPr>
            <w:tcW w:w="9606" w:type="dxa"/>
          </w:tcPr>
          <w:p w14:paraId="51F125A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Income or Loss Attributable to Residual Interests in REMICs </w:t>
            </w:r>
          </w:p>
        </w:tc>
      </w:tr>
      <w:tr w:rsidR="00494B49" w:rsidRPr="003B0773" w14:paraId="16D72E60" w14:textId="77777777" w:rsidTr="003B0773">
        <w:tc>
          <w:tcPr>
            <w:tcW w:w="9606" w:type="dxa"/>
          </w:tcPr>
          <w:p w14:paraId="694F009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Treatment of Participants in Common Trust Funds </w:t>
            </w:r>
          </w:p>
        </w:tc>
      </w:tr>
      <w:tr w:rsidR="00494B49" w:rsidRPr="003B0773" w14:paraId="19323272" w14:textId="77777777" w:rsidTr="003B0773">
        <w:tc>
          <w:tcPr>
            <w:tcW w:w="9606" w:type="dxa"/>
          </w:tcPr>
          <w:p w14:paraId="581ADA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Treatment of §707(c) Guaranteed Payments </w:t>
            </w:r>
          </w:p>
        </w:tc>
      </w:tr>
      <w:tr w:rsidR="00494B49" w:rsidRPr="003B0773" w14:paraId="06AD7EE0" w14:textId="77777777" w:rsidTr="003B0773">
        <w:tc>
          <w:tcPr>
            <w:tcW w:w="9606" w:type="dxa"/>
          </w:tcPr>
          <w:p w14:paraId="35C5F75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2D4F9605" w14:textId="77777777" w:rsidTr="003B0773">
        <w:tc>
          <w:tcPr>
            <w:tcW w:w="9606" w:type="dxa"/>
          </w:tcPr>
          <w:p w14:paraId="48E8FD7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2E86AD90" w14:textId="77777777" w:rsidTr="003B0773">
        <w:tc>
          <w:tcPr>
            <w:tcW w:w="9606" w:type="dxa"/>
          </w:tcPr>
          <w:p w14:paraId="613AF99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1BBE5093" w14:textId="77777777" w:rsidTr="003B0773">
        <w:tc>
          <w:tcPr>
            <w:tcW w:w="9606" w:type="dxa"/>
          </w:tcPr>
          <w:p w14:paraId="7FBD49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Treatment of §736 Payments </w:t>
            </w:r>
          </w:p>
        </w:tc>
      </w:tr>
      <w:tr w:rsidR="00494B49" w:rsidRPr="003B0773" w14:paraId="1A744DED" w14:textId="77777777" w:rsidTr="003B0773">
        <w:tc>
          <w:tcPr>
            <w:tcW w:w="9606" w:type="dxa"/>
          </w:tcPr>
          <w:p w14:paraId="6F25DB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Subchapter K Treatment</w:t>
            </w:r>
          </w:p>
        </w:tc>
      </w:tr>
      <w:tr w:rsidR="00494B49" w:rsidRPr="003B0773" w14:paraId="3BDA27F8" w14:textId="77777777" w:rsidTr="003B0773">
        <w:tc>
          <w:tcPr>
            <w:tcW w:w="9606" w:type="dxa"/>
          </w:tcPr>
          <w:p w14:paraId="7ADE43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736(b) Payments</w:t>
            </w:r>
          </w:p>
        </w:tc>
      </w:tr>
      <w:tr w:rsidR="00494B49" w:rsidRPr="003B0773" w14:paraId="0BF5FA20" w14:textId="77777777" w:rsidTr="003B0773">
        <w:tc>
          <w:tcPr>
            <w:tcW w:w="9606" w:type="dxa"/>
          </w:tcPr>
          <w:p w14:paraId="3B3C1B7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736(a) Payments</w:t>
            </w:r>
          </w:p>
        </w:tc>
      </w:tr>
      <w:tr w:rsidR="00494B49" w:rsidRPr="003B0773" w14:paraId="0C80698D" w14:textId="77777777" w:rsidTr="003B0773">
        <w:tc>
          <w:tcPr>
            <w:tcW w:w="9606" w:type="dxa"/>
          </w:tcPr>
          <w:p w14:paraId="76894DF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Passive Loss Treatment</w:t>
            </w:r>
          </w:p>
        </w:tc>
      </w:tr>
      <w:tr w:rsidR="00494B49" w:rsidRPr="003B0773" w14:paraId="7420F897" w14:textId="77777777" w:rsidTr="003B0773">
        <w:tc>
          <w:tcPr>
            <w:tcW w:w="9606" w:type="dxa"/>
          </w:tcPr>
          <w:p w14:paraId="355E0CE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Passive Loss Treatment of §736(b) Payments</w:t>
            </w:r>
          </w:p>
        </w:tc>
      </w:tr>
      <w:tr w:rsidR="00494B49" w:rsidRPr="003B0773" w14:paraId="4AF02814" w14:textId="77777777" w:rsidTr="003B0773">
        <w:tc>
          <w:tcPr>
            <w:tcW w:w="9606" w:type="dxa"/>
          </w:tcPr>
          <w:p w14:paraId="2FEDA56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Passive Loss Treatment of §736(a) Payments</w:t>
            </w:r>
          </w:p>
        </w:tc>
      </w:tr>
      <w:tr w:rsidR="00494B49" w:rsidRPr="003B0773" w14:paraId="47EEE5A9" w14:textId="77777777" w:rsidTr="003B0773">
        <w:tc>
          <w:tcPr>
            <w:tcW w:w="9606" w:type="dxa"/>
          </w:tcPr>
          <w:p w14:paraId="7A3E6D2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NIIT Treatment</w:t>
            </w:r>
          </w:p>
        </w:tc>
      </w:tr>
      <w:tr w:rsidR="00494B49" w:rsidRPr="003B0773" w14:paraId="558489A4" w14:textId="77777777" w:rsidTr="003B0773">
        <w:tc>
          <w:tcPr>
            <w:tcW w:w="9606" w:type="dxa"/>
          </w:tcPr>
          <w:p w14:paraId="32ED52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NIIT Treatment of Payments</w:t>
            </w:r>
          </w:p>
        </w:tc>
      </w:tr>
      <w:tr w:rsidR="00494B49" w:rsidRPr="003B0773" w14:paraId="3F621324" w14:textId="77777777" w:rsidTr="003B0773">
        <w:tc>
          <w:tcPr>
            <w:tcW w:w="9606" w:type="dxa"/>
          </w:tcPr>
          <w:p w14:paraId="58A14F0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NIIT Treatment of §736(a) Payments</w:t>
            </w:r>
          </w:p>
        </w:tc>
      </w:tr>
      <w:tr w:rsidR="00494B49" w:rsidRPr="003B0773" w14:paraId="7EC77D25" w14:textId="77777777" w:rsidTr="003B0773">
        <w:tc>
          <w:tcPr>
            <w:tcW w:w="9606" w:type="dxa"/>
          </w:tcPr>
          <w:p w14:paraId="3085241F"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NIIT Treatment of §736(a)(1) Payments</w:t>
            </w:r>
          </w:p>
        </w:tc>
      </w:tr>
      <w:tr w:rsidR="00494B49" w:rsidRPr="003B0773" w14:paraId="43F00C66" w14:textId="77777777" w:rsidTr="003B0773">
        <w:tc>
          <w:tcPr>
            <w:tcW w:w="9606" w:type="dxa"/>
          </w:tcPr>
          <w:p w14:paraId="4618E40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NIIT Treatment of §736(a)(2) Payments </w:t>
            </w:r>
          </w:p>
        </w:tc>
      </w:tr>
      <w:tr w:rsidR="00494B49" w:rsidRPr="003B0773" w14:paraId="25E2C7B4" w14:textId="77777777" w:rsidTr="003B0773">
        <w:tc>
          <w:tcPr>
            <w:tcW w:w="9606" w:type="dxa"/>
          </w:tcPr>
          <w:p w14:paraId="6B187F91"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IV. Excluded Income </w:t>
            </w:r>
          </w:p>
        </w:tc>
      </w:tr>
      <w:tr w:rsidR="00494B49" w:rsidRPr="003B0773" w14:paraId="013B4FC6" w14:textId="77777777" w:rsidTr="003B0773">
        <w:tc>
          <w:tcPr>
            <w:tcW w:w="9606" w:type="dxa"/>
          </w:tcPr>
          <w:p w14:paraId="0813F8C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General Categories </w:t>
            </w:r>
          </w:p>
        </w:tc>
      </w:tr>
      <w:tr w:rsidR="00494B49" w:rsidRPr="003B0773" w14:paraId="73C4455E" w14:textId="77777777" w:rsidTr="003B0773">
        <w:tc>
          <w:tcPr>
            <w:tcW w:w="9606" w:type="dxa"/>
          </w:tcPr>
          <w:p w14:paraId="5B7006DD"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Type 1 — Items Excluded from Gross Income </w:t>
            </w:r>
          </w:p>
        </w:tc>
      </w:tr>
      <w:tr w:rsidR="00494B49" w:rsidRPr="003B0773" w14:paraId="3F46649E" w14:textId="77777777" w:rsidTr="003B0773">
        <w:tc>
          <w:tcPr>
            <w:tcW w:w="9606" w:type="dxa"/>
          </w:tcPr>
          <w:p w14:paraId="4BA620D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Type 2 — Items Not Included in Net Investment Income </w:t>
            </w:r>
          </w:p>
        </w:tc>
      </w:tr>
      <w:tr w:rsidR="00494B49" w:rsidRPr="003B0773" w14:paraId="27690EB8" w14:textId="77777777" w:rsidTr="003B0773">
        <w:tc>
          <w:tcPr>
            <w:tcW w:w="9606" w:type="dxa"/>
          </w:tcPr>
          <w:p w14:paraId="0A8EE80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Wages and Other Employee Payments </w:t>
            </w:r>
          </w:p>
        </w:tc>
      </w:tr>
      <w:tr w:rsidR="00494B49" w:rsidRPr="003B0773" w14:paraId="697FBE76" w14:textId="77777777" w:rsidTr="003B0773">
        <w:tc>
          <w:tcPr>
            <w:tcW w:w="9606" w:type="dxa"/>
          </w:tcPr>
          <w:p w14:paraId="0466741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Unemployment Compensation and Social Security Benefits</w:t>
            </w:r>
          </w:p>
        </w:tc>
      </w:tr>
      <w:tr w:rsidR="00494B49" w:rsidRPr="003B0773" w14:paraId="6962697A" w14:textId="77777777" w:rsidTr="003B0773">
        <w:tc>
          <w:tcPr>
            <w:tcW w:w="9606" w:type="dxa"/>
          </w:tcPr>
          <w:p w14:paraId="64BAB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Alimony </w:t>
            </w:r>
          </w:p>
        </w:tc>
      </w:tr>
      <w:tr w:rsidR="00494B49" w:rsidRPr="003B0773" w14:paraId="54487E42" w14:textId="77777777" w:rsidTr="003B0773">
        <w:tc>
          <w:tcPr>
            <w:tcW w:w="9606" w:type="dxa"/>
          </w:tcPr>
          <w:p w14:paraId="7F755B9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Alaska Permanent Fund Dividends</w:t>
            </w:r>
          </w:p>
        </w:tc>
      </w:tr>
      <w:tr w:rsidR="00494B49" w:rsidRPr="003B0773" w14:paraId="0A3F0EA1" w14:textId="77777777" w:rsidTr="003B0773">
        <w:tc>
          <w:tcPr>
            <w:tcW w:w="9606" w:type="dxa"/>
          </w:tcPr>
          <w:p w14:paraId="7C209D4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Type 3 — Items Specifically Excluded by §1411 and §1411 Regulations</w:t>
            </w:r>
          </w:p>
        </w:tc>
      </w:tr>
      <w:tr w:rsidR="00494B49" w:rsidRPr="003B0773" w14:paraId="7C6E5B5C" w14:textId="77777777" w:rsidTr="003B0773">
        <w:tc>
          <w:tcPr>
            <w:tcW w:w="9606" w:type="dxa"/>
          </w:tcPr>
          <w:p w14:paraId="3020FBF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Distributions from Qualified Plans — §1411(c)(5) </w:t>
            </w:r>
          </w:p>
        </w:tc>
      </w:tr>
      <w:tr w:rsidR="00494B49" w:rsidRPr="003B0773" w14:paraId="7FBAF629" w14:textId="77777777" w:rsidTr="003B0773">
        <w:tc>
          <w:tcPr>
            <w:tcW w:w="9606" w:type="dxa"/>
          </w:tcPr>
          <w:p w14:paraId="30B3E0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1411(c)(6) — Earnings Subject to Self-Employment Tax</w:t>
            </w:r>
          </w:p>
        </w:tc>
      </w:tr>
      <w:tr w:rsidR="00494B49" w:rsidRPr="003B0773" w14:paraId="22AD161C" w14:textId="77777777" w:rsidTr="003B0773">
        <w:tc>
          <w:tcPr>
            <w:tcW w:w="9606" w:type="dxa"/>
          </w:tcPr>
          <w:p w14:paraId="42827AC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General Rule — Excluded Income</w:t>
            </w:r>
          </w:p>
        </w:tc>
      </w:tr>
      <w:tr w:rsidR="00494B49" w:rsidRPr="003B0773" w14:paraId="64A98C94" w14:textId="77777777" w:rsidTr="003B0773">
        <w:tc>
          <w:tcPr>
            <w:tcW w:w="9606" w:type="dxa"/>
          </w:tcPr>
          <w:p w14:paraId="653606A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Investors in a Limited Partnership Investor Fund</w:t>
            </w:r>
          </w:p>
        </w:tc>
      </w:tr>
      <w:tr w:rsidR="00494B49" w:rsidRPr="003B0773" w14:paraId="581CAC88" w14:textId="77777777" w:rsidTr="003B0773">
        <w:tc>
          <w:tcPr>
            <w:tcW w:w="9606" w:type="dxa"/>
          </w:tcPr>
          <w:p w14:paraId="5783032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Investors in a Trading Fund</w:t>
            </w:r>
          </w:p>
        </w:tc>
      </w:tr>
      <w:tr w:rsidR="00494B49" w:rsidRPr="003B0773" w14:paraId="16CDAAFF" w14:textId="77777777" w:rsidTr="003B0773">
        <w:tc>
          <w:tcPr>
            <w:tcW w:w="9606" w:type="dxa"/>
          </w:tcPr>
          <w:p w14:paraId="5F13D48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Treatment of Managers</w:t>
            </w:r>
          </w:p>
        </w:tc>
      </w:tr>
      <w:tr w:rsidR="00494B49" w:rsidRPr="003B0773" w14:paraId="1F34871D" w14:textId="77777777" w:rsidTr="003B0773">
        <w:tc>
          <w:tcPr>
            <w:tcW w:w="9606" w:type="dxa"/>
          </w:tcPr>
          <w:p w14:paraId="6B25AB96"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 Properly Allocable Deductions — §1411(c)(1)(B)</w:t>
            </w:r>
          </w:p>
        </w:tc>
      </w:tr>
      <w:tr w:rsidR="00494B49" w:rsidRPr="003B0773" w14:paraId="7D33EE9D" w14:textId="77777777" w:rsidTr="003B0773">
        <w:tc>
          <w:tcPr>
            <w:tcW w:w="9606" w:type="dxa"/>
          </w:tcPr>
          <w:p w14:paraId="3D30337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Overview </w:t>
            </w:r>
          </w:p>
        </w:tc>
      </w:tr>
      <w:tr w:rsidR="00494B49" w:rsidRPr="003B0773" w14:paraId="1AD813CA" w14:textId="77777777" w:rsidTr="003B0773">
        <w:tc>
          <w:tcPr>
            <w:tcW w:w="9606" w:type="dxa"/>
          </w:tcPr>
          <w:p w14:paraId="4C5603A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Nondeductible Items</w:t>
            </w:r>
          </w:p>
        </w:tc>
      </w:tr>
      <w:tr w:rsidR="00494B49" w:rsidRPr="003B0773" w14:paraId="20E3311F" w14:textId="77777777" w:rsidTr="003B0773">
        <w:tc>
          <w:tcPr>
            <w:tcW w:w="9606" w:type="dxa"/>
          </w:tcPr>
          <w:p w14:paraId="6E7BDD3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Deductions in Excess of Gross Income </w:t>
            </w:r>
          </w:p>
        </w:tc>
      </w:tr>
      <w:tr w:rsidR="00494B49" w:rsidRPr="003B0773" w14:paraId="246463AC" w14:textId="77777777" w:rsidTr="003B0773">
        <w:tc>
          <w:tcPr>
            <w:tcW w:w="9606" w:type="dxa"/>
          </w:tcPr>
          <w:p w14:paraId="46E0428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Properly Allocable Deductions Allowed Under Reg. §1.1411-4(f) </w:t>
            </w:r>
          </w:p>
        </w:tc>
      </w:tr>
      <w:tr w:rsidR="00494B49" w:rsidRPr="003B0773" w14:paraId="3F48EE27" w14:textId="77777777" w:rsidTr="003B0773">
        <w:tc>
          <w:tcPr>
            <w:tcW w:w="9606" w:type="dxa"/>
          </w:tcPr>
          <w:p w14:paraId="3A508D4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 — Above-the-Line Deductions</w:t>
            </w:r>
          </w:p>
        </w:tc>
      </w:tr>
      <w:tr w:rsidR="00494B49" w:rsidRPr="003B0773" w14:paraId="53700D0D" w14:textId="77777777" w:rsidTr="003B0773">
        <w:tc>
          <w:tcPr>
            <w:tcW w:w="9606" w:type="dxa"/>
          </w:tcPr>
          <w:p w14:paraId="6BE536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Deductions Allocable to Gross Income from Rents and Royalties</w:t>
            </w:r>
          </w:p>
        </w:tc>
      </w:tr>
      <w:tr w:rsidR="00494B49" w:rsidRPr="003B0773" w14:paraId="1101BB20" w14:textId="77777777" w:rsidTr="003B0773">
        <w:tc>
          <w:tcPr>
            <w:tcW w:w="9606" w:type="dxa"/>
          </w:tcPr>
          <w:p w14:paraId="0CB183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62(a)(4) Requirements</w:t>
            </w:r>
          </w:p>
        </w:tc>
      </w:tr>
      <w:tr w:rsidR="00494B49" w:rsidRPr="003B0773" w14:paraId="322350ED" w14:textId="77777777" w:rsidTr="003B0773">
        <w:tc>
          <w:tcPr>
            <w:tcW w:w="9606" w:type="dxa"/>
          </w:tcPr>
          <w:p w14:paraId="0A747E7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Allocable to Rents and Royalties Included in Net Investment Income </w:t>
            </w:r>
          </w:p>
        </w:tc>
      </w:tr>
      <w:tr w:rsidR="00494B49" w:rsidRPr="003B0773" w14:paraId="46E1FE50" w14:textId="77777777" w:rsidTr="003B0773">
        <w:tc>
          <w:tcPr>
            <w:tcW w:w="9606" w:type="dxa"/>
          </w:tcPr>
          <w:p w14:paraId="0FE45D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Trade or Business Deductions Allocable to §1411(c)(2) Trades or Businesses</w:t>
            </w:r>
          </w:p>
        </w:tc>
      </w:tr>
      <w:tr w:rsidR="00494B49" w:rsidRPr="003B0773" w14:paraId="22C1F4AE" w14:textId="77777777" w:rsidTr="003B0773">
        <w:tc>
          <w:tcPr>
            <w:tcW w:w="9606" w:type="dxa"/>
          </w:tcPr>
          <w:p w14:paraId="66E60E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62(a)(1) Requirements</w:t>
            </w:r>
          </w:p>
        </w:tc>
      </w:tr>
      <w:tr w:rsidR="00494B49" w:rsidRPr="003B0773" w14:paraId="45D07CC6" w14:textId="77777777" w:rsidTr="003B0773">
        <w:tc>
          <w:tcPr>
            <w:tcW w:w="9606" w:type="dxa"/>
          </w:tcPr>
          <w:p w14:paraId="05D48A7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Properly Allocable to Income from a §1411(c)(2) Trade or Business </w:t>
            </w:r>
          </w:p>
        </w:tc>
      </w:tr>
      <w:tr w:rsidR="00494B49" w:rsidRPr="003B0773" w14:paraId="0C21A704" w14:textId="77777777" w:rsidTr="003B0773">
        <w:tc>
          <w:tcPr>
            <w:tcW w:w="9606" w:type="dxa"/>
          </w:tcPr>
          <w:p w14:paraId="6A4FA2B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Not Taken into Account in Determining Self-Employment Income</w:t>
            </w:r>
          </w:p>
        </w:tc>
      </w:tr>
      <w:tr w:rsidR="00494B49" w:rsidRPr="003B0773" w14:paraId="5E5ACA45" w14:textId="77777777" w:rsidTr="003B0773">
        <w:tc>
          <w:tcPr>
            <w:tcW w:w="9606" w:type="dxa"/>
          </w:tcPr>
          <w:p w14:paraId="0210ECD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Special Rules for Traders in Financial Instruments or Commodities </w:t>
            </w:r>
          </w:p>
        </w:tc>
      </w:tr>
      <w:tr w:rsidR="00494B49" w:rsidRPr="003B0773" w14:paraId="3B3FBC3E" w14:textId="77777777" w:rsidTr="003B0773">
        <w:tc>
          <w:tcPr>
            <w:tcW w:w="9606" w:type="dxa"/>
          </w:tcPr>
          <w:p w14:paraId="5C0EB4E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Deductions for Early Withdrawal from Savings</w:t>
            </w:r>
          </w:p>
        </w:tc>
      </w:tr>
      <w:tr w:rsidR="00494B49" w:rsidRPr="003B0773" w14:paraId="123A92A0" w14:textId="77777777" w:rsidTr="003B0773">
        <w:tc>
          <w:tcPr>
            <w:tcW w:w="9606" w:type="dxa"/>
          </w:tcPr>
          <w:p w14:paraId="17256FB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 xml:space="preserve">d. Net Operating Losses </w:t>
            </w:r>
          </w:p>
        </w:tc>
      </w:tr>
      <w:tr w:rsidR="00494B49" w:rsidRPr="003B0773" w14:paraId="64A94397" w14:textId="77777777" w:rsidTr="003B0773">
        <w:tc>
          <w:tcPr>
            <w:tcW w:w="9606" w:type="dxa"/>
          </w:tcPr>
          <w:p w14:paraId="6C17B5E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63 — Itemized Deductions</w:t>
            </w:r>
          </w:p>
        </w:tc>
      </w:tr>
      <w:tr w:rsidR="00494B49" w:rsidRPr="003B0773" w14:paraId="3A29CCD1" w14:textId="77777777" w:rsidTr="003B0773">
        <w:tc>
          <w:tcPr>
            <w:tcW w:w="9606" w:type="dxa"/>
          </w:tcPr>
          <w:p w14:paraId="4C92E36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Investment Interest Expense</w:t>
            </w:r>
          </w:p>
        </w:tc>
      </w:tr>
      <w:tr w:rsidR="00494B49" w:rsidRPr="003B0773" w14:paraId="40EE53EE" w14:textId="77777777" w:rsidTr="003B0773">
        <w:tc>
          <w:tcPr>
            <w:tcW w:w="9606" w:type="dxa"/>
          </w:tcPr>
          <w:p w14:paraId="70A339D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0A887CB8" w14:textId="77777777" w:rsidTr="003B0773">
        <w:tc>
          <w:tcPr>
            <w:tcW w:w="9606" w:type="dxa"/>
          </w:tcPr>
          <w:p w14:paraId="1216AA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Optional Investment Interest Expense Calculation for CFC/PFIC Related Items</w:t>
            </w:r>
          </w:p>
        </w:tc>
      </w:tr>
      <w:tr w:rsidR="00494B49" w:rsidRPr="003B0773" w14:paraId="7E24B8DB" w14:textId="77777777" w:rsidTr="003B0773">
        <w:tc>
          <w:tcPr>
            <w:tcW w:w="9606" w:type="dxa"/>
          </w:tcPr>
          <w:p w14:paraId="312547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Investment Expenses</w:t>
            </w:r>
          </w:p>
        </w:tc>
      </w:tr>
      <w:tr w:rsidR="00494B49" w:rsidRPr="003B0773" w14:paraId="3716E8DD" w14:textId="77777777" w:rsidTr="003B0773">
        <w:tc>
          <w:tcPr>
            <w:tcW w:w="9606" w:type="dxa"/>
          </w:tcPr>
          <w:p w14:paraId="61D4ADA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Section 164(a)(3) — State, Local, and Foreign Taxes</w:t>
            </w:r>
          </w:p>
        </w:tc>
      </w:tr>
      <w:tr w:rsidR="00494B49" w:rsidRPr="003B0773" w14:paraId="0D7498D9" w14:textId="77777777" w:rsidTr="003B0773">
        <w:tc>
          <w:tcPr>
            <w:tcW w:w="9606" w:type="dxa"/>
          </w:tcPr>
          <w:p w14:paraId="04F0302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State and Local Income Taxes (Other Than Those Deductible in Tax Years Beginning in 2018–2025)</w:t>
            </w:r>
          </w:p>
        </w:tc>
      </w:tr>
      <w:tr w:rsidR="00494B49" w:rsidRPr="003B0773" w14:paraId="3CD8C109" w14:textId="77777777" w:rsidTr="003B0773">
        <w:tc>
          <w:tcPr>
            <w:tcW w:w="9606" w:type="dxa"/>
          </w:tcPr>
          <w:p w14:paraId="4D186B4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State and Local Income Taxes Deductible in Tax Years Beginning in 2018-2025</w:t>
            </w:r>
          </w:p>
        </w:tc>
      </w:tr>
      <w:tr w:rsidR="00494B49" w:rsidRPr="003B0773" w14:paraId="5789278F" w14:textId="77777777" w:rsidTr="003B0773">
        <w:tc>
          <w:tcPr>
            <w:tcW w:w="9606" w:type="dxa"/>
          </w:tcPr>
          <w:p w14:paraId="6272573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Foreign Income Taxes</w:t>
            </w:r>
          </w:p>
        </w:tc>
      </w:tr>
      <w:tr w:rsidR="00494B49" w:rsidRPr="003B0773" w14:paraId="21646F69" w14:textId="77777777" w:rsidTr="003B0773">
        <w:tc>
          <w:tcPr>
            <w:tcW w:w="9606" w:type="dxa"/>
          </w:tcPr>
          <w:p w14:paraId="43BF6A7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72(b)(3) — Annuity Basis </w:t>
            </w:r>
          </w:p>
        </w:tc>
      </w:tr>
      <w:tr w:rsidR="00494B49" w:rsidRPr="003B0773" w14:paraId="60FF8309" w14:textId="77777777" w:rsidTr="003B0773">
        <w:tc>
          <w:tcPr>
            <w:tcW w:w="9606" w:type="dxa"/>
          </w:tcPr>
          <w:p w14:paraId="2512E59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e. Section 691(c) — Deductions for Estate Taxes</w:t>
            </w:r>
          </w:p>
        </w:tc>
      </w:tr>
      <w:tr w:rsidR="00494B49" w:rsidRPr="003B0773" w14:paraId="18DA8F66" w14:textId="77777777" w:rsidTr="003B0773">
        <w:tc>
          <w:tcPr>
            <w:tcW w:w="9606" w:type="dxa"/>
          </w:tcPr>
          <w:p w14:paraId="4552E9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f. Section 212(3) and Reg. §1.212-1(l) — Tax Expenses</w:t>
            </w:r>
          </w:p>
        </w:tc>
      </w:tr>
      <w:tr w:rsidR="00494B49" w:rsidRPr="003B0773" w14:paraId="3044F383" w14:textId="77777777" w:rsidTr="003B0773">
        <w:tc>
          <w:tcPr>
            <w:tcW w:w="9606" w:type="dxa"/>
          </w:tcPr>
          <w:p w14:paraId="13BC0CD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g. Amortizable Bond Premium</w:t>
            </w:r>
          </w:p>
        </w:tc>
      </w:tr>
      <w:tr w:rsidR="00494B49" w:rsidRPr="003B0773" w14:paraId="62A1A889" w14:textId="77777777" w:rsidTr="003B0773">
        <w:tc>
          <w:tcPr>
            <w:tcW w:w="9606" w:type="dxa"/>
          </w:tcPr>
          <w:p w14:paraId="603EC1E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h. Fiduciary Expenses</w:t>
            </w:r>
          </w:p>
        </w:tc>
      </w:tr>
      <w:tr w:rsidR="00494B49" w:rsidRPr="003B0773" w14:paraId="10E0C655" w14:textId="77777777" w:rsidTr="003B0773">
        <w:tc>
          <w:tcPr>
            <w:tcW w:w="9606" w:type="dxa"/>
          </w:tcPr>
          <w:p w14:paraId="6ECB860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165 — Loss Deductions</w:t>
            </w:r>
          </w:p>
        </w:tc>
      </w:tr>
      <w:tr w:rsidR="00494B49" w:rsidRPr="003B0773" w14:paraId="2839C85E" w14:textId="77777777" w:rsidTr="003B0773">
        <w:tc>
          <w:tcPr>
            <w:tcW w:w="9606" w:type="dxa"/>
          </w:tcPr>
          <w:p w14:paraId="1A2568F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Ordinary Loss Deductions on Contingent Payment Debt Instruments and Inflation-Indexed Debt Instruments</w:t>
            </w:r>
          </w:p>
        </w:tc>
      </w:tr>
      <w:tr w:rsidR="00494B49" w:rsidRPr="003B0773" w14:paraId="67F4A82B" w14:textId="77777777" w:rsidTr="003B0773">
        <w:tc>
          <w:tcPr>
            <w:tcW w:w="9606" w:type="dxa"/>
          </w:tcPr>
          <w:p w14:paraId="4BC88DC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Allocation Between Net Investment Income and Excluded Income</w:t>
            </w:r>
          </w:p>
        </w:tc>
      </w:tr>
      <w:tr w:rsidR="00494B49" w:rsidRPr="003B0773" w14:paraId="68D23FF7" w14:textId="77777777" w:rsidTr="003B0773">
        <w:tc>
          <w:tcPr>
            <w:tcW w:w="9606" w:type="dxa"/>
          </w:tcPr>
          <w:p w14:paraId="2FE46A6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Reasonable Methods Specifically Listed in the Regulations</w:t>
            </w:r>
          </w:p>
        </w:tc>
      </w:tr>
      <w:tr w:rsidR="00494B49" w:rsidRPr="003B0773" w14:paraId="6A50EAF3" w14:textId="77777777" w:rsidTr="003B0773">
        <w:tc>
          <w:tcPr>
            <w:tcW w:w="9606" w:type="dxa"/>
          </w:tcPr>
          <w:p w14:paraId="64ECC51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Other Possible Reasonable Allocation Methods </w:t>
            </w:r>
          </w:p>
        </w:tc>
      </w:tr>
      <w:tr w:rsidR="00494B49" w:rsidRPr="003B0773" w14:paraId="1B77DA9F" w14:textId="77777777" w:rsidTr="003B0773">
        <w:tc>
          <w:tcPr>
            <w:tcW w:w="9606" w:type="dxa"/>
          </w:tcPr>
          <w:p w14:paraId="3D525AF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Specific Identification</w:t>
            </w:r>
          </w:p>
        </w:tc>
      </w:tr>
      <w:tr w:rsidR="00494B49" w:rsidRPr="003B0773" w14:paraId="1729228F" w14:textId="77777777" w:rsidTr="003B0773">
        <w:tc>
          <w:tcPr>
            <w:tcW w:w="9606" w:type="dxa"/>
          </w:tcPr>
          <w:p w14:paraId="600ABE0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Specific Identification with Residual Apportionment</w:t>
            </w:r>
          </w:p>
        </w:tc>
      </w:tr>
      <w:tr w:rsidR="00494B49" w:rsidRPr="003B0773" w14:paraId="73758EC4" w14:textId="77777777" w:rsidTr="003B0773">
        <w:tc>
          <w:tcPr>
            <w:tcW w:w="9606" w:type="dxa"/>
          </w:tcPr>
          <w:p w14:paraId="201F7FC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Simple Apportionment Using Different Bases</w:t>
            </w:r>
          </w:p>
        </w:tc>
      </w:tr>
      <w:tr w:rsidR="00494B49" w:rsidRPr="003B0773" w14:paraId="2558F891" w14:textId="77777777" w:rsidTr="003B0773">
        <w:tc>
          <w:tcPr>
            <w:tcW w:w="9606" w:type="dxa"/>
          </w:tcPr>
          <w:p w14:paraId="7FF2EC1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Accrual Method </w:t>
            </w:r>
          </w:p>
        </w:tc>
      </w:tr>
      <w:tr w:rsidR="00494B49" w:rsidRPr="003B0773" w14:paraId="1FAFB741" w14:textId="77777777" w:rsidTr="003B0773">
        <w:tc>
          <w:tcPr>
            <w:tcW w:w="9606" w:type="dxa"/>
          </w:tcPr>
          <w:p w14:paraId="6144990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Unreasonable Allocation Methods</w:t>
            </w:r>
          </w:p>
        </w:tc>
      </w:tr>
      <w:tr w:rsidR="00494B49" w:rsidRPr="003B0773" w14:paraId="6A964575" w14:textId="77777777" w:rsidTr="003B0773">
        <w:tc>
          <w:tcPr>
            <w:tcW w:w="9606" w:type="dxa"/>
          </w:tcPr>
          <w:p w14:paraId="3315E8F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Allocations of Deductions Pertaining to Pre-2013 Tax Years</w:t>
            </w:r>
          </w:p>
        </w:tc>
      </w:tr>
      <w:tr w:rsidR="00494B49" w:rsidRPr="003B0773" w14:paraId="167CA789" w14:textId="77777777" w:rsidTr="003B0773">
        <w:tc>
          <w:tcPr>
            <w:tcW w:w="9606" w:type="dxa"/>
          </w:tcPr>
          <w:p w14:paraId="21F386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Unreasonable Reliance on Regulations </w:t>
            </w:r>
          </w:p>
        </w:tc>
      </w:tr>
      <w:tr w:rsidR="00494B49" w:rsidRPr="003B0773" w14:paraId="2FE3703A" w14:textId="77777777" w:rsidTr="003B0773">
        <w:tc>
          <w:tcPr>
            <w:tcW w:w="9606" w:type="dxa"/>
          </w:tcPr>
          <w:p w14:paraId="4733F8F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Unreasonable Toggling Between Methods </w:t>
            </w:r>
          </w:p>
        </w:tc>
      </w:tr>
      <w:tr w:rsidR="00494B49" w:rsidRPr="003B0773" w14:paraId="38854586" w14:textId="77777777" w:rsidTr="003B0773">
        <w:tc>
          <w:tcPr>
            <w:tcW w:w="9606" w:type="dxa"/>
          </w:tcPr>
          <w:p w14:paraId="4355400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Estates and Trusts </w:t>
            </w:r>
          </w:p>
        </w:tc>
      </w:tr>
      <w:tr w:rsidR="00494B49" w:rsidRPr="003B0773" w14:paraId="172DB7F1" w14:textId="77777777" w:rsidTr="003B0773">
        <w:tc>
          <w:tcPr>
            <w:tcW w:w="9606" w:type="dxa"/>
          </w:tcPr>
          <w:p w14:paraId="6BC8F36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§67 and §68 Limitations</w:t>
            </w:r>
          </w:p>
        </w:tc>
      </w:tr>
      <w:tr w:rsidR="00494B49" w:rsidRPr="003B0773" w14:paraId="390E605A" w14:textId="77777777" w:rsidTr="003B0773">
        <w:tc>
          <w:tcPr>
            <w:tcW w:w="9606" w:type="dxa"/>
          </w:tcPr>
          <w:p w14:paraId="4FF65B0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Step 1 — Application of the §67 Limitation </w:t>
            </w:r>
          </w:p>
        </w:tc>
      </w:tr>
      <w:tr w:rsidR="00494B49" w:rsidRPr="003B0773" w14:paraId="62C5D84A" w14:textId="77777777" w:rsidTr="003B0773">
        <w:tc>
          <w:tcPr>
            <w:tcW w:w="9606" w:type="dxa"/>
          </w:tcPr>
          <w:p w14:paraId="7793238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Step 2 — Application of the §68 Limitation</w:t>
            </w:r>
          </w:p>
        </w:tc>
      </w:tr>
      <w:tr w:rsidR="00494B49" w:rsidRPr="003B0773" w14:paraId="47DBC0C6" w14:textId="77777777" w:rsidTr="003B0773">
        <w:tc>
          <w:tcPr>
            <w:tcW w:w="9606" w:type="dxa"/>
          </w:tcPr>
          <w:p w14:paraId="5B07733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Planning and Compliance</w:t>
            </w:r>
          </w:p>
        </w:tc>
      </w:tr>
      <w:tr w:rsidR="00494B49" w:rsidRPr="003B0773" w14:paraId="3159AB9A" w14:textId="77777777" w:rsidTr="003B0773">
        <w:tc>
          <w:tcPr>
            <w:tcW w:w="9606" w:type="dxa"/>
          </w:tcPr>
          <w:p w14:paraId="547F43D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Application of Form 8960 to Regulation Example</w:t>
            </w:r>
          </w:p>
        </w:tc>
      </w:tr>
      <w:tr w:rsidR="00494B49" w:rsidRPr="003B0773" w14:paraId="52CA5B2D" w14:textId="77777777" w:rsidTr="003B0773">
        <w:tc>
          <w:tcPr>
            <w:tcW w:w="9606" w:type="dxa"/>
          </w:tcPr>
          <w:p w14:paraId="5819046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Example — Allocations Within Deduction Classes </w:t>
            </w:r>
          </w:p>
        </w:tc>
      </w:tr>
      <w:tr w:rsidR="00494B49" w:rsidRPr="003B0773" w14:paraId="24EF6CD1" w14:textId="77777777" w:rsidTr="003B0773">
        <w:tc>
          <w:tcPr>
            <w:tcW w:w="9606" w:type="dxa"/>
          </w:tcPr>
          <w:p w14:paraId="3818A7F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 — Benefits of Stacking</w:t>
            </w:r>
          </w:p>
        </w:tc>
      </w:tr>
      <w:tr w:rsidR="00494B49" w:rsidRPr="003B0773" w14:paraId="5ED12190" w14:textId="77777777" w:rsidTr="003B0773">
        <w:tc>
          <w:tcPr>
            <w:tcW w:w="9606" w:type="dxa"/>
          </w:tcPr>
          <w:p w14:paraId="102E647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Unique Deductions for Decedents, Estates, and Trusts</w:t>
            </w:r>
          </w:p>
        </w:tc>
      </w:tr>
      <w:tr w:rsidR="00494B49" w:rsidRPr="003B0773" w14:paraId="0D949983" w14:textId="77777777" w:rsidTr="003B0773">
        <w:tc>
          <w:tcPr>
            <w:tcW w:w="9606" w:type="dxa"/>
          </w:tcPr>
          <w:p w14:paraId="180186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691(b) — Deductions in Respect of a Decedent</w:t>
            </w:r>
          </w:p>
        </w:tc>
      </w:tr>
      <w:tr w:rsidR="00494B49" w:rsidRPr="003B0773" w14:paraId="462A7593" w14:textId="77777777" w:rsidTr="003B0773">
        <w:tc>
          <w:tcPr>
            <w:tcW w:w="9606" w:type="dxa"/>
          </w:tcPr>
          <w:p w14:paraId="18D1DD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691(c) — Deductions for Estate Taxes</w:t>
            </w:r>
          </w:p>
        </w:tc>
      </w:tr>
      <w:tr w:rsidR="00494B49" w:rsidRPr="003B0773" w14:paraId="5F1273DE" w14:textId="77777777" w:rsidTr="003B0773">
        <w:tc>
          <w:tcPr>
            <w:tcW w:w="9606" w:type="dxa"/>
          </w:tcPr>
          <w:p w14:paraId="65ED639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Section 642(h) — Excess Deductions upon Termination</w:t>
            </w:r>
          </w:p>
        </w:tc>
      </w:tr>
      <w:tr w:rsidR="00494B49" w:rsidRPr="003B0773" w14:paraId="65083A75" w14:textId="77777777" w:rsidTr="003B0773">
        <w:tc>
          <w:tcPr>
            <w:tcW w:w="9606" w:type="dxa"/>
          </w:tcPr>
          <w:p w14:paraId="61F3E79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Capital Losses</w:t>
            </w:r>
          </w:p>
        </w:tc>
      </w:tr>
      <w:tr w:rsidR="00494B49" w:rsidRPr="003B0773" w14:paraId="299A24B8" w14:textId="77777777" w:rsidTr="003B0773">
        <w:tc>
          <w:tcPr>
            <w:tcW w:w="9606" w:type="dxa"/>
          </w:tcPr>
          <w:p w14:paraId="07B799F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Net Operating Losses</w:t>
            </w:r>
          </w:p>
        </w:tc>
      </w:tr>
      <w:tr w:rsidR="00494B49" w:rsidRPr="003B0773" w14:paraId="4BD4871B" w14:textId="77777777" w:rsidTr="003B0773">
        <w:tc>
          <w:tcPr>
            <w:tcW w:w="9606" w:type="dxa"/>
          </w:tcPr>
          <w:p w14:paraId="197F831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Treatment of Excess Properly Allocable Deductions</w:t>
            </w:r>
          </w:p>
        </w:tc>
      </w:tr>
      <w:tr w:rsidR="00494B49" w:rsidRPr="003B0773" w14:paraId="1FFA7D82" w14:textId="77777777" w:rsidTr="003B0773">
        <w:tc>
          <w:tcPr>
            <w:tcW w:w="9606" w:type="dxa"/>
          </w:tcPr>
          <w:p w14:paraId="335005C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Tax Years Beginning in 2013 Through 2017</w:t>
            </w:r>
          </w:p>
        </w:tc>
      </w:tr>
      <w:tr w:rsidR="00494B49" w:rsidRPr="003B0773" w14:paraId="0DA0F807" w14:textId="77777777" w:rsidTr="003B0773">
        <w:tc>
          <w:tcPr>
            <w:tcW w:w="9606" w:type="dxa"/>
          </w:tcPr>
          <w:p w14:paraId="67ADB26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 Years Beginning After 2017</w:t>
            </w:r>
          </w:p>
        </w:tc>
      </w:tr>
      <w:tr w:rsidR="00494B49" w:rsidRPr="003B0773" w14:paraId="0A915A4E" w14:textId="77777777" w:rsidTr="003B0773">
        <w:tc>
          <w:tcPr>
            <w:tcW w:w="9606" w:type="dxa"/>
          </w:tcPr>
          <w:p w14:paraId="7357CE4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F. Suspended Deductions</w:t>
            </w:r>
          </w:p>
        </w:tc>
      </w:tr>
      <w:tr w:rsidR="00494B49" w:rsidRPr="003B0773" w14:paraId="5306A156" w14:textId="77777777" w:rsidTr="003B0773">
        <w:tc>
          <w:tcPr>
            <w:tcW w:w="9606" w:type="dxa"/>
          </w:tcPr>
          <w:p w14:paraId="0542140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Treatment of Suspended Losses Other Than Passive Losses</w:t>
            </w:r>
          </w:p>
        </w:tc>
      </w:tr>
      <w:tr w:rsidR="00494B49" w:rsidRPr="003B0773" w14:paraId="7CCAA3CB" w14:textId="77777777" w:rsidTr="003B0773">
        <w:tc>
          <w:tcPr>
            <w:tcW w:w="9606" w:type="dxa"/>
          </w:tcPr>
          <w:p w14:paraId="40684FD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Treatment of Losses Suspended Due to Tax Basis Limitation</w:t>
            </w:r>
          </w:p>
        </w:tc>
      </w:tr>
      <w:tr w:rsidR="00494B49" w:rsidRPr="003B0773" w14:paraId="1D58A0E4" w14:textId="77777777" w:rsidTr="003B0773">
        <w:tc>
          <w:tcPr>
            <w:tcW w:w="9606" w:type="dxa"/>
          </w:tcPr>
          <w:p w14:paraId="04FA9CA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Losses Suspended Under the At-Risk Rules</w:t>
            </w:r>
          </w:p>
        </w:tc>
      </w:tr>
      <w:tr w:rsidR="00494B49" w:rsidRPr="003B0773" w14:paraId="49E55B34" w14:textId="77777777" w:rsidTr="003B0773">
        <w:tc>
          <w:tcPr>
            <w:tcW w:w="9606" w:type="dxa"/>
          </w:tcPr>
          <w:p w14:paraId="6C2105B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Other Types of Suspended Losses </w:t>
            </w:r>
          </w:p>
        </w:tc>
      </w:tr>
      <w:tr w:rsidR="00494B49" w:rsidRPr="003B0773" w14:paraId="424F0711" w14:textId="77777777" w:rsidTr="003B0773">
        <w:tc>
          <w:tcPr>
            <w:tcW w:w="9606" w:type="dxa"/>
          </w:tcPr>
          <w:p w14:paraId="7EE8C15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Suspended Passive Losses</w:t>
            </w:r>
          </w:p>
        </w:tc>
      </w:tr>
      <w:tr w:rsidR="00494B49" w:rsidRPr="003B0773" w14:paraId="5C84DB28" w14:textId="77777777" w:rsidTr="003B0773">
        <w:tc>
          <w:tcPr>
            <w:tcW w:w="9606" w:type="dxa"/>
          </w:tcPr>
          <w:p w14:paraId="6CCF01C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 General</w:t>
            </w:r>
          </w:p>
        </w:tc>
      </w:tr>
      <w:tr w:rsidR="00494B49" w:rsidRPr="003B0773" w14:paraId="5B9AFDD7" w14:textId="77777777" w:rsidTr="003B0773">
        <w:tc>
          <w:tcPr>
            <w:tcW w:w="9606" w:type="dxa"/>
          </w:tcPr>
          <w:p w14:paraId="6FD864A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General Treatment of Suspended Passive Losses for NIIT Purposes </w:t>
            </w:r>
          </w:p>
        </w:tc>
      </w:tr>
      <w:tr w:rsidR="00494B49" w:rsidRPr="003B0773" w14:paraId="46C0F0E6" w14:textId="77777777" w:rsidTr="003B0773">
        <w:tc>
          <w:tcPr>
            <w:tcW w:w="9606" w:type="dxa"/>
          </w:tcPr>
          <w:p w14:paraId="6408F58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Year of Suspension</w:t>
            </w:r>
          </w:p>
        </w:tc>
      </w:tr>
      <w:tr w:rsidR="00494B49" w:rsidRPr="003B0773" w14:paraId="0E66A3BB" w14:textId="77777777" w:rsidTr="003B0773">
        <w:tc>
          <w:tcPr>
            <w:tcW w:w="9606" w:type="dxa"/>
          </w:tcPr>
          <w:p w14:paraId="72E676C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Year of Allowance</w:t>
            </w:r>
          </w:p>
        </w:tc>
      </w:tr>
      <w:tr w:rsidR="00494B49" w:rsidRPr="003B0773" w14:paraId="37AF2DC8" w14:textId="77777777" w:rsidTr="003B0773">
        <w:tc>
          <w:tcPr>
            <w:tcW w:w="9606" w:type="dxa"/>
          </w:tcPr>
          <w:p w14:paraId="12A3F9B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Examples</w:t>
            </w:r>
          </w:p>
        </w:tc>
      </w:tr>
      <w:tr w:rsidR="00494B49" w:rsidRPr="003B0773" w14:paraId="72B4CECB" w14:textId="77777777" w:rsidTr="003B0773">
        <w:tc>
          <w:tcPr>
            <w:tcW w:w="9606" w:type="dxa"/>
          </w:tcPr>
          <w:p w14:paraId="567C1EC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Losses Attributable to Former Passive Activities (FPAs)</w:t>
            </w:r>
          </w:p>
        </w:tc>
      </w:tr>
      <w:tr w:rsidR="00494B49" w:rsidRPr="003B0773" w14:paraId="25950AB0" w14:textId="77777777" w:rsidTr="003B0773">
        <w:tc>
          <w:tcPr>
            <w:tcW w:w="9606" w:type="dxa"/>
          </w:tcPr>
          <w:p w14:paraId="1D6E252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d. Section 469(g) — Deductions on Final Disposition </w:t>
            </w:r>
          </w:p>
        </w:tc>
      </w:tr>
      <w:tr w:rsidR="00494B49" w:rsidRPr="003B0773" w14:paraId="47F17960" w14:textId="77777777" w:rsidTr="003B0773">
        <w:tc>
          <w:tcPr>
            <w:tcW w:w="9606" w:type="dxa"/>
          </w:tcPr>
          <w:p w14:paraId="61C7C58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Excess Business Losses Disallowed by §461(l)</w:t>
            </w:r>
          </w:p>
        </w:tc>
      </w:tr>
      <w:tr w:rsidR="00494B49" w:rsidRPr="003B0773" w14:paraId="0843F245" w14:textId="77777777" w:rsidTr="003B0773">
        <w:tc>
          <w:tcPr>
            <w:tcW w:w="9606" w:type="dxa"/>
          </w:tcPr>
          <w:p w14:paraId="15CA2D99"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G. Recoveries of Prior Year Deductions</w:t>
            </w:r>
          </w:p>
        </w:tc>
      </w:tr>
      <w:tr w:rsidR="00494B49" w:rsidRPr="003B0773" w14:paraId="1266F106" w14:textId="77777777" w:rsidTr="003B0773">
        <w:tc>
          <w:tcPr>
            <w:tcW w:w="9606" w:type="dxa"/>
          </w:tcPr>
          <w:p w14:paraId="31B1F09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on Recoveries</w:t>
            </w:r>
          </w:p>
        </w:tc>
      </w:tr>
      <w:tr w:rsidR="00494B49" w:rsidRPr="003B0773" w14:paraId="3977FF92" w14:textId="77777777" w:rsidTr="003B0773">
        <w:tc>
          <w:tcPr>
            <w:tcW w:w="9606" w:type="dxa"/>
          </w:tcPr>
          <w:p w14:paraId="123940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Overall Limitation on Amount of Recovery</w:t>
            </w:r>
          </w:p>
        </w:tc>
      </w:tr>
      <w:tr w:rsidR="00494B49" w:rsidRPr="003B0773" w14:paraId="12FF93A6" w14:textId="77777777" w:rsidTr="003B0773">
        <w:tc>
          <w:tcPr>
            <w:tcW w:w="9606" w:type="dxa"/>
          </w:tcPr>
          <w:p w14:paraId="4B944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Exceptions to Recovery Inclusions</w:t>
            </w:r>
          </w:p>
        </w:tc>
      </w:tr>
      <w:tr w:rsidR="00494B49" w:rsidRPr="003B0773" w14:paraId="564154E2" w14:textId="77777777" w:rsidTr="003B0773">
        <w:tc>
          <w:tcPr>
            <w:tcW w:w="9606" w:type="dxa"/>
          </w:tcPr>
          <w:p w14:paraId="71D011A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No §1411 Tax Benefit </w:t>
            </w:r>
          </w:p>
        </w:tc>
      </w:tr>
      <w:tr w:rsidR="00494B49" w:rsidRPr="003B0773" w14:paraId="0BEFCF39" w14:textId="77777777" w:rsidTr="003B0773">
        <w:tc>
          <w:tcPr>
            <w:tcW w:w="9606" w:type="dxa"/>
          </w:tcPr>
          <w:p w14:paraId="236244A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Amounts Already Included in §1411(c)(1)(A) </w:t>
            </w:r>
          </w:p>
        </w:tc>
      </w:tr>
      <w:tr w:rsidR="00494B49" w:rsidRPr="003B0773" w14:paraId="782406D3" w14:textId="77777777" w:rsidTr="003B0773">
        <w:tc>
          <w:tcPr>
            <w:tcW w:w="9606" w:type="dxa"/>
          </w:tcPr>
          <w:p w14:paraId="09ED856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Recovery of Reasonably Allocated Deductions</w:t>
            </w:r>
          </w:p>
        </w:tc>
      </w:tr>
      <w:tr w:rsidR="00494B49" w:rsidRPr="003B0773" w14:paraId="0076C058" w14:textId="77777777" w:rsidTr="003B0773">
        <w:tc>
          <w:tcPr>
            <w:tcW w:w="9606" w:type="dxa"/>
          </w:tcPr>
          <w:p w14:paraId="1926CC4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Net Operating Losses</w:t>
            </w:r>
          </w:p>
        </w:tc>
      </w:tr>
      <w:tr w:rsidR="00494B49" w:rsidRPr="003B0773" w14:paraId="145F3C26" w14:textId="77777777" w:rsidTr="003B0773">
        <w:tc>
          <w:tcPr>
            <w:tcW w:w="9606" w:type="dxa"/>
          </w:tcPr>
          <w:p w14:paraId="66BDA49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Step One — Calculation of Applicable Portion of NOL for Each Loss Year</w:t>
            </w:r>
          </w:p>
        </w:tc>
      </w:tr>
      <w:tr w:rsidR="00494B49" w:rsidRPr="003B0773" w14:paraId="41B8FC15" w14:textId="77777777" w:rsidTr="003B0773">
        <w:tc>
          <w:tcPr>
            <w:tcW w:w="9606" w:type="dxa"/>
          </w:tcPr>
          <w:p w14:paraId="24934B3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Step Two — Calculation of Total §1411 NOL </w:t>
            </w:r>
          </w:p>
        </w:tc>
      </w:tr>
      <w:tr w:rsidR="00494B49" w:rsidRPr="003B0773" w14:paraId="7F09D829" w14:textId="77777777" w:rsidTr="003B0773">
        <w:tc>
          <w:tcPr>
            <w:tcW w:w="9606" w:type="dxa"/>
          </w:tcPr>
          <w:p w14:paraId="70AB84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The §1411 NOL for Each Loss Year</w:t>
            </w:r>
          </w:p>
        </w:tc>
      </w:tr>
      <w:tr w:rsidR="00494B49" w:rsidRPr="003B0773" w14:paraId="72FDA21A" w14:textId="77777777" w:rsidTr="003B0773">
        <w:tc>
          <w:tcPr>
            <w:tcW w:w="9606" w:type="dxa"/>
          </w:tcPr>
          <w:p w14:paraId="37B698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The Total §1411 NOL </w:t>
            </w:r>
          </w:p>
        </w:tc>
      </w:tr>
      <w:tr w:rsidR="00494B49" w:rsidRPr="003B0773" w14:paraId="5A473227" w14:textId="77777777" w:rsidTr="003B0773">
        <w:tc>
          <w:tcPr>
            <w:tcW w:w="9606" w:type="dxa"/>
          </w:tcPr>
          <w:p w14:paraId="0740C16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Example</w:t>
            </w:r>
          </w:p>
        </w:tc>
      </w:tr>
      <w:tr w:rsidR="00494B49" w:rsidRPr="003B0773" w14:paraId="7664B249" w14:textId="77777777" w:rsidTr="003B0773">
        <w:tc>
          <w:tcPr>
            <w:tcW w:w="9606" w:type="dxa"/>
          </w:tcPr>
          <w:p w14:paraId="785BD76F"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 Dispositions of Interests in Partnerships and S Corporations</w:t>
            </w:r>
          </w:p>
        </w:tc>
      </w:tr>
      <w:tr w:rsidR="00494B49" w:rsidRPr="003B0773" w14:paraId="1853DB38" w14:textId="77777777" w:rsidTr="003B0773">
        <w:tc>
          <w:tcPr>
            <w:tcW w:w="9606" w:type="dxa"/>
          </w:tcPr>
          <w:p w14:paraId="1018893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Introduction </w:t>
            </w:r>
          </w:p>
        </w:tc>
      </w:tr>
      <w:tr w:rsidR="00494B49" w:rsidRPr="003B0773" w14:paraId="7C88E3A7" w14:textId="77777777" w:rsidTr="003B0773">
        <w:tc>
          <w:tcPr>
            <w:tcW w:w="9606" w:type="dxa"/>
          </w:tcPr>
          <w:p w14:paraId="640DB29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2013 Proposed Regulations </w:t>
            </w:r>
          </w:p>
        </w:tc>
      </w:tr>
      <w:tr w:rsidR="00494B49" w:rsidRPr="003B0773" w14:paraId="51A8BDAF" w14:textId="77777777" w:rsidTr="003B0773">
        <w:tc>
          <w:tcPr>
            <w:tcW w:w="9606" w:type="dxa"/>
          </w:tcPr>
          <w:p w14:paraId="2A92829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Interests Subject to §1411(c)(4)</w:t>
            </w:r>
          </w:p>
        </w:tc>
      </w:tr>
      <w:tr w:rsidR="00494B49" w:rsidRPr="003B0773" w14:paraId="7C817982" w14:textId="77777777" w:rsidTr="003B0773">
        <w:tc>
          <w:tcPr>
            <w:tcW w:w="9606" w:type="dxa"/>
          </w:tcPr>
          <w:p w14:paraId="5181D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Definition of Passthrough Entity</w:t>
            </w:r>
          </w:p>
        </w:tc>
      </w:tr>
      <w:tr w:rsidR="00494B49" w:rsidRPr="003B0773" w14:paraId="6668664C" w14:textId="77777777" w:rsidTr="003B0773">
        <w:tc>
          <w:tcPr>
            <w:tcW w:w="9606" w:type="dxa"/>
          </w:tcPr>
          <w:p w14:paraId="0E1F6B6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Definition of Subsidiary Passthrough Entity</w:t>
            </w:r>
          </w:p>
        </w:tc>
      </w:tr>
      <w:tr w:rsidR="00494B49" w:rsidRPr="003B0773" w14:paraId="2251602A" w14:textId="77777777" w:rsidTr="003B0773">
        <w:tc>
          <w:tcPr>
            <w:tcW w:w="9606" w:type="dxa"/>
          </w:tcPr>
          <w:p w14:paraId="4E29529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Definition of `Section 1411(c)(4) Disposition'</w:t>
            </w:r>
          </w:p>
        </w:tc>
      </w:tr>
      <w:tr w:rsidR="00494B49" w:rsidRPr="003B0773" w14:paraId="6D08501B" w14:textId="77777777" w:rsidTr="003B0773">
        <w:tc>
          <w:tcPr>
            <w:tcW w:w="9606" w:type="dxa"/>
          </w:tcPr>
          <w:p w14:paraId="26E2FCC8"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Passive and Nonpassive Activities </w:t>
            </w:r>
          </w:p>
        </w:tc>
      </w:tr>
      <w:tr w:rsidR="00494B49" w:rsidRPr="003B0773" w14:paraId="661C16BB" w14:textId="77777777" w:rsidTr="003B0773">
        <w:tc>
          <w:tcPr>
            <w:tcW w:w="9606" w:type="dxa"/>
          </w:tcPr>
          <w:p w14:paraId="72F618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Dispositions </w:t>
            </w:r>
          </w:p>
        </w:tc>
      </w:tr>
      <w:tr w:rsidR="00494B49" w:rsidRPr="003B0773" w14:paraId="5D7CBA2F" w14:textId="77777777" w:rsidTr="003B0773">
        <w:tc>
          <w:tcPr>
            <w:tcW w:w="9606" w:type="dxa"/>
          </w:tcPr>
          <w:p w14:paraId="5EA0E4F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Definition of `Section 1411 Property'</w:t>
            </w:r>
          </w:p>
        </w:tc>
      </w:tr>
      <w:tr w:rsidR="00494B49" w:rsidRPr="003B0773" w14:paraId="2B6453EF" w14:textId="77777777" w:rsidTr="003B0773">
        <w:tc>
          <w:tcPr>
            <w:tcW w:w="9606" w:type="dxa"/>
          </w:tcPr>
          <w:p w14:paraId="14FF90D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Calculation of Gain or Loss Taken into Account in Computing Net Investment Income</w:t>
            </w:r>
          </w:p>
        </w:tc>
      </w:tr>
      <w:tr w:rsidR="00494B49" w:rsidRPr="003B0773" w14:paraId="4413C454" w14:textId="77777777" w:rsidTr="003B0773">
        <w:tc>
          <w:tcPr>
            <w:tcW w:w="9606" w:type="dxa"/>
          </w:tcPr>
          <w:p w14:paraId="42F4CA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Primary Method </w:t>
            </w:r>
          </w:p>
        </w:tc>
      </w:tr>
      <w:tr w:rsidR="00494B49" w:rsidRPr="003B0773" w14:paraId="00735145" w14:textId="77777777" w:rsidTr="003B0773">
        <w:tc>
          <w:tcPr>
            <w:tcW w:w="9606" w:type="dxa"/>
          </w:tcPr>
          <w:p w14:paraId="455F9F6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Transferor's Allocable Share of Net Gain or Loss</w:t>
            </w:r>
          </w:p>
        </w:tc>
      </w:tr>
      <w:tr w:rsidR="00494B49" w:rsidRPr="003B0773" w14:paraId="4AC6DBFF" w14:textId="77777777" w:rsidTr="003B0773">
        <w:tc>
          <w:tcPr>
            <w:tcW w:w="9606" w:type="dxa"/>
          </w:tcPr>
          <w:p w14:paraId="63017A8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Calculation</w:t>
            </w:r>
          </w:p>
        </w:tc>
      </w:tr>
      <w:tr w:rsidR="00494B49" w:rsidRPr="003B0773" w14:paraId="7BCE7DA3" w14:textId="77777777" w:rsidTr="003B0773">
        <w:tc>
          <w:tcPr>
            <w:tcW w:w="9606" w:type="dxa"/>
          </w:tcPr>
          <w:p w14:paraId="49F29F1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Losses Suspended by §704(d)(1) and §1366(d)</w:t>
            </w:r>
          </w:p>
        </w:tc>
      </w:tr>
      <w:tr w:rsidR="00494B49" w:rsidRPr="003B0773" w14:paraId="6D9217F7" w14:textId="77777777" w:rsidTr="003B0773">
        <w:tc>
          <w:tcPr>
            <w:tcW w:w="9606" w:type="dxa"/>
          </w:tcPr>
          <w:p w14:paraId="3BB6C43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Examples</w:t>
            </w:r>
          </w:p>
        </w:tc>
      </w:tr>
      <w:tr w:rsidR="00494B49" w:rsidRPr="003B0773" w14:paraId="7503E291" w14:textId="77777777" w:rsidTr="003B0773">
        <w:tc>
          <w:tcPr>
            <w:tcW w:w="9606" w:type="dxa"/>
          </w:tcPr>
          <w:p w14:paraId="18AE627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Optional Simplified Method</w:t>
            </w:r>
          </w:p>
        </w:tc>
      </w:tr>
      <w:tr w:rsidR="00494B49" w:rsidRPr="003B0773" w14:paraId="764C5BBA" w14:textId="77777777" w:rsidTr="003B0773">
        <w:tc>
          <w:tcPr>
            <w:tcW w:w="9606" w:type="dxa"/>
          </w:tcPr>
          <w:p w14:paraId="3117BA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Section 1411 Holding Period </w:t>
            </w:r>
          </w:p>
        </w:tc>
      </w:tr>
      <w:tr w:rsidR="00494B49" w:rsidRPr="003B0773" w14:paraId="2E88278A" w14:textId="77777777" w:rsidTr="003B0773">
        <w:tc>
          <w:tcPr>
            <w:tcW w:w="9606" w:type="dxa"/>
          </w:tcPr>
          <w:p w14:paraId="6A67E34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Dispositions Eligible for the Optional Simplified Method</w:t>
            </w:r>
          </w:p>
        </w:tc>
      </w:tr>
      <w:tr w:rsidR="00494B49" w:rsidRPr="003B0773" w14:paraId="15E27A3A" w14:textId="77777777" w:rsidTr="003B0773">
        <w:tc>
          <w:tcPr>
            <w:tcW w:w="9606" w:type="dxa"/>
          </w:tcPr>
          <w:p w14:paraId="3861AAC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Dispositions Not Eligible for the Optional Simplified Method</w:t>
            </w:r>
          </w:p>
        </w:tc>
      </w:tr>
      <w:tr w:rsidR="00494B49" w:rsidRPr="003B0773" w14:paraId="0BA51C5E" w14:textId="77777777" w:rsidTr="003B0773">
        <w:tc>
          <w:tcPr>
            <w:tcW w:w="9606" w:type="dxa"/>
          </w:tcPr>
          <w:p w14:paraId="2C77D14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Calculation of §1411(c)(4) Adjustment Under the Optional Simplified Method</w:t>
            </w:r>
          </w:p>
        </w:tc>
      </w:tr>
      <w:tr w:rsidR="00494B49" w:rsidRPr="003B0773" w14:paraId="59F104B9" w14:textId="77777777" w:rsidTr="003B0773">
        <w:tc>
          <w:tcPr>
            <w:tcW w:w="9606" w:type="dxa"/>
          </w:tcPr>
          <w:p w14:paraId="583DE7C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Examples of the Optional Simplified Method</w:t>
            </w:r>
          </w:p>
        </w:tc>
      </w:tr>
      <w:tr w:rsidR="00494B49" w:rsidRPr="003B0773" w14:paraId="08021238" w14:textId="77777777" w:rsidTr="003B0773">
        <w:tc>
          <w:tcPr>
            <w:tcW w:w="9606" w:type="dxa"/>
          </w:tcPr>
          <w:p w14:paraId="0E4F01B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Information Reporting</w:t>
            </w:r>
          </w:p>
        </w:tc>
      </w:tr>
      <w:tr w:rsidR="00494B49" w:rsidRPr="003B0773" w14:paraId="4FF38070" w14:textId="77777777" w:rsidTr="003B0773">
        <w:tc>
          <w:tcPr>
            <w:tcW w:w="9606" w:type="dxa"/>
          </w:tcPr>
          <w:p w14:paraId="5281930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Information Reporting by the Passthrough Entity to the Transferor</w:t>
            </w:r>
          </w:p>
        </w:tc>
      </w:tr>
      <w:tr w:rsidR="00494B49" w:rsidRPr="003B0773" w14:paraId="677DBCC1" w14:textId="77777777" w:rsidTr="003B0773">
        <w:tc>
          <w:tcPr>
            <w:tcW w:w="9606" w:type="dxa"/>
          </w:tcPr>
          <w:p w14:paraId="4B93284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Information Reporting by the Transferor </w:t>
            </w:r>
          </w:p>
        </w:tc>
      </w:tr>
      <w:tr w:rsidR="00494B49" w:rsidRPr="003B0773" w14:paraId="0A3F7FDA" w14:textId="77777777" w:rsidTr="003B0773">
        <w:tc>
          <w:tcPr>
            <w:tcW w:w="9606" w:type="dxa"/>
          </w:tcPr>
          <w:p w14:paraId="5DBF2D7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Special Operating Rules</w:t>
            </w:r>
          </w:p>
        </w:tc>
      </w:tr>
      <w:tr w:rsidR="00494B49" w:rsidRPr="003B0773" w14:paraId="67722FC7" w14:textId="77777777" w:rsidTr="003B0773">
        <w:tc>
          <w:tcPr>
            <w:tcW w:w="9606" w:type="dxa"/>
          </w:tcPr>
          <w:p w14:paraId="411897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Certain Liquidations</w:t>
            </w:r>
          </w:p>
        </w:tc>
      </w:tr>
      <w:tr w:rsidR="00494B49" w:rsidRPr="003B0773" w14:paraId="6AE0AE8F" w14:textId="77777777" w:rsidTr="003B0773">
        <w:tc>
          <w:tcPr>
            <w:tcW w:w="9606" w:type="dxa"/>
          </w:tcPr>
          <w:p w14:paraId="229FE35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Coordinating Rules for S Corporations</w:t>
            </w:r>
          </w:p>
        </w:tc>
      </w:tr>
      <w:tr w:rsidR="00494B49" w:rsidRPr="003B0773" w14:paraId="2A9FD934" w14:textId="77777777" w:rsidTr="003B0773">
        <w:tc>
          <w:tcPr>
            <w:tcW w:w="9606" w:type="dxa"/>
          </w:tcPr>
          <w:p w14:paraId="489581C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Sales That Terminate the Passthrough Entity's S Corporation Election</w:t>
            </w:r>
          </w:p>
        </w:tc>
      </w:tr>
      <w:tr w:rsidR="00494B49" w:rsidRPr="003B0773" w14:paraId="5FA91B4A" w14:textId="77777777" w:rsidTr="003B0773">
        <w:tc>
          <w:tcPr>
            <w:tcW w:w="9606" w:type="dxa"/>
          </w:tcPr>
          <w:p w14:paraId="515C5EA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Treatment of Hypothetical §1374 Built-In Gain Taxes </w:t>
            </w:r>
          </w:p>
        </w:tc>
      </w:tr>
      <w:tr w:rsidR="00494B49" w:rsidRPr="003B0773" w14:paraId="1E999B0E" w14:textId="77777777" w:rsidTr="003B0773">
        <w:tc>
          <w:tcPr>
            <w:tcW w:w="9606" w:type="dxa"/>
          </w:tcPr>
          <w:p w14:paraId="7588DD2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Treatment of Section 1411 Dispositions by </w:t>
            </w:r>
            <w:proofErr w:type="spellStart"/>
            <w:r w:rsidRPr="003B0773">
              <w:rPr>
                <w:rFonts w:ascii="Times New Roman" w:hAnsi="Times New Roman" w:cs="Times New Roman"/>
                <w:snapToGrid w:val="0"/>
                <w:sz w:val="18"/>
                <w:szCs w:val="18"/>
              </w:rPr>
              <w:t>QualifiedSubchapter</w:t>
            </w:r>
            <w:proofErr w:type="spellEnd"/>
            <w:r w:rsidRPr="003B0773">
              <w:rPr>
                <w:rFonts w:ascii="Times New Roman" w:hAnsi="Times New Roman" w:cs="Times New Roman"/>
                <w:snapToGrid w:val="0"/>
                <w:sz w:val="18"/>
                <w:szCs w:val="18"/>
              </w:rPr>
              <w:t xml:space="preserve"> S Trusts (QSSTs)</w:t>
            </w:r>
          </w:p>
        </w:tc>
      </w:tr>
      <w:tr w:rsidR="00494B49" w:rsidRPr="003B0773" w14:paraId="394681C6" w14:textId="77777777" w:rsidTr="003B0773">
        <w:tc>
          <w:tcPr>
            <w:tcW w:w="9606" w:type="dxa"/>
          </w:tcPr>
          <w:p w14:paraId="05DE393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Sales Involving Installment Sales and Private Annuities </w:t>
            </w:r>
          </w:p>
        </w:tc>
      </w:tr>
      <w:tr w:rsidR="00494B49" w:rsidRPr="003B0773" w14:paraId="0AC855B6" w14:textId="77777777" w:rsidTr="003B0773">
        <w:tc>
          <w:tcPr>
            <w:tcW w:w="9606" w:type="dxa"/>
          </w:tcPr>
          <w:p w14:paraId="60ED4DA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General Rule </w:t>
            </w:r>
          </w:p>
        </w:tc>
      </w:tr>
      <w:tr w:rsidR="00494B49" w:rsidRPr="003B0773" w14:paraId="3248B845" w14:textId="77777777" w:rsidTr="003B0773">
        <w:tc>
          <w:tcPr>
            <w:tcW w:w="9606" w:type="dxa"/>
          </w:tcPr>
          <w:p w14:paraId="428CE56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Contingent Payment Installment Sales and Private Annuities Based on Life Expectancy</w:t>
            </w:r>
          </w:p>
        </w:tc>
      </w:tr>
      <w:tr w:rsidR="00494B49" w:rsidRPr="003B0773" w14:paraId="53E95DC4" w14:textId="77777777" w:rsidTr="003B0773">
        <w:tc>
          <w:tcPr>
            <w:tcW w:w="9606" w:type="dxa"/>
          </w:tcPr>
          <w:p w14:paraId="2AD1F67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Tiered Passthrough Dispositions</w:t>
            </w:r>
          </w:p>
        </w:tc>
      </w:tr>
      <w:tr w:rsidR="00494B49" w:rsidRPr="003B0773" w14:paraId="4F1F9640" w14:textId="77777777" w:rsidTr="003B0773">
        <w:tc>
          <w:tcPr>
            <w:tcW w:w="9606" w:type="dxa"/>
          </w:tcPr>
          <w:p w14:paraId="3ABF11E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Computational Issues</w:t>
            </w:r>
          </w:p>
        </w:tc>
      </w:tr>
      <w:tr w:rsidR="00494B49" w:rsidRPr="003B0773" w14:paraId="23C448CE" w14:textId="77777777" w:rsidTr="003B0773">
        <w:tc>
          <w:tcPr>
            <w:tcW w:w="9606" w:type="dxa"/>
          </w:tcPr>
          <w:p w14:paraId="09D3F7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Reporting in Tiered Structures</w:t>
            </w:r>
          </w:p>
        </w:tc>
      </w:tr>
      <w:tr w:rsidR="00494B49" w:rsidRPr="003B0773" w14:paraId="28DA555B" w14:textId="77777777" w:rsidTr="003B0773">
        <w:tc>
          <w:tcPr>
            <w:tcW w:w="9606" w:type="dxa"/>
          </w:tcPr>
          <w:p w14:paraId="3C29C0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Short Year Sales: A Trap for the Unwary</w:t>
            </w:r>
          </w:p>
        </w:tc>
      </w:tr>
      <w:tr w:rsidR="00494B49" w:rsidRPr="003B0773" w14:paraId="0EB7F102" w14:textId="77777777" w:rsidTr="003B0773">
        <w:tc>
          <w:tcPr>
            <w:tcW w:w="9606" w:type="dxa"/>
          </w:tcPr>
          <w:p w14:paraId="5B094C1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2012 Proposed Regulations</w:t>
            </w:r>
          </w:p>
        </w:tc>
      </w:tr>
      <w:tr w:rsidR="00494B49" w:rsidRPr="003B0773" w14:paraId="0A5730D6" w14:textId="77777777" w:rsidTr="003B0773">
        <w:tc>
          <w:tcPr>
            <w:tcW w:w="9606" w:type="dxa"/>
          </w:tcPr>
          <w:p w14:paraId="41A5A2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Deemed Sale Approach</w:t>
            </w:r>
          </w:p>
        </w:tc>
      </w:tr>
      <w:tr w:rsidR="00494B49" w:rsidRPr="003B0773" w14:paraId="6F3E9733" w14:textId="77777777" w:rsidTr="003B0773">
        <w:tc>
          <w:tcPr>
            <w:tcW w:w="9606" w:type="dxa"/>
          </w:tcPr>
          <w:p w14:paraId="4DF947A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Taxpayer Reliance on 2012 Proposed Regulations — 2013 Tax Year</w:t>
            </w:r>
          </w:p>
        </w:tc>
      </w:tr>
      <w:tr w:rsidR="00494B49" w:rsidRPr="003B0773" w14:paraId="361C17A6" w14:textId="77777777" w:rsidTr="003B0773">
        <w:tc>
          <w:tcPr>
            <w:tcW w:w="9606" w:type="dxa"/>
          </w:tcPr>
          <w:p w14:paraId="4F3B6EF2"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VII. Income from Controlled Foreign Corporations and Passive Foreign Investment Companies </w:t>
            </w:r>
          </w:p>
        </w:tc>
      </w:tr>
      <w:tr w:rsidR="00494B49" w:rsidRPr="003B0773" w14:paraId="74C20EB8" w14:textId="77777777" w:rsidTr="003B0773">
        <w:tc>
          <w:tcPr>
            <w:tcW w:w="9606" w:type="dxa"/>
          </w:tcPr>
          <w:p w14:paraId="6EC41E0F"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Regular Income Taxation of Controlled Foreign Corporations and Passive Foreign Investment Companies</w:t>
            </w:r>
          </w:p>
        </w:tc>
      </w:tr>
      <w:tr w:rsidR="00494B49" w:rsidRPr="003B0773" w14:paraId="6281B565" w14:textId="77777777" w:rsidTr="003B0773">
        <w:tc>
          <w:tcPr>
            <w:tcW w:w="9606" w:type="dxa"/>
          </w:tcPr>
          <w:p w14:paraId="53BBB0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Controlled Foreign Corporations (CFCs) </w:t>
            </w:r>
          </w:p>
        </w:tc>
      </w:tr>
      <w:tr w:rsidR="00494B49" w:rsidRPr="003B0773" w14:paraId="45AC8838" w14:textId="77777777" w:rsidTr="003B0773">
        <w:tc>
          <w:tcPr>
            <w:tcW w:w="9606" w:type="dxa"/>
          </w:tcPr>
          <w:p w14:paraId="2518DB9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Passive Foreign Investment Companies (PFICs) </w:t>
            </w:r>
          </w:p>
        </w:tc>
      </w:tr>
      <w:tr w:rsidR="00494B49" w:rsidRPr="003B0773" w14:paraId="255CD091" w14:textId="77777777" w:rsidTr="003B0773">
        <w:tc>
          <w:tcPr>
            <w:tcW w:w="9606" w:type="dxa"/>
          </w:tcPr>
          <w:p w14:paraId="06F2A2D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Section 1291 Funds</w:t>
            </w:r>
          </w:p>
        </w:tc>
      </w:tr>
      <w:tr w:rsidR="00494B49" w:rsidRPr="003B0773" w14:paraId="23121965" w14:textId="77777777" w:rsidTr="003B0773">
        <w:tc>
          <w:tcPr>
            <w:tcW w:w="9606" w:type="dxa"/>
          </w:tcPr>
          <w:p w14:paraId="74BA1D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QEFs</w:t>
            </w:r>
          </w:p>
        </w:tc>
      </w:tr>
      <w:tr w:rsidR="00494B49" w:rsidRPr="003B0773" w14:paraId="27056F99" w14:textId="77777777" w:rsidTr="003B0773">
        <w:tc>
          <w:tcPr>
            <w:tcW w:w="9606" w:type="dxa"/>
          </w:tcPr>
          <w:p w14:paraId="0865088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Mark-to-Market Funds</w:t>
            </w:r>
          </w:p>
        </w:tc>
      </w:tr>
      <w:tr w:rsidR="00494B49" w:rsidRPr="003B0773" w14:paraId="3D2B3AED" w14:textId="77777777" w:rsidTr="003B0773">
        <w:tc>
          <w:tcPr>
            <w:tcW w:w="9606" w:type="dxa"/>
          </w:tcPr>
          <w:p w14:paraId="169715C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Application of NIIT to §1296 Mark-to-Market Funds</w:t>
            </w:r>
          </w:p>
        </w:tc>
      </w:tr>
      <w:tr w:rsidR="00494B49" w:rsidRPr="003B0773" w14:paraId="5E4DB323" w14:textId="77777777" w:rsidTr="003B0773">
        <w:tc>
          <w:tcPr>
            <w:tcW w:w="9606" w:type="dxa"/>
          </w:tcPr>
          <w:p w14:paraId="3E806273"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Application of NIIT to §1291 Funds</w:t>
            </w:r>
          </w:p>
        </w:tc>
      </w:tr>
      <w:tr w:rsidR="00494B49" w:rsidRPr="003B0773" w14:paraId="174A86CB" w14:textId="77777777" w:rsidTr="003B0773">
        <w:tc>
          <w:tcPr>
            <w:tcW w:w="9606" w:type="dxa"/>
          </w:tcPr>
          <w:p w14:paraId="65DE2BFD"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Net Investment Income Inclusion</w:t>
            </w:r>
          </w:p>
        </w:tc>
      </w:tr>
      <w:tr w:rsidR="00494B49" w:rsidRPr="003B0773" w14:paraId="29B0CB09" w14:textId="77777777" w:rsidTr="003B0773">
        <w:tc>
          <w:tcPr>
            <w:tcW w:w="9606" w:type="dxa"/>
          </w:tcPr>
          <w:p w14:paraId="2121D33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Required Adjustment to MAGI </w:t>
            </w:r>
          </w:p>
        </w:tc>
      </w:tr>
      <w:tr w:rsidR="00494B49" w:rsidRPr="003B0773" w14:paraId="3DFED5EF" w14:textId="77777777" w:rsidTr="003B0773">
        <w:tc>
          <w:tcPr>
            <w:tcW w:w="9606" w:type="dxa"/>
          </w:tcPr>
          <w:p w14:paraId="7E69DAE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 for §1291 Funds</w:t>
            </w:r>
          </w:p>
        </w:tc>
      </w:tr>
      <w:tr w:rsidR="00494B49" w:rsidRPr="003B0773" w14:paraId="720FB749" w14:textId="77777777" w:rsidTr="003B0773">
        <w:tc>
          <w:tcPr>
            <w:tcW w:w="9606" w:type="dxa"/>
          </w:tcPr>
          <w:p w14:paraId="746216C0"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Application of NIIT to CFCs and QEFs Without a Reg. §1.1411-10(g) Election</w:t>
            </w:r>
          </w:p>
        </w:tc>
      </w:tr>
      <w:tr w:rsidR="00494B49" w:rsidRPr="003B0773" w14:paraId="327663BF" w14:textId="77777777" w:rsidTr="003B0773">
        <w:tc>
          <w:tcPr>
            <w:tcW w:w="9606" w:type="dxa"/>
          </w:tcPr>
          <w:p w14:paraId="5FF76F5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and Reasoning for Rules</w:t>
            </w:r>
          </w:p>
        </w:tc>
      </w:tr>
      <w:tr w:rsidR="00494B49" w:rsidRPr="003B0773" w14:paraId="043B51D7" w14:textId="77777777" w:rsidTr="003B0773">
        <w:tc>
          <w:tcPr>
            <w:tcW w:w="9606" w:type="dxa"/>
          </w:tcPr>
          <w:p w14:paraId="02DD70C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Timing of Net Investment Income Inclusion</w:t>
            </w:r>
          </w:p>
        </w:tc>
      </w:tr>
      <w:tr w:rsidR="00494B49" w:rsidRPr="003B0773" w14:paraId="33120526" w14:textId="77777777" w:rsidTr="003B0773">
        <w:tc>
          <w:tcPr>
            <w:tcW w:w="9606" w:type="dxa"/>
          </w:tcPr>
          <w:p w14:paraId="72BF61A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Imputed Items Included in Gross Income but Excluded from Investment Income</w:t>
            </w:r>
          </w:p>
        </w:tc>
      </w:tr>
      <w:tr w:rsidR="00494B49" w:rsidRPr="003B0773" w14:paraId="4FAC2208" w14:textId="77777777" w:rsidTr="003B0773">
        <w:tc>
          <w:tcPr>
            <w:tcW w:w="9606" w:type="dxa"/>
          </w:tcPr>
          <w:p w14:paraId="555C4411"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Items Excluded from Gross Income but Included in Investment Income</w:t>
            </w:r>
          </w:p>
        </w:tc>
      </w:tr>
      <w:tr w:rsidR="00494B49" w:rsidRPr="003B0773" w14:paraId="07943052" w14:textId="77777777" w:rsidTr="003B0773">
        <w:tc>
          <w:tcPr>
            <w:tcW w:w="9606" w:type="dxa"/>
          </w:tcPr>
          <w:p w14:paraId="19A26F4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Resulting Basis Adjustments and Differences in Gains and Losses</w:t>
            </w:r>
          </w:p>
        </w:tc>
      </w:tr>
      <w:tr w:rsidR="00494B49" w:rsidRPr="003B0773" w14:paraId="52072C72" w14:textId="77777777" w:rsidTr="003B0773">
        <w:tc>
          <w:tcPr>
            <w:tcW w:w="9606" w:type="dxa"/>
          </w:tcPr>
          <w:p w14:paraId="5B0E635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Required Adjustment to MAGI</w:t>
            </w:r>
          </w:p>
        </w:tc>
      </w:tr>
      <w:tr w:rsidR="00494B49" w:rsidRPr="003B0773" w14:paraId="6E852329" w14:textId="77777777" w:rsidTr="003B0773">
        <w:tc>
          <w:tcPr>
            <w:tcW w:w="9606" w:type="dxa"/>
          </w:tcPr>
          <w:p w14:paraId="7840F1B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Situations That Require a Decrease to MAGI</w:t>
            </w:r>
          </w:p>
        </w:tc>
      </w:tr>
      <w:tr w:rsidR="00494B49" w:rsidRPr="003B0773" w14:paraId="75728D61" w14:textId="77777777" w:rsidTr="003B0773">
        <w:tc>
          <w:tcPr>
            <w:tcW w:w="9606" w:type="dxa"/>
          </w:tcPr>
          <w:p w14:paraId="04A2D2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Situations That Require an Increase to MAGI</w:t>
            </w:r>
          </w:p>
        </w:tc>
      </w:tr>
      <w:tr w:rsidR="00494B49" w:rsidRPr="003B0773" w14:paraId="0608602E" w14:textId="77777777" w:rsidTr="003B0773">
        <w:tc>
          <w:tcPr>
            <w:tcW w:w="9606" w:type="dxa"/>
          </w:tcPr>
          <w:p w14:paraId="46A6BF5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Situations That May Result in an Increase or Decrease in MAGI</w:t>
            </w:r>
          </w:p>
        </w:tc>
      </w:tr>
      <w:tr w:rsidR="00494B49" w:rsidRPr="003B0773" w14:paraId="63CE4B46" w14:textId="77777777" w:rsidTr="003B0773">
        <w:tc>
          <w:tcPr>
            <w:tcW w:w="9606" w:type="dxa"/>
          </w:tcPr>
          <w:p w14:paraId="0A5E6ED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Example</w:t>
            </w:r>
          </w:p>
        </w:tc>
      </w:tr>
      <w:tr w:rsidR="00494B49" w:rsidRPr="003B0773" w14:paraId="0B37EB32" w14:textId="77777777" w:rsidTr="003B0773">
        <w:tc>
          <w:tcPr>
            <w:tcW w:w="9606" w:type="dxa"/>
          </w:tcPr>
          <w:p w14:paraId="7C2AA63A"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E. The 10(g) Election</w:t>
            </w:r>
          </w:p>
        </w:tc>
      </w:tr>
      <w:tr w:rsidR="00494B49" w:rsidRPr="003B0773" w14:paraId="5DC8AE02" w14:textId="77777777" w:rsidTr="003B0773">
        <w:tc>
          <w:tcPr>
            <w:tcW w:w="9606" w:type="dxa"/>
          </w:tcPr>
          <w:p w14:paraId="7B4694D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Consequences of Election </w:t>
            </w:r>
          </w:p>
        </w:tc>
      </w:tr>
      <w:tr w:rsidR="00494B49" w:rsidRPr="003B0773" w14:paraId="7F7179E5" w14:textId="77777777" w:rsidTr="003B0773">
        <w:tc>
          <w:tcPr>
            <w:tcW w:w="9606" w:type="dxa"/>
          </w:tcPr>
          <w:p w14:paraId="76C85BA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Election Requirements </w:t>
            </w:r>
          </w:p>
        </w:tc>
      </w:tr>
      <w:tr w:rsidR="00494B49" w:rsidRPr="003B0773" w14:paraId="205D4FD1" w14:textId="77777777" w:rsidTr="003B0773">
        <w:tc>
          <w:tcPr>
            <w:tcW w:w="9606" w:type="dxa"/>
          </w:tcPr>
          <w:p w14:paraId="3F5E512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Elections by Individuals, Estates and Trusts</w:t>
            </w:r>
          </w:p>
        </w:tc>
      </w:tr>
      <w:tr w:rsidR="00494B49" w:rsidRPr="003B0773" w14:paraId="44760AA9" w14:textId="77777777" w:rsidTr="003B0773">
        <w:tc>
          <w:tcPr>
            <w:tcW w:w="9606" w:type="dxa"/>
          </w:tcPr>
          <w:p w14:paraId="36CBD34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121C669" w14:textId="77777777" w:rsidTr="003B0773">
        <w:tc>
          <w:tcPr>
            <w:tcW w:w="9606" w:type="dxa"/>
          </w:tcPr>
          <w:p w14:paraId="7F83DF7D"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37CE03A5" w14:textId="77777777" w:rsidTr="003B0773">
        <w:tc>
          <w:tcPr>
            <w:tcW w:w="9606" w:type="dxa"/>
          </w:tcPr>
          <w:p w14:paraId="07C5515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Charitable Remainder Trusts</w:t>
            </w:r>
          </w:p>
        </w:tc>
      </w:tr>
      <w:tr w:rsidR="00494B49" w:rsidRPr="003B0773" w14:paraId="310F22A4" w14:textId="77777777" w:rsidTr="003B0773">
        <w:tc>
          <w:tcPr>
            <w:tcW w:w="9606" w:type="dxa"/>
          </w:tcPr>
          <w:p w14:paraId="756EA725"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Elections by Domestic Partnerships, S Corporations, or Common Trust Funds</w:t>
            </w:r>
          </w:p>
        </w:tc>
      </w:tr>
      <w:tr w:rsidR="00494B49" w:rsidRPr="003B0773" w14:paraId="10C8D49F" w14:textId="77777777" w:rsidTr="003B0773">
        <w:tc>
          <w:tcPr>
            <w:tcW w:w="9606" w:type="dxa"/>
          </w:tcPr>
          <w:p w14:paraId="2CB0AC2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Timing of Election </w:t>
            </w:r>
          </w:p>
        </w:tc>
      </w:tr>
      <w:tr w:rsidR="00494B49" w:rsidRPr="003B0773" w14:paraId="021BAEE3" w14:textId="77777777" w:rsidTr="003B0773">
        <w:tc>
          <w:tcPr>
            <w:tcW w:w="9606" w:type="dxa"/>
          </w:tcPr>
          <w:p w14:paraId="03918EB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Tax Compliance </w:t>
            </w:r>
          </w:p>
        </w:tc>
      </w:tr>
      <w:tr w:rsidR="00494B49" w:rsidRPr="003B0773" w14:paraId="53CA051F" w14:textId="77777777" w:rsidTr="003B0773">
        <w:tc>
          <w:tcPr>
            <w:tcW w:w="9606" w:type="dxa"/>
          </w:tcPr>
          <w:p w14:paraId="7B10EFB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2013 Taxable Year</w:t>
            </w:r>
          </w:p>
        </w:tc>
      </w:tr>
      <w:tr w:rsidR="00494B49" w:rsidRPr="003B0773" w14:paraId="33A60658" w14:textId="77777777" w:rsidTr="003B0773">
        <w:tc>
          <w:tcPr>
            <w:tcW w:w="9606" w:type="dxa"/>
          </w:tcPr>
          <w:p w14:paraId="0833508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Protective `Blanket 10(g) Elections' </w:t>
            </w:r>
          </w:p>
        </w:tc>
      </w:tr>
      <w:tr w:rsidR="00494B49" w:rsidRPr="003B0773" w14:paraId="66F9FD53" w14:textId="77777777" w:rsidTr="003B0773">
        <w:tc>
          <w:tcPr>
            <w:tcW w:w="9606" w:type="dxa"/>
          </w:tcPr>
          <w:p w14:paraId="034E1EA3"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Intentionally Not Making the 10(g) Election</w:t>
            </w:r>
          </w:p>
        </w:tc>
      </w:tr>
      <w:tr w:rsidR="00494B49" w:rsidRPr="003B0773" w14:paraId="61C1DD84" w14:textId="77777777" w:rsidTr="003B0773">
        <w:tc>
          <w:tcPr>
            <w:tcW w:w="9606" w:type="dxa"/>
          </w:tcPr>
          <w:p w14:paraId="1F783625"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F. Special Consideration for Estates and Trusts </w:t>
            </w:r>
          </w:p>
        </w:tc>
      </w:tr>
      <w:tr w:rsidR="00494B49" w:rsidRPr="003B0773" w14:paraId="13ACCF84" w14:textId="77777777" w:rsidTr="003B0773">
        <w:tc>
          <w:tcPr>
            <w:tcW w:w="9606" w:type="dxa"/>
          </w:tcPr>
          <w:p w14:paraId="655BF402"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G. Application of §965 Transition Tax to a Taxpayer Subject to NIIT</w:t>
            </w:r>
          </w:p>
        </w:tc>
      </w:tr>
      <w:tr w:rsidR="00494B49" w:rsidRPr="003B0773" w14:paraId="3F62F281" w14:textId="77777777" w:rsidTr="003B0773">
        <w:tc>
          <w:tcPr>
            <w:tcW w:w="9606" w:type="dxa"/>
          </w:tcPr>
          <w:p w14:paraId="67A1A5C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of §965</w:t>
            </w:r>
          </w:p>
        </w:tc>
      </w:tr>
      <w:tr w:rsidR="00494B49" w:rsidRPr="003B0773" w14:paraId="1DFD8C6F" w14:textId="77777777" w:rsidTr="003B0773">
        <w:tc>
          <w:tcPr>
            <w:tcW w:w="9606" w:type="dxa"/>
          </w:tcPr>
          <w:p w14:paraId="51FE25D0"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Treatment of the §965(a) Inclusion</w:t>
            </w:r>
          </w:p>
        </w:tc>
      </w:tr>
      <w:tr w:rsidR="00494B49" w:rsidRPr="003B0773" w14:paraId="00F72A9B" w14:textId="77777777" w:rsidTr="003B0773">
        <w:tc>
          <w:tcPr>
            <w:tcW w:w="9606" w:type="dxa"/>
          </w:tcPr>
          <w:p w14:paraId="2301391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Treatment of the §965(c) Deduction</w:t>
            </w:r>
          </w:p>
        </w:tc>
      </w:tr>
      <w:tr w:rsidR="00494B49" w:rsidRPr="003B0773" w14:paraId="5BFCC046" w14:textId="77777777" w:rsidTr="003B0773">
        <w:tc>
          <w:tcPr>
            <w:tcW w:w="9606" w:type="dxa"/>
          </w:tcPr>
          <w:p w14:paraId="252A1F3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NIIT Treatment of Installments Payable Over Eight Years (§965(h))</w:t>
            </w:r>
          </w:p>
        </w:tc>
      </w:tr>
      <w:tr w:rsidR="00494B49" w:rsidRPr="003B0773" w14:paraId="7CD831D2" w14:textId="77777777" w:rsidTr="003B0773">
        <w:tc>
          <w:tcPr>
            <w:tcW w:w="9606" w:type="dxa"/>
          </w:tcPr>
          <w:p w14:paraId="0A69185C"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H. NIIT Treatment of Taxpayers Making a §962 Election</w:t>
            </w:r>
          </w:p>
        </w:tc>
      </w:tr>
      <w:tr w:rsidR="00494B49" w:rsidRPr="003B0773" w14:paraId="46F6EE04" w14:textId="77777777" w:rsidTr="003B0773">
        <w:tc>
          <w:tcPr>
            <w:tcW w:w="9606" w:type="dxa"/>
          </w:tcPr>
          <w:p w14:paraId="0CFC5288"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VIII. Application to Individuals</w:t>
            </w:r>
          </w:p>
        </w:tc>
      </w:tr>
      <w:tr w:rsidR="00494B49" w:rsidRPr="003B0773" w14:paraId="0863F43D" w14:textId="77777777" w:rsidTr="003B0773">
        <w:tc>
          <w:tcPr>
            <w:tcW w:w="9606" w:type="dxa"/>
          </w:tcPr>
          <w:p w14:paraId="0A15FBA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Modified Adjusted Gross Income</w:t>
            </w:r>
          </w:p>
        </w:tc>
      </w:tr>
      <w:tr w:rsidR="00494B49" w:rsidRPr="003B0773" w14:paraId="1BB723BF" w14:textId="77777777" w:rsidTr="003B0773">
        <w:tc>
          <w:tcPr>
            <w:tcW w:w="9606" w:type="dxa"/>
          </w:tcPr>
          <w:p w14:paraId="7D9D6EF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Threshold Amounts</w:t>
            </w:r>
          </w:p>
        </w:tc>
      </w:tr>
      <w:tr w:rsidR="00494B49" w:rsidRPr="003B0773" w14:paraId="30D2EB63" w14:textId="77777777" w:rsidTr="003B0773">
        <w:tc>
          <w:tcPr>
            <w:tcW w:w="9606" w:type="dxa"/>
          </w:tcPr>
          <w:p w14:paraId="5BE30F6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Applicable to Individuals</w:t>
            </w:r>
          </w:p>
        </w:tc>
      </w:tr>
      <w:tr w:rsidR="00494B49" w:rsidRPr="003B0773" w14:paraId="728743EB" w14:textId="77777777" w:rsidTr="003B0773">
        <w:tc>
          <w:tcPr>
            <w:tcW w:w="9606" w:type="dxa"/>
          </w:tcPr>
          <w:p w14:paraId="269D104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Application to Nonresident Aliens</w:t>
            </w:r>
          </w:p>
        </w:tc>
      </w:tr>
      <w:tr w:rsidR="00494B49" w:rsidRPr="003B0773" w14:paraId="688FB9C0" w14:textId="77777777" w:rsidTr="003B0773">
        <w:tc>
          <w:tcPr>
            <w:tcW w:w="9606" w:type="dxa"/>
          </w:tcPr>
          <w:p w14:paraId="4A45886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Nonresidents Aliens Married to U.S. Residents or Citizens</w:t>
            </w:r>
          </w:p>
        </w:tc>
      </w:tr>
      <w:tr w:rsidR="00494B49" w:rsidRPr="003B0773" w14:paraId="67E995BC" w14:textId="77777777" w:rsidTr="003B0773">
        <w:tc>
          <w:tcPr>
            <w:tcW w:w="9606" w:type="dxa"/>
          </w:tcPr>
          <w:p w14:paraId="6CD5FA20"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Section 6013(h) Election</w:t>
            </w:r>
          </w:p>
        </w:tc>
      </w:tr>
      <w:tr w:rsidR="00494B49" w:rsidRPr="003B0773" w14:paraId="45413002" w14:textId="77777777" w:rsidTr="003B0773">
        <w:tc>
          <w:tcPr>
            <w:tcW w:w="9606" w:type="dxa"/>
          </w:tcPr>
          <w:p w14:paraId="07222DBC"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Section 6013(g) Election</w:t>
            </w:r>
          </w:p>
        </w:tc>
      </w:tr>
      <w:tr w:rsidR="00494B49" w:rsidRPr="003B0773" w14:paraId="307FE921" w14:textId="77777777" w:rsidTr="003B0773">
        <w:tc>
          <w:tcPr>
            <w:tcW w:w="9606" w:type="dxa"/>
          </w:tcPr>
          <w:p w14:paraId="70DB84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Part-Year Nonresident Aliens</w:t>
            </w:r>
          </w:p>
        </w:tc>
      </w:tr>
      <w:tr w:rsidR="00494B49" w:rsidRPr="003B0773" w14:paraId="6CA8E42C" w14:textId="77777777" w:rsidTr="003B0773">
        <w:tc>
          <w:tcPr>
            <w:tcW w:w="9606" w:type="dxa"/>
          </w:tcPr>
          <w:p w14:paraId="361F5FB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Application of Bona Fide Residents of Territories and Possessions</w:t>
            </w:r>
          </w:p>
        </w:tc>
      </w:tr>
      <w:tr w:rsidR="00494B49" w:rsidRPr="003B0773" w14:paraId="73B4A195" w14:textId="77777777" w:rsidTr="003B0773">
        <w:tc>
          <w:tcPr>
            <w:tcW w:w="9606" w:type="dxa"/>
          </w:tcPr>
          <w:p w14:paraId="264658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Mirror Code Jurisdictions</w:t>
            </w:r>
          </w:p>
        </w:tc>
      </w:tr>
      <w:tr w:rsidR="00494B49" w:rsidRPr="003B0773" w14:paraId="069DEC7F" w14:textId="77777777" w:rsidTr="003B0773">
        <w:tc>
          <w:tcPr>
            <w:tcW w:w="9606" w:type="dxa"/>
          </w:tcPr>
          <w:p w14:paraId="73A7C78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Non-Mirror-Code Jurisdictions</w:t>
            </w:r>
          </w:p>
        </w:tc>
      </w:tr>
      <w:tr w:rsidR="00494B49" w:rsidRPr="003B0773" w14:paraId="09038F92" w14:textId="77777777" w:rsidTr="003B0773">
        <w:tc>
          <w:tcPr>
            <w:tcW w:w="9606" w:type="dxa"/>
          </w:tcPr>
          <w:p w14:paraId="73867A0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Interaction Between Section 1411 and the `Kiddie Tax' </w:t>
            </w:r>
          </w:p>
        </w:tc>
      </w:tr>
      <w:tr w:rsidR="00494B49" w:rsidRPr="003B0773" w14:paraId="0136FFE7" w14:textId="77777777" w:rsidTr="003B0773">
        <w:tc>
          <w:tcPr>
            <w:tcW w:w="9606" w:type="dxa"/>
          </w:tcPr>
          <w:p w14:paraId="68A79CCB"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IX. Application to Estates and Trusts</w:t>
            </w:r>
          </w:p>
        </w:tc>
      </w:tr>
      <w:tr w:rsidR="00494B49" w:rsidRPr="003B0773" w14:paraId="4DC6FAC4" w14:textId="77777777" w:rsidTr="003B0773">
        <w:tc>
          <w:tcPr>
            <w:tcW w:w="9606" w:type="dxa"/>
          </w:tcPr>
          <w:p w14:paraId="3603E07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Excluded Trusts and Estates</w:t>
            </w:r>
          </w:p>
        </w:tc>
      </w:tr>
      <w:tr w:rsidR="00494B49" w:rsidRPr="003B0773" w14:paraId="3ADB5FDA" w14:textId="77777777" w:rsidTr="003B0773">
        <w:tc>
          <w:tcPr>
            <w:tcW w:w="9606" w:type="dxa"/>
          </w:tcPr>
          <w:p w14:paraId="658F05B8"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w:t>
            </w:r>
            <w:proofErr w:type="spellStart"/>
            <w:r w:rsidRPr="003B0773">
              <w:rPr>
                <w:rFonts w:ascii="Times New Roman" w:hAnsi="Times New Roman" w:cs="Times New Roman"/>
                <w:snapToGrid w:val="0"/>
                <w:sz w:val="18"/>
                <w:szCs w:val="18"/>
              </w:rPr>
              <w:t>Nongrantor</w:t>
            </w:r>
            <w:proofErr w:type="spellEnd"/>
            <w:r w:rsidRPr="003B0773">
              <w:rPr>
                <w:rFonts w:ascii="Times New Roman" w:hAnsi="Times New Roman" w:cs="Times New Roman"/>
                <w:snapToGrid w:val="0"/>
                <w:sz w:val="18"/>
                <w:szCs w:val="18"/>
              </w:rPr>
              <w:t xml:space="preserve"> Trusts and Estates</w:t>
            </w:r>
          </w:p>
        </w:tc>
      </w:tr>
      <w:tr w:rsidR="00494B49" w:rsidRPr="003B0773" w14:paraId="467FCC6B" w14:textId="77777777" w:rsidTr="003B0773">
        <w:tc>
          <w:tcPr>
            <w:tcW w:w="9606" w:type="dxa"/>
          </w:tcPr>
          <w:p w14:paraId="0CF8F947"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w:t>
            </w:r>
          </w:p>
        </w:tc>
      </w:tr>
      <w:tr w:rsidR="00494B49" w:rsidRPr="003B0773" w14:paraId="2702B3D5" w14:textId="77777777" w:rsidTr="003B0773">
        <w:tc>
          <w:tcPr>
            <w:tcW w:w="9606" w:type="dxa"/>
          </w:tcPr>
          <w:p w14:paraId="2FD204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Undistributed Net Investment Income </w:t>
            </w:r>
          </w:p>
        </w:tc>
      </w:tr>
      <w:tr w:rsidR="00494B49" w:rsidRPr="003B0773" w14:paraId="4A3B84C4" w14:textId="77777777" w:rsidTr="003B0773">
        <w:tc>
          <w:tcPr>
            <w:tcW w:w="9606" w:type="dxa"/>
          </w:tcPr>
          <w:p w14:paraId="2DB9C15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Income Distribution Deduction</w:t>
            </w:r>
          </w:p>
        </w:tc>
      </w:tr>
      <w:tr w:rsidR="00494B49" w:rsidRPr="003B0773" w14:paraId="76488B4A" w14:textId="77777777" w:rsidTr="003B0773">
        <w:tc>
          <w:tcPr>
            <w:tcW w:w="9606" w:type="dxa"/>
          </w:tcPr>
          <w:p w14:paraId="686142B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Deduction to the Estate or Trust</w:t>
            </w:r>
          </w:p>
        </w:tc>
      </w:tr>
      <w:tr w:rsidR="00494B49" w:rsidRPr="003B0773" w14:paraId="287B3F91" w14:textId="77777777" w:rsidTr="003B0773">
        <w:tc>
          <w:tcPr>
            <w:tcW w:w="9606" w:type="dxa"/>
          </w:tcPr>
          <w:p w14:paraId="581493E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Net Investment Income to the Beneficiary</w:t>
            </w:r>
          </w:p>
        </w:tc>
      </w:tr>
      <w:tr w:rsidR="00494B49" w:rsidRPr="003B0773" w14:paraId="5CDF17EE" w14:textId="77777777" w:rsidTr="003B0773">
        <w:tc>
          <w:tcPr>
            <w:tcW w:w="9606" w:type="dxa"/>
          </w:tcPr>
          <w:p w14:paraId="1B426310"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b. Section 642(c) Deductions</w:t>
            </w:r>
          </w:p>
        </w:tc>
      </w:tr>
      <w:tr w:rsidR="00494B49" w:rsidRPr="003B0773" w14:paraId="794329D2" w14:textId="77777777" w:rsidTr="003B0773">
        <w:tc>
          <w:tcPr>
            <w:tcW w:w="9606" w:type="dxa"/>
          </w:tcPr>
          <w:p w14:paraId="75A5EB5C"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3. Compliance Considerations</w:t>
            </w:r>
          </w:p>
        </w:tc>
      </w:tr>
      <w:tr w:rsidR="00494B49" w:rsidRPr="003B0773" w14:paraId="745710B1" w14:textId="77777777" w:rsidTr="003B0773">
        <w:tc>
          <w:tcPr>
            <w:tcW w:w="9606" w:type="dxa"/>
          </w:tcPr>
          <w:p w14:paraId="20A851CE"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Estate and Trust</w:t>
            </w:r>
          </w:p>
        </w:tc>
      </w:tr>
      <w:tr w:rsidR="00494B49" w:rsidRPr="003B0773" w14:paraId="65210978" w14:textId="77777777" w:rsidTr="003B0773">
        <w:tc>
          <w:tcPr>
            <w:tcW w:w="9606" w:type="dxa"/>
          </w:tcPr>
          <w:p w14:paraId="4B2853B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Beneficiary</w:t>
            </w:r>
          </w:p>
        </w:tc>
      </w:tr>
      <w:tr w:rsidR="00494B49" w:rsidRPr="003B0773" w14:paraId="0C63F067" w14:textId="77777777" w:rsidTr="003B0773">
        <w:tc>
          <w:tcPr>
            <w:tcW w:w="9606" w:type="dxa"/>
          </w:tcPr>
          <w:p w14:paraId="3F7526F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Importance of Material Participation of Estates and Trusts in the net investment income tax Regime</w:t>
            </w:r>
          </w:p>
        </w:tc>
      </w:tr>
      <w:tr w:rsidR="00494B49" w:rsidRPr="003B0773" w14:paraId="3462C9A2" w14:textId="77777777" w:rsidTr="003B0773">
        <w:tc>
          <w:tcPr>
            <w:tcW w:w="9606" w:type="dxa"/>
          </w:tcPr>
          <w:p w14:paraId="710A54C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Estates and Trusts that Own Interests in Certain CFCs or Certain PFICs</w:t>
            </w:r>
          </w:p>
        </w:tc>
      </w:tr>
      <w:tr w:rsidR="00494B49" w:rsidRPr="003B0773" w14:paraId="7D597702" w14:textId="77777777" w:rsidTr="003B0773">
        <w:tc>
          <w:tcPr>
            <w:tcW w:w="9606" w:type="dxa"/>
          </w:tcPr>
          <w:p w14:paraId="4CDE0B0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Reg. §1.1411-10(f): Aligning net investment income tax Timing with Subchapter J</w:t>
            </w:r>
          </w:p>
        </w:tc>
      </w:tr>
      <w:tr w:rsidR="00494B49" w:rsidRPr="003B0773" w14:paraId="2AB9B7F3" w14:textId="77777777" w:rsidTr="003B0773">
        <w:tc>
          <w:tcPr>
            <w:tcW w:w="9606" w:type="dxa"/>
          </w:tcPr>
          <w:p w14:paraId="6C3790C5"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Examples of the Application of Reg. §1.1411-10(f)</w:t>
            </w:r>
          </w:p>
        </w:tc>
      </w:tr>
      <w:tr w:rsidR="00494B49" w:rsidRPr="003B0773" w14:paraId="7A1514EF" w14:textId="77777777" w:rsidTr="003B0773">
        <w:tc>
          <w:tcPr>
            <w:tcW w:w="9606" w:type="dxa"/>
          </w:tcPr>
          <w:p w14:paraId="31D2ABC9"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Special </w:t>
            </w:r>
            <w:proofErr w:type="spellStart"/>
            <w:r w:rsidRPr="003B0773">
              <w:rPr>
                <w:rFonts w:ascii="Times New Roman" w:hAnsi="Times New Roman" w:cs="Times New Roman"/>
                <w:snapToGrid w:val="0"/>
                <w:sz w:val="18"/>
                <w:szCs w:val="18"/>
              </w:rPr>
              <w:t>Nongrantor</w:t>
            </w:r>
            <w:proofErr w:type="spellEnd"/>
            <w:r w:rsidRPr="003B0773">
              <w:rPr>
                <w:rFonts w:ascii="Times New Roman" w:hAnsi="Times New Roman" w:cs="Times New Roman"/>
                <w:snapToGrid w:val="0"/>
                <w:sz w:val="18"/>
                <w:szCs w:val="18"/>
              </w:rPr>
              <w:t xml:space="preserve"> Trusts and Estates</w:t>
            </w:r>
          </w:p>
        </w:tc>
      </w:tr>
      <w:tr w:rsidR="00494B49" w:rsidRPr="003B0773" w14:paraId="0F6B92F3" w14:textId="77777777" w:rsidTr="003B0773">
        <w:tc>
          <w:tcPr>
            <w:tcW w:w="9606" w:type="dxa"/>
          </w:tcPr>
          <w:p w14:paraId="15D109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Qualified Funeral Trusts (QFTs)</w:t>
            </w:r>
          </w:p>
        </w:tc>
      </w:tr>
      <w:tr w:rsidR="00494B49" w:rsidRPr="003B0773" w14:paraId="3D6BE7CF" w14:textId="77777777" w:rsidTr="003B0773">
        <w:tc>
          <w:tcPr>
            <w:tcW w:w="9606" w:type="dxa"/>
          </w:tcPr>
          <w:p w14:paraId="2CF13AD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Bankruptcy Estates</w:t>
            </w:r>
          </w:p>
        </w:tc>
      </w:tr>
      <w:tr w:rsidR="00494B49" w:rsidRPr="003B0773" w14:paraId="3708AE13" w14:textId="77777777" w:rsidTr="003B0773">
        <w:tc>
          <w:tcPr>
            <w:tcW w:w="9606" w:type="dxa"/>
          </w:tcPr>
          <w:p w14:paraId="6FA8BA8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Foreign Trusts and Estates</w:t>
            </w:r>
          </w:p>
        </w:tc>
      </w:tr>
      <w:tr w:rsidR="00494B49" w:rsidRPr="003B0773" w14:paraId="35DD03B2" w14:textId="77777777" w:rsidTr="003B0773">
        <w:tc>
          <w:tcPr>
            <w:tcW w:w="9606" w:type="dxa"/>
          </w:tcPr>
          <w:p w14:paraId="630AF16E"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C. Special Rules for Electing Small Business Trusts</w:t>
            </w:r>
          </w:p>
        </w:tc>
      </w:tr>
      <w:tr w:rsidR="00494B49" w:rsidRPr="003B0773" w14:paraId="06668ED6" w14:textId="77777777" w:rsidTr="003B0773">
        <w:tc>
          <w:tcPr>
            <w:tcW w:w="9606" w:type="dxa"/>
          </w:tcPr>
          <w:p w14:paraId="7AE38B5E"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Calculation of Undistributed Net Investment Income</w:t>
            </w:r>
          </w:p>
        </w:tc>
      </w:tr>
      <w:tr w:rsidR="00494B49" w:rsidRPr="003B0773" w14:paraId="4EDB460D" w14:textId="77777777" w:rsidTr="003B0773">
        <w:tc>
          <w:tcPr>
            <w:tcW w:w="9606" w:type="dxa"/>
          </w:tcPr>
          <w:p w14:paraId="27825A9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Calculation of Adjusted Gross Income </w:t>
            </w:r>
          </w:p>
        </w:tc>
      </w:tr>
      <w:tr w:rsidR="00494B49" w:rsidRPr="003B0773" w14:paraId="27C24213" w14:textId="77777777" w:rsidTr="003B0773">
        <w:tc>
          <w:tcPr>
            <w:tcW w:w="9606" w:type="dxa"/>
          </w:tcPr>
          <w:p w14:paraId="4D1B34B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469 Regrouping </w:t>
            </w:r>
          </w:p>
        </w:tc>
      </w:tr>
      <w:tr w:rsidR="00494B49" w:rsidRPr="003B0773" w14:paraId="20E57099" w14:textId="77777777" w:rsidTr="003B0773">
        <w:tc>
          <w:tcPr>
            <w:tcW w:w="9606" w:type="dxa"/>
          </w:tcPr>
          <w:p w14:paraId="626D9476"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D. Special Rules for Charitable Remainder Trusts</w:t>
            </w:r>
          </w:p>
        </w:tc>
      </w:tr>
      <w:tr w:rsidR="00494B49" w:rsidRPr="003B0773" w14:paraId="0D4A899E" w14:textId="77777777" w:rsidTr="003B0773">
        <w:tc>
          <w:tcPr>
            <w:tcW w:w="9606" w:type="dxa"/>
          </w:tcPr>
          <w:p w14:paraId="1D1D6F7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Overview — Final 2013 Regulations</w:t>
            </w:r>
          </w:p>
        </w:tc>
      </w:tr>
      <w:tr w:rsidR="00494B49" w:rsidRPr="003B0773" w14:paraId="0D77BB38" w14:textId="77777777" w:rsidTr="003B0773">
        <w:tc>
          <w:tcPr>
            <w:tcW w:w="9606" w:type="dxa"/>
          </w:tcPr>
          <w:p w14:paraId="7F8E344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2012 Proposed Regulations</w:t>
            </w:r>
          </w:p>
        </w:tc>
      </w:tr>
      <w:tr w:rsidR="00494B49" w:rsidRPr="003B0773" w14:paraId="126CDFA7" w14:textId="77777777" w:rsidTr="003B0773">
        <w:tc>
          <w:tcPr>
            <w:tcW w:w="9606" w:type="dxa"/>
          </w:tcPr>
          <w:p w14:paraId="455614E8"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Operational Rules for CRTs </w:t>
            </w:r>
          </w:p>
        </w:tc>
      </w:tr>
      <w:tr w:rsidR="00494B49" w:rsidRPr="003B0773" w14:paraId="495053D2" w14:textId="77777777" w:rsidTr="003B0773">
        <w:tc>
          <w:tcPr>
            <w:tcW w:w="9606" w:type="dxa"/>
          </w:tcPr>
          <w:p w14:paraId="75CCB53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net investment income tax Definitions</w:t>
            </w:r>
          </w:p>
        </w:tc>
      </w:tr>
      <w:tr w:rsidR="00494B49" w:rsidRPr="003B0773" w14:paraId="5AD79FD4" w14:textId="77777777" w:rsidTr="003B0773">
        <w:tc>
          <w:tcPr>
            <w:tcW w:w="9606" w:type="dxa"/>
          </w:tcPr>
          <w:p w14:paraId="29AC878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469 Regrouping</w:t>
            </w:r>
          </w:p>
        </w:tc>
      </w:tr>
      <w:tr w:rsidR="00494B49" w:rsidRPr="003B0773" w14:paraId="409C882D" w14:textId="77777777" w:rsidTr="003B0773">
        <w:tc>
          <w:tcPr>
            <w:tcW w:w="9606" w:type="dxa"/>
          </w:tcPr>
          <w:p w14:paraId="1D1B6FC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Interaction with Section 664 Category and Class System</w:t>
            </w:r>
          </w:p>
        </w:tc>
      </w:tr>
      <w:tr w:rsidR="00494B49" w:rsidRPr="003B0773" w14:paraId="1D1C8298" w14:textId="77777777" w:rsidTr="003B0773">
        <w:tc>
          <w:tcPr>
            <w:tcW w:w="9606" w:type="dxa"/>
          </w:tcPr>
          <w:p w14:paraId="5021007C"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Additional Rate</w:t>
            </w:r>
          </w:p>
        </w:tc>
      </w:tr>
      <w:tr w:rsidR="00494B49" w:rsidRPr="003B0773" w14:paraId="23B8FD5A" w14:textId="77777777" w:rsidTr="003B0773">
        <w:tc>
          <w:tcPr>
            <w:tcW w:w="9606" w:type="dxa"/>
          </w:tcPr>
          <w:p w14:paraId="69CACA1F"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b. Special Rules for CRTs with Income from Certain CFCs and Certain PFICs </w:t>
            </w:r>
          </w:p>
        </w:tc>
      </w:tr>
      <w:tr w:rsidR="00494B49" w:rsidRPr="003B0773" w14:paraId="3A456D12" w14:textId="77777777" w:rsidTr="003B0773">
        <w:tc>
          <w:tcPr>
            <w:tcW w:w="9606" w:type="dxa"/>
          </w:tcPr>
          <w:p w14:paraId="0ADC235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Rule One: Regular Tax, but No Net Investment Income </w:t>
            </w:r>
          </w:p>
        </w:tc>
      </w:tr>
      <w:tr w:rsidR="00494B49" w:rsidRPr="003B0773" w14:paraId="0FF2B50A" w14:textId="77777777" w:rsidTr="003B0773">
        <w:tc>
          <w:tcPr>
            <w:tcW w:w="9606" w:type="dxa"/>
          </w:tcPr>
          <w:p w14:paraId="14760D8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Rule Two: Net Investment Income, but No Regular Tax</w:t>
            </w:r>
          </w:p>
        </w:tc>
      </w:tr>
      <w:tr w:rsidR="00494B49" w:rsidRPr="003B0773" w14:paraId="4BD71E04" w14:textId="77777777" w:rsidTr="003B0773">
        <w:tc>
          <w:tcPr>
            <w:tcW w:w="9606" w:type="dxa"/>
          </w:tcPr>
          <w:p w14:paraId="6D17F9C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Rule Three: Treatment of Gains and Losses Attributable to Basis Differences</w:t>
            </w:r>
          </w:p>
        </w:tc>
      </w:tr>
      <w:tr w:rsidR="00494B49" w:rsidRPr="003B0773" w14:paraId="2C1C6F4D" w14:textId="77777777" w:rsidTr="003B0773">
        <w:tc>
          <w:tcPr>
            <w:tcW w:w="9606" w:type="dxa"/>
          </w:tcPr>
          <w:p w14:paraId="16A752B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5. Optional Simplified Method</w:t>
            </w:r>
          </w:p>
        </w:tc>
      </w:tr>
      <w:tr w:rsidR="00494B49" w:rsidRPr="003B0773" w14:paraId="7FCA0038" w14:textId="77777777" w:rsidTr="003B0773">
        <w:tc>
          <w:tcPr>
            <w:tcW w:w="9606" w:type="dxa"/>
          </w:tcPr>
          <w:p w14:paraId="59E6A16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6. Comparison Between Section 664 Method and Simplified Method</w:t>
            </w:r>
          </w:p>
        </w:tc>
      </w:tr>
      <w:tr w:rsidR="00494B49" w:rsidRPr="003B0773" w14:paraId="14AFB3C0" w14:textId="77777777" w:rsidTr="003B0773">
        <w:tc>
          <w:tcPr>
            <w:tcW w:w="9606" w:type="dxa"/>
          </w:tcPr>
          <w:p w14:paraId="0377597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Pure Netting</w:t>
            </w:r>
          </w:p>
        </w:tc>
      </w:tr>
      <w:tr w:rsidR="00494B49" w:rsidRPr="003B0773" w14:paraId="239B9E38" w14:textId="77777777" w:rsidTr="003B0773">
        <w:tc>
          <w:tcPr>
            <w:tcW w:w="9606" w:type="dxa"/>
          </w:tcPr>
          <w:p w14:paraId="338F82D9"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Differences in Distribution Ordering Rules and Loss Netting Rules</w:t>
            </w:r>
          </w:p>
        </w:tc>
      </w:tr>
      <w:tr w:rsidR="00494B49" w:rsidRPr="003B0773" w14:paraId="4F6503D4" w14:textId="77777777" w:rsidTr="003B0773">
        <w:tc>
          <w:tcPr>
            <w:tcW w:w="9606" w:type="dxa"/>
          </w:tcPr>
          <w:p w14:paraId="2411869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Ordering of Distributions from Ordinary Income </w:t>
            </w:r>
          </w:p>
        </w:tc>
      </w:tr>
      <w:tr w:rsidR="00494B49" w:rsidRPr="003B0773" w14:paraId="42C7686D" w14:textId="77777777" w:rsidTr="003B0773">
        <w:tc>
          <w:tcPr>
            <w:tcW w:w="9606" w:type="dxa"/>
          </w:tcPr>
          <w:p w14:paraId="7150C5F6"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Ordering of Distributions from Capital Gains </w:t>
            </w:r>
          </w:p>
        </w:tc>
      </w:tr>
      <w:tr w:rsidR="00494B49" w:rsidRPr="003B0773" w14:paraId="076F1C59" w14:textId="77777777" w:rsidTr="003B0773">
        <w:tc>
          <w:tcPr>
            <w:tcW w:w="9606" w:type="dxa"/>
          </w:tcPr>
          <w:p w14:paraId="76FDF36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Capital Gain and Loss Netting Rules </w:t>
            </w:r>
          </w:p>
        </w:tc>
      </w:tr>
      <w:tr w:rsidR="00494B49" w:rsidRPr="003B0773" w14:paraId="11A9A5D7" w14:textId="77777777" w:rsidTr="003B0773">
        <w:tc>
          <w:tcPr>
            <w:tcW w:w="9606" w:type="dxa"/>
          </w:tcPr>
          <w:p w14:paraId="4C9F2DB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(4) Application of the Loss Carryover Rules</w:t>
            </w:r>
          </w:p>
        </w:tc>
      </w:tr>
      <w:tr w:rsidR="00494B49" w:rsidRPr="003B0773" w14:paraId="60BE2ABE" w14:textId="77777777" w:rsidTr="003B0773">
        <w:tc>
          <w:tcPr>
            <w:tcW w:w="9606" w:type="dxa"/>
          </w:tcPr>
          <w:p w14:paraId="344BF3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Decision Factors for Simplified Method</w:t>
            </w:r>
          </w:p>
        </w:tc>
      </w:tr>
      <w:tr w:rsidR="00494B49" w:rsidRPr="003B0773" w14:paraId="4ED28FBF" w14:textId="77777777" w:rsidTr="003B0773">
        <w:tc>
          <w:tcPr>
            <w:tcW w:w="9606" w:type="dxa"/>
          </w:tcPr>
          <w:p w14:paraId="7A7AA9D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New CRTs — Current and Future Income Likely to Be Net Investment Income</w:t>
            </w:r>
          </w:p>
        </w:tc>
      </w:tr>
      <w:tr w:rsidR="00494B49" w:rsidRPr="003B0773" w14:paraId="2883446F" w14:textId="77777777" w:rsidTr="003B0773">
        <w:tc>
          <w:tcPr>
            <w:tcW w:w="9606" w:type="dxa"/>
          </w:tcPr>
          <w:p w14:paraId="7EE168E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CRTs with Unrealized Losses</w:t>
            </w:r>
          </w:p>
        </w:tc>
      </w:tr>
      <w:tr w:rsidR="00494B49" w:rsidRPr="003B0773" w14:paraId="47D79F8D" w14:textId="77777777" w:rsidTr="003B0773">
        <w:tc>
          <w:tcPr>
            <w:tcW w:w="9606" w:type="dxa"/>
          </w:tcPr>
          <w:p w14:paraId="4EE5255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(3) CRTs with Direct or Indirect Ownership in CFCs/PFICs</w:t>
            </w:r>
          </w:p>
        </w:tc>
      </w:tr>
      <w:tr w:rsidR="00494B49" w:rsidRPr="003B0773" w14:paraId="3DF8DF39" w14:textId="77777777" w:rsidTr="003B0773">
        <w:tc>
          <w:tcPr>
            <w:tcW w:w="9606" w:type="dxa"/>
          </w:tcPr>
          <w:p w14:paraId="3610CF9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NIMCRUTs Nearing End of Stated Term </w:t>
            </w:r>
          </w:p>
        </w:tc>
      </w:tr>
      <w:tr w:rsidR="00494B49" w:rsidRPr="003B0773" w14:paraId="63EEC15C" w14:textId="77777777" w:rsidTr="003B0773">
        <w:tc>
          <w:tcPr>
            <w:tcW w:w="9606" w:type="dxa"/>
          </w:tcPr>
          <w:p w14:paraId="0F9861D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(5) CRTs with No Undistributed Income</w:t>
            </w:r>
          </w:p>
        </w:tc>
      </w:tr>
      <w:tr w:rsidR="00494B49" w:rsidRPr="003B0773" w14:paraId="22C8D1ED" w14:textId="77777777" w:rsidTr="003B0773">
        <w:tc>
          <w:tcPr>
            <w:tcW w:w="9606" w:type="dxa"/>
          </w:tcPr>
          <w:p w14:paraId="597CC61B"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CRTs with Non-Net-Investment Income Deductible Expenses and No Excluded Income </w:t>
            </w:r>
          </w:p>
        </w:tc>
      </w:tr>
      <w:tr w:rsidR="00494B49" w:rsidRPr="003B0773" w14:paraId="284AC4BA" w14:textId="77777777" w:rsidTr="003B0773">
        <w:tc>
          <w:tcPr>
            <w:tcW w:w="9606" w:type="dxa"/>
          </w:tcPr>
          <w:p w14:paraId="0D2A3BF4"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7. Compliance Considerations</w:t>
            </w:r>
          </w:p>
        </w:tc>
      </w:tr>
      <w:tr w:rsidR="00494B49" w:rsidRPr="003B0773" w14:paraId="12BD89BD" w14:textId="77777777" w:rsidTr="003B0773">
        <w:tc>
          <w:tcPr>
            <w:tcW w:w="9606" w:type="dxa"/>
          </w:tcPr>
          <w:p w14:paraId="5769D92D"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X. Application of §1411 Outside of Chapter 2A</w:t>
            </w:r>
          </w:p>
        </w:tc>
      </w:tr>
      <w:tr w:rsidR="00494B49" w:rsidRPr="003B0773" w14:paraId="6BC74FE7" w14:textId="77777777" w:rsidTr="003B0773">
        <w:tc>
          <w:tcPr>
            <w:tcW w:w="9606" w:type="dxa"/>
          </w:tcPr>
          <w:p w14:paraId="0C59CAD7"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A. Tax Penalties, Interest and Estimated Taxes</w:t>
            </w:r>
          </w:p>
        </w:tc>
      </w:tr>
      <w:tr w:rsidR="00494B49" w:rsidRPr="003B0773" w14:paraId="3F494A8C" w14:textId="77777777" w:rsidTr="003B0773">
        <w:tc>
          <w:tcPr>
            <w:tcW w:w="9606" w:type="dxa"/>
          </w:tcPr>
          <w:p w14:paraId="58513AC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Interest and Estimated Taxes</w:t>
            </w:r>
          </w:p>
        </w:tc>
      </w:tr>
      <w:tr w:rsidR="00494B49" w:rsidRPr="003B0773" w14:paraId="7F2216AB" w14:textId="77777777" w:rsidTr="003B0773">
        <w:tc>
          <w:tcPr>
            <w:tcW w:w="9606" w:type="dxa"/>
          </w:tcPr>
          <w:p w14:paraId="79BDBDA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Estimated Taxes </w:t>
            </w:r>
          </w:p>
        </w:tc>
      </w:tr>
      <w:tr w:rsidR="00494B49" w:rsidRPr="003B0773" w14:paraId="19E2A7E7" w14:textId="77777777" w:rsidTr="003B0773">
        <w:tc>
          <w:tcPr>
            <w:tcW w:w="9606" w:type="dxa"/>
          </w:tcPr>
          <w:p w14:paraId="59CC9E5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Interest on Underpayments</w:t>
            </w:r>
          </w:p>
        </w:tc>
      </w:tr>
      <w:tr w:rsidR="00494B49" w:rsidRPr="003B0773" w14:paraId="438C951D" w14:textId="77777777" w:rsidTr="003B0773">
        <w:tc>
          <w:tcPr>
            <w:tcW w:w="9606" w:type="dxa"/>
          </w:tcPr>
          <w:p w14:paraId="275002EA"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Interest on Overpayments</w:t>
            </w:r>
          </w:p>
        </w:tc>
      </w:tr>
      <w:tr w:rsidR="00494B49" w:rsidRPr="003B0773" w14:paraId="7A1A5336" w14:textId="77777777" w:rsidTr="003B0773">
        <w:tc>
          <w:tcPr>
            <w:tcW w:w="9606" w:type="dxa"/>
          </w:tcPr>
          <w:p w14:paraId="034145A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Penalties</w:t>
            </w:r>
          </w:p>
        </w:tc>
      </w:tr>
      <w:tr w:rsidR="00494B49" w:rsidRPr="003B0773" w14:paraId="4C299E72" w14:textId="77777777" w:rsidTr="003B0773">
        <w:tc>
          <w:tcPr>
            <w:tcW w:w="9606" w:type="dxa"/>
          </w:tcPr>
          <w:p w14:paraId="5EF7314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a. Section 6662 Accuracy-Related Penalty </w:t>
            </w:r>
          </w:p>
        </w:tc>
      </w:tr>
      <w:tr w:rsidR="00494B49" w:rsidRPr="003B0773" w14:paraId="50EE3753" w14:textId="77777777" w:rsidTr="003B0773">
        <w:tc>
          <w:tcPr>
            <w:tcW w:w="9606" w:type="dxa"/>
          </w:tcPr>
          <w:p w14:paraId="73B063B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Tax Return Preparer Penalty Under Section 6694</w:t>
            </w:r>
          </w:p>
        </w:tc>
      </w:tr>
      <w:tr w:rsidR="00494B49" w:rsidRPr="003B0773" w14:paraId="285804E0" w14:textId="77777777" w:rsidTr="003B0773">
        <w:tc>
          <w:tcPr>
            <w:tcW w:w="9606" w:type="dxa"/>
          </w:tcPr>
          <w:p w14:paraId="5DCD4EE1"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B. Deferred Interest Charge Regimes</w:t>
            </w:r>
          </w:p>
        </w:tc>
      </w:tr>
      <w:tr w:rsidR="00494B49" w:rsidRPr="003B0773" w14:paraId="01C95F55" w14:textId="77777777" w:rsidTr="003B0773">
        <w:tc>
          <w:tcPr>
            <w:tcW w:w="9606" w:type="dxa"/>
          </w:tcPr>
          <w:p w14:paraId="53BFD7D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Interest Charge — Domestic International Sales Corporations (IC-DISCs) </w:t>
            </w:r>
          </w:p>
        </w:tc>
      </w:tr>
      <w:tr w:rsidR="00494B49" w:rsidRPr="003B0773" w14:paraId="2A6DDBCF" w14:textId="77777777" w:rsidTr="003B0773">
        <w:tc>
          <w:tcPr>
            <w:tcW w:w="9606" w:type="dxa"/>
          </w:tcPr>
          <w:p w14:paraId="255AE0C6"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Nondealer Installment Sales Under Section 453A</w:t>
            </w:r>
          </w:p>
        </w:tc>
      </w:tr>
      <w:tr w:rsidR="00494B49" w:rsidRPr="003B0773" w14:paraId="4898DA63" w14:textId="77777777" w:rsidTr="003B0773">
        <w:tc>
          <w:tcPr>
            <w:tcW w:w="9606" w:type="dxa"/>
          </w:tcPr>
          <w:p w14:paraId="53965071"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Section 1291 Funds </w:t>
            </w:r>
          </w:p>
        </w:tc>
      </w:tr>
      <w:tr w:rsidR="00494B49" w:rsidRPr="003B0773" w14:paraId="119371B5" w14:textId="77777777" w:rsidTr="003B0773">
        <w:tc>
          <w:tcPr>
            <w:tcW w:w="9606" w:type="dxa"/>
          </w:tcPr>
          <w:p w14:paraId="2AFEF1EA"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4. Accumulation Distributions from Foreign Trusts</w:t>
            </w:r>
          </w:p>
        </w:tc>
      </w:tr>
      <w:tr w:rsidR="00494B49" w:rsidRPr="003B0773" w14:paraId="5771F038" w14:textId="77777777" w:rsidTr="003B0773">
        <w:tc>
          <w:tcPr>
            <w:tcW w:w="9606" w:type="dxa"/>
          </w:tcPr>
          <w:p w14:paraId="607DDC1B"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Look-Back Rules — Sections 460(b) and 167(g) </w:t>
            </w:r>
          </w:p>
        </w:tc>
      </w:tr>
      <w:tr w:rsidR="00494B49" w:rsidRPr="003B0773" w14:paraId="6F0C7999" w14:textId="77777777" w:rsidTr="003B0773">
        <w:tc>
          <w:tcPr>
            <w:tcW w:w="9606" w:type="dxa"/>
          </w:tcPr>
          <w:p w14:paraId="49196A36"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lastRenderedPageBreak/>
              <w:t>a. Section 460(b) — Long-Term Contracts</w:t>
            </w:r>
          </w:p>
        </w:tc>
      </w:tr>
      <w:tr w:rsidR="00494B49" w:rsidRPr="003B0773" w14:paraId="77B17FC5" w14:textId="77777777" w:rsidTr="003B0773">
        <w:tc>
          <w:tcPr>
            <w:tcW w:w="9606" w:type="dxa"/>
          </w:tcPr>
          <w:p w14:paraId="4CA1D69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460(b) Look-Back Calculation</w:t>
            </w:r>
          </w:p>
        </w:tc>
      </w:tr>
      <w:tr w:rsidR="00494B49" w:rsidRPr="003B0773" w14:paraId="0C97A0A1" w14:textId="77777777" w:rsidTr="003B0773">
        <w:tc>
          <w:tcPr>
            <w:tcW w:w="9606" w:type="dxa"/>
          </w:tcPr>
          <w:p w14:paraId="6F7F9582"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Traditional Method</w:t>
            </w:r>
          </w:p>
        </w:tc>
      </w:tr>
      <w:tr w:rsidR="00494B49" w:rsidRPr="003B0773" w14:paraId="22D79EFE" w14:textId="77777777" w:rsidTr="003B0773">
        <w:tc>
          <w:tcPr>
            <w:tcW w:w="9606" w:type="dxa"/>
          </w:tcPr>
          <w:p w14:paraId="2FF9F277"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Simplified Marginal Impact Method</w:t>
            </w:r>
          </w:p>
        </w:tc>
      </w:tr>
      <w:tr w:rsidR="00494B49" w:rsidRPr="003B0773" w14:paraId="7346B35E" w14:textId="77777777" w:rsidTr="003B0773">
        <w:tc>
          <w:tcPr>
            <w:tcW w:w="9606" w:type="dxa"/>
          </w:tcPr>
          <w:p w14:paraId="44FB2EFF"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37D0FA9F" w14:textId="77777777" w:rsidTr="003B0773">
        <w:tc>
          <w:tcPr>
            <w:tcW w:w="9606" w:type="dxa"/>
          </w:tcPr>
          <w:p w14:paraId="7A5C08F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Section 167(g) Income Forecast Method of Depreciation</w:t>
            </w:r>
          </w:p>
        </w:tc>
      </w:tr>
      <w:tr w:rsidR="00494B49" w:rsidRPr="003B0773" w14:paraId="074A30F8" w14:textId="77777777" w:rsidTr="003B0773">
        <w:tc>
          <w:tcPr>
            <w:tcW w:w="9606" w:type="dxa"/>
          </w:tcPr>
          <w:p w14:paraId="672B6839"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Inclusion of NIIT in Section 167(g)(2) Look-Back Calculation</w:t>
            </w:r>
          </w:p>
        </w:tc>
      </w:tr>
      <w:tr w:rsidR="00494B49" w:rsidRPr="003B0773" w14:paraId="34A34A59" w14:textId="77777777" w:rsidTr="003B0773">
        <w:tc>
          <w:tcPr>
            <w:tcW w:w="9606" w:type="dxa"/>
          </w:tcPr>
          <w:p w14:paraId="444560E7"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(2) Interest Received and Interest Paid </w:t>
            </w:r>
          </w:p>
        </w:tc>
      </w:tr>
      <w:tr w:rsidR="00494B49" w:rsidRPr="003B0773" w14:paraId="6A60A3C3" w14:textId="77777777" w:rsidTr="003B0773">
        <w:tc>
          <w:tcPr>
            <w:tcW w:w="9606" w:type="dxa"/>
          </w:tcPr>
          <w:p w14:paraId="7767F64B" w14:textId="77777777" w:rsidR="00494B49" w:rsidRPr="003B0773" w:rsidRDefault="00494B49" w:rsidP="000463E5">
            <w:pPr>
              <w:spacing w:after="0" w:line="240" w:lineRule="auto"/>
              <w:ind w:left="2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Application of Income Tax Treaties and Totalization Agreements </w:t>
            </w:r>
          </w:p>
        </w:tc>
      </w:tr>
      <w:tr w:rsidR="00494B49" w:rsidRPr="003B0773" w14:paraId="38CD2AC6" w14:textId="77777777" w:rsidTr="003B0773">
        <w:tc>
          <w:tcPr>
            <w:tcW w:w="9606" w:type="dxa"/>
          </w:tcPr>
          <w:p w14:paraId="18776E3F"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1. Application of Income Tax Treaties </w:t>
            </w:r>
          </w:p>
        </w:tc>
      </w:tr>
      <w:tr w:rsidR="00494B49" w:rsidRPr="003B0773" w14:paraId="2DF47EF3" w14:textId="77777777" w:rsidTr="003B0773">
        <w:tc>
          <w:tcPr>
            <w:tcW w:w="9606" w:type="dxa"/>
          </w:tcPr>
          <w:p w14:paraId="31EEB72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 of Income Tax Treaties and Tax Return Disclosures</w:t>
            </w:r>
          </w:p>
        </w:tc>
      </w:tr>
      <w:tr w:rsidR="00494B49" w:rsidRPr="003B0773" w14:paraId="631A7D6F" w14:textId="77777777" w:rsidTr="003B0773">
        <w:tc>
          <w:tcPr>
            <w:tcW w:w="9606" w:type="dxa"/>
          </w:tcPr>
          <w:p w14:paraId="17B703D3"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Treatment of Foreign Tax Credit</w:t>
            </w:r>
          </w:p>
        </w:tc>
      </w:tr>
      <w:tr w:rsidR="00494B49" w:rsidRPr="003B0773" w14:paraId="76578D27" w14:textId="77777777" w:rsidTr="003B0773">
        <w:tc>
          <w:tcPr>
            <w:tcW w:w="9606" w:type="dxa"/>
          </w:tcPr>
          <w:p w14:paraId="0A4AE59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Preamble Statement Regarding U.S. Model Treaty</w:t>
            </w:r>
          </w:p>
        </w:tc>
      </w:tr>
      <w:tr w:rsidR="00494B49" w:rsidRPr="003B0773" w14:paraId="7A1466B5" w14:textId="77777777" w:rsidTr="003B0773">
        <w:tc>
          <w:tcPr>
            <w:tcW w:w="9606" w:type="dxa"/>
          </w:tcPr>
          <w:p w14:paraId="17CEF832"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Specific Model Treaty Language and Technical Explanation</w:t>
            </w:r>
          </w:p>
        </w:tc>
      </w:tr>
      <w:tr w:rsidR="00494B49" w:rsidRPr="003B0773" w14:paraId="7234F05D" w14:textId="77777777" w:rsidTr="003B0773">
        <w:tc>
          <w:tcPr>
            <w:tcW w:w="9606" w:type="dxa"/>
          </w:tcPr>
          <w:p w14:paraId="7BB53811"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(a) Covered Tax</w:t>
            </w:r>
          </w:p>
        </w:tc>
      </w:tr>
      <w:tr w:rsidR="00494B49" w:rsidRPr="003B0773" w14:paraId="435B887C" w14:textId="77777777" w:rsidTr="003B0773">
        <w:tc>
          <w:tcPr>
            <w:tcW w:w="9606" w:type="dxa"/>
          </w:tcPr>
          <w:p w14:paraId="73F61A4A"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(b) Article 23</w:t>
            </w:r>
          </w:p>
        </w:tc>
      </w:tr>
      <w:tr w:rsidR="00494B49" w:rsidRPr="003B0773" w14:paraId="1021FDE5" w14:textId="77777777" w:rsidTr="003B0773">
        <w:tc>
          <w:tcPr>
            <w:tcW w:w="9606" w:type="dxa"/>
          </w:tcPr>
          <w:p w14:paraId="298FE3C6" w14:textId="77777777" w:rsidR="00494B49" w:rsidRPr="003B0773" w:rsidRDefault="00494B49" w:rsidP="000463E5">
            <w:pPr>
              <w:spacing w:after="0" w:line="240" w:lineRule="auto"/>
              <w:ind w:left="1000"/>
              <w:rPr>
                <w:rFonts w:ascii="Times New Roman" w:hAnsi="Times New Roman" w:cs="Times New Roman"/>
                <w:snapToGrid w:val="0"/>
                <w:sz w:val="18"/>
                <w:szCs w:val="18"/>
              </w:rPr>
            </w:pPr>
            <w:r w:rsidRPr="003B0773">
              <w:rPr>
                <w:rFonts w:ascii="Times New Roman" w:hAnsi="Times New Roman" w:cs="Times New Roman"/>
                <w:snapToGrid w:val="0"/>
                <w:sz w:val="18"/>
                <w:szCs w:val="18"/>
              </w:rPr>
              <w:t>(c) Article 24</w:t>
            </w:r>
          </w:p>
        </w:tc>
      </w:tr>
      <w:tr w:rsidR="00494B49" w:rsidRPr="003B0773" w14:paraId="7E3CA8E8" w14:textId="77777777" w:rsidTr="003B0773">
        <w:tc>
          <w:tcPr>
            <w:tcW w:w="9606" w:type="dxa"/>
          </w:tcPr>
          <w:p w14:paraId="0316014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(3) Sample Analysis of Income Tax Treaty Without Model Language </w:t>
            </w:r>
          </w:p>
        </w:tc>
      </w:tr>
      <w:tr w:rsidR="00494B49" w:rsidRPr="003B0773" w14:paraId="4F53A411" w14:textId="77777777" w:rsidTr="003B0773">
        <w:tc>
          <w:tcPr>
            <w:tcW w:w="9606" w:type="dxa"/>
          </w:tcPr>
          <w:p w14:paraId="7828C67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(4) Reporting the Treaty Position </w:t>
            </w:r>
          </w:p>
        </w:tc>
      </w:tr>
      <w:tr w:rsidR="00494B49" w:rsidRPr="003B0773" w14:paraId="1F88E61B" w14:textId="77777777" w:rsidTr="003B0773">
        <w:tc>
          <w:tcPr>
            <w:tcW w:w="9606" w:type="dxa"/>
          </w:tcPr>
          <w:p w14:paraId="56CA075A"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(5)  </w:t>
            </w:r>
            <w:r w:rsidRPr="003B0773">
              <w:rPr>
                <w:rFonts w:ascii="Times New Roman" w:hAnsi="Times New Roman" w:cs="Times New Roman"/>
                <w:i/>
                <w:snapToGrid w:val="0"/>
                <w:sz w:val="18"/>
                <w:szCs w:val="18"/>
              </w:rPr>
              <w:t>Toulouse v. Commissioner</w:t>
            </w:r>
            <w:r w:rsidRPr="003B0773">
              <w:rPr>
                <w:rFonts w:ascii="Times New Roman" w:hAnsi="Times New Roman" w:cs="Times New Roman"/>
                <w:snapToGrid w:val="0"/>
                <w:sz w:val="18"/>
                <w:szCs w:val="18"/>
              </w:rPr>
              <w:t xml:space="preserve"> </w:t>
            </w:r>
          </w:p>
        </w:tc>
      </w:tr>
      <w:tr w:rsidR="00494B49" w:rsidRPr="003B0773" w14:paraId="5FCE01C5" w14:textId="77777777" w:rsidTr="003B0773">
        <w:tc>
          <w:tcPr>
            <w:tcW w:w="9606" w:type="dxa"/>
          </w:tcPr>
          <w:p w14:paraId="61F06E8D"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(6)  </w:t>
            </w:r>
            <w:r w:rsidRPr="003B0773">
              <w:rPr>
                <w:rFonts w:ascii="Times New Roman" w:hAnsi="Times New Roman" w:cs="Times New Roman"/>
                <w:i/>
                <w:snapToGrid w:val="0"/>
                <w:sz w:val="18"/>
                <w:szCs w:val="18"/>
              </w:rPr>
              <w:t xml:space="preserve">Christensen v. </w:t>
            </w:r>
            <w:proofErr w:type="spellStart"/>
            <w:r w:rsidRPr="003B0773">
              <w:rPr>
                <w:rFonts w:ascii="Times New Roman" w:hAnsi="Times New Roman" w:cs="Times New Roman"/>
                <w:i/>
                <w:snapToGrid w:val="0"/>
                <w:sz w:val="18"/>
                <w:szCs w:val="18"/>
              </w:rPr>
              <w:t>Untied</w:t>
            </w:r>
            <w:proofErr w:type="spellEnd"/>
            <w:r w:rsidRPr="003B0773">
              <w:rPr>
                <w:rFonts w:ascii="Times New Roman" w:hAnsi="Times New Roman" w:cs="Times New Roman"/>
                <w:i/>
                <w:snapToGrid w:val="0"/>
                <w:sz w:val="18"/>
                <w:szCs w:val="18"/>
              </w:rPr>
              <w:t xml:space="preserve"> States</w:t>
            </w:r>
            <w:r w:rsidRPr="003B0773">
              <w:rPr>
                <w:rFonts w:ascii="Times New Roman" w:hAnsi="Times New Roman" w:cs="Times New Roman"/>
                <w:snapToGrid w:val="0"/>
                <w:sz w:val="18"/>
                <w:szCs w:val="18"/>
              </w:rPr>
              <w:t xml:space="preserve"> </w:t>
            </w:r>
          </w:p>
        </w:tc>
      </w:tr>
      <w:tr w:rsidR="00494B49" w:rsidRPr="003B0773" w14:paraId="53C5E00E" w14:textId="77777777" w:rsidTr="003B0773">
        <w:tc>
          <w:tcPr>
            <w:tcW w:w="9606" w:type="dxa"/>
          </w:tcPr>
          <w:p w14:paraId="7D26C7A4"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 xml:space="preserve">c. Residency Treaty Tiebreakers </w:t>
            </w:r>
          </w:p>
        </w:tc>
      </w:tr>
      <w:tr w:rsidR="00494B49" w:rsidRPr="003B0773" w14:paraId="238F280C" w14:textId="77777777" w:rsidTr="003B0773">
        <w:tc>
          <w:tcPr>
            <w:tcW w:w="9606" w:type="dxa"/>
          </w:tcPr>
          <w:p w14:paraId="69314E21"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General Rule — Nonresidents</w:t>
            </w:r>
          </w:p>
        </w:tc>
      </w:tr>
      <w:tr w:rsidR="00494B49" w:rsidRPr="003B0773" w14:paraId="0F2FF541" w14:textId="77777777" w:rsidTr="003B0773">
        <w:tc>
          <w:tcPr>
            <w:tcW w:w="9606" w:type="dxa"/>
          </w:tcPr>
          <w:p w14:paraId="460028F4"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General Residency Tiebreaker in Income Tax Treaties</w:t>
            </w:r>
          </w:p>
        </w:tc>
      </w:tr>
      <w:tr w:rsidR="00494B49" w:rsidRPr="003B0773" w14:paraId="69710C66" w14:textId="77777777" w:rsidTr="003B0773">
        <w:tc>
          <w:tcPr>
            <w:tcW w:w="9606" w:type="dxa"/>
          </w:tcPr>
          <w:p w14:paraId="3DE08592"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d. Income Exclusions</w:t>
            </w:r>
          </w:p>
        </w:tc>
      </w:tr>
      <w:tr w:rsidR="00494B49" w:rsidRPr="003B0773" w14:paraId="5B27E2C4" w14:textId="77777777" w:rsidTr="003B0773">
        <w:tc>
          <w:tcPr>
            <w:tcW w:w="9606" w:type="dxa"/>
          </w:tcPr>
          <w:p w14:paraId="30F5A782" w14:textId="77777777" w:rsidR="00494B49" w:rsidRPr="003B0773" w:rsidRDefault="00494B49" w:rsidP="000463E5">
            <w:pPr>
              <w:spacing w:after="0" w:line="240" w:lineRule="auto"/>
              <w:ind w:left="400"/>
              <w:rPr>
                <w:rFonts w:ascii="Times New Roman" w:hAnsi="Times New Roman" w:cs="Times New Roman"/>
                <w:snapToGrid w:val="0"/>
                <w:sz w:val="18"/>
                <w:szCs w:val="18"/>
              </w:rPr>
            </w:pPr>
            <w:r w:rsidRPr="003B0773">
              <w:rPr>
                <w:rFonts w:ascii="Times New Roman" w:hAnsi="Times New Roman" w:cs="Times New Roman"/>
                <w:snapToGrid w:val="0"/>
                <w:sz w:val="18"/>
                <w:szCs w:val="18"/>
              </w:rPr>
              <w:t>2. Totalization Agreements</w:t>
            </w:r>
          </w:p>
        </w:tc>
      </w:tr>
      <w:tr w:rsidR="00494B49" w:rsidRPr="003B0773" w14:paraId="646C6BF8" w14:textId="77777777" w:rsidTr="003B0773">
        <w:tc>
          <w:tcPr>
            <w:tcW w:w="9606" w:type="dxa"/>
          </w:tcPr>
          <w:p w14:paraId="2433706B"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a. Overview</w:t>
            </w:r>
          </w:p>
        </w:tc>
      </w:tr>
      <w:tr w:rsidR="00494B49" w:rsidRPr="003B0773" w14:paraId="26FA424D" w14:textId="77777777" w:rsidTr="003B0773">
        <w:tc>
          <w:tcPr>
            <w:tcW w:w="9606" w:type="dxa"/>
          </w:tcPr>
          <w:p w14:paraId="2E7704A7"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b. Medicare Tax?</w:t>
            </w:r>
          </w:p>
        </w:tc>
      </w:tr>
      <w:tr w:rsidR="00494B49" w:rsidRPr="003B0773" w14:paraId="2AEC5D84" w14:textId="77777777" w:rsidTr="003B0773">
        <w:tc>
          <w:tcPr>
            <w:tcW w:w="9606" w:type="dxa"/>
          </w:tcPr>
          <w:p w14:paraId="69CE5053"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(1) Revenue Not Included in Medicare Trust Fund</w:t>
            </w:r>
          </w:p>
        </w:tc>
      </w:tr>
      <w:tr w:rsidR="00494B49" w:rsidRPr="003B0773" w14:paraId="61472C2A" w14:textId="77777777" w:rsidTr="003B0773">
        <w:tc>
          <w:tcPr>
            <w:tcW w:w="9606" w:type="dxa"/>
          </w:tcPr>
          <w:p w14:paraId="48CC50DE" w14:textId="77777777" w:rsidR="00494B49" w:rsidRPr="003B0773" w:rsidRDefault="00494B49" w:rsidP="000463E5">
            <w:pPr>
              <w:spacing w:after="0" w:line="240" w:lineRule="auto"/>
              <w:ind w:left="800"/>
              <w:rPr>
                <w:rFonts w:ascii="Times New Roman" w:hAnsi="Times New Roman" w:cs="Times New Roman"/>
                <w:snapToGrid w:val="0"/>
                <w:sz w:val="18"/>
                <w:szCs w:val="18"/>
              </w:rPr>
            </w:pPr>
            <w:r w:rsidRPr="003B0773">
              <w:rPr>
                <w:rFonts w:ascii="Times New Roman" w:hAnsi="Times New Roman" w:cs="Times New Roman"/>
                <w:snapToGrid w:val="0"/>
                <w:sz w:val="18"/>
                <w:szCs w:val="18"/>
              </w:rPr>
              <w:t>(2) Analysis of Reading Title of Chapter 2A Into Statute</w:t>
            </w:r>
          </w:p>
        </w:tc>
      </w:tr>
      <w:tr w:rsidR="00494B49" w:rsidRPr="003B0773" w14:paraId="09C68369" w14:textId="77777777" w:rsidTr="003B0773">
        <w:tc>
          <w:tcPr>
            <w:tcW w:w="9606" w:type="dxa"/>
          </w:tcPr>
          <w:p w14:paraId="02762718" w14:textId="77777777" w:rsidR="00494B49" w:rsidRPr="003B0773" w:rsidRDefault="00494B49" w:rsidP="000463E5">
            <w:pPr>
              <w:spacing w:after="0" w:line="240" w:lineRule="auto"/>
              <w:ind w:left="600"/>
              <w:rPr>
                <w:rFonts w:ascii="Times New Roman" w:hAnsi="Times New Roman" w:cs="Times New Roman"/>
                <w:snapToGrid w:val="0"/>
                <w:sz w:val="18"/>
                <w:szCs w:val="18"/>
              </w:rPr>
            </w:pPr>
            <w:r w:rsidRPr="003B0773">
              <w:rPr>
                <w:rFonts w:ascii="Times New Roman" w:hAnsi="Times New Roman" w:cs="Times New Roman"/>
                <w:snapToGrid w:val="0"/>
                <w:sz w:val="18"/>
                <w:szCs w:val="18"/>
              </w:rPr>
              <w:t>c. Green Book Proposal</w:t>
            </w:r>
          </w:p>
        </w:tc>
      </w:tr>
      <w:tr w:rsidR="00494B49" w:rsidRPr="003B0773" w14:paraId="27CB904E" w14:textId="77777777" w:rsidTr="003B0773">
        <w:tc>
          <w:tcPr>
            <w:tcW w:w="9606" w:type="dxa"/>
          </w:tcPr>
          <w:p w14:paraId="1FAC15C3" w14:textId="77777777" w:rsidR="00494B49" w:rsidRPr="003B0773" w:rsidRDefault="00494B49" w:rsidP="000463E5">
            <w:pPr>
              <w:spacing w:after="0" w:line="240" w:lineRule="auto"/>
              <w:rPr>
                <w:rFonts w:ascii="Times New Roman" w:hAnsi="Times New Roman" w:cs="Times New Roman"/>
                <w:snapToGrid w:val="0"/>
                <w:sz w:val="18"/>
                <w:szCs w:val="18"/>
              </w:rPr>
            </w:pPr>
            <w:r w:rsidRPr="003B0773">
              <w:rPr>
                <w:rFonts w:ascii="Times New Roman" w:hAnsi="Times New Roman" w:cs="Times New Roman"/>
                <w:snapToGrid w:val="0"/>
                <w:sz w:val="18"/>
                <w:szCs w:val="18"/>
              </w:rPr>
              <w:t>TABLE OF WORKSHEETS</w:t>
            </w:r>
          </w:p>
        </w:tc>
      </w:tr>
    </w:tbl>
    <w:p w14:paraId="476BCCF3" w14:textId="115D8E06" w:rsidR="00494B49" w:rsidRDefault="00494B49">
      <w:pPr>
        <w:rPr>
          <w:b/>
          <w:bCs/>
          <w:sz w:val="26"/>
          <w:szCs w:val="26"/>
        </w:rPr>
      </w:pPr>
    </w:p>
    <w:p w14:paraId="0DA268D9" w14:textId="77777777" w:rsidR="00494B49" w:rsidRDefault="00494B49">
      <w:pPr>
        <w:rPr>
          <w:b/>
          <w:bCs/>
          <w:sz w:val="26"/>
          <w:szCs w:val="26"/>
        </w:rPr>
      </w:pPr>
      <w:r>
        <w:rPr>
          <w:b/>
          <w:bCs/>
          <w:sz w:val="26"/>
          <w:szCs w:val="26"/>
        </w:rPr>
        <w:br w:type="page"/>
      </w:r>
    </w:p>
    <w:p w14:paraId="2A9D1178" w14:textId="77777777" w:rsidR="00494B49" w:rsidRDefault="00494B49">
      <w:pPr>
        <w:pStyle w:val="BChapterName"/>
      </w:pPr>
      <w:r>
        <w:lastRenderedPageBreak/>
        <w:t>I. Introduction</w:t>
      </w:r>
    </w:p>
    <w:p w14:paraId="66B3EAC1" w14:textId="77777777" w:rsidR="00494B49" w:rsidRDefault="00494B49">
      <w:pPr>
        <w:pStyle w:val="BHead1"/>
      </w:pPr>
      <w:r>
        <w:t>A. Statutory Overview</w:t>
      </w:r>
    </w:p>
    <w:p w14:paraId="1F41D6DE" w14:textId="77777777" w:rsidR="00494B49" w:rsidRDefault="00494B49">
      <w:pPr>
        <w:pStyle w:val="BHead2"/>
      </w:pPr>
      <w:r>
        <w:t>1. Section 1411 Generally</w:t>
      </w:r>
    </w:p>
    <w:p w14:paraId="3BDCB394" w14:textId="77777777" w:rsidR="00494B49" w:rsidRDefault="00494B49">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1"/>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2"/>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3"/>
      </w:r>
    </w:p>
    <w:p w14:paraId="1CE1FFB2" w14:textId="77777777" w:rsidR="00494B49" w:rsidRDefault="00494B49">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4"/>
      </w:r>
      <w:r>
        <w:t xml:space="preserve"> The NIIT is not deductible in computing any tax imposed by Subtitle A of the Code,</w:t>
      </w:r>
      <w:r>
        <w:rPr>
          <w:rStyle w:val="FootnoteReference"/>
        </w:rPr>
        <w:footnoteReference w:id="5"/>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6"/>
      </w:r>
    </w:p>
    <w:p w14:paraId="251B1BB8" w14:textId="77777777" w:rsidR="00494B49" w:rsidRDefault="00494B49">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1C032355" w14:textId="77777777" w:rsidR="00494B49" w:rsidRDefault="00494B49">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7"/>
      </w:r>
    </w:p>
    <w:p w14:paraId="3F6F4447" w14:textId="77777777" w:rsidR="00494B49" w:rsidRDefault="00494B49">
      <w:pPr>
        <w:pStyle w:val="BHead2"/>
      </w:pPr>
      <w:r>
        <w:t>2. The Section 1411 Tax Base</w:t>
      </w:r>
    </w:p>
    <w:p w14:paraId="2A9B2DD0" w14:textId="77777777" w:rsidR="00494B49" w:rsidRDefault="00494B49">
      <w:pPr>
        <w:pStyle w:val="BHead3"/>
      </w:pPr>
      <w:r>
        <w:t>a. Application to Individuals</w:t>
      </w:r>
    </w:p>
    <w:p w14:paraId="1E394C1F" w14:textId="77777777" w:rsidR="00494B49" w:rsidRDefault="00494B49">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172A06A6" w14:textId="77777777" w:rsidR="00494B49" w:rsidRDefault="00494B49">
      <w:pPr>
        <w:pStyle w:val="BNormal"/>
      </w:pPr>
      <w:smartTag w:uri="http://www.bna.com/sgml2word/cite" w:element="cite.usc">
        <w:smartTagPr>
          <w:attr w:name="ref" w:val="USC\26\1411(b)"/>
        </w:smartTagPr>
        <w:r>
          <w:t>Section 1411(b)</w:t>
        </w:r>
      </w:smartTag>
      <w:r>
        <w:t xml:space="preserve"> provides that the threshold amount is: </w:t>
      </w:r>
    </w:p>
    <w:p w14:paraId="424DC96C" w14:textId="77777777" w:rsidR="00494B49" w:rsidRDefault="00494B49">
      <w:pPr>
        <w:pStyle w:val="BListitembul"/>
      </w:pPr>
      <w:r>
        <w:lastRenderedPageBreak/>
        <w:t>$250,000 for a taxpayer filing a joint return under §6013 or a surviving spouse;</w:t>
      </w:r>
      <w:r>
        <w:rPr>
          <w:rStyle w:val="FootnoteReference"/>
        </w:rPr>
        <w:footnoteReference w:id="8"/>
      </w:r>
    </w:p>
    <w:p w14:paraId="3D351A23" w14:textId="77777777" w:rsidR="00494B49" w:rsidRDefault="00494B49">
      <w:pPr>
        <w:pStyle w:val="BListitembul"/>
      </w:pPr>
      <w:r>
        <w:t xml:space="preserve">$125,000 for a married taxpayer (as defined in §7703) filing a separate return; and </w:t>
      </w:r>
    </w:p>
    <w:p w14:paraId="39388BC1" w14:textId="77777777" w:rsidR="00494B49" w:rsidRDefault="00494B49">
      <w:pPr>
        <w:pStyle w:val="BListitembul"/>
      </w:pPr>
      <w:r>
        <w:t xml:space="preserve">$200,000 for a single taxpayer or a taxpayer filing as head of household. </w:t>
      </w:r>
    </w:p>
    <w:p w14:paraId="49563930" w14:textId="77777777" w:rsidR="00494B49" w:rsidRDefault="00494B49">
      <w:pPr>
        <w:pStyle w:val="BNormal"/>
      </w:pPr>
      <w:r>
        <w:t>Although these threshold amounts are substantially similar to the threshold amounts for the additional 0.9% Medicare tax imposed on wages and self-employment tax,</w:t>
      </w:r>
      <w:r>
        <w:rPr>
          <w:rStyle w:val="FootnoteReference"/>
        </w:rPr>
        <w:footnoteReference w:id="9"/>
      </w:r>
      <w:r>
        <w:t xml:space="preserve"> the NIIT threshold for a surviving spouse is $250,000, but the additional Medicare tax threshold is only $200,000. </w:t>
      </w:r>
    </w:p>
    <w:p w14:paraId="0BDCCA9F" w14:textId="77777777" w:rsidR="00494B49" w:rsidRDefault="00494B49">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0"/>
      </w:r>
    </w:p>
    <w:p w14:paraId="3055E39E" w14:textId="77777777" w:rsidR="00494B49" w:rsidRDefault="00494B49">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1"/>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2"/>
      </w:r>
    </w:p>
    <w:p w14:paraId="6A0A0487" w14:textId="77777777" w:rsidR="00494B49" w:rsidRDefault="00494B49">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1D5CB0F9" w14:textId="77777777" w:rsidR="00494B49" w:rsidRDefault="00494B49">
      <w:pPr>
        <w:pStyle w:val="BHead3"/>
      </w:pPr>
      <w:r>
        <w:t>b. Application to Estates and Trusts</w:t>
      </w:r>
    </w:p>
    <w:p w14:paraId="07FDF296"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3"/>
      </w:r>
      <w:r>
        <w:t xml:space="preserve"> or (B) the excess (if any) of (</w:t>
      </w:r>
      <w:proofErr w:type="spellStart"/>
      <w:r>
        <w:t>i</w:t>
      </w:r>
      <w:proofErr w:type="spellEnd"/>
      <w:r>
        <w:t>) the estate’s or trust’s adjusted gross income</w:t>
      </w:r>
      <w:r>
        <w:rPr>
          <w:rStyle w:val="FootnoteReference"/>
        </w:rPr>
        <w:footnoteReference w:id="14"/>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34502BD3" w14:textId="77777777" w:rsidR="00494B49" w:rsidRDefault="00494B49">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02AE1480" w14:textId="77777777" w:rsidR="00494B49" w:rsidRDefault="00494B49">
      <w:pPr>
        <w:pStyle w:val="BHead3"/>
      </w:pPr>
      <w:r>
        <w:t>c. Calculation of Net Investment Income</w:t>
      </w:r>
    </w:p>
    <w:p w14:paraId="6B55139E" w14:textId="77777777" w:rsidR="00494B49" w:rsidRDefault="00494B49">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39DE792E" w14:textId="77777777" w:rsidR="00494B49" w:rsidRDefault="00494B49">
      <w:pPr>
        <w:pStyle w:val="BListitemorig"/>
      </w:pPr>
      <w:r>
        <w:lastRenderedPageBreak/>
        <w:t xml:space="preserve">(A) the sum of </w:t>
      </w:r>
    </w:p>
    <w:p w14:paraId="26DBAFF5" w14:textId="77777777" w:rsidR="00494B49" w:rsidRDefault="00494B49">
      <w:pPr>
        <w:pStyle w:val="BListitemorig"/>
      </w:pPr>
      <w:proofErr w:type="spellStart"/>
      <w:r>
        <w:t>i</w:t>
      </w:r>
      <w:proofErr w:type="spellEnd"/>
      <w:r>
        <w:t>. gross income from interest, dividends, annuities, royalties, and rents, other than income derived in the ordinary course of a trade or business not described in §1411(c)(2)</w:t>
      </w:r>
      <w:r>
        <w:rPr>
          <w:rStyle w:val="FootnoteReference"/>
        </w:rPr>
        <w:footnoteReference w:id="15"/>
      </w:r>
      <w:r>
        <w:t xml:space="preserve"> (referred to in this Portfolio as “Category I” income); </w:t>
      </w:r>
    </w:p>
    <w:p w14:paraId="54FA001A" w14:textId="77777777" w:rsidR="00494B49" w:rsidRDefault="00494B49">
      <w:pPr>
        <w:pStyle w:val="BListitemorig"/>
      </w:pPr>
      <w:r>
        <w:t>ii. other gross income derived from a trade or business described in §1411(c)(2)</w:t>
      </w:r>
      <w:r>
        <w:rPr>
          <w:rStyle w:val="FootnoteReference"/>
        </w:rPr>
        <w:footnoteReference w:id="16"/>
      </w:r>
      <w:r>
        <w:t xml:space="preserve"> (referred to in this Portfolio as “Category II” income); and </w:t>
      </w:r>
    </w:p>
    <w:p w14:paraId="15E2C4D5" w14:textId="77777777" w:rsidR="00494B49" w:rsidRDefault="00494B49">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7"/>
      </w:r>
      <w:r>
        <w:t xml:space="preserve"> (referred to in this Portfolio as “Category III” income); </w:t>
      </w:r>
    </w:p>
    <w:p w14:paraId="37A5DB9F" w14:textId="77777777" w:rsidR="00494B49" w:rsidRDefault="00494B49" w:rsidP="006951DA">
      <w:pPr>
        <w:pStyle w:val="BListitemorig"/>
      </w:pPr>
      <w:r>
        <w:t xml:space="preserve"> over </w:t>
      </w:r>
    </w:p>
    <w:p w14:paraId="70E73E19" w14:textId="77777777" w:rsidR="00494B49" w:rsidRDefault="00494B49">
      <w:pPr>
        <w:pStyle w:val="BListitemorig"/>
      </w:pPr>
      <w:r>
        <w:t>(B) the deductions allowed by Subtitle A that are allocable to such gross income or net gain.</w:t>
      </w:r>
      <w:r>
        <w:rPr>
          <w:rStyle w:val="FootnoteReference"/>
        </w:rPr>
        <w:footnoteReference w:id="18"/>
      </w:r>
      <w:r>
        <w:t xml:space="preserve"> </w:t>
      </w:r>
    </w:p>
    <w:p w14:paraId="72462F07" w14:textId="77777777" w:rsidR="00494B49" w:rsidRDefault="00494B49">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19"/>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098719C1" w14:textId="77777777" w:rsidR="00494B49" w:rsidRDefault="00494B49">
      <w:pPr>
        <w:pStyle w:val="BListitembul"/>
      </w:pPr>
      <w:r>
        <w:t>interest, dividends, annuities, royalties and rents derived in the ordinary course of a §1411(c)(2) trade or business; and</w:t>
      </w:r>
    </w:p>
    <w:p w14:paraId="1EF3BE7B" w14:textId="77777777" w:rsidR="00494B49" w:rsidRDefault="00494B49">
      <w:pPr>
        <w:pStyle w:val="BListitembul"/>
      </w:pPr>
      <w:r>
        <w:t>interest, dividends, annuities, royalties and rents derived from a for-profit activity that is not a trade or business.</w:t>
      </w:r>
    </w:p>
    <w:p w14:paraId="07DF4576" w14:textId="77777777" w:rsidR="00494B49" w:rsidRDefault="00494B49">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1B786C01" w14:textId="77777777" w:rsidR="00494B49" w:rsidRDefault="00494B49">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0"/>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75D41550" w14:textId="77777777" w:rsidR="00494B49" w:rsidRDefault="00494B49">
      <w:pPr>
        <w:pStyle w:val="BListitembul"/>
      </w:pPr>
      <w:r>
        <w:t>net gain from the disposition of property held in a §1411(c)(2) trade or business; and</w:t>
      </w:r>
    </w:p>
    <w:p w14:paraId="64428BAE" w14:textId="77777777" w:rsidR="00494B49" w:rsidRDefault="00494B49">
      <w:pPr>
        <w:pStyle w:val="BListitembul"/>
      </w:pPr>
      <w:r>
        <w:t>net gain from the disposition of property held in a for-profit activity that is not a trade or business.</w:t>
      </w:r>
    </w:p>
    <w:p w14:paraId="67F58885" w14:textId="77777777" w:rsidR="00494B49" w:rsidRDefault="00494B49">
      <w:pPr>
        <w:pStyle w:val="BNormal"/>
      </w:pPr>
      <w:r>
        <w:t xml:space="preserve">A trade or business is a </w:t>
      </w:r>
      <w:smartTag w:uri="http://www.bna.com/sgml2word/cite" w:element="cite.usc">
        <w:smartTagPr>
          <w:attr w:name="ref" w:val="USC\26\1411(c)(2)"/>
        </w:smartTagPr>
        <w:r>
          <w:t>§1411(c)(2)</w:t>
        </w:r>
      </w:smartTag>
      <w:r>
        <w:t xml:space="preserve"> trade or business if it is either:</w:t>
      </w:r>
    </w:p>
    <w:p w14:paraId="51834F40" w14:textId="77777777" w:rsidR="00494B49" w:rsidRDefault="00494B49">
      <w:pPr>
        <w:pStyle w:val="BListitembul"/>
      </w:pPr>
      <w:r>
        <w:t>a passive activity (within the meaning of §469) with respect to the taxpayer;</w:t>
      </w:r>
      <w:r>
        <w:rPr>
          <w:rStyle w:val="FootnoteReference"/>
        </w:rPr>
        <w:footnoteReference w:id="21"/>
      </w:r>
      <w:r>
        <w:t xml:space="preserve"> or</w:t>
      </w:r>
    </w:p>
    <w:p w14:paraId="35842A89" w14:textId="77777777" w:rsidR="00494B49" w:rsidRDefault="00494B49">
      <w:pPr>
        <w:pStyle w:val="BListitembul"/>
      </w:pPr>
      <w:r>
        <w:lastRenderedPageBreak/>
        <w:t>a trade or business of trading in financial instruments or commodities (as described in §475(e)(2)).</w:t>
      </w:r>
      <w:r>
        <w:rPr>
          <w:rStyle w:val="FootnoteReference"/>
        </w:rPr>
        <w:footnoteReference w:id="22"/>
      </w:r>
    </w:p>
    <w:p w14:paraId="2A608CE8" w14:textId="77777777" w:rsidR="00494B49" w:rsidRDefault="00494B49">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50A7087" w14:textId="77777777" w:rsidR="00494B49" w:rsidRDefault="00494B49">
      <w:pPr>
        <w:pStyle w:val="BNormal"/>
      </w:pPr>
      <w:r>
        <w:t xml:space="preserve">Thus, “gross” investment income generally equals: </w:t>
      </w:r>
    </w:p>
    <w:p w14:paraId="0C8BD97E" w14:textId="77777777" w:rsidR="00494B49" w:rsidRDefault="00494B49" w:rsidP="006951DA">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3"/>
      </w:r>
      <w:r>
        <w:t xml:space="preserve"> </w:t>
      </w:r>
    </w:p>
    <w:p w14:paraId="6C236035" w14:textId="77777777" w:rsidR="00494B49" w:rsidRDefault="00494B49" w:rsidP="006951DA">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4"/>
      </w:r>
      <w:r>
        <w:t xml:space="preserve"> and </w:t>
      </w:r>
    </w:p>
    <w:p w14:paraId="242EBC41" w14:textId="77777777" w:rsidR="00494B49" w:rsidRDefault="00494B49">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5"/>
      </w:r>
      <w:r>
        <w:t xml:space="preserve"> </w:t>
      </w:r>
    </w:p>
    <w:p w14:paraId="2FF8CBC7" w14:textId="77777777" w:rsidR="00494B49" w:rsidRDefault="00494B49">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76AE53AD" w14:textId="77777777" w:rsidR="00494B49" w:rsidRDefault="00494B49">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18CD1181" w14:textId="77777777" w:rsidR="00494B49" w:rsidRDefault="00494B49">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6"/>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E254CDF" w14:textId="77777777" w:rsidR="00494B49" w:rsidRDefault="00494B49">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that the transferor would include if the partnership or S corporation sold all of its assets at fair </w:t>
      </w:r>
      <w:r>
        <w:lastRenderedPageBreak/>
        <w:t xml:space="preserve">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4802B3AB"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2AB38ADA" w14:textId="77777777" w:rsidR="00494B49" w:rsidRDefault="00494B49">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44E29DF8" w14:textId="77777777" w:rsidR="00494B49" w:rsidRDefault="00494B49">
      <w:pPr>
        <w:pStyle w:val="BHead1"/>
      </w:pPr>
      <w:r>
        <w:t>B. Legislative History</w:t>
      </w:r>
    </w:p>
    <w:p w14:paraId="44D30597" w14:textId="77777777" w:rsidR="00494B49" w:rsidRDefault="00494B49">
      <w:pPr>
        <w:pStyle w:val="BNormal"/>
      </w:pPr>
      <w:r>
        <w:t>Although the net investment income tax (NIIT) was enacted as part of the Health Care and Education Reconciliation Act of 2010,</w:t>
      </w:r>
      <w:r>
        <w:rPr>
          <w:rStyle w:val="FootnoteReference"/>
        </w:rPr>
        <w:footnoteReference w:id="27"/>
      </w:r>
      <w:r>
        <w:t xml:space="preserve"> there is virtually no useful legislative history </w:t>
      </w:r>
      <w:proofErr w:type="spellStart"/>
      <w:r>
        <w:t>publically</w:t>
      </w:r>
      <w:proofErr w:type="spellEnd"/>
      <w:r>
        <w:t xml:space="preserve"> available.</w:t>
      </w:r>
      <w:r>
        <w:rPr>
          <w:rStyle w:val="FootnoteReference"/>
        </w:rPr>
        <w:footnoteReference w:id="28"/>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29"/>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0"/>
      </w:r>
    </w:p>
    <w:p w14:paraId="6E8A4B2B" w14:textId="77777777" w:rsidR="00494B49" w:rsidRDefault="00494B49">
      <w:pPr>
        <w:pStyle w:val="BNormal"/>
      </w:pPr>
      <w:r>
        <w:t>The Joint Committee on Taxation (JCT) published two virtually identical reports that largely reiterate the statutory language in paragraph form.</w:t>
      </w:r>
      <w:r>
        <w:rPr>
          <w:rStyle w:val="FootnoteReference"/>
        </w:rPr>
        <w:footnoteReference w:id="31"/>
      </w:r>
      <w:r>
        <w:t xml:space="preserve"> Another JCT report (JCX-17-10 issued March 20, 2010) estimated that the revenue from revenue provision # 15 (Broaden Medicare Hospital Insurance Tax Base for High-Income Taxpayers) would raise $210.2 billion by 2019 (taking into account the fact that provision would not go into effect until 2013).</w:t>
      </w:r>
      <w:r>
        <w:rPr>
          <w:rStyle w:val="FootnoteReference"/>
        </w:rPr>
        <w:footnoteReference w:id="32"/>
      </w:r>
      <w:r>
        <w:t xml:space="preserve"> The </w:t>
      </w:r>
      <w:r>
        <w:lastRenderedPageBreak/>
        <w:t>Congressional Research Service issued two reports in 2010 regarding the application of the NIIT to real estate.</w:t>
      </w:r>
      <w:r>
        <w:rPr>
          <w:rStyle w:val="FootnoteReference"/>
        </w:rPr>
        <w:footnoteReference w:id="33"/>
      </w:r>
    </w:p>
    <w:p w14:paraId="4A729E3E" w14:textId="77777777" w:rsidR="00494B49" w:rsidRDefault="00494B49">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A2D8079" w14:textId="77777777" w:rsidR="00494B49" w:rsidRDefault="00494B49">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4"/>
      </w:r>
      <w:r>
        <w:t xml:space="preserve"> Second, United States persons that are exempt from Medicare are still subject to the NIIT.</w:t>
      </w:r>
      <w:r>
        <w:rPr>
          <w:rStyle w:val="FootnoteReference"/>
        </w:rPr>
        <w:footnoteReference w:id="35"/>
      </w:r>
    </w:p>
    <w:p w14:paraId="2EA67488" w14:textId="77777777" w:rsidR="00494B49" w:rsidRDefault="00494B49">
      <w:pPr>
        <w:pStyle w:val="BHead1"/>
      </w:pPr>
      <w:r>
        <w:t>C. IRS Guidance and Regulations</w:t>
      </w:r>
    </w:p>
    <w:p w14:paraId="42D13F53" w14:textId="77777777" w:rsidR="00494B49" w:rsidRDefault="00494B49">
      <w:pPr>
        <w:pStyle w:val="BHead2"/>
      </w:pPr>
      <w:r>
        <w:t>1. 2013 Final Regulations</w:t>
      </w:r>
    </w:p>
    <w:p w14:paraId="70773CA6" w14:textId="77777777" w:rsidR="00494B49" w:rsidRDefault="00494B49">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6"/>
      </w:r>
      <w:r>
        <w:t xml:space="preserve"> The IRS had previously issued proposed regulations (“the 2012 Proposed Regulations”).</w:t>
      </w:r>
      <w:r>
        <w:rPr>
          <w:rStyle w:val="FootnoteReference"/>
        </w:rPr>
        <w:footnoteReference w:id="37"/>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295EA2EB" w14:textId="77777777" w:rsidR="00494B49" w:rsidRDefault="00494B49" w:rsidP="006951DA">
      <w:pPr>
        <w:pStyle w:val="BNormal"/>
      </w:pPr>
      <w:r>
        <w:t xml:space="preserve">Although the volume and complexity of the regulation package may appear daunting, the regulations are organized in a relatively logical fashion, generally following the order of the statute. It is important to understand and appreciate the interconnectedness of the provisions. </w:t>
      </w:r>
      <w:r>
        <w:lastRenderedPageBreak/>
        <w:t>Each regulation paragraph is in a specific place for a specific reason. The table below summarizes the content of each section of the regulations with a cross-reference to further discussion in the Portfolio.</w:t>
      </w:r>
    </w:p>
    <w:p w14:paraId="2E9CD987" w14:textId="77777777" w:rsidR="00494B49" w:rsidRDefault="00494B49" w:rsidP="006951DA">
      <w:pPr>
        <w:pStyle w:val="BNormal"/>
      </w:pPr>
    </w:p>
    <w:tbl>
      <w:tblPr>
        <w:tblStyle w:val="TableGrid"/>
        <w:tblW w:w="0" w:type="auto"/>
        <w:tblLook w:val="04A0" w:firstRow="1" w:lastRow="0" w:firstColumn="1" w:lastColumn="0" w:noHBand="0" w:noVBand="1"/>
      </w:tblPr>
      <w:tblGrid>
        <w:gridCol w:w="3091"/>
        <w:gridCol w:w="3152"/>
        <w:gridCol w:w="3107"/>
      </w:tblGrid>
      <w:tr w:rsidR="00494B49" w14:paraId="468C84B3" w14:textId="77777777">
        <w:tc>
          <w:tcPr>
            <w:tcW w:w="3360" w:type="dxa"/>
          </w:tcPr>
          <w:p w14:paraId="5251E6CF" w14:textId="77777777" w:rsidR="00494B49" w:rsidRDefault="00494B49">
            <w:r>
              <w:t xml:space="preserve"> </w:t>
            </w:r>
            <w:r>
              <w:rPr>
                <w:b/>
              </w:rPr>
              <w:t>Regulation:</w:t>
            </w:r>
          </w:p>
        </w:tc>
        <w:tc>
          <w:tcPr>
            <w:tcW w:w="3360" w:type="dxa"/>
          </w:tcPr>
          <w:p w14:paraId="2B107A14" w14:textId="77777777" w:rsidR="00494B49" w:rsidRDefault="00494B49">
            <w:r>
              <w:t xml:space="preserve"> </w:t>
            </w:r>
            <w:r>
              <w:rPr>
                <w:b/>
              </w:rPr>
              <w:t>What rules/provisions?</w:t>
            </w:r>
          </w:p>
        </w:tc>
        <w:tc>
          <w:tcPr>
            <w:tcW w:w="3360" w:type="dxa"/>
          </w:tcPr>
          <w:p w14:paraId="322813CE" w14:textId="77777777" w:rsidR="00494B49" w:rsidRDefault="00494B49">
            <w:r>
              <w:t xml:space="preserve"> </w:t>
            </w:r>
            <w:r>
              <w:rPr>
                <w:b/>
              </w:rPr>
              <w:t xml:space="preserve">Cross-Reference to Detailed </w:t>
            </w:r>
            <w:r>
              <w:br/>
            </w:r>
            <w:r>
              <w:rPr>
                <w:b/>
              </w:rPr>
              <w:t xml:space="preserve">Portfolio </w:t>
            </w:r>
            <w:r>
              <w:br/>
            </w:r>
            <w:r>
              <w:rPr>
                <w:b/>
              </w:rPr>
              <w:t>Discussion:</w:t>
            </w:r>
          </w:p>
        </w:tc>
      </w:tr>
      <w:tr w:rsidR="00494B49" w14:paraId="7F526918" w14:textId="77777777">
        <w:tc>
          <w:tcPr>
            <w:tcW w:w="3360" w:type="dxa"/>
          </w:tcPr>
          <w:p w14:paraId="17CBB014" w14:textId="77777777" w:rsidR="00494B49" w:rsidRDefault="00494B49">
            <w:r>
              <w:t xml:space="preserve">Reg. </w:t>
            </w:r>
            <w:smartTag w:uri="http://www.bna.com/sgml2word/cite" w:element="cite.cfr">
              <w:smartTagPr>
                <w:attr w:name="ref" w:val="cfr\26\1.1411-1"/>
              </w:smartTagPr>
              <w:r>
                <w:t>§1.1411-1</w:t>
              </w:r>
            </w:smartTag>
          </w:p>
        </w:tc>
        <w:tc>
          <w:tcPr>
            <w:tcW w:w="3360" w:type="dxa"/>
          </w:tcPr>
          <w:p w14:paraId="7C2EBC10" w14:textId="77777777" w:rsidR="00494B49" w:rsidRDefault="00494B49">
            <w:r>
              <w:t xml:space="preserve">General application of NIIT and definitions for terms that are used in more than one section of the regulations </w:t>
            </w:r>
          </w:p>
        </w:tc>
        <w:tc>
          <w:tcPr>
            <w:tcW w:w="3360" w:type="dxa"/>
          </w:tcPr>
          <w:p w14:paraId="27F1B8FC"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0343D4CB" w14:textId="77777777">
        <w:tc>
          <w:tcPr>
            <w:tcW w:w="3360" w:type="dxa"/>
          </w:tcPr>
          <w:p w14:paraId="1796BDD9" w14:textId="77777777" w:rsidR="00494B49" w:rsidRDefault="00494B49">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0CFDF8B0" w14:textId="77777777" w:rsidR="00494B49" w:rsidRDefault="00494B49">
            <w:r>
              <w:t>Theoretical and definitional cornerstones of the entire NIIT system</w:t>
            </w:r>
          </w:p>
        </w:tc>
        <w:tc>
          <w:tcPr>
            <w:tcW w:w="3360" w:type="dxa"/>
          </w:tcPr>
          <w:p w14:paraId="063A3D06"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3E75E173" w14:textId="77777777">
        <w:tc>
          <w:tcPr>
            <w:tcW w:w="3360" w:type="dxa"/>
          </w:tcPr>
          <w:p w14:paraId="5C471968" w14:textId="77777777" w:rsidR="00494B49" w:rsidRDefault="00494B49">
            <w:r>
              <w:t xml:space="preserve">Reg. </w:t>
            </w:r>
            <w:smartTag w:uri="http://www.bna.com/sgml2word/cite" w:element="cite.cfr">
              <w:smartTagPr>
                <w:attr w:name="ref" w:val="cfr\26\1.1411-1(e)"/>
              </w:smartTagPr>
              <w:r>
                <w:t>§1.1411-1(e)</w:t>
              </w:r>
            </w:smartTag>
          </w:p>
        </w:tc>
        <w:tc>
          <w:tcPr>
            <w:tcW w:w="3360" w:type="dxa"/>
          </w:tcPr>
          <w:p w14:paraId="2EA68453" w14:textId="77777777" w:rsidR="00494B49" w:rsidRDefault="00494B49">
            <w:r>
              <w:t>Use of tax credits against any NIIT liability</w:t>
            </w:r>
          </w:p>
        </w:tc>
        <w:tc>
          <w:tcPr>
            <w:tcW w:w="3360" w:type="dxa"/>
          </w:tcPr>
          <w:p w14:paraId="452F30F4" w14:textId="77777777" w:rsidR="00494B49" w:rsidRDefault="00494B49">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494B49" w14:paraId="06C16770" w14:textId="77777777">
        <w:tc>
          <w:tcPr>
            <w:tcW w:w="3360" w:type="dxa"/>
          </w:tcPr>
          <w:p w14:paraId="4B56C654" w14:textId="77777777" w:rsidR="00494B49" w:rsidRDefault="00494B49">
            <w:r>
              <w:t xml:space="preserve">Reg. </w:t>
            </w:r>
            <w:smartTag w:uri="http://www.bna.com/sgml2word/cite" w:element="cite.cfr">
              <w:smartTagPr>
                <w:attr w:name="ref" w:val="cfr\26\1.1411-1(f)"/>
              </w:smartTagPr>
              <w:r>
                <w:t>§1.1411-1(f)</w:t>
              </w:r>
            </w:smartTag>
          </w:p>
        </w:tc>
        <w:tc>
          <w:tcPr>
            <w:tcW w:w="3360" w:type="dxa"/>
          </w:tcPr>
          <w:p w14:paraId="5B035E47" w14:textId="77777777" w:rsidR="00494B49" w:rsidRDefault="00494B49">
            <w:r>
              <w:t>Transition rules for the 2013 tax year (and until the 2013 Proposed Regulations are finalized)</w:t>
            </w:r>
          </w:p>
        </w:tc>
        <w:tc>
          <w:tcPr>
            <w:tcW w:w="3360" w:type="dxa"/>
          </w:tcPr>
          <w:p w14:paraId="2B44BADD" w14:textId="77777777" w:rsidR="00494B49" w:rsidRDefault="00494B49">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494B49" w14:paraId="5A036EFA" w14:textId="77777777">
        <w:tc>
          <w:tcPr>
            <w:tcW w:w="3360" w:type="dxa"/>
          </w:tcPr>
          <w:p w14:paraId="44A9DB2D" w14:textId="77777777" w:rsidR="00494B49" w:rsidRDefault="00494B49">
            <w:r>
              <w:t xml:space="preserve">Reg. </w:t>
            </w:r>
            <w:smartTag w:uri="http://www.bna.com/sgml2word/cite" w:element="cite.cfr">
              <w:smartTagPr>
                <w:attr w:name="ref" w:val="cfr\26\1.1411-2"/>
              </w:smartTagPr>
              <w:r>
                <w:t>§1.1411-2</w:t>
              </w:r>
            </w:smartTag>
          </w:p>
        </w:tc>
        <w:tc>
          <w:tcPr>
            <w:tcW w:w="3360" w:type="dxa"/>
          </w:tcPr>
          <w:p w14:paraId="434A1C9F" w14:textId="77777777" w:rsidR="00494B49" w:rsidRDefault="00494B49">
            <w:r>
              <w:t>Application of the net investment income to individuals</w:t>
            </w:r>
          </w:p>
        </w:tc>
        <w:tc>
          <w:tcPr>
            <w:tcW w:w="3360" w:type="dxa"/>
          </w:tcPr>
          <w:p w14:paraId="0D38E059" w14:textId="77777777" w:rsidR="00494B49" w:rsidRDefault="00494B49">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494B49" w14:paraId="4F6A0627" w14:textId="77777777">
        <w:tc>
          <w:tcPr>
            <w:tcW w:w="3360" w:type="dxa"/>
          </w:tcPr>
          <w:p w14:paraId="50C552F2" w14:textId="77777777" w:rsidR="00494B49" w:rsidRDefault="00494B49">
            <w:r>
              <w:t xml:space="preserve">Reg. </w:t>
            </w:r>
            <w:smartTag w:uri="http://www.bna.com/sgml2word/cite" w:element="cite.cfr">
              <w:smartTagPr>
                <w:attr w:name="ref" w:val="cfr\26\1.1411-2(a)"/>
              </w:smartTagPr>
              <w:r>
                <w:t>§1.1411-2(a)</w:t>
              </w:r>
            </w:smartTag>
          </w:p>
        </w:tc>
        <w:tc>
          <w:tcPr>
            <w:tcW w:w="3360" w:type="dxa"/>
          </w:tcPr>
          <w:p w14:paraId="3D0BFDDC" w14:textId="77777777" w:rsidR="00494B49" w:rsidRDefault="00494B49">
            <w:r>
              <w:t>Guidance on which individuals are subject to the tax, and special computational rules for multinational individuals</w:t>
            </w:r>
          </w:p>
        </w:tc>
        <w:tc>
          <w:tcPr>
            <w:tcW w:w="3360" w:type="dxa"/>
          </w:tcPr>
          <w:p w14:paraId="1016A2A3" w14:textId="77777777" w:rsidR="00494B49" w:rsidRDefault="00494B49">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494B49" w14:paraId="5677E7A8" w14:textId="77777777">
        <w:tc>
          <w:tcPr>
            <w:tcW w:w="3360" w:type="dxa"/>
          </w:tcPr>
          <w:p w14:paraId="317AF630" w14:textId="77777777" w:rsidR="00494B49" w:rsidRDefault="00494B49">
            <w:r>
              <w:t xml:space="preserve">Reg. </w:t>
            </w:r>
            <w:smartTag w:uri="http://www.bna.com/sgml2word/cite" w:element="cite.cfr">
              <w:smartTagPr>
                <w:attr w:name="ref" w:val="cfr\26\1.1411-2(b)"/>
              </w:smartTagPr>
              <w:r>
                <w:t>§1.1411-2(b)</w:t>
              </w:r>
            </w:smartTag>
          </w:p>
        </w:tc>
        <w:tc>
          <w:tcPr>
            <w:tcW w:w="3360" w:type="dxa"/>
          </w:tcPr>
          <w:p w14:paraId="5543581E" w14:textId="77777777" w:rsidR="00494B49" w:rsidRDefault="00494B49">
            <w:r>
              <w:t>Mechanical rules for calculation of the NIIT</w:t>
            </w:r>
          </w:p>
        </w:tc>
        <w:tc>
          <w:tcPr>
            <w:tcW w:w="3360" w:type="dxa"/>
          </w:tcPr>
          <w:p w14:paraId="13985815" w14:textId="77777777" w:rsidR="00494B49" w:rsidRDefault="00494B49">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494B49" w14:paraId="71451CCE" w14:textId="77777777">
        <w:tc>
          <w:tcPr>
            <w:tcW w:w="3360" w:type="dxa"/>
          </w:tcPr>
          <w:p w14:paraId="50FF038D" w14:textId="77777777" w:rsidR="00494B49" w:rsidRDefault="00494B49">
            <w:r>
              <w:t xml:space="preserve">Reg. </w:t>
            </w:r>
            <w:smartTag w:uri="http://www.bna.com/sgml2word/cite" w:element="cite.cfr">
              <w:smartTagPr>
                <w:attr w:name="ref" w:val="cfr\26\1.1411-2(c)"/>
              </w:smartTagPr>
              <w:r>
                <w:t>§1.1411-2(c)</w:t>
              </w:r>
            </w:smartTag>
          </w:p>
        </w:tc>
        <w:tc>
          <w:tcPr>
            <w:tcW w:w="3360" w:type="dxa"/>
          </w:tcPr>
          <w:p w14:paraId="62382B29" w14:textId="77777777" w:rsidR="00494B49" w:rsidRDefault="00494B49">
            <w:r>
              <w:t>Calculation of modified adjusted gross income</w:t>
            </w:r>
          </w:p>
        </w:tc>
        <w:tc>
          <w:tcPr>
            <w:tcW w:w="3360" w:type="dxa"/>
          </w:tcPr>
          <w:p w14:paraId="1FDCB62A" w14:textId="77777777" w:rsidR="00494B49" w:rsidRDefault="00494B49">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494B49" w14:paraId="72B7A970" w14:textId="77777777">
        <w:tc>
          <w:tcPr>
            <w:tcW w:w="3360" w:type="dxa"/>
          </w:tcPr>
          <w:p w14:paraId="036F09D8" w14:textId="77777777" w:rsidR="00494B49" w:rsidRDefault="00494B49">
            <w:r>
              <w:t xml:space="preserve">Reg. </w:t>
            </w:r>
            <w:smartTag w:uri="http://www.bna.com/sgml2word/cite" w:element="cite.cfr">
              <w:smartTagPr>
                <w:attr w:name="ref" w:val="cfr\26\1.1411-2(d)"/>
              </w:smartTagPr>
              <w:r>
                <w:t>§1.1411-2(d)</w:t>
              </w:r>
            </w:smartTag>
          </w:p>
        </w:tc>
        <w:tc>
          <w:tcPr>
            <w:tcW w:w="3360" w:type="dxa"/>
          </w:tcPr>
          <w:p w14:paraId="55D95273" w14:textId="77777777" w:rsidR="00494B49" w:rsidRDefault="00494B49">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0D3CDB59" w14:textId="77777777" w:rsidR="00494B49" w:rsidRDefault="00494B49">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494B49" w14:paraId="4F8E1C9C" w14:textId="77777777">
        <w:tc>
          <w:tcPr>
            <w:tcW w:w="3360" w:type="dxa"/>
          </w:tcPr>
          <w:p w14:paraId="0AEC322A" w14:textId="77777777" w:rsidR="00494B49" w:rsidRDefault="00494B49">
            <w:r>
              <w:t xml:space="preserve">Reg. </w:t>
            </w:r>
            <w:smartTag w:uri="http://www.bna.com/sgml2word/cite" w:element="cite.cfr">
              <w:smartTagPr>
                <w:attr w:name="ref" w:val="cfr\26\1.1411-3"/>
              </w:smartTagPr>
              <w:r>
                <w:t>§1.1411-3</w:t>
              </w:r>
            </w:smartTag>
          </w:p>
        </w:tc>
        <w:tc>
          <w:tcPr>
            <w:tcW w:w="3360" w:type="dxa"/>
          </w:tcPr>
          <w:p w14:paraId="224D2E21" w14:textId="77777777" w:rsidR="00494B49" w:rsidRDefault="00494B49">
            <w:r>
              <w:t>Computation of the net investment income tax for estates and trusts</w:t>
            </w:r>
          </w:p>
        </w:tc>
        <w:tc>
          <w:tcPr>
            <w:tcW w:w="3360" w:type="dxa"/>
          </w:tcPr>
          <w:p w14:paraId="05EF7CA9"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DF6CDBA" w14:textId="77777777">
        <w:tc>
          <w:tcPr>
            <w:tcW w:w="3360" w:type="dxa"/>
          </w:tcPr>
          <w:p w14:paraId="19EC75E0" w14:textId="77777777" w:rsidR="00494B49" w:rsidRDefault="00494B49">
            <w:r>
              <w:t xml:space="preserve">Reg. </w:t>
            </w:r>
            <w:smartTag w:uri="http://www.bna.com/sgml2word/cite" w:element="cite.cfr">
              <w:smartTagPr>
                <w:attr w:name="ref" w:val="cfr\26\1.1411-3(a)"/>
              </w:smartTagPr>
              <w:r>
                <w:t>§1.1411-3(a)</w:t>
              </w:r>
            </w:smartTag>
          </w:p>
        </w:tc>
        <w:tc>
          <w:tcPr>
            <w:tcW w:w="3360" w:type="dxa"/>
          </w:tcPr>
          <w:p w14:paraId="1F72C6C1" w14:textId="77777777" w:rsidR="00494B49" w:rsidRDefault="00494B49">
            <w:r>
              <w:t>Basic operating rules for trusts and estates</w:t>
            </w:r>
          </w:p>
        </w:tc>
        <w:tc>
          <w:tcPr>
            <w:tcW w:w="3360" w:type="dxa"/>
          </w:tcPr>
          <w:p w14:paraId="113F8C52"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6047C63" w14:textId="77777777">
        <w:tc>
          <w:tcPr>
            <w:tcW w:w="3360" w:type="dxa"/>
          </w:tcPr>
          <w:p w14:paraId="103F2B4B" w14:textId="77777777" w:rsidR="00494B49" w:rsidRDefault="00494B49">
            <w:r>
              <w:t xml:space="preserve">Reg. </w:t>
            </w:r>
            <w:smartTag w:uri="http://www.bna.com/sgml2word/cite" w:element="cite.cfr">
              <w:smartTagPr>
                <w:attr w:name="ref" w:val="cfr\26\1.1411-3(b)"/>
              </w:smartTagPr>
              <w:r>
                <w:t>§1.1411-3(b)</w:t>
              </w:r>
            </w:smartTag>
          </w:p>
        </w:tc>
        <w:tc>
          <w:tcPr>
            <w:tcW w:w="3360" w:type="dxa"/>
          </w:tcPr>
          <w:p w14:paraId="626CA41A" w14:textId="77777777" w:rsidR="00494B49" w:rsidRDefault="00494B49">
            <w:r>
              <w:t>List of estates and trusts excluded from the NIIT along with special computational rules for certain exotic trusts</w:t>
            </w:r>
          </w:p>
        </w:tc>
        <w:tc>
          <w:tcPr>
            <w:tcW w:w="3360" w:type="dxa"/>
          </w:tcPr>
          <w:p w14:paraId="7CE05AB3" w14:textId="77777777" w:rsidR="00494B49" w:rsidRDefault="00494B49">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494B49" w14:paraId="5DA8DB87" w14:textId="77777777">
        <w:tc>
          <w:tcPr>
            <w:tcW w:w="3360" w:type="dxa"/>
          </w:tcPr>
          <w:p w14:paraId="3524C971" w14:textId="77777777" w:rsidR="00494B49" w:rsidRDefault="00494B49">
            <w:r>
              <w:t xml:space="preserve"> </w:t>
            </w:r>
            <w:smartTag w:uri="http://www.bna.com/sgml2word/cite" w:element="cite.cfr">
              <w:smartTagPr>
                <w:attr w:name="ref" w:val="cfr\26\1.1411-3(c)"/>
              </w:smartTagPr>
              <w:r>
                <w:t>§1.1411-3(c)</w:t>
              </w:r>
            </w:smartTag>
          </w:p>
        </w:tc>
        <w:tc>
          <w:tcPr>
            <w:tcW w:w="3360" w:type="dxa"/>
          </w:tcPr>
          <w:p w14:paraId="5F50C7F8" w14:textId="77777777" w:rsidR="00494B49" w:rsidRDefault="00494B49">
            <w:r>
              <w:t>Special computational rules for Electing Small Business Trusts (ESBTs)</w:t>
            </w:r>
          </w:p>
        </w:tc>
        <w:tc>
          <w:tcPr>
            <w:tcW w:w="3360" w:type="dxa"/>
          </w:tcPr>
          <w:p w14:paraId="39145FB8" w14:textId="77777777" w:rsidR="00494B49" w:rsidRDefault="00494B49">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494B49" w14:paraId="4E0D1762" w14:textId="77777777">
        <w:tc>
          <w:tcPr>
            <w:tcW w:w="3360" w:type="dxa"/>
          </w:tcPr>
          <w:p w14:paraId="31FAA109" w14:textId="77777777" w:rsidR="00494B49" w:rsidRDefault="00494B49">
            <w:r>
              <w:t xml:space="preserve">Reg. </w:t>
            </w:r>
            <w:smartTag w:uri="http://www.bna.com/sgml2word/cite" w:element="cite.cfr">
              <w:smartTagPr>
                <w:attr w:name="ref" w:val="cfr\26\1.1411-3(d)"/>
              </w:smartTagPr>
              <w:r>
                <w:t>§1.1411-3(d)</w:t>
              </w:r>
            </w:smartTag>
          </w:p>
        </w:tc>
        <w:tc>
          <w:tcPr>
            <w:tcW w:w="3360" w:type="dxa"/>
          </w:tcPr>
          <w:p w14:paraId="7700ABAF" w14:textId="77777777" w:rsidR="00494B49" w:rsidRDefault="00494B49">
            <w:r>
              <w:t>Rules for charitable remainder trusts</w:t>
            </w:r>
          </w:p>
        </w:tc>
        <w:tc>
          <w:tcPr>
            <w:tcW w:w="3360" w:type="dxa"/>
          </w:tcPr>
          <w:p w14:paraId="6FC75B79" w14:textId="77777777" w:rsidR="00494B49" w:rsidRDefault="00494B49">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494B49" w14:paraId="54ABD970" w14:textId="77777777">
        <w:tc>
          <w:tcPr>
            <w:tcW w:w="3360" w:type="dxa"/>
          </w:tcPr>
          <w:p w14:paraId="6746F021" w14:textId="77777777" w:rsidR="00494B49" w:rsidRDefault="00494B49">
            <w:r>
              <w:t xml:space="preserve">Reg. </w:t>
            </w:r>
            <w:smartTag w:uri="http://www.bna.com/sgml2word/cite" w:element="cite.cfr">
              <w:smartTagPr>
                <w:attr w:name="ref" w:val="cfr\26\1.1411-3(e)"/>
              </w:smartTagPr>
              <w:r>
                <w:t>§1.1411-3(e)</w:t>
              </w:r>
            </w:smartTag>
          </w:p>
        </w:tc>
        <w:tc>
          <w:tcPr>
            <w:tcW w:w="3360" w:type="dxa"/>
          </w:tcPr>
          <w:p w14:paraId="2777008D" w14:textId="77777777" w:rsidR="00494B49" w:rsidRDefault="00494B49">
            <w:r>
              <w:t>Computation of undistributed net investment income</w:t>
            </w:r>
          </w:p>
        </w:tc>
        <w:tc>
          <w:tcPr>
            <w:tcW w:w="3360" w:type="dxa"/>
          </w:tcPr>
          <w:p w14:paraId="1B5CDD8B"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424D29AE" w14:textId="77777777">
        <w:tc>
          <w:tcPr>
            <w:tcW w:w="3360" w:type="dxa"/>
          </w:tcPr>
          <w:p w14:paraId="5FC18383" w14:textId="77777777" w:rsidR="00494B49" w:rsidRDefault="00494B49">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DDF3306" w14:textId="77777777" w:rsidR="00494B49" w:rsidRDefault="00494B49">
            <w:r>
              <w:t xml:space="preserve">Calculation of net investment income under </w:t>
            </w:r>
            <w:smartTag w:uri="http://www.bna.com/sgml2word/cite" w:element="cite.usc">
              <w:smartTagPr>
                <w:attr w:name="ref" w:val="USC\26\1411(c)(1)"/>
              </w:smartTagPr>
              <w:r>
                <w:t>§1411(c)(1)</w:t>
              </w:r>
            </w:smartTag>
          </w:p>
        </w:tc>
        <w:tc>
          <w:tcPr>
            <w:tcW w:w="3360" w:type="dxa"/>
          </w:tcPr>
          <w:p w14:paraId="16B53F61"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34FDB82D" w14:textId="77777777">
        <w:tc>
          <w:tcPr>
            <w:tcW w:w="3360" w:type="dxa"/>
          </w:tcPr>
          <w:p w14:paraId="2544CFF4" w14:textId="77777777" w:rsidR="00494B49" w:rsidRDefault="00494B49">
            <w:r>
              <w:t xml:space="preserve">Reg. </w:t>
            </w:r>
            <w:smartTag w:uri="http://www.bna.com/sgml2word/cite" w:element="cite.cfr">
              <w:smartTagPr>
                <w:attr w:name="ref" w:val="cfr\26\1.1411-4(a)"/>
              </w:smartTagPr>
              <w:r>
                <w:t>§1.1411-4(a)</w:t>
              </w:r>
            </w:smartTag>
          </w:p>
        </w:tc>
        <w:tc>
          <w:tcPr>
            <w:tcW w:w="3360" w:type="dxa"/>
          </w:tcPr>
          <w:p w14:paraId="5BEA9204" w14:textId="77777777" w:rsidR="00494B49" w:rsidRDefault="00494B49">
            <w:r>
              <w:t xml:space="preserve">Restates </w:t>
            </w:r>
            <w:smartTag w:uri="http://www.bna.com/sgml2word/cite" w:element="cite.usc">
              <w:smartTagPr>
                <w:attr w:name="ref" w:val="USC\26\1411(c)(1)"/>
              </w:smartTagPr>
              <w:r>
                <w:t>§1411(c)(1)</w:t>
              </w:r>
            </w:smartTag>
          </w:p>
        </w:tc>
        <w:tc>
          <w:tcPr>
            <w:tcW w:w="3360" w:type="dxa"/>
          </w:tcPr>
          <w:p w14:paraId="50F07D24" w14:textId="77777777" w:rsidR="00494B49" w:rsidRDefault="00494B49">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494B49" w14:paraId="0B3081A1" w14:textId="77777777">
        <w:tc>
          <w:tcPr>
            <w:tcW w:w="3360" w:type="dxa"/>
          </w:tcPr>
          <w:p w14:paraId="048F77FC" w14:textId="77777777" w:rsidR="00494B49" w:rsidRDefault="00494B49">
            <w:r>
              <w:t xml:space="preserve">Reg. </w:t>
            </w:r>
            <w:smartTag w:uri="http://www.bna.com/sgml2word/cite" w:element="cite.cfr">
              <w:smartTagPr>
                <w:attr w:name="ref" w:val="cfr\26\1.1411-4(b)"/>
              </w:smartTagPr>
              <w:r>
                <w:t>§1.1411-4(b)</w:t>
              </w:r>
            </w:smartTag>
          </w:p>
        </w:tc>
        <w:tc>
          <w:tcPr>
            <w:tcW w:w="3360" w:type="dxa"/>
          </w:tcPr>
          <w:p w14:paraId="0EFAA5AA" w14:textId="77777777" w:rsidR="00494B49" w:rsidRDefault="00494B49">
            <w:r>
              <w:t xml:space="preserve">Guidance on when interest, dividends, rents, royalties, and annuities are excluded from the computation of net investment income because the income is </w:t>
            </w:r>
            <w:r>
              <w:lastRenderedPageBreak/>
              <w:t>“derived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40B21731" w14:textId="77777777" w:rsidR="00494B49" w:rsidRDefault="00494B49">
            <w:r>
              <w:lastRenderedPageBreak/>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494B49" w14:paraId="43B17159" w14:textId="77777777">
        <w:tc>
          <w:tcPr>
            <w:tcW w:w="3360" w:type="dxa"/>
          </w:tcPr>
          <w:p w14:paraId="5EE9B442" w14:textId="77777777" w:rsidR="00494B49" w:rsidRDefault="00494B49">
            <w:r>
              <w:t xml:space="preserve">Reg. </w:t>
            </w:r>
            <w:smartTag w:uri="http://www.bna.com/sgml2word/cite" w:element="cite.cfr">
              <w:smartTagPr>
                <w:attr w:name="ref" w:val="cfr\26\1.1411-4(c)"/>
              </w:smartTagPr>
              <w:r>
                <w:t>§1.1411-4(c)</w:t>
              </w:r>
            </w:smartTag>
          </w:p>
        </w:tc>
        <w:tc>
          <w:tcPr>
            <w:tcW w:w="3360" w:type="dxa"/>
          </w:tcPr>
          <w:p w14:paraId="46B53FB6" w14:textId="77777777" w:rsidR="00494B49" w:rsidRDefault="00494B49">
            <w:r>
              <w:t xml:space="preserve">Essentially restates </w:t>
            </w:r>
            <w:smartTag w:uri="http://www.bna.com/sgml2word/cite" w:element="cite.usc">
              <w:smartTagPr>
                <w:attr w:name="ref" w:val="USC\26\1411(c)(1)(A)(ii)"/>
              </w:smartTagPr>
              <w:r>
                <w:t>§1411(c)(1)(A)(ii)</w:t>
              </w:r>
            </w:smartTag>
          </w:p>
        </w:tc>
        <w:tc>
          <w:tcPr>
            <w:tcW w:w="3360" w:type="dxa"/>
          </w:tcPr>
          <w:p w14:paraId="325A0CFF" w14:textId="77777777" w:rsidR="00494B49" w:rsidRDefault="00494B49">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494B49" w14:paraId="31E9A349" w14:textId="77777777">
        <w:tc>
          <w:tcPr>
            <w:tcW w:w="3360" w:type="dxa"/>
          </w:tcPr>
          <w:p w14:paraId="09562D97" w14:textId="77777777" w:rsidR="00494B49" w:rsidRDefault="00494B49">
            <w:r>
              <w:t xml:space="preserve">Reg. </w:t>
            </w:r>
            <w:smartTag w:uri="http://www.bna.com/sgml2word/cite" w:element="cite.cfr">
              <w:smartTagPr>
                <w:attr w:name="ref" w:val="cfr\26\1.1411-4(d)"/>
              </w:smartTagPr>
              <w:r>
                <w:t>§1.1411-4(d)</w:t>
              </w:r>
            </w:smartTag>
          </w:p>
        </w:tc>
        <w:tc>
          <w:tcPr>
            <w:tcW w:w="3360" w:type="dxa"/>
          </w:tcPr>
          <w:p w14:paraId="4A1FAD8E" w14:textId="77777777" w:rsidR="00494B49" w:rsidRDefault="00494B49">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3C52072A" w14:textId="77777777" w:rsidR="00494B49" w:rsidRDefault="00494B49">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494B49" w14:paraId="602D05C0" w14:textId="77777777">
        <w:tc>
          <w:tcPr>
            <w:tcW w:w="3360" w:type="dxa"/>
          </w:tcPr>
          <w:p w14:paraId="6B29F6DE" w14:textId="77777777" w:rsidR="00494B49" w:rsidRDefault="00494B49">
            <w:r>
              <w:t xml:space="preserve">Reg. </w:t>
            </w:r>
            <w:smartTag w:uri="http://www.bna.com/sgml2word/cite" w:element="cite.cfr">
              <w:smartTagPr>
                <w:attr w:name="ref" w:val="cfr\26\1.1411-4(e)"/>
              </w:smartTagPr>
              <w:r>
                <w:t>§1.1411-4(e)</w:t>
              </w:r>
            </w:smartTag>
          </w:p>
        </w:tc>
        <w:tc>
          <w:tcPr>
            <w:tcW w:w="3360" w:type="dxa"/>
          </w:tcPr>
          <w:p w14:paraId="43F08A33" w14:textId="77777777" w:rsidR="00494B49" w:rsidRDefault="00494B49">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7DF2A190" w14:textId="77777777" w:rsidR="00494B49" w:rsidRDefault="00494B49">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494B49" w14:paraId="0FA042F1" w14:textId="77777777">
        <w:tc>
          <w:tcPr>
            <w:tcW w:w="3360" w:type="dxa"/>
          </w:tcPr>
          <w:p w14:paraId="3A427B14" w14:textId="77777777" w:rsidR="00494B49" w:rsidRDefault="00494B49">
            <w:r>
              <w:t xml:space="preserve">Reg. </w:t>
            </w:r>
            <w:smartTag w:uri="http://www.bna.com/sgml2word/cite" w:element="cite.cfr">
              <w:smartTagPr>
                <w:attr w:name="ref" w:val="cfr\26\1.1411-4(f)"/>
              </w:smartTagPr>
              <w:r>
                <w:t>§1.1411-4(f)</w:t>
              </w:r>
            </w:smartTag>
          </w:p>
        </w:tc>
        <w:tc>
          <w:tcPr>
            <w:tcW w:w="3360" w:type="dxa"/>
          </w:tcPr>
          <w:p w14:paraId="2378906C" w14:textId="77777777" w:rsidR="00494B49" w:rsidRDefault="00494B49">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63495720" w14:textId="77777777" w:rsidR="00494B49" w:rsidRDefault="00494B49">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494B49" w14:paraId="29349407" w14:textId="77777777">
        <w:tc>
          <w:tcPr>
            <w:tcW w:w="3360" w:type="dxa"/>
          </w:tcPr>
          <w:p w14:paraId="1234C2A3" w14:textId="77777777" w:rsidR="00494B49" w:rsidRDefault="00494B49">
            <w:r>
              <w:t xml:space="preserve">Reg. </w:t>
            </w:r>
            <w:smartTag w:uri="http://www.bna.com/sgml2word/cite" w:element="cite.cfr">
              <w:smartTagPr>
                <w:attr w:name="ref" w:val="cfr\26\1.1411-4(g)"/>
              </w:smartTagPr>
              <w:r>
                <w:t>§1.1411-4(g)</w:t>
              </w:r>
            </w:smartTag>
          </w:p>
        </w:tc>
        <w:tc>
          <w:tcPr>
            <w:tcW w:w="3360" w:type="dxa"/>
          </w:tcPr>
          <w:p w14:paraId="0D1BABB4" w14:textId="77777777" w:rsidR="00494B49" w:rsidRDefault="00494B49">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996CC9D" w14:textId="77777777" w:rsidR="00494B49" w:rsidRDefault="00494B49">
            <w:r>
              <w:t>Woven throughout the Portfolio, as appropriate.</w:t>
            </w:r>
          </w:p>
        </w:tc>
      </w:tr>
      <w:tr w:rsidR="00494B49" w14:paraId="6E905697" w14:textId="77777777">
        <w:tc>
          <w:tcPr>
            <w:tcW w:w="3360" w:type="dxa"/>
          </w:tcPr>
          <w:p w14:paraId="611FA715" w14:textId="77777777" w:rsidR="00494B49" w:rsidRDefault="00494B49">
            <w:r>
              <w:t xml:space="preserve">Reg. </w:t>
            </w:r>
            <w:smartTag w:uri="http://www.bna.com/sgml2word/cite" w:element="cite.cfr">
              <w:smartTagPr>
                <w:attr w:name="ref" w:val="cfr\26\1.1411-4(h)"/>
              </w:smartTagPr>
              <w:r>
                <w:t>§1.1411-4(h)</w:t>
              </w:r>
            </w:smartTag>
          </w:p>
        </w:tc>
        <w:tc>
          <w:tcPr>
            <w:tcW w:w="3360" w:type="dxa"/>
          </w:tcPr>
          <w:p w14:paraId="1659C8F7" w14:textId="77777777" w:rsidR="00494B49" w:rsidRDefault="00494B49">
            <w:r>
              <w:t>Computational rules for net operating losses</w:t>
            </w:r>
          </w:p>
        </w:tc>
        <w:tc>
          <w:tcPr>
            <w:tcW w:w="3360" w:type="dxa"/>
          </w:tcPr>
          <w:p w14:paraId="0D7F7AA2" w14:textId="77777777" w:rsidR="00494B49" w:rsidRDefault="00494B49">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494B49" w14:paraId="01B216B9" w14:textId="77777777">
        <w:tc>
          <w:tcPr>
            <w:tcW w:w="3360" w:type="dxa"/>
          </w:tcPr>
          <w:p w14:paraId="3256D279" w14:textId="77777777" w:rsidR="00494B49" w:rsidRDefault="00494B49">
            <w:r>
              <w:t xml:space="preserve">Reg. </w:t>
            </w:r>
            <w:smartTag w:uri="http://www.bna.com/sgml2word/cite" w:element="cite.cfr">
              <w:smartTagPr>
                <w:attr w:name="ref" w:val="cfr\26\1.1411-5"/>
              </w:smartTagPr>
              <w:r>
                <w:t>§1.1411-5</w:t>
              </w:r>
            </w:smartTag>
          </w:p>
        </w:tc>
        <w:tc>
          <w:tcPr>
            <w:tcW w:w="3360" w:type="dxa"/>
          </w:tcPr>
          <w:p w14:paraId="47D529EC" w14:textId="77777777" w:rsidR="00494B49" w:rsidRDefault="00494B49">
            <w:r>
              <w:t xml:space="preserve">Descriptions of trades or businesses described in </w:t>
            </w:r>
            <w:smartTag w:uri="http://www.bna.com/sgml2word/cite" w:element="cite.usc">
              <w:smartTagPr>
                <w:attr w:name="ref" w:val="USC\26\1411(c)(2)"/>
              </w:smartTagPr>
              <w:r>
                <w:t>§1411(c)(2)</w:t>
              </w:r>
            </w:smartTag>
          </w:p>
        </w:tc>
        <w:tc>
          <w:tcPr>
            <w:tcW w:w="3360" w:type="dxa"/>
          </w:tcPr>
          <w:p w14:paraId="57B624E4"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74A3D801" w14:textId="77777777">
        <w:tc>
          <w:tcPr>
            <w:tcW w:w="3360" w:type="dxa"/>
          </w:tcPr>
          <w:p w14:paraId="281E6D28" w14:textId="77777777" w:rsidR="00494B49" w:rsidRDefault="00494B49">
            <w:r>
              <w:t xml:space="preserve">Reg. </w:t>
            </w:r>
            <w:smartTag w:uri="http://www.bna.com/sgml2word/cite" w:element="cite.cfr">
              <w:smartTagPr>
                <w:attr w:name="ref" w:val="cfr\26\1.1411-5(a)"/>
              </w:smartTagPr>
              <w:r>
                <w:t>§1.1411-5(a)</w:t>
              </w:r>
            </w:smartTag>
          </w:p>
        </w:tc>
        <w:tc>
          <w:tcPr>
            <w:tcW w:w="3360" w:type="dxa"/>
          </w:tcPr>
          <w:p w14:paraId="324E68FB" w14:textId="77777777" w:rsidR="00494B49" w:rsidRDefault="00494B49">
            <w:r>
              <w:t xml:space="preserve">Essentially restates </w:t>
            </w:r>
            <w:smartTag w:uri="http://www.bna.com/sgml2word/cite" w:element="cite.usc">
              <w:smartTagPr>
                <w:attr w:name="ref" w:val="USC\26\1411(c)(2)"/>
              </w:smartTagPr>
              <w:r>
                <w:t>§1411(c)(2)</w:t>
              </w:r>
            </w:smartTag>
          </w:p>
        </w:tc>
        <w:tc>
          <w:tcPr>
            <w:tcW w:w="3360" w:type="dxa"/>
          </w:tcPr>
          <w:p w14:paraId="051E40AD"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53C8DF64" w14:textId="77777777">
        <w:tc>
          <w:tcPr>
            <w:tcW w:w="3360" w:type="dxa"/>
          </w:tcPr>
          <w:p w14:paraId="4CA2902E" w14:textId="77777777" w:rsidR="00494B49" w:rsidRDefault="00494B49">
            <w:r>
              <w:t xml:space="preserve">Reg. </w:t>
            </w:r>
            <w:smartTag w:uri="http://www.bna.com/sgml2word/cite" w:element="cite.cfr">
              <w:smartTagPr>
                <w:attr w:name="ref" w:val="cfr\26\1.1411-5(b)"/>
              </w:smartTagPr>
              <w:r>
                <w:t>§1.1411-5(b)</w:t>
              </w:r>
            </w:smartTag>
          </w:p>
        </w:tc>
        <w:tc>
          <w:tcPr>
            <w:tcW w:w="3360" w:type="dxa"/>
          </w:tcPr>
          <w:p w14:paraId="13820B42" w14:textId="77777777" w:rsidR="00494B49" w:rsidRDefault="00494B49">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7EF68E95" w14:textId="77777777" w:rsidR="00494B49" w:rsidRDefault="00494B49">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494B49" w14:paraId="06554D6D" w14:textId="77777777">
        <w:tc>
          <w:tcPr>
            <w:tcW w:w="3360" w:type="dxa"/>
          </w:tcPr>
          <w:p w14:paraId="5C2EE381" w14:textId="77777777" w:rsidR="00494B49" w:rsidRDefault="00494B49">
            <w:r>
              <w:t xml:space="preserve">Reg. </w:t>
            </w:r>
            <w:smartTag w:uri="http://www.bna.com/sgml2word/cite" w:element="cite.cfr">
              <w:smartTagPr>
                <w:attr w:name="ref" w:val="cfr\26\1.1411-5(c)"/>
              </w:smartTagPr>
              <w:r>
                <w:t>§1.1411-5(c)</w:t>
              </w:r>
            </w:smartTag>
          </w:p>
        </w:tc>
        <w:tc>
          <w:tcPr>
            <w:tcW w:w="3360" w:type="dxa"/>
          </w:tcPr>
          <w:p w14:paraId="0DDAC673" w14:textId="77777777" w:rsidR="00494B49" w:rsidRDefault="00494B49">
            <w:r>
              <w:t>Definition of financial instruments and commodities</w:t>
            </w:r>
          </w:p>
        </w:tc>
        <w:tc>
          <w:tcPr>
            <w:tcW w:w="3360" w:type="dxa"/>
          </w:tcPr>
          <w:p w14:paraId="1CFBE38D" w14:textId="77777777" w:rsidR="00494B49" w:rsidRDefault="00494B49">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494B49" w14:paraId="4DBF7A52" w14:textId="77777777">
        <w:tc>
          <w:tcPr>
            <w:tcW w:w="3360" w:type="dxa"/>
          </w:tcPr>
          <w:p w14:paraId="118800BA" w14:textId="77777777" w:rsidR="00494B49" w:rsidRDefault="00494B49">
            <w:r>
              <w:t xml:space="preserve">Reg. </w:t>
            </w:r>
            <w:smartTag w:uri="http://www.bna.com/sgml2word/cite" w:element="cite.cfr">
              <w:smartTagPr>
                <w:attr w:name="ref" w:val="cfr\26\1.1411-6"/>
              </w:smartTagPr>
              <w:r>
                <w:t>§1.1411-6</w:t>
              </w:r>
            </w:smartTag>
          </w:p>
        </w:tc>
        <w:tc>
          <w:tcPr>
            <w:tcW w:w="3360" w:type="dxa"/>
          </w:tcPr>
          <w:p w14:paraId="2990A6E7" w14:textId="77777777" w:rsidR="00494B49" w:rsidRDefault="00494B49">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2D5FC2C3" w14:textId="77777777" w:rsidR="00494B49" w:rsidRDefault="00494B49">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494B49" w14:paraId="10220D5A" w14:textId="77777777">
        <w:tc>
          <w:tcPr>
            <w:tcW w:w="3360" w:type="dxa"/>
          </w:tcPr>
          <w:p w14:paraId="45C48091" w14:textId="77777777" w:rsidR="00494B49" w:rsidRDefault="00494B49">
            <w:r>
              <w:t xml:space="preserve">Reg. </w:t>
            </w:r>
            <w:smartTag w:uri="http://www.bna.com/sgml2word/cite" w:element="cite.cfr">
              <w:smartTagPr>
                <w:attr w:name="ref" w:val="cfr\26\1.1411-7"/>
              </w:smartTagPr>
              <w:r>
                <w:t>§1.1411-7</w:t>
              </w:r>
            </w:smartTag>
          </w:p>
        </w:tc>
        <w:tc>
          <w:tcPr>
            <w:tcW w:w="3360" w:type="dxa"/>
          </w:tcPr>
          <w:p w14:paraId="1E852048" w14:textId="77777777" w:rsidR="00494B49" w:rsidRDefault="00494B49">
            <w:r>
              <w:t xml:space="preserve">Dispositions of partnerships and S corporations under </w:t>
            </w:r>
            <w:smartTag w:uri="http://www.bna.com/sgml2word/cite" w:element="cite.usc">
              <w:smartTagPr>
                <w:attr w:name="ref" w:val="USC\26\1411(c)(4)"/>
              </w:smartTagPr>
              <w:r>
                <w:t>§1411(c)(4)</w:t>
              </w:r>
            </w:smartTag>
          </w:p>
        </w:tc>
        <w:tc>
          <w:tcPr>
            <w:tcW w:w="3360" w:type="dxa"/>
          </w:tcPr>
          <w:p w14:paraId="74342951" w14:textId="77777777" w:rsidR="00494B49" w:rsidRDefault="00494B49">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494B49" w14:paraId="2263C1CB" w14:textId="77777777">
        <w:tc>
          <w:tcPr>
            <w:tcW w:w="3360" w:type="dxa"/>
          </w:tcPr>
          <w:p w14:paraId="0566F22B" w14:textId="77777777" w:rsidR="00494B49" w:rsidRDefault="00494B49">
            <w:r>
              <w:t xml:space="preserve">Reg. </w:t>
            </w:r>
            <w:smartTag w:uri="http://www.bna.com/sgml2word/cite" w:element="cite.cfr">
              <w:smartTagPr>
                <w:attr w:name="ref" w:val="cfr\26\1.1411-8"/>
              </w:smartTagPr>
              <w:r>
                <w:t>§1.1411-8</w:t>
              </w:r>
            </w:smartTag>
          </w:p>
        </w:tc>
        <w:tc>
          <w:tcPr>
            <w:tcW w:w="3360" w:type="dxa"/>
          </w:tcPr>
          <w:p w14:paraId="5964FF23" w14:textId="77777777" w:rsidR="00494B49" w:rsidRDefault="00494B49">
            <w:r>
              <w:t xml:space="preserve">Distributions from qualified plans under </w:t>
            </w:r>
            <w:smartTag w:uri="http://www.bna.com/sgml2word/cite" w:element="cite.usc">
              <w:smartTagPr>
                <w:attr w:name="ref" w:val="USC\26\1411(c)(5)"/>
              </w:smartTagPr>
              <w:r>
                <w:t>§1411(c)(5)</w:t>
              </w:r>
            </w:smartTag>
          </w:p>
        </w:tc>
        <w:tc>
          <w:tcPr>
            <w:tcW w:w="3360" w:type="dxa"/>
          </w:tcPr>
          <w:p w14:paraId="129CBF4E"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5EAEF0C9" w14:textId="77777777">
        <w:tc>
          <w:tcPr>
            <w:tcW w:w="3360" w:type="dxa"/>
          </w:tcPr>
          <w:p w14:paraId="680E53E6" w14:textId="77777777" w:rsidR="00494B49" w:rsidRDefault="00494B49">
            <w:r>
              <w:t xml:space="preserve">Reg. </w:t>
            </w:r>
            <w:smartTag w:uri="http://www.bna.com/sgml2word/cite" w:element="cite.cfr">
              <w:smartTagPr>
                <w:attr w:name="ref" w:val="cfr\26\1.1411-8(a)"/>
              </w:smartTagPr>
              <w:r>
                <w:t>§1.1411-8(a)</w:t>
              </w:r>
            </w:smartTag>
          </w:p>
        </w:tc>
        <w:tc>
          <w:tcPr>
            <w:tcW w:w="3360" w:type="dxa"/>
          </w:tcPr>
          <w:p w14:paraId="08B57F84" w14:textId="77777777" w:rsidR="00494B49" w:rsidRDefault="00494B49">
            <w:r>
              <w:t xml:space="preserve">Essentially restates </w:t>
            </w:r>
            <w:smartTag w:uri="http://www.bna.com/sgml2word/cite" w:element="cite.usc">
              <w:smartTagPr>
                <w:attr w:name="ref" w:val="USC\26\1411(c)(5)"/>
              </w:smartTagPr>
              <w:r>
                <w:t>§1411(c)(5)</w:t>
              </w:r>
            </w:smartTag>
          </w:p>
        </w:tc>
        <w:tc>
          <w:tcPr>
            <w:tcW w:w="3360" w:type="dxa"/>
          </w:tcPr>
          <w:p w14:paraId="35E9A014"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2C8FE89A" w14:textId="77777777">
        <w:tc>
          <w:tcPr>
            <w:tcW w:w="3360" w:type="dxa"/>
          </w:tcPr>
          <w:p w14:paraId="785840D5" w14:textId="77777777" w:rsidR="00494B49" w:rsidRDefault="00494B49">
            <w:r>
              <w:t xml:space="preserve">Reg. </w:t>
            </w:r>
            <w:smartTag w:uri="http://www.bna.com/sgml2word/cite" w:element="cite.cfr">
              <w:smartTagPr>
                <w:attr w:name="ref" w:val="cfr\26\1.1411-8(b)"/>
              </w:smartTagPr>
              <w:r>
                <w:t>§1.1411-8(b)</w:t>
              </w:r>
            </w:smartTag>
          </w:p>
        </w:tc>
        <w:tc>
          <w:tcPr>
            <w:tcW w:w="3360" w:type="dxa"/>
          </w:tcPr>
          <w:p w14:paraId="6CBC2835" w14:textId="77777777" w:rsidR="00494B49" w:rsidRDefault="00494B49">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095F6AC6"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02CCF008" w14:textId="77777777">
        <w:tc>
          <w:tcPr>
            <w:tcW w:w="3360" w:type="dxa"/>
          </w:tcPr>
          <w:p w14:paraId="27DB180A" w14:textId="77777777" w:rsidR="00494B49" w:rsidRDefault="00494B49">
            <w:r>
              <w:t xml:space="preserve">Reg. </w:t>
            </w:r>
            <w:smartTag w:uri="http://www.bna.com/sgml2word/cite" w:element="cite.cfr">
              <w:smartTagPr>
                <w:attr w:name="ref" w:val="cfr\26\1.1411-9"/>
              </w:smartTagPr>
              <w:r>
                <w:t>§1.1411-9</w:t>
              </w:r>
            </w:smartTag>
          </w:p>
        </w:tc>
        <w:tc>
          <w:tcPr>
            <w:tcW w:w="3360" w:type="dxa"/>
          </w:tcPr>
          <w:p w14:paraId="1B360509" w14:textId="77777777" w:rsidR="00494B49" w:rsidRDefault="00494B49">
            <w:r>
              <w:t xml:space="preserve">Self-employment income under </w:t>
            </w:r>
            <w:smartTag w:uri="http://www.bna.com/sgml2word/cite" w:element="cite.usc">
              <w:smartTagPr>
                <w:attr w:name="ref" w:val="USC\26\1411(c)(6)"/>
              </w:smartTagPr>
              <w:r>
                <w:t>§1411(c)(6)</w:t>
              </w:r>
            </w:smartTag>
          </w:p>
        </w:tc>
        <w:tc>
          <w:tcPr>
            <w:tcW w:w="3360" w:type="dxa"/>
          </w:tcPr>
          <w:p w14:paraId="026BF61A"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2A42373B" w14:textId="77777777">
        <w:tc>
          <w:tcPr>
            <w:tcW w:w="3360" w:type="dxa"/>
          </w:tcPr>
          <w:p w14:paraId="0B21194F" w14:textId="77777777" w:rsidR="00494B49" w:rsidRDefault="00494B49">
            <w:r>
              <w:t xml:space="preserve">Reg. </w:t>
            </w:r>
            <w:smartTag w:uri="http://www.bna.com/sgml2word/cite" w:element="cite.cfr">
              <w:smartTagPr>
                <w:attr w:name="ref" w:val="cfr\26\1.1411-9(a)"/>
              </w:smartTagPr>
              <w:r>
                <w:t>§1.1411-9(a)</w:t>
              </w:r>
            </w:smartTag>
          </w:p>
        </w:tc>
        <w:tc>
          <w:tcPr>
            <w:tcW w:w="3360" w:type="dxa"/>
          </w:tcPr>
          <w:p w14:paraId="0FD4B13B" w14:textId="77777777" w:rsidR="00494B49" w:rsidRDefault="00494B49">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w:t>
            </w:r>
            <w:proofErr w:type="spellStart"/>
            <w:r>
              <w:lastRenderedPageBreak/>
              <w:t>favor</w:t>
            </w:r>
            <w:proofErr w:type="spellEnd"/>
            <w:r>
              <w:t xml:space="preserve"> of including such items in earnings from self-employment)</w:t>
            </w:r>
          </w:p>
        </w:tc>
        <w:tc>
          <w:tcPr>
            <w:tcW w:w="3360" w:type="dxa"/>
          </w:tcPr>
          <w:p w14:paraId="6D9FE5DD" w14:textId="77777777" w:rsidR="00494B49" w:rsidRDefault="00494B49">
            <w:r>
              <w:lastRenderedPageBreak/>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786FAD63" w14:textId="77777777">
        <w:tc>
          <w:tcPr>
            <w:tcW w:w="3360" w:type="dxa"/>
          </w:tcPr>
          <w:p w14:paraId="494DA215" w14:textId="77777777" w:rsidR="00494B49" w:rsidRDefault="00494B49">
            <w:r>
              <w:t xml:space="preserve">Reg. </w:t>
            </w:r>
            <w:smartTag w:uri="http://www.bna.com/sgml2word/cite" w:element="cite.cfr">
              <w:smartTagPr>
                <w:attr w:name="ref" w:val="cfr\26\1.1411-9(b)"/>
              </w:smartTagPr>
              <w:r>
                <w:t>§1.1411-9(b)</w:t>
              </w:r>
            </w:smartTag>
          </w:p>
        </w:tc>
        <w:tc>
          <w:tcPr>
            <w:tcW w:w="3360" w:type="dxa"/>
          </w:tcPr>
          <w:p w14:paraId="424FDCB1" w14:textId="77777777" w:rsidR="00494B49" w:rsidRDefault="00494B49">
            <w:r>
              <w:t>Special rule for traders in financial instruments or commodities that have trading expenses that are included in earnings from self-employment</w:t>
            </w:r>
          </w:p>
        </w:tc>
        <w:tc>
          <w:tcPr>
            <w:tcW w:w="3360" w:type="dxa"/>
          </w:tcPr>
          <w:p w14:paraId="0CD23CB5"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6F5BB3A9" w14:textId="77777777" w:rsidR="00494B49" w:rsidRDefault="00494B49">
      <w:pPr>
        <w:pStyle w:val="BNormal"/>
      </w:pPr>
    </w:p>
    <w:p w14:paraId="2C084E9C" w14:textId="77777777" w:rsidR="00494B49" w:rsidRDefault="00494B49">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55BC8605" w14:textId="77777777" w:rsidR="00494B49" w:rsidRDefault="00494B49">
      <w:pPr>
        <w:pStyle w:val="BHead2"/>
      </w:pPr>
      <w:r>
        <w:t>2. 2013 Proposed Regulations</w:t>
      </w:r>
    </w:p>
    <w:p w14:paraId="3C6E555E" w14:textId="77777777" w:rsidR="00494B49" w:rsidRDefault="00494B49">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8"/>
      </w:r>
      <w:r>
        <w:t xml:space="preserve"> If finalized, these regulations would have the same effective date as the 2013 Final Regulations.</w:t>
      </w:r>
      <w:r>
        <w:rPr>
          <w:rStyle w:val="FootnoteReference"/>
        </w:rPr>
        <w:footnoteReference w:id="39"/>
      </w:r>
      <w:r>
        <w:t xml:space="preserve"> Taxpayers are allowed to rely on these proposed regulations until they are issued as final regulations.</w:t>
      </w:r>
      <w:r>
        <w:rPr>
          <w:rStyle w:val="FootnoteReference"/>
        </w:rPr>
        <w:footnoteReference w:id="40"/>
      </w:r>
    </w:p>
    <w:p w14:paraId="6FCDD209" w14:textId="77777777" w:rsidR="00494B49" w:rsidRDefault="00494B49">
      <w:pPr>
        <w:pStyle w:val="BNormal"/>
      </w:pPr>
      <w:r>
        <w:t xml:space="preserve">The 2013 Proposed Regulations address several substantive issues that were brought to the IRS’s attention during the comment period for the 2012 Proposed Regulations, including: </w:t>
      </w:r>
    </w:p>
    <w:p w14:paraId="45FF89C5" w14:textId="77777777" w:rsidR="00494B49" w:rsidRDefault="00494B49">
      <w:pPr>
        <w:pStyle w:val="BListitembul"/>
      </w:pPr>
      <w:r>
        <w:t>Special rules for the application of the §664 system to Charitable Remainder Trusts (CRTs) that derive income from controlled foreign corporations (CFCs) or passive foreign investment companies (PFICs) with respect to which an election under Reg. §1.1411-10(g) is not in place.</w:t>
      </w:r>
      <w:r>
        <w:rPr>
          <w:rStyle w:val="FootnoteReference"/>
        </w:rPr>
        <w:footnoteReference w:id="41"/>
      </w:r>
    </w:p>
    <w:p w14:paraId="775536FC" w14:textId="77777777" w:rsidR="00494B49" w:rsidRDefault="00494B49">
      <w:pPr>
        <w:pStyle w:val="BListitembul"/>
      </w:pPr>
      <w:r>
        <w:t>An election to allow CRTs to apply the §664 system adopted in the 2013 Final Regulations or the simplified method set forth in the 2012 Proposed Regulations.</w:t>
      </w:r>
      <w:r>
        <w:rPr>
          <w:rStyle w:val="FootnoteReference"/>
        </w:rPr>
        <w:footnoteReference w:id="42"/>
      </w:r>
    </w:p>
    <w:p w14:paraId="1B2B5B62" w14:textId="77777777" w:rsidR="00494B49" w:rsidRDefault="00494B49">
      <w:pPr>
        <w:pStyle w:val="BListitembul"/>
      </w:pPr>
      <w:r>
        <w:t>Ordering and tracing rules pertaining to capital loss carryovers.</w:t>
      </w:r>
      <w:r>
        <w:rPr>
          <w:rStyle w:val="FootnoteReference"/>
        </w:rPr>
        <w:footnoteReference w:id="43"/>
      </w:r>
    </w:p>
    <w:p w14:paraId="695D7F90" w14:textId="77777777" w:rsidR="00494B49" w:rsidRDefault="00494B49">
      <w:pPr>
        <w:pStyle w:val="BListitembul"/>
      </w:pPr>
      <w:r>
        <w:t xml:space="preserve">Net investment income tax characterization of income and deductions attributable to: </w:t>
      </w:r>
    </w:p>
    <w:p w14:paraId="42F3A3A9" w14:textId="77777777" w:rsidR="00494B49" w:rsidRDefault="00494B49">
      <w:pPr>
        <w:pStyle w:val="BListitemorig"/>
      </w:pPr>
      <w:r>
        <w:t>o Investments in common trust funds (CTFs);</w:t>
      </w:r>
      <w:r>
        <w:rPr>
          <w:rStyle w:val="FootnoteReference"/>
        </w:rPr>
        <w:footnoteReference w:id="44"/>
      </w:r>
      <w:r>
        <w:t xml:space="preserve"> </w:t>
      </w:r>
    </w:p>
    <w:p w14:paraId="17DA56E6" w14:textId="77777777" w:rsidR="00494B49" w:rsidRDefault="00494B49">
      <w:pPr>
        <w:pStyle w:val="BListitemorig"/>
      </w:pPr>
      <w:r>
        <w:lastRenderedPageBreak/>
        <w:t>o Section 707(c) guaranteed payments for capital;</w:t>
      </w:r>
      <w:r>
        <w:rPr>
          <w:rStyle w:val="FootnoteReference"/>
        </w:rPr>
        <w:footnoteReference w:id="45"/>
      </w:r>
      <w:r>
        <w:t xml:space="preserve"> </w:t>
      </w:r>
    </w:p>
    <w:p w14:paraId="2E447A7D" w14:textId="77777777" w:rsidR="00494B49" w:rsidRDefault="00494B49">
      <w:pPr>
        <w:pStyle w:val="BListitemorig"/>
      </w:pPr>
      <w:r>
        <w:t>o Section 736 payments to retiring or deceased partners;</w:t>
      </w:r>
      <w:r>
        <w:rPr>
          <w:rStyle w:val="FootnoteReference"/>
        </w:rPr>
        <w:footnoteReference w:id="46"/>
      </w:r>
      <w:r>
        <w:t xml:space="preserve"> </w:t>
      </w:r>
    </w:p>
    <w:p w14:paraId="141BEB73" w14:textId="77777777" w:rsidR="00494B49" w:rsidRDefault="00494B49">
      <w:pPr>
        <w:pStyle w:val="BListitemorig"/>
      </w:pPr>
      <w:r>
        <w:t>o Residual interests in real estate mortgage investment conduits (REMICs);</w:t>
      </w:r>
      <w:r>
        <w:rPr>
          <w:rStyle w:val="FootnoteReference"/>
        </w:rPr>
        <w:footnoteReference w:id="47"/>
      </w:r>
      <w:r>
        <w:t xml:space="preserve"> and </w:t>
      </w:r>
    </w:p>
    <w:p w14:paraId="0E244CAF" w14:textId="77777777" w:rsidR="00494B49" w:rsidRDefault="00494B49">
      <w:pPr>
        <w:pStyle w:val="BListitemorig"/>
      </w:pPr>
      <w:r>
        <w:t>o Certain notional principal contracts (NPCs) not included in the 2013 Final Regulations;</w:t>
      </w:r>
      <w:r>
        <w:rPr>
          <w:rStyle w:val="FootnoteReference"/>
        </w:rPr>
        <w:footnoteReference w:id="48"/>
      </w:r>
      <w:r>
        <w:t xml:space="preserve"> </w:t>
      </w:r>
    </w:p>
    <w:p w14:paraId="219E8801" w14:textId="77777777" w:rsidR="00494B49" w:rsidRDefault="00494B49">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49"/>
      </w:r>
    </w:p>
    <w:p w14:paraId="59D44B34" w14:textId="77777777" w:rsidR="00494B49" w:rsidRDefault="00494B49">
      <w:pPr>
        <w:pStyle w:val="BHead2"/>
      </w:pPr>
      <w:r>
        <w:t>3. IRS.gov Frequently Asked Questions</w:t>
      </w:r>
    </w:p>
    <w:p w14:paraId="4055F69D" w14:textId="77777777" w:rsidR="00494B49" w:rsidRDefault="00494B49">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0"/>
      </w:r>
      <w:r>
        <w:t xml:space="preserve"> After the 2013 Final Regulations and 2013 Proposed Regulations were issued, the FAQs were slightly updated. </w:t>
      </w:r>
    </w:p>
    <w:p w14:paraId="3CE2AE04" w14:textId="77777777" w:rsidR="00494B49" w:rsidRDefault="00494B49">
      <w:pPr>
        <w:pStyle w:val="BHead2"/>
      </w:pPr>
      <w:r>
        <w:t>4. Effective Dates and Taxpayer Reliance</w:t>
      </w:r>
    </w:p>
    <w:p w14:paraId="5F3AA625" w14:textId="77777777" w:rsidR="00494B49" w:rsidRDefault="00494B49">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1"/>
      </w:r>
    </w:p>
    <w:p w14:paraId="6804B959" w14:textId="77777777" w:rsidR="00494B49" w:rsidRDefault="00494B49">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w:t>
      </w:r>
      <w:r>
        <w:lastRenderedPageBreak/>
        <w:t xml:space="preserve">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2"/>
      </w:r>
      <w:r>
        <w:t xml:space="preserve"> or </w:t>
      </w:r>
      <w:smartTag w:uri="http://www.bna.com/sgml2word/cite" w:element="cite.agency.doc">
        <w:smartTagPr>
          <w:attr w:name="ref" w:val="irs\nprm\REG-130843-13"/>
        </w:smartTagPr>
        <w:r>
          <w:t>REG-130843-13</w:t>
        </w:r>
      </w:smartTag>
      <w:r>
        <w:rPr>
          <w:rStyle w:val="FootnoteReference"/>
        </w:rPr>
        <w:footnoteReference w:id="53"/>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4"/>
      </w:r>
    </w:p>
    <w:p w14:paraId="1847785B" w14:textId="77777777" w:rsidR="00494B49" w:rsidRDefault="00494B49">
      <w:pPr>
        <w:pStyle w:val="BChapterName"/>
      </w:pPr>
      <w:r>
        <w:t>II. General Operating Principles</w:t>
      </w:r>
    </w:p>
    <w:p w14:paraId="08E0F98D" w14:textId="77777777" w:rsidR="00494B49" w:rsidRDefault="00494B49">
      <w:pPr>
        <w:pStyle w:val="BHead1"/>
      </w:pPr>
      <w:r>
        <w:t>A. Chapter 1 Principles in Chapter 2A</w:t>
      </w:r>
    </w:p>
    <w:p w14:paraId="39D25C6E" w14:textId="77777777" w:rsidR="00494B49" w:rsidRDefault="00494B49">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5630C95E" w14:textId="77777777" w:rsidR="00494B49" w:rsidRDefault="00494B49">
      <w:pPr>
        <w:pStyle w:val="BNormal"/>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 </w:t>
      </w:r>
      <w:r>
        <w:b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8A9FA16" w14:textId="77777777" w:rsidR="00494B49" w:rsidRDefault="00494B49">
      <w:pPr>
        <w:pStyle w:val="BHead1"/>
      </w:pPr>
      <w:r>
        <w:t>B. Tax Credits</w:t>
      </w:r>
    </w:p>
    <w:p w14:paraId="1BEBD6CA" w14:textId="77777777" w:rsidR="00494B49" w:rsidRDefault="00494B49">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5"/>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6"/>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respectively, are </w:t>
      </w:r>
      <w:r>
        <w:lastRenderedPageBreak/>
        <w:t>not allowed as a credit against the NIIT.</w:t>
      </w:r>
      <w:r>
        <w:rPr>
          <w:rStyle w:val="FootnoteReference"/>
        </w:rPr>
        <w:footnoteReference w:id="57"/>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419BD115" w14:textId="77777777" w:rsidR="00494B49" w:rsidRDefault="00494B49">
      <w:pPr>
        <w:pStyle w:val="BNormal"/>
      </w:pPr>
      <w:r>
        <w:t xml:space="preserve">One of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contains a </w:t>
      </w:r>
      <w:proofErr w:type="spellStart"/>
      <w:r>
        <w:t>nonexhaustive</w:t>
      </w:r>
      <w:proofErr w:type="spellEnd"/>
      <w:r>
        <w:t xml:space="preserve"> list of tax credits and their NIIT creditability. Note, however, that even if a credit is creditable against the NIIT based on the statutory language, it might not be allowable for other reasons.</w:t>
      </w:r>
      <w:r>
        <w:rPr>
          <w:rStyle w:val="FootnoteReference"/>
        </w:rPr>
        <w:footnoteReference w:id="58"/>
      </w:r>
    </w:p>
    <w:p w14:paraId="11B0FA55" w14:textId="77777777" w:rsidR="00494B49" w:rsidRDefault="00494B49">
      <w:pPr>
        <w:pStyle w:val="BHead1"/>
      </w:pPr>
      <w:r>
        <w:t>C. Definitions</w:t>
      </w:r>
    </w:p>
    <w:p w14:paraId="4D805157" w14:textId="77777777" w:rsidR="00494B49" w:rsidRDefault="00494B49">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EBD54DD" w14:textId="77777777" w:rsidR="00494B49" w:rsidRDefault="00494B49">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w:t>
        </w:r>
        <w:proofErr w:type="spellStart"/>
        <w:r>
          <w:t>i</w:t>
        </w:r>
        <w:proofErr w:type="spellEnd"/>
        <w:r>
          <w:t>)</w:t>
        </w:r>
      </w:smartTag>
      <w:r>
        <w:t xml:space="preserve"> (the first step in the computation of net investment income), including:</w:t>
      </w:r>
    </w:p>
    <w:p w14:paraId="506D8F74" w14:textId="77777777" w:rsidR="00494B49" w:rsidRDefault="00494B49">
      <w:pPr>
        <w:pStyle w:val="BListitembul"/>
      </w:pPr>
      <w:r>
        <w:t>“Gross income from interest,”</w:t>
      </w:r>
      <w:r>
        <w:rPr>
          <w:rStyle w:val="FootnoteReference"/>
        </w:rPr>
        <w:footnoteReference w:id="59"/>
      </w:r>
    </w:p>
    <w:p w14:paraId="162547EF" w14:textId="77777777" w:rsidR="00494B49" w:rsidRDefault="00494B49">
      <w:pPr>
        <w:pStyle w:val="BListitembul"/>
      </w:pPr>
      <w:r>
        <w:t>“Gross income from dividends,”</w:t>
      </w:r>
      <w:r>
        <w:rPr>
          <w:rStyle w:val="FootnoteReference"/>
        </w:rPr>
        <w:footnoteReference w:id="60"/>
      </w:r>
    </w:p>
    <w:p w14:paraId="2F4559CB" w14:textId="77777777" w:rsidR="00494B49" w:rsidRDefault="00494B49">
      <w:pPr>
        <w:pStyle w:val="BListitembul"/>
      </w:pPr>
      <w:r>
        <w:t>“Gross income from annuities,”</w:t>
      </w:r>
      <w:r>
        <w:rPr>
          <w:rStyle w:val="FootnoteReference"/>
        </w:rPr>
        <w:footnoteReference w:id="61"/>
      </w:r>
    </w:p>
    <w:p w14:paraId="12927C8B" w14:textId="77777777" w:rsidR="00494B49" w:rsidRDefault="00494B49">
      <w:pPr>
        <w:pStyle w:val="BListitembul"/>
      </w:pPr>
      <w:r>
        <w:t>“Gross income from royalties,”</w:t>
      </w:r>
      <w:r>
        <w:rPr>
          <w:rStyle w:val="FootnoteReference"/>
        </w:rPr>
        <w:footnoteReference w:id="62"/>
      </w:r>
    </w:p>
    <w:p w14:paraId="18C09207" w14:textId="77777777" w:rsidR="00494B49" w:rsidRDefault="00494B49">
      <w:pPr>
        <w:pStyle w:val="BListitembul"/>
      </w:pPr>
      <w:r>
        <w:t>“Gross income from rents,”</w:t>
      </w:r>
      <w:r>
        <w:rPr>
          <w:rStyle w:val="FootnoteReference"/>
        </w:rPr>
        <w:footnoteReference w:id="63"/>
      </w:r>
      <w:r>
        <w:t xml:space="preserve"> and</w:t>
      </w:r>
    </w:p>
    <w:p w14:paraId="2EAECC7E" w14:textId="77777777" w:rsidR="00494B49" w:rsidRDefault="00494B49">
      <w:pPr>
        <w:pStyle w:val="BListitembul"/>
      </w:pPr>
      <w:r>
        <w:t>“Trade or Business.”</w:t>
      </w:r>
      <w:r>
        <w:rPr>
          <w:rStyle w:val="FootnoteReference"/>
        </w:rPr>
        <w:footnoteReference w:id="64"/>
      </w:r>
    </w:p>
    <w:p w14:paraId="02E7CF39" w14:textId="77777777" w:rsidR="00494B49" w:rsidRDefault="00494B49">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2058232" w14:textId="77777777" w:rsidR="00494B49" w:rsidRDefault="00494B49">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5"/>
      </w:r>
      <w:r>
        <w:t xml:space="preserve"> and “excluded income,”</w:t>
      </w:r>
      <w:r>
        <w:rPr>
          <w:rStyle w:val="FootnoteReference"/>
        </w:rPr>
        <w:footnoteReference w:id="66"/>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78606C63" w14:textId="77777777" w:rsidR="00494B49" w:rsidRDefault="00494B49" w:rsidP="006951DA">
      <w:pPr>
        <w:pStyle w:val="BHead2"/>
        <w:keepNext/>
        <w:keepLines/>
      </w:pPr>
      <w:r>
        <w:lastRenderedPageBreak/>
        <w:t xml:space="preserve">1. Net Investment Income </w:t>
      </w:r>
    </w:p>
    <w:p w14:paraId="262B19F6" w14:textId="77777777" w:rsidR="00494B49" w:rsidRDefault="00494B49" w:rsidP="006951DA">
      <w:pPr>
        <w:pStyle w:val="BNormal"/>
        <w:keepNext/>
        <w:keepLines/>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7"/>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5E8FBFEB" w14:textId="77777777" w:rsidR="00494B49" w:rsidRDefault="00494B49">
      <w:pPr>
        <w:pStyle w:val="BNormal"/>
      </w:pPr>
      <w:r>
        <w:rPr>
          <w:i/>
        </w:rPr>
        <w:t>Comment:</w:t>
      </w:r>
      <w:r>
        <w:t xml:space="preserve"> Net investment income logically seems to be a positive number, similar to the common understanding of taxable income.</w:t>
      </w:r>
      <w:r>
        <w:rPr>
          <w:rStyle w:val="FootnoteReference"/>
        </w:rPr>
        <w:footnoteReference w:id="68"/>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69"/>
      </w:r>
    </w:p>
    <w:p w14:paraId="4BC27423" w14:textId="77777777" w:rsidR="00494B49" w:rsidRDefault="00494B49">
      <w:pPr>
        <w:pStyle w:val="BHead2"/>
      </w:pPr>
      <w:r>
        <w:t xml:space="preserve">2. Excluded Income </w:t>
      </w:r>
    </w:p>
    <w:p w14:paraId="7DEE2D6A" w14:textId="77777777" w:rsidR="00494B49" w:rsidRDefault="00494B49">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35513F62" w14:textId="77777777" w:rsidR="00494B49" w:rsidRDefault="00494B49">
      <w:pPr>
        <w:pStyle w:val="BListitembul"/>
      </w:pPr>
      <w:r>
        <w:t xml:space="preserve">Items of income excluded from gross income in Chapter 1. </w:t>
      </w:r>
    </w:p>
    <w:p w14:paraId="08F96075" w14:textId="77777777" w:rsidR="00494B49" w:rsidRDefault="00494B49">
      <w:pPr>
        <w:pStyle w:val="BListitembul"/>
      </w:pPr>
      <w:r>
        <w:t xml:space="preserve">Items of income not included in net investment income, as determined under Reg. §1.1411-4 and §1.1411-10. </w:t>
      </w:r>
    </w:p>
    <w:p w14:paraId="61F6116A" w14:textId="77777777" w:rsidR="00494B49" w:rsidRDefault="00494B49">
      <w:pPr>
        <w:pStyle w:val="BListitembul"/>
      </w:pPr>
      <w:r>
        <w:t xml:space="preserve">Items of gross income and net gain specifically excluded from net investment income by §1411, the §1411 regulations, or other guidance published in the Internal Revenue Bulletin. </w:t>
      </w:r>
    </w:p>
    <w:p w14:paraId="3806F017" w14:textId="77777777" w:rsidR="00494B49" w:rsidRDefault="00494B49">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D35815C" w14:textId="77777777" w:rsidR="00494B49" w:rsidRDefault="00494B49">
      <w:pPr>
        <w:pStyle w:val="BHead1"/>
      </w:pPr>
      <w:r>
        <w:t>D. Trades or Businesses to Which the NIIT Applies</w:t>
      </w:r>
    </w:p>
    <w:p w14:paraId="08B0B2EB" w14:textId="77777777" w:rsidR="00494B49" w:rsidRDefault="00494B49">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7DCC84A9" w14:textId="77777777" w:rsidR="00494B49" w:rsidRDefault="00494B49">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w:t>
      </w:r>
      <w:r>
        <w:lastRenderedPageBreak/>
        <w:t xml:space="preserve">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0"/>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1"/>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2"/>
      </w:r>
    </w:p>
    <w:p w14:paraId="2A0A3671" w14:textId="77777777" w:rsidR="00494B49" w:rsidRDefault="00494B49">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64D74804" w14:textId="77777777" w:rsidR="00494B49" w:rsidRDefault="00494B49">
      <w:pPr>
        <w:pStyle w:val="BHead2"/>
      </w:pPr>
      <w:r>
        <w:t>1. Trade or Business That Is a Passive Activity — §1411(c)(2)(A)</w:t>
      </w:r>
    </w:p>
    <w:p w14:paraId="31F2BFC9" w14:textId="77777777" w:rsidR="00494B49" w:rsidRDefault="00494B49">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3"/>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4"/>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5"/>
      </w:r>
    </w:p>
    <w:p w14:paraId="48B43EF0" w14:textId="77777777" w:rsidR="00494B49" w:rsidRDefault="00494B49">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w:t>
      </w:r>
      <w:r>
        <w:lastRenderedPageBreak/>
        <w:t>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6"/>
      </w:r>
      <w:r>
        <w:t xml:space="preserve"> or (B) gains or losses from the disposition of property.</w:t>
      </w:r>
      <w:r>
        <w:rPr>
          <w:rStyle w:val="FootnoteReference"/>
        </w:rPr>
        <w:footnoteReference w:id="77"/>
      </w:r>
    </w:p>
    <w:p w14:paraId="45DF4A83" w14:textId="77777777" w:rsidR="00494B49" w:rsidRDefault="00494B49">
      <w:pPr>
        <w:pStyle w:val="BHead3"/>
      </w:pPr>
      <w:r>
        <w:t xml:space="preserve">a. Passive Activities Under Section 469 </w:t>
      </w:r>
    </w:p>
    <w:p w14:paraId="223A6ED0" w14:textId="77777777" w:rsidR="00494B49" w:rsidRDefault="00494B49">
      <w:pPr>
        <w:pStyle w:val="BNormal"/>
      </w:pPr>
      <w:r>
        <w:t>For NIIT purposes, a taxpayer must determine whether a trade or business in which the taxpayer owns an interest is a passive activity.</w:t>
      </w:r>
      <w:r>
        <w:rPr>
          <w:rStyle w:val="FootnoteReference"/>
        </w:rPr>
        <w:footnoteReference w:id="78"/>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36B9F8A1" w14:textId="77777777" w:rsidR="00494B49" w:rsidRDefault="00494B49">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79"/>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178414E1" w14:textId="77777777" w:rsidR="00494B49" w:rsidRDefault="00494B49">
      <w:pPr>
        <w:pStyle w:val="BHead3"/>
      </w:pPr>
      <w:r>
        <w:t>b. Effect of Section 469 Recharacterization Rules</w:t>
      </w:r>
    </w:p>
    <w:p w14:paraId="4121ADCA" w14:textId="77777777" w:rsidR="00494B49" w:rsidRDefault="00494B49">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415051C" w14:textId="77777777" w:rsidR="00494B49" w:rsidRDefault="00494B49">
      <w:pPr>
        <w:pStyle w:val="BHead4"/>
      </w:pPr>
      <w:r>
        <w:t>(1) Net Income Recharacterization Rules</w:t>
      </w:r>
    </w:p>
    <w:p w14:paraId="7571DE22" w14:textId="77777777" w:rsidR="00494B49" w:rsidRDefault="00494B49">
      <w:pPr>
        <w:pStyle w:val="BNormal"/>
      </w:pPr>
      <w:r>
        <w:t>The passive loss regulations provide special rules that treat income from certain activities as not from a passive activity.</w:t>
      </w:r>
      <w:r>
        <w:rPr>
          <w:rStyle w:val="FootnoteReference"/>
        </w:rPr>
        <w:footnoteReference w:id="80"/>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2C63ABD3" w14:textId="77777777" w:rsidR="00494B49" w:rsidRDefault="00494B49">
      <w:pPr>
        <w:pStyle w:val="BNormal"/>
      </w:pPr>
      <w:r>
        <w:lastRenderedPageBreak/>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6C37FAB" w14:textId="77777777" w:rsidR="00494B49" w:rsidRDefault="00494B49">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1"/>
      </w:r>
      <w:r>
        <w:t xml:space="preserve"> </w:t>
      </w:r>
    </w:p>
    <w:p w14:paraId="15057793" w14:textId="77777777" w:rsidR="00494B49" w:rsidRDefault="00494B49">
      <w:pPr>
        <w:pStyle w:val="BQuotelong"/>
      </w:pPr>
      <w:r>
        <w:t>To the extent income or gain from a trade or business is subject to a net income recharacterization rule relating to —</w:t>
      </w:r>
    </w:p>
    <w:p w14:paraId="0DC8FB93" w14:textId="77777777" w:rsidR="00494B49" w:rsidRDefault="00494B49">
      <w:pPr>
        <w:pStyle w:val="BQuotelong"/>
      </w:pPr>
      <w:r>
        <w:t>• significant participation passive activities,</w:t>
      </w:r>
      <w:r>
        <w:rPr>
          <w:rStyle w:val="FootnoteReference"/>
        </w:rPr>
        <w:footnoteReference w:id="82"/>
      </w:r>
    </w:p>
    <w:p w14:paraId="72680094" w14:textId="77777777" w:rsidR="00494B49" w:rsidRDefault="00494B49">
      <w:pPr>
        <w:pStyle w:val="BQuotelong"/>
      </w:pPr>
      <w:r>
        <w:t>• certain property rented incidental to development activity,</w:t>
      </w:r>
      <w:r>
        <w:rPr>
          <w:rStyle w:val="FootnoteReference"/>
        </w:rPr>
        <w:footnoteReference w:id="83"/>
      </w:r>
      <w:r>
        <w:t xml:space="preserve"> or </w:t>
      </w:r>
    </w:p>
    <w:p w14:paraId="1AEB273A" w14:textId="77777777" w:rsidR="00494B49" w:rsidRDefault="00494B49">
      <w:pPr>
        <w:pStyle w:val="BQuotelong"/>
      </w:pPr>
      <w:r>
        <w:t>• property rented to a nonpassive activity,</w:t>
      </w:r>
      <w:r>
        <w:rPr>
          <w:rStyle w:val="FootnoteReference"/>
        </w:rPr>
        <w:footnoteReference w:id="84"/>
      </w:r>
    </w:p>
    <w:p w14:paraId="4A4CA07B" w14:textId="77777777" w:rsidR="00494B49" w:rsidRDefault="00494B49">
      <w:pPr>
        <w:pStyle w:val="BQuotelong"/>
      </w:pPr>
      <w:r>
        <w:t xml:space="preserve">any gross income or gain recharacterized as “not from a passive activity” will not be considered derived from a passive activity trade or business for NIIT purposes. </w:t>
      </w:r>
    </w:p>
    <w:p w14:paraId="78B5624D" w14:textId="77777777" w:rsidR="00494B49" w:rsidRDefault="00494B49">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5"/>
      </w:r>
      <w:r>
        <w:t xml:space="preserve"> </w:t>
      </w:r>
    </w:p>
    <w:p w14:paraId="61891915" w14:textId="77777777" w:rsidR="00494B49" w:rsidRDefault="00494B49">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6394373C" w14:textId="77777777" w:rsidR="00494B49" w:rsidRDefault="00494B49">
      <w:pPr>
        <w:pStyle w:val="BQuotelong"/>
      </w:pPr>
      <w:r>
        <w:t xml:space="preserve">• rental of </w:t>
      </w:r>
      <w:proofErr w:type="spellStart"/>
      <w:r>
        <w:t>nondepreciable</w:t>
      </w:r>
      <w:proofErr w:type="spellEnd"/>
      <w:r>
        <w:t xml:space="preserve"> property,</w:t>
      </w:r>
      <w:r>
        <w:rPr>
          <w:rStyle w:val="FootnoteReference"/>
        </w:rPr>
        <w:footnoteReference w:id="86"/>
      </w:r>
    </w:p>
    <w:p w14:paraId="4817D542" w14:textId="77777777" w:rsidR="00494B49" w:rsidRDefault="00494B49">
      <w:pPr>
        <w:pStyle w:val="BQuotelong"/>
      </w:pPr>
      <w:r>
        <w:t>• net interest income from passive equity-financed lending activity,</w:t>
      </w:r>
      <w:r>
        <w:rPr>
          <w:rStyle w:val="FootnoteReference"/>
        </w:rPr>
        <w:footnoteReference w:id="87"/>
      </w:r>
      <w:r>
        <w:t xml:space="preserve"> or </w:t>
      </w:r>
    </w:p>
    <w:p w14:paraId="555D245C" w14:textId="77777777" w:rsidR="00494B49" w:rsidRDefault="00494B49">
      <w:pPr>
        <w:pStyle w:val="BQuotelong"/>
      </w:pPr>
      <w:r>
        <w:t>• passthrough entities engaged in the trade or business of licensing intangible property,</w:t>
      </w:r>
      <w:r>
        <w:rPr>
          <w:rStyle w:val="FootnoteReference"/>
        </w:rPr>
        <w:footnoteReference w:id="88"/>
      </w:r>
    </w:p>
    <w:p w14:paraId="7148C006" w14:textId="77777777" w:rsidR="00494B49" w:rsidRDefault="00494B49">
      <w:pPr>
        <w:pStyle w:val="BQuotelong"/>
      </w:pPr>
      <w:r>
        <w:t xml:space="preserve">the underlying trade or business remains a passive activity for NIIT purposes. </w:t>
      </w:r>
    </w:p>
    <w:p w14:paraId="0EFBA7E2" w14:textId="77777777" w:rsidR="00494B49" w:rsidRDefault="00494B49">
      <w:pPr>
        <w:pStyle w:val="BNormal"/>
      </w:pPr>
      <w:r>
        <w:rPr>
          <w:i/>
        </w:rPr>
        <w:t>Comment:</w:t>
      </w:r>
      <w:r>
        <w:t xml:space="preserve"> The NIIT treatment of significant participation passive activities (SPPAs)</w:t>
      </w:r>
      <w:r>
        <w:rPr>
          <w:rStyle w:val="FootnoteReference"/>
        </w:rPr>
        <w:footnoteReference w:id="89"/>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lastRenderedPageBreak/>
          <w:t>§1.469-2T(f)(2)(ii)</w:t>
        </w:r>
      </w:smartTag>
      <w:r>
        <w:t xml:space="preserve"> defines an SPPA as “any trade or business activity</w:t>
      </w:r>
      <w:r>
        <w:rPr>
          <w:rStyle w:val="FootnoteReference"/>
        </w:rPr>
        <w:footnoteReference w:id="90"/>
      </w:r>
      <w:r>
        <w:t xml:space="preserve"> in which the taxpayer significantly participates</w:t>
      </w:r>
      <w:r>
        <w:rPr>
          <w:rStyle w:val="FootnoteReference"/>
        </w:rPr>
        <w:footnoteReference w:id="91"/>
      </w:r>
      <w:r>
        <w:t xml:space="preserve"> for the tax year but in which the taxpayer does not materially participate</w:t>
      </w:r>
      <w:r>
        <w:rPr>
          <w:rStyle w:val="FootnoteReference"/>
        </w:rPr>
        <w:footnoteReference w:id="92"/>
      </w:r>
      <w:r>
        <w:t xml:space="preserve"> for such year.”</w:t>
      </w:r>
      <w:r>
        <w:rPr>
          <w:rStyle w:val="FootnoteReference"/>
        </w:rPr>
        <w:footnoteReference w:id="93"/>
      </w:r>
      <w:r>
        <w:t xml:space="preserve"> For an individual to significantly participate, but not materially participate, the individual must participate in the activity for more than 100 hours</w:t>
      </w:r>
      <w:r>
        <w:rPr>
          <w:rStyle w:val="FootnoteReference"/>
        </w:rPr>
        <w:footnoteReference w:id="94"/>
      </w:r>
      <w:r>
        <w:t xml:space="preserve"> but fewer than 500 hours during the year.</w:t>
      </w:r>
      <w:r>
        <w:rPr>
          <w:rStyle w:val="FootnoteReference"/>
        </w:rPr>
        <w:footnoteReference w:id="95"/>
      </w:r>
      <w:r>
        <w:t xml:space="preserve"> As a result of this rule, an individual need only to participate 100 hours in a trade or business activity for the net income (or gain) to be excluded from net investment income. </w:t>
      </w:r>
    </w:p>
    <w:p w14:paraId="67644CC2" w14:textId="77777777" w:rsidR="00494B49" w:rsidRDefault="00494B49" w:rsidP="006951DA">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6"/>
      </w:r>
      <w:r>
        <w:t xml:space="preserve"> For example, assume an individual has a single SPPA that has a loss in the first year and net income in the second year as follows: </w:t>
      </w:r>
    </w:p>
    <w:p w14:paraId="0DE1AF82" w14:textId="77777777" w:rsidR="00494B49" w:rsidRDefault="00494B49" w:rsidP="006951DA">
      <w:pPr>
        <w:pStyle w:val="BNormal"/>
      </w:pPr>
    </w:p>
    <w:tbl>
      <w:tblPr>
        <w:tblStyle w:val="TableGrid"/>
        <w:tblW w:w="0" w:type="auto"/>
        <w:tblLook w:val="04A0" w:firstRow="1" w:lastRow="0" w:firstColumn="1" w:lastColumn="0" w:noHBand="0" w:noVBand="1"/>
      </w:tblPr>
      <w:tblGrid>
        <w:gridCol w:w="3159"/>
        <w:gridCol w:w="3101"/>
        <w:gridCol w:w="3090"/>
      </w:tblGrid>
      <w:tr w:rsidR="00494B49" w14:paraId="08852DD1" w14:textId="77777777">
        <w:tc>
          <w:tcPr>
            <w:tcW w:w="3360" w:type="dxa"/>
          </w:tcPr>
          <w:p w14:paraId="2616B976" w14:textId="77777777" w:rsidR="00494B49" w:rsidRDefault="00494B49">
            <w:r>
              <w:t>EXAMPLE 1</w:t>
            </w:r>
          </w:p>
        </w:tc>
        <w:tc>
          <w:tcPr>
            <w:tcW w:w="3360" w:type="dxa"/>
          </w:tcPr>
          <w:p w14:paraId="50D5B64A" w14:textId="77777777" w:rsidR="00494B49" w:rsidRDefault="00494B49">
            <w:r>
              <w:t>Year 1</w:t>
            </w:r>
          </w:p>
        </w:tc>
        <w:tc>
          <w:tcPr>
            <w:tcW w:w="3360" w:type="dxa"/>
          </w:tcPr>
          <w:p w14:paraId="31BF073B" w14:textId="77777777" w:rsidR="00494B49" w:rsidRDefault="00494B49">
            <w:r>
              <w:t>Year 2</w:t>
            </w:r>
          </w:p>
        </w:tc>
      </w:tr>
      <w:tr w:rsidR="00494B49" w14:paraId="6CD84FA1" w14:textId="77777777">
        <w:tc>
          <w:tcPr>
            <w:tcW w:w="3360" w:type="dxa"/>
          </w:tcPr>
          <w:p w14:paraId="783B540F" w14:textId="77777777" w:rsidR="00494B49" w:rsidRDefault="00494B49">
            <w:r>
              <w:t>Gross Passive Income</w:t>
            </w:r>
          </w:p>
        </w:tc>
        <w:tc>
          <w:tcPr>
            <w:tcW w:w="3360" w:type="dxa"/>
          </w:tcPr>
          <w:p w14:paraId="1714B8F1" w14:textId="77777777" w:rsidR="00494B49" w:rsidRDefault="00494B49">
            <w:r>
              <w:t>$10,000</w:t>
            </w:r>
          </w:p>
        </w:tc>
        <w:tc>
          <w:tcPr>
            <w:tcW w:w="3360" w:type="dxa"/>
          </w:tcPr>
          <w:p w14:paraId="1107A1D6" w14:textId="77777777" w:rsidR="00494B49" w:rsidRDefault="00494B49">
            <w:r>
              <w:t>$10,000</w:t>
            </w:r>
          </w:p>
        </w:tc>
      </w:tr>
      <w:tr w:rsidR="00494B49" w14:paraId="3343E75C" w14:textId="77777777">
        <w:tc>
          <w:tcPr>
            <w:tcW w:w="3360" w:type="dxa"/>
          </w:tcPr>
          <w:p w14:paraId="4173B8DE" w14:textId="77777777" w:rsidR="00494B49" w:rsidRDefault="00494B49">
            <w:r>
              <w:t>Passive Deductions</w:t>
            </w:r>
          </w:p>
        </w:tc>
        <w:tc>
          <w:tcPr>
            <w:tcW w:w="3360" w:type="dxa"/>
          </w:tcPr>
          <w:p w14:paraId="0F87ED59" w14:textId="77777777" w:rsidR="00494B49" w:rsidRDefault="00494B49">
            <w:r>
              <w:t>($11,000)</w:t>
            </w:r>
          </w:p>
        </w:tc>
        <w:tc>
          <w:tcPr>
            <w:tcW w:w="3360" w:type="dxa"/>
          </w:tcPr>
          <w:p w14:paraId="6CA93ADB" w14:textId="77777777" w:rsidR="00494B49" w:rsidRDefault="00494B49">
            <w:r>
              <w:t>($7,000)</w:t>
            </w:r>
          </w:p>
        </w:tc>
      </w:tr>
      <w:tr w:rsidR="00494B49" w14:paraId="2EB967D0" w14:textId="77777777">
        <w:tc>
          <w:tcPr>
            <w:tcW w:w="3360" w:type="dxa"/>
          </w:tcPr>
          <w:p w14:paraId="4F0F7B61" w14:textId="77777777" w:rsidR="00494B49" w:rsidRDefault="00494B49">
            <w:r>
              <w:t>Suspended Passive Activity Loss</w:t>
            </w:r>
          </w:p>
        </w:tc>
        <w:tc>
          <w:tcPr>
            <w:tcW w:w="3360" w:type="dxa"/>
          </w:tcPr>
          <w:p w14:paraId="1FFD129B" w14:textId="77777777" w:rsidR="00494B49" w:rsidRDefault="00494B49">
            <w:r>
              <w:t>None</w:t>
            </w:r>
          </w:p>
        </w:tc>
        <w:tc>
          <w:tcPr>
            <w:tcW w:w="3360" w:type="dxa"/>
          </w:tcPr>
          <w:p w14:paraId="4ABF7A08" w14:textId="77777777" w:rsidR="00494B49" w:rsidRDefault="00494B49">
            <w:r>
              <w:t>($1,000)</w:t>
            </w:r>
          </w:p>
        </w:tc>
      </w:tr>
      <w:tr w:rsidR="00494B49" w14:paraId="1C2F4D5B" w14:textId="77777777">
        <w:tc>
          <w:tcPr>
            <w:tcW w:w="3360" w:type="dxa"/>
          </w:tcPr>
          <w:p w14:paraId="19D0676A" w14:textId="77777777" w:rsidR="00494B49" w:rsidRDefault="00494B49">
            <w:r>
              <w:t xml:space="preserve">Net Income </w:t>
            </w:r>
          </w:p>
        </w:tc>
        <w:tc>
          <w:tcPr>
            <w:tcW w:w="3360" w:type="dxa"/>
          </w:tcPr>
          <w:p w14:paraId="6B1C009B" w14:textId="77777777" w:rsidR="00494B49" w:rsidRDefault="00494B49">
            <w:r>
              <w:t>($1,000)</w:t>
            </w:r>
          </w:p>
        </w:tc>
        <w:tc>
          <w:tcPr>
            <w:tcW w:w="3360" w:type="dxa"/>
          </w:tcPr>
          <w:p w14:paraId="2C5035DE" w14:textId="77777777" w:rsidR="00494B49" w:rsidRDefault="00494B49">
            <w:r>
              <w:t>$2,000</w:t>
            </w:r>
          </w:p>
        </w:tc>
      </w:tr>
      <w:tr w:rsidR="00494B49" w14:paraId="5480F773" w14:textId="77777777">
        <w:tc>
          <w:tcPr>
            <w:tcW w:w="3360" w:type="dxa"/>
          </w:tcPr>
          <w:p w14:paraId="5DB76F61" w14:textId="77777777" w:rsidR="00494B49" w:rsidRDefault="00494B49"/>
        </w:tc>
        <w:tc>
          <w:tcPr>
            <w:tcW w:w="3360" w:type="dxa"/>
          </w:tcPr>
          <w:p w14:paraId="6138B57A" w14:textId="77777777" w:rsidR="00494B49" w:rsidRDefault="00494B49"/>
        </w:tc>
        <w:tc>
          <w:tcPr>
            <w:tcW w:w="3360" w:type="dxa"/>
          </w:tcPr>
          <w:p w14:paraId="5796EFF9" w14:textId="77777777" w:rsidR="00494B49" w:rsidRDefault="00494B49"/>
        </w:tc>
      </w:tr>
      <w:tr w:rsidR="00494B49" w14:paraId="6E0DEED5" w14:textId="77777777">
        <w:tc>
          <w:tcPr>
            <w:tcW w:w="3360" w:type="dxa"/>
          </w:tcPr>
          <w:p w14:paraId="72A1E85E" w14:textId="77777777" w:rsidR="00494B49" w:rsidRDefault="00494B49">
            <w:r>
              <w:t>Passive Loss Disallowed</w:t>
            </w:r>
          </w:p>
        </w:tc>
        <w:tc>
          <w:tcPr>
            <w:tcW w:w="3360" w:type="dxa"/>
          </w:tcPr>
          <w:p w14:paraId="485C4613" w14:textId="77777777" w:rsidR="00494B49" w:rsidRDefault="00494B49">
            <w:r>
              <w:t>($1,000)</w:t>
            </w:r>
          </w:p>
        </w:tc>
        <w:tc>
          <w:tcPr>
            <w:tcW w:w="3360" w:type="dxa"/>
          </w:tcPr>
          <w:p w14:paraId="16F91E59" w14:textId="77777777" w:rsidR="00494B49" w:rsidRDefault="00494B49">
            <w:r>
              <w:t>None</w:t>
            </w:r>
          </w:p>
        </w:tc>
      </w:tr>
      <w:tr w:rsidR="00494B49" w14:paraId="76ACD9C9" w14:textId="77777777">
        <w:tc>
          <w:tcPr>
            <w:tcW w:w="3360" w:type="dxa"/>
          </w:tcPr>
          <w:p w14:paraId="27904B8E" w14:textId="77777777" w:rsidR="00494B49" w:rsidRDefault="00494B49">
            <w:r>
              <w:t xml:space="preserve">Net Income Recharacterized as </w:t>
            </w:r>
            <w:r>
              <w:br/>
              <w:t>Nonpassive</w:t>
            </w:r>
          </w:p>
        </w:tc>
        <w:tc>
          <w:tcPr>
            <w:tcW w:w="3360" w:type="dxa"/>
          </w:tcPr>
          <w:p w14:paraId="65AF48E5" w14:textId="77777777" w:rsidR="00494B49" w:rsidRDefault="00494B49"/>
        </w:tc>
        <w:tc>
          <w:tcPr>
            <w:tcW w:w="3360" w:type="dxa"/>
          </w:tcPr>
          <w:p w14:paraId="108C6FE2" w14:textId="77777777" w:rsidR="00494B49" w:rsidRDefault="00494B49">
            <w:r>
              <w:t>$2,000</w:t>
            </w:r>
          </w:p>
        </w:tc>
      </w:tr>
      <w:tr w:rsidR="00494B49" w14:paraId="7206262B" w14:textId="77777777">
        <w:tc>
          <w:tcPr>
            <w:tcW w:w="3360" w:type="dxa"/>
          </w:tcPr>
          <w:p w14:paraId="602BE60F" w14:textId="77777777" w:rsidR="00494B49" w:rsidRDefault="00494B49"/>
        </w:tc>
        <w:tc>
          <w:tcPr>
            <w:tcW w:w="3360" w:type="dxa"/>
          </w:tcPr>
          <w:p w14:paraId="0F25B8FA" w14:textId="77777777" w:rsidR="00494B49" w:rsidRDefault="00494B49"/>
        </w:tc>
        <w:tc>
          <w:tcPr>
            <w:tcW w:w="3360" w:type="dxa"/>
          </w:tcPr>
          <w:p w14:paraId="3535F509" w14:textId="77777777" w:rsidR="00494B49" w:rsidRDefault="00494B49"/>
        </w:tc>
      </w:tr>
      <w:tr w:rsidR="00494B49" w14:paraId="170282CC" w14:textId="77777777">
        <w:tc>
          <w:tcPr>
            <w:tcW w:w="3360" w:type="dxa"/>
          </w:tcPr>
          <w:p w14:paraId="70F33FE5" w14:textId="77777777" w:rsidR="00494B49" w:rsidRDefault="00494B49">
            <w:r>
              <w:t>Amount of Net Income / (Loss) Included in Adjusted Gross Income</w:t>
            </w:r>
          </w:p>
        </w:tc>
        <w:tc>
          <w:tcPr>
            <w:tcW w:w="3360" w:type="dxa"/>
          </w:tcPr>
          <w:p w14:paraId="3EE73332" w14:textId="77777777" w:rsidR="00494B49" w:rsidRDefault="00494B49">
            <w:r>
              <w:t>$0</w:t>
            </w:r>
          </w:p>
        </w:tc>
        <w:tc>
          <w:tcPr>
            <w:tcW w:w="3360" w:type="dxa"/>
          </w:tcPr>
          <w:p w14:paraId="46A3DA82" w14:textId="77777777" w:rsidR="00494B49" w:rsidRDefault="00494B49">
            <w:r>
              <w:t>$2,000</w:t>
            </w:r>
          </w:p>
        </w:tc>
      </w:tr>
      <w:tr w:rsidR="00494B49" w14:paraId="768C768A" w14:textId="77777777">
        <w:tc>
          <w:tcPr>
            <w:tcW w:w="3360" w:type="dxa"/>
          </w:tcPr>
          <w:p w14:paraId="56609038" w14:textId="77777777" w:rsidR="00494B49" w:rsidRDefault="00494B49">
            <w:r>
              <w:t xml:space="preserve">Amount of Net Income / (Loss) Included in Net Investment Income </w:t>
            </w:r>
          </w:p>
        </w:tc>
        <w:tc>
          <w:tcPr>
            <w:tcW w:w="3360" w:type="dxa"/>
          </w:tcPr>
          <w:p w14:paraId="51899274" w14:textId="77777777" w:rsidR="00494B49" w:rsidRDefault="00494B49">
            <w:r>
              <w:t>$0</w:t>
            </w:r>
          </w:p>
        </w:tc>
        <w:tc>
          <w:tcPr>
            <w:tcW w:w="3360" w:type="dxa"/>
          </w:tcPr>
          <w:p w14:paraId="25C44B60" w14:textId="77777777" w:rsidR="00494B49" w:rsidRDefault="00494B49">
            <w:r>
              <w:t>$0</w:t>
            </w:r>
          </w:p>
        </w:tc>
      </w:tr>
    </w:tbl>
    <w:p w14:paraId="05AC9614" w14:textId="77777777" w:rsidR="00494B49" w:rsidRDefault="00494B49">
      <w:pPr>
        <w:pStyle w:val="BNormal"/>
      </w:pPr>
    </w:p>
    <w:p w14:paraId="4906402D" w14:textId="77777777" w:rsidR="00494B49" w:rsidRDefault="00494B49">
      <w:pPr>
        <w:pStyle w:val="BNormal"/>
      </w:pPr>
      <w:r>
        <w:t>The net income from the SPPA in Year 2 is recharacterized before any netting of passive losses from other activities.</w:t>
      </w:r>
      <w:r>
        <w:rPr>
          <w:rStyle w:val="FootnoteReference"/>
        </w:rPr>
        <w:footnoteReference w:id="97"/>
      </w:r>
    </w:p>
    <w:p w14:paraId="0FD8E00F" w14:textId="77777777" w:rsidR="00494B49" w:rsidRDefault="00494B49" w:rsidP="006951DA">
      <w:pPr>
        <w:pStyle w:val="BNormal"/>
      </w:pPr>
      <w:r>
        <w:lastRenderedPageBreak/>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0E184D89" w14:textId="77777777" w:rsidR="00494B49" w:rsidRDefault="00494B49" w:rsidP="006951DA">
      <w:pPr>
        <w:pStyle w:val="BNormal"/>
      </w:pPr>
    </w:p>
    <w:tbl>
      <w:tblPr>
        <w:tblStyle w:val="TableGrid"/>
        <w:tblW w:w="9351" w:type="dxa"/>
        <w:tblLook w:val="04A0" w:firstRow="1" w:lastRow="0" w:firstColumn="1" w:lastColumn="0" w:noHBand="0" w:noVBand="1"/>
      </w:tblPr>
      <w:tblGrid>
        <w:gridCol w:w="2381"/>
        <w:gridCol w:w="2100"/>
        <w:gridCol w:w="2050"/>
        <w:gridCol w:w="1410"/>
        <w:gridCol w:w="1410"/>
      </w:tblGrid>
      <w:tr w:rsidR="00D13D21" w14:paraId="1A70CA9F" w14:textId="725BD4FD" w:rsidTr="00D13D21">
        <w:tc>
          <w:tcPr>
            <w:tcW w:w="2381" w:type="dxa"/>
          </w:tcPr>
          <w:p w14:paraId="55632914" w14:textId="77777777" w:rsidR="00494B49" w:rsidRDefault="00494B49">
            <w:r>
              <w:t>EXAMPLE 2</w:t>
            </w:r>
          </w:p>
        </w:tc>
        <w:tc>
          <w:tcPr>
            <w:tcW w:w="2100" w:type="dxa"/>
          </w:tcPr>
          <w:p w14:paraId="582BD9D4" w14:textId="77777777" w:rsidR="00494B49" w:rsidRDefault="00494B49">
            <w:r>
              <w:t>Year 1</w:t>
            </w:r>
          </w:p>
        </w:tc>
        <w:tc>
          <w:tcPr>
            <w:tcW w:w="2050" w:type="dxa"/>
          </w:tcPr>
          <w:p w14:paraId="255073A2" w14:textId="77777777" w:rsidR="00494B49" w:rsidRDefault="00494B49">
            <w:r>
              <w:t>Year 2</w:t>
            </w:r>
          </w:p>
        </w:tc>
        <w:tc>
          <w:tcPr>
            <w:tcW w:w="1410" w:type="dxa"/>
            <w:shd w:val="clear" w:color="auto" w:fill="auto"/>
          </w:tcPr>
          <w:p w14:paraId="59718082" w14:textId="77777777" w:rsidR="00D13D21" w:rsidRDefault="00D13D21"/>
        </w:tc>
        <w:tc>
          <w:tcPr>
            <w:tcW w:w="1410" w:type="dxa"/>
            <w:shd w:val="clear" w:color="auto" w:fill="auto"/>
          </w:tcPr>
          <w:p w14:paraId="4806DEFA" w14:textId="77777777" w:rsidR="00D13D21" w:rsidRDefault="00D13D21"/>
        </w:tc>
      </w:tr>
      <w:tr w:rsidR="00494B49" w14:paraId="5FE78CE1" w14:textId="77777777" w:rsidTr="00D13D21">
        <w:tc>
          <w:tcPr>
            <w:tcW w:w="2381" w:type="dxa"/>
          </w:tcPr>
          <w:p w14:paraId="7419F526" w14:textId="77777777" w:rsidR="00494B49" w:rsidRDefault="00494B49"/>
        </w:tc>
        <w:tc>
          <w:tcPr>
            <w:tcW w:w="2100" w:type="dxa"/>
          </w:tcPr>
          <w:p w14:paraId="22DEA645" w14:textId="77777777" w:rsidR="00494B49" w:rsidRDefault="00494B49">
            <w:r>
              <w:t>SPPA</w:t>
            </w:r>
          </w:p>
        </w:tc>
        <w:tc>
          <w:tcPr>
            <w:tcW w:w="2050" w:type="dxa"/>
          </w:tcPr>
          <w:p w14:paraId="529D7B75" w14:textId="77777777" w:rsidR="00494B49" w:rsidRDefault="00494B49">
            <w:r>
              <w:t>Other Passive</w:t>
            </w:r>
          </w:p>
        </w:tc>
        <w:tc>
          <w:tcPr>
            <w:tcW w:w="1410" w:type="dxa"/>
          </w:tcPr>
          <w:p w14:paraId="7E9621E6" w14:textId="77777777" w:rsidR="00494B49" w:rsidRDefault="00494B49">
            <w:r>
              <w:t>SPPA</w:t>
            </w:r>
          </w:p>
        </w:tc>
        <w:tc>
          <w:tcPr>
            <w:tcW w:w="1410" w:type="dxa"/>
          </w:tcPr>
          <w:p w14:paraId="609F720F" w14:textId="77777777" w:rsidR="00494B49" w:rsidRDefault="00494B49">
            <w:r>
              <w:t>Other Passive</w:t>
            </w:r>
          </w:p>
        </w:tc>
      </w:tr>
      <w:tr w:rsidR="00494B49" w14:paraId="5BED0E3E" w14:textId="77777777" w:rsidTr="00D13D21">
        <w:tc>
          <w:tcPr>
            <w:tcW w:w="2381" w:type="dxa"/>
          </w:tcPr>
          <w:p w14:paraId="51146F00" w14:textId="77777777" w:rsidR="00494B49" w:rsidRDefault="00494B49">
            <w:r>
              <w:t>Gross Passive Income</w:t>
            </w:r>
          </w:p>
        </w:tc>
        <w:tc>
          <w:tcPr>
            <w:tcW w:w="2100" w:type="dxa"/>
          </w:tcPr>
          <w:p w14:paraId="17F335FC" w14:textId="77777777" w:rsidR="00494B49" w:rsidRDefault="00494B49">
            <w:r>
              <w:t>$10,000</w:t>
            </w:r>
          </w:p>
        </w:tc>
        <w:tc>
          <w:tcPr>
            <w:tcW w:w="2050" w:type="dxa"/>
          </w:tcPr>
          <w:p w14:paraId="686AB5FF" w14:textId="77777777" w:rsidR="00494B49" w:rsidRDefault="00494B49">
            <w:r>
              <w:t>$5,000</w:t>
            </w:r>
          </w:p>
        </w:tc>
        <w:tc>
          <w:tcPr>
            <w:tcW w:w="1410" w:type="dxa"/>
          </w:tcPr>
          <w:p w14:paraId="60D4F357" w14:textId="77777777" w:rsidR="00494B49" w:rsidRDefault="00494B49">
            <w:r>
              <w:t>$10,000</w:t>
            </w:r>
          </w:p>
        </w:tc>
        <w:tc>
          <w:tcPr>
            <w:tcW w:w="1410" w:type="dxa"/>
          </w:tcPr>
          <w:p w14:paraId="64884C89" w14:textId="77777777" w:rsidR="00494B49" w:rsidRDefault="00494B49">
            <w:r>
              <w:t>$4,000</w:t>
            </w:r>
          </w:p>
        </w:tc>
      </w:tr>
      <w:tr w:rsidR="00494B49" w14:paraId="02140EA5" w14:textId="77777777" w:rsidTr="00D13D21">
        <w:tc>
          <w:tcPr>
            <w:tcW w:w="2381" w:type="dxa"/>
          </w:tcPr>
          <w:p w14:paraId="30483EA2" w14:textId="77777777" w:rsidR="00494B49" w:rsidRDefault="00494B49">
            <w:r>
              <w:t>Passive Deductions</w:t>
            </w:r>
          </w:p>
        </w:tc>
        <w:tc>
          <w:tcPr>
            <w:tcW w:w="2100" w:type="dxa"/>
          </w:tcPr>
          <w:p w14:paraId="5E97AC15" w14:textId="77777777" w:rsidR="00494B49" w:rsidRDefault="00494B49">
            <w:r>
              <w:t>($11,000)</w:t>
            </w:r>
          </w:p>
        </w:tc>
        <w:tc>
          <w:tcPr>
            <w:tcW w:w="2050" w:type="dxa"/>
          </w:tcPr>
          <w:p w14:paraId="7BB19CA8" w14:textId="77777777" w:rsidR="00494B49" w:rsidRDefault="00494B49">
            <w:r>
              <w:t>($4,000)</w:t>
            </w:r>
          </w:p>
        </w:tc>
        <w:tc>
          <w:tcPr>
            <w:tcW w:w="1410" w:type="dxa"/>
          </w:tcPr>
          <w:p w14:paraId="67D3E2F9" w14:textId="77777777" w:rsidR="00494B49" w:rsidRDefault="00494B49">
            <w:r>
              <w:t>($7,000)</w:t>
            </w:r>
          </w:p>
        </w:tc>
        <w:tc>
          <w:tcPr>
            <w:tcW w:w="1410" w:type="dxa"/>
          </w:tcPr>
          <w:p w14:paraId="46B753BB" w14:textId="77777777" w:rsidR="00494B49" w:rsidRDefault="00494B49">
            <w:r>
              <w:t>($4,000)</w:t>
            </w:r>
          </w:p>
        </w:tc>
      </w:tr>
      <w:tr w:rsidR="00494B49" w14:paraId="622D900C" w14:textId="77777777" w:rsidTr="00D13D21">
        <w:tc>
          <w:tcPr>
            <w:tcW w:w="2381" w:type="dxa"/>
          </w:tcPr>
          <w:p w14:paraId="56827E05" w14:textId="77777777" w:rsidR="00494B49" w:rsidRDefault="00494B49">
            <w:r>
              <w:t>Suspended Passive Activity Loss</w:t>
            </w:r>
          </w:p>
        </w:tc>
        <w:tc>
          <w:tcPr>
            <w:tcW w:w="2100" w:type="dxa"/>
          </w:tcPr>
          <w:p w14:paraId="67297ADB" w14:textId="77777777" w:rsidR="00494B49" w:rsidRDefault="00494B49">
            <w:r>
              <w:t>None</w:t>
            </w:r>
          </w:p>
        </w:tc>
        <w:tc>
          <w:tcPr>
            <w:tcW w:w="2050" w:type="dxa"/>
          </w:tcPr>
          <w:p w14:paraId="3D5B09C3" w14:textId="77777777" w:rsidR="00494B49" w:rsidRDefault="00494B49">
            <w:r>
              <w:t>None</w:t>
            </w:r>
          </w:p>
        </w:tc>
        <w:tc>
          <w:tcPr>
            <w:tcW w:w="1410" w:type="dxa"/>
          </w:tcPr>
          <w:p w14:paraId="68924E63" w14:textId="77777777" w:rsidR="00494B49" w:rsidRDefault="00494B49">
            <w:r>
              <w:t>None</w:t>
            </w:r>
          </w:p>
        </w:tc>
        <w:tc>
          <w:tcPr>
            <w:tcW w:w="1410" w:type="dxa"/>
          </w:tcPr>
          <w:p w14:paraId="4FD60FEB" w14:textId="77777777" w:rsidR="00494B49" w:rsidRDefault="00494B49">
            <w:r>
              <w:t>None</w:t>
            </w:r>
          </w:p>
        </w:tc>
      </w:tr>
      <w:tr w:rsidR="00494B49" w14:paraId="6C8D69EC" w14:textId="77777777" w:rsidTr="00D13D21">
        <w:tc>
          <w:tcPr>
            <w:tcW w:w="2381" w:type="dxa"/>
          </w:tcPr>
          <w:p w14:paraId="08FC08DC" w14:textId="77777777" w:rsidR="00494B49" w:rsidRDefault="00494B49">
            <w:r>
              <w:t xml:space="preserve">Net Income </w:t>
            </w:r>
          </w:p>
        </w:tc>
        <w:tc>
          <w:tcPr>
            <w:tcW w:w="2100" w:type="dxa"/>
          </w:tcPr>
          <w:p w14:paraId="47EC93FF" w14:textId="77777777" w:rsidR="00494B49" w:rsidRDefault="00494B49">
            <w:r>
              <w:t>($1,000)</w:t>
            </w:r>
          </w:p>
        </w:tc>
        <w:tc>
          <w:tcPr>
            <w:tcW w:w="2050" w:type="dxa"/>
          </w:tcPr>
          <w:p w14:paraId="59F680B1" w14:textId="77777777" w:rsidR="00494B49" w:rsidRDefault="00494B49">
            <w:r>
              <w:t>$1,000</w:t>
            </w:r>
          </w:p>
        </w:tc>
        <w:tc>
          <w:tcPr>
            <w:tcW w:w="1410" w:type="dxa"/>
          </w:tcPr>
          <w:p w14:paraId="60B3E515" w14:textId="77777777" w:rsidR="00494B49" w:rsidRDefault="00494B49">
            <w:r>
              <w:t>$3,000</w:t>
            </w:r>
          </w:p>
        </w:tc>
        <w:tc>
          <w:tcPr>
            <w:tcW w:w="1410" w:type="dxa"/>
          </w:tcPr>
          <w:p w14:paraId="70684E36" w14:textId="77777777" w:rsidR="00494B49" w:rsidRDefault="00494B49">
            <w:r>
              <w:t>$0</w:t>
            </w:r>
          </w:p>
        </w:tc>
      </w:tr>
      <w:tr w:rsidR="00494B49" w14:paraId="63C773FF" w14:textId="77777777" w:rsidTr="00D13D21">
        <w:tc>
          <w:tcPr>
            <w:tcW w:w="2381" w:type="dxa"/>
          </w:tcPr>
          <w:p w14:paraId="082569C4" w14:textId="77777777" w:rsidR="00494B49" w:rsidRDefault="00494B49"/>
        </w:tc>
        <w:tc>
          <w:tcPr>
            <w:tcW w:w="2100" w:type="dxa"/>
          </w:tcPr>
          <w:p w14:paraId="1E572E64" w14:textId="77777777" w:rsidR="00494B49" w:rsidRDefault="00494B49"/>
        </w:tc>
        <w:tc>
          <w:tcPr>
            <w:tcW w:w="2050" w:type="dxa"/>
          </w:tcPr>
          <w:p w14:paraId="119B6FEC" w14:textId="77777777" w:rsidR="00494B49" w:rsidRDefault="00494B49"/>
        </w:tc>
        <w:tc>
          <w:tcPr>
            <w:tcW w:w="1410" w:type="dxa"/>
          </w:tcPr>
          <w:p w14:paraId="1321700D" w14:textId="77777777" w:rsidR="00494B49" w:rsidRDefault="00494B49"/>
        </w:tc>
        <w:tc>
          <w:tcPr>
            <w:tcW w:w="1410" w:type="dxa"/>
          </w:tcPr>
          <w:p w14:paraId="04D468DC" w14:textId="77777777" w:rsidR="00494B49" w:rsidRDefault="00494B49"/>
        </w:tc>
      </w:tr>
      <w:tr w:rsidR="00494B49" w14:paraId="7E46E888" w14:textId="77777777" w:rsidTr="00D13D21">
        <w:tc>
          <w:tcPr>
            <w:tcW w:w="2381" w:type="dxa"/>
          </w:tcPr>
          <w:p w14:paraId="75B9E0B0" w14:textId="77777777" w:rsidR="00494B49" w:rsidRDefault="00494B49">
            <w:r>
              <w:t>Passive Loss Disallowed</w:t>
            </w:r>
          </w:p>
        </w:tc>
        <w:tc>
          <w:tcPr>
            <w:tcW w:w="2100" w:type="dxa"/>
          </w:tcPr>
          <w:p w14:paraId="76EDC515" w14:textId="77777777" w:rsidR="00494B49" w:rsidRDefault="00494B49">
            <w:r>
              <w:t>None</w:t>
            </w:r>
          </w:p>
        </w:tc>
        <w:tc>
          <w:tcPr>
            <w:tcW w:w="2050" w:type="dxa"/>
          </w:tcPr>
          <w:p w14:paraId="1AAEAE4B" w14:textId="77777777" w:rsidR="00494B49" w:rsidRDefault="00494B49">
            <w:r>
              <w:t>N/A</w:t>
            </w:r>
          </w:p>
        </w:tc>
        <w:tc>
          <w:tcPr>
            <w:tcW w:w="1410" w:type="dxa"/>
          </w:tcPr>
          <w:p w14:paraId="3A6129DF" w14:textId="77777777" w:rsidR="00494B49" w:rsidRDefault="00494B49">
            <w:r>
              <w:t>None</w:t>
            </w:r>
          </w:p>
        </w:tc>
        <w:tc>
          <w:tcPr>
            <w:tcW w:w="1410" w:type="dxa"/>
          </w:tcPr>
          <w:p w14:paraId="3C901373" w14:textId="77777777" w:rsidR="00494B49" w:rsidRDefault="00494B49">
            <w:r>
              <w:t>None</w:t>
            </w:r>
          </w:p>
        </w:tc>
      </w:tr>
      <w:tr w:rsidR="00494B49" w14:paraId="23680EE0" w14:textId="77777777" w:rsidTr="00D13D21">
        <w:tc>
          <w:tcPr>
            <w:tcW w:w="2381" w:type="dxa"/>
          </w:tcPr>
          <w:p w14:paraId="0153ADBC" w14:textId="77777777" w:rsidR="00494B49" w:rsidRDefault="00494B49">
            <w:r>
              <w:t>Net Income Recharacterized as Nonpassive</w:t>
            </w:r>
          </w:p>
        </w:tc>
        <w:tc>
          <w:tcPr>
            <w:tcW w:w="2100" w:type="dxa"/>
          </w:tcPr>
          <w:p w14:paraId="023CB062" w14:textId="77777777" w:rsidR="00494B49" w:rsidRDefault="00494B49">
            <w:r>
              <w:t>None</w:t>
            </w:r>
          </w:p>
        </w:tc>
        <w:tc>
          <w:tcPr>
            <w:tcW w:w="2050" w:type="dxa"/>
          </w:tcPr>
          <w:p w14:paraId="6D476416" w14:textId="77777777" w:rsidR="00494B49" w:rsidRDefault="00494B49">
            <w:r>
              <w:t>N/A</w:t>
            </w:r>
          </w:p>
        </w:tc>
        <w:tc>
          <w:tcPr>
            <w:tcW w:w="1410" w:type="dxa"/>
          </w:tcPr>
          <w:p w14:paraId="66D78614" w14:textId="77777777" w:rsidR="00494B49" w:rsidRDefault="00494B49">
            <w:r>
              <w:t>$3,000</w:t>
            </w:r>
          </w:p>
        </w:tc>
        <w:tc>
          <w:tcPr>
            <w:tcW w:w="1410" w:type="dxa"/>
          </w:tcPr>
          <w:p w14:paraId="753F95F0" w14:textId="77777777" w:rsidR="00494B49" w:rsidRDefault="00494B49">
            <w:r>
              <w:t>N/A</w:t>
            </w:r>
          </w:p>
        </w:tc>
      </w:tr>
      <w:tr w:rsidR="00494B49" w14:paraId="6FBDD749" w14:textId="77777777" w:rsidTr="00D13D21">
        <w:tc>
          <w:tcPr>
            <w:tcW w:w="2381" w:type="dxa"/>
          </w:tcPr>
          <w:p w14:paraId="6A0F766C" w14:textId="77777777" w:rsidR="00494B49" w:rsidRDefault="00494B49"/>
        </w:tc>
        <w:tc>
          <w:tcPr>
            <w:tcW w:w="2100" w:type="dxa"/>
          </w:tcPr>
          <w:p w14:paraId="6E3EFF46" w14:textId="77777777" w:rsidR="00494B49" w:rsidRDefault="00494B49"/>
        </w:tc>
        <w:tc>
          <w:tcPr>
            <w:tcW w:w="2050" w:type="dxa"/>
          </w:tcPr>
          <w:p w14:paraId="01D40BCE" w14:textId="77777777" w:rsidR="00494B49" w:rsidRDefault="00494B49"/>
        </w:tc>
        <w:tc>
          <w:tcPr>
            <w:tcW w:w="1410" w:type="dxa"/>
          </w:tcPr>
          <w:p w14:paraId="3ED59C8D" w14:textId="77777777" w:rsidR="00494B49" w:rsidRDefault="00494B49"/>
        </w:tc>
        <w:tc>
          <w:tcPr>
            <w:tcW w:w="1410" w:type="dxa"/>
          </w:tcPr>
          <w:p w14:paraId="23E3A857" w14:textId="77777777" w:rsidR="00494B49" w:rsidRDefault="00494B49"/>
        </w:tc>
      </w:tr>
      <w:tr w:rsidR="00D13D21" w14:paraId="12A08067" w14:textId="1A4CAB1A" w:rsidTr="00D13D21">
        <w:tc>
          <w:tcPr>
            <w:tcW w:w="2381" w:type="dxa"/>
          </w:tcPr>
          <w:p w14:paraId="60F908DF" w14:textId="77777777" w:rsidR="00494B49" w:rsidRDefault="00494B49">
            <w:r>
              <w:t>Amount of Net Income / (Loss) Included in Adjusted Gross Income</w:t>
            </w:r>
          </w:p>
        </w:tc>
        <w:tc>
          <w:tcPr>
            <w:tcW w:w="2100" w:type="dxa"/>
          </w:tcPr>
          <w:p w14:paraId="4CD64EDE" w14:textId="77777777" w:rsidR="00494B49" w:rsidRDefault="00494B49">
            <w:r>
              <w:t>$0</w:t>
            </w:r>
          </w:p>
        </w:tc>
        <w:tc>
          <w:tcPr>
            <w:tcW w:w="2050" w:type="dxa"/>
          </w:tcPr>
          <w:p w14:paraId="549C7E27" w14:textId="77777777" w:rsidR="00494B49" w:rsidRDefault="00494B49">
            <w:r>
              <w:t>$3,000</w:t>
            </w:r>
          </w:p>
        </w:tc>
        <w:tc>
          <w:tcPr>
            <w:tcW w:w="1410" w:type="dxa"/>
            <w:shd w:val="clear" w:color="auto" w:fill="auto"/>
          </w:tcPr>
          <w:p w14:paraId="36273C9A" w14:textId="77777777" w:rsidR="00D13D21" w:rsidRDefault="00D13D21"/>
        </w:tc>
        <w:tc>
          <w:tcPr>
            <w:tcW w:w="1410" w:type="dxa"/>
            <w:shd w:val="clear" w:color="auto" w:fill="auto"/>
          </w:tcPr>
          <w:p w14:paraId="0A4CBF0B" w14:textId="77777777" w:rsidR="00D13D21" w:rsidRDefault="00D13D21"/>
        </w:tc>
      </w:tr>
      <w:tr w:rsidR="00D13D21" w14:paraId="7D3D4FA8" w14:textId="5A32F679" w:rsidTr="00D13D21">
        <w:tc>
          <w:tcPr>
            <w:tcW w:w="2381" w:type="dxa"/>
          </w:tcPr>
          <w:p w14:paraId="326AA7EA" w14:textId="77777777" w:rsidR="00494B49" w:rsidRDefault="00494B49">
            <w:r>
              <w:t xml:space="preserve">Amount of Net Income / (Loss) Included in Net Investment Income </w:t>
            </w:r>
          </w:p>
        </w:tc>
        <w:tc>
          <w:tcPr>
            <w:tcW w:w="2100" w:type="dxa"/>
          </w:tcPr>
          <w:p w14:paraId="40B89433" w14:textId="77777777" w:rsidR="00494B49" w:rsidRDefault="00494B49">
            <w:r>
              <w:t>$0</w:t>
            </w:r>
          </w:p>
        </w:tc>
        <w:tc>
          <w:tcPr>
            <w:tcW w:w="2050" w:type="dxa"/>
          </w:tcPr>
          <w:p w14:paraId="041A3A5A" w14:textId="77777777" w:rsidR="00494B49" w:rsidRDefault="00494B49">
            <w:r>
              <w:t>$0</w:t>
            </w:r>
          </w:p>
        </w:tc>
        <w:tc>
          <w:tcPr>
            <w:tcW w:w="1410" w:type="dxa"/>
            <w:shd w:val="clear" w:color="auto" w:fill="auto"/>
          </w:tcPr>
          <w:p w14:paraId="510F7CC8" w14:textId="77777777" w:rsidR="00D13D21" w:rsidRDefault="00D13D21"/>
        </w:tc>
        <w:tc>
          <w:tcPr>
            <w:tcW w:w="1410" w:type="dxa"/>
            <w:shd w:val="clear" w:color="auto" w:fill="auto"/>
          </w:tcPr>
          <w:p w14:paraId="7026566C" w14:textId="77777777" w:rsidR="00D13D21" w:rsidRDefault="00D13D21"/>
        </w:tc>
      </w:tr>
    </w:tbl>
    <w:p w14:paraId="3425CC61" w14:textId="77777777" w:rsidR="00494B49" w:rsidRDefault="00494B49">
      <w:pPr>
        <w:pStyle w:val="BNormal"/>
      </w:pPr>
    </w:p>
    <w:p w14:paraId="291E71E4" w14:textId="77777777" w:rsidR="00494B49" w:rsidRDefault="00494B49">
      <w:pPr>
        <w:pStyle w:val="BNormal"/>
      </w:pPr>
      <w:r>
        <w:t>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8"/>
      </w:r>
    </w:p>
    <w:p w14:paraId="10040AB4" w14:textId="77777777" w:rsidR="00494B49" w:rsidRDefault="00494B49">
      <w:pPr>
        <w:pStyle w:val="BHead4"/>
      </w:pPr>
      <w:r>
        <w:t>(2) Substantially Appreciated Property</w:t>
      </w:r>
    </w:p>
    <w:p w14:paraId="061B4AD3" w14:textId="77777777" w:rsidR="00494B49" w:rsidRDefault="00494B49">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6012334D" w14:textId="77777777" w:rsidR="00494B49" w:rsidRDefault="00494B49">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w:t>
        </w:r>
        <w:r>
          <w:lastRenderedPageBreak/>
          <w:t>2(c)(2)(iii)(F)</w:t>
        </w:r>
      </w:smartTag>
      <w:r>
        <w:t>.</w:t>
      </w:r>
      <w:r>
        <w:rPr>
          <w:rStyle w:val="FootnoteReference"/>
        </w:rPr>
        <w:footnoteReference w:id="99"/>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0"/>
      </w:r>
    </w:p>
    <w:p w14:paraId="35470915" w14:textId="77777777" w:rsidR="00494B49" w:rsidRDefault="00494B49">
      <w:pPr>
        <w:pStyle w:val="BHead4"/>
      </w:pPr>
      <w:r>
        <w:t>(3) Activity Recharacterization Rules</w:t>
      </w:r>
    </w:p>
    <w:p w14:paraId="01344AFE"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1"/>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4E2D9604" w14:textId="77777777" w:rsidR="00494B49" w:rsidRDefault="00494B49">
      <w:pPr>
        <w:pStyle w:val="BHead3"/>
      </w:pPr>
      <w:r>
        <w:t>c. Regrouping</w:t>
      </w:r>
    </w:p>
    <w:p w14:paraId="45E0E395" w14:textId="77777777" w:rsidR="00494B49" w:rsidRDefault="00494B49">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2"/>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t>Rev. Proc. 2010-13</w:t>
        </w:r>
      </w:smartTag>
      <w:r>
        <w:rPr>
          <w:rStyle w:val="FootnoteReference"/>
        </w:rPr>
        <w:footnoteReference w:id="103"/>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4"/>
      </w:r>
    </w:p>
    <w:p w14:paraId="5F879F0C" w14:textId="77777777" w:rsidR="00494B49" w:rsidRDefault="00494B49">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5"/>
      </w:r>
      <w:r>
        <w:t xml:space="preserve"> For this purpose, the determination in the preceding sentence is made without regard to the effect of the regrouping.</w:t>
      </w:r>
      <w:r>
        <w:rPr>
          <w:rStyle w:val="FootnoteReference"/>
        </w:rPr>
        <w:footnoteReference w:id="106"/>
      </w:r>
      <w:r>
        <w:t xml:space="preserve"> A taxpayer may regroup his or her activities once, and any such regrouping applies to the tax year for which the regrouping is made and all subsequent years. </w:t>
      </w:r>
    </w:p>
    <w:p w14:paraId="70ED79FB" w14:textId="77777777" w:rsidR="00494B49" w:rsidRDefault="00494B49">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7"/>
      </w:r>
      <w:r>
        <w:t xml:space="preserve"> However, if a taxpayer regroups on an original return (or previously amended return) under these rules, and </w:t>
      </w:r>
      <w:r>
        <w:lastRenderedPageBreak/>
        <w:t>subsequently determines that the taxpayer is not subject to NIIT in that year, the regrouping is void in that year and all subsequent years until a valid regrouping is done.</w:t>
      </w:r>
      <w:r>
        <w:rPr>
          <w:rStyle w:val="FootnoteReference"/>
        </w:rPr>
        <w:footnoteReference w:id="108"/>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09"/>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0"/>
      </w:r>
    </w:p>
    <w:p w14:paraId="616D7E3A" w14:textId="77777777" w:rsidR="00494B49" w:rsidRDefault="00494B49">
      <w:pPr>
        <w:pStyle w:val="BHead3"/>
      </w:pPr>
      <w:r>
        <w:t>d. Trade or Business of Rental Real Estate</w:t>
      </w:r>
    </w:p>
    <w:p w14:paraId="40907493" w14:textId="77777777" w:rsidR="00494B49" w:rsidRDefault="00494B49">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00D50EC3" w14:textId="77777777" w:rsidR="00494B49" w:rsidRDefault="00494B49">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will still constitute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w:t>
      </w:r>
      <w:smartTag w:uri="http://www.bna.com/sgml2word/cite" w:element="cite.cfr">
        <w:smartTagPr>
          <w:attr w:name="ref" w:val="cfr\26\1.1411-4(a)(1)(i)"/>
        </w:smartTagPr>
        <w:r>
          <w:t>§1.1411-4(a)(1)(</w:t>
        </w:r>
        <w:proofErr w:type="spellStart"/>
        <w:r>
          <w:t>i</w:t>
        </w:r>
        <w:proofErr w:type="spellEnd"/>
        <w:r>
          <w:t>)</w:t>
        </w:r>
      </w:smartTag>
      <w:r>
        <w:t xml:space="preserve"> does not require a trade or business. </w:t>
      </w:r>
    </w:p>
    <w:p w14:paraId="08A3FCC6" w14:textId="77777777" w:rsidR="00494B49" w:rsidRDefault="00494B49">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1"/>
      </w:r>
    </w:p>
    <w:p w14:paraId="1624F8AC" w14:textId="77777777" w:rsidR="00494B49" w:rsidRDefault="00494B49">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2"/>
      </w:r>
      <w:r>
        <w:t xml:space="preserve"> As a result, the final regulations modified Example 1 to read: </w:t>
      </w:r>
    </w:p>
    <w:p w14:paraId="23649B11" w14:textId="77777777" w:rsidR="00494B49" w:rsidRDefault="00494B49">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xml:space="preserve">, A’s rental </w:t>
      </w:r>
      <w:r>
        <w:lastRenderedPageBreak/>
        <w:t>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rents are included in the determination of net investment income under </w:t>
      </w:r>
      <w:smartTag w:uri="http://www.bna.com/sgml2word/cite" w:element="cite.cfr">
        <w:smartTagPr>
          <w:attr w:name="ref" w:val="cfr\26\1.1411-4(a)(1)(i)"/>
        </w:smartTagPr>
        <w:r>
          <w:t>§1.1411-4(a)(1)(</w:t>
        </w:r>
        <w:proofErr w:type="spellStart"/>
        <w:r>
          <w:t>i</w:t>
        </w:r>
        <w:proofErr w:type="spellEnd"/>
        <w:r>
          <w:t>)</w:t>
        </w:r>
      </w:smartTag>
      <w:r>
        <w:t xml:space="preserve"> whether or not derived from a trade or business described in paragraph (b)(1) of this section.</w:t>
      </w:r>
      <w:r>
        <w:rPr>
          <w:rStyle w:val="FootnoteReference"/>
        </w:rPr>
        <w:footnoteReference w:id="113"/>
      </w:r>
      <w:r>
        <w:t xml:space="preserve"> </w:t>
      </w:r>
    </w:p>
    <w:p w14:paraId="659D9C53" w14:textId="77777777" w:rsidR="00494B49" w:rsidRDefault="00494B49">
      <w:pPr>
        <w:pStyle w:val="BNormal"/>
      </w:pPr>
      <w:r>
        <w:t>The final regulations included a factual statement: “A is not involved in the activity of the commercial building on a regular and continuous basis, therefore, A’s rental activity does not involve the conduct of a trade or business,” which appeared to appease the public. However, the issue of what constitutes a property rental trade or business remains unclarified.</w:t>
      </w:r>
    </w:p>
    <w:p w14:paraId="6A8306BC" w14:textId="77777777" w:rsidR="00494B49" w:rsidRDefault="00494B49">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3FA65614" w14:textId="77777777" w:rsidR="00494B49" w:rsidRDefault="00494B49">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4"/>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for certain payments made in the context of a trade or business.</w:t>
      </w:r>
      <w:r>
        <w:rPr>
          <w:rStyle w:val="FootnoteReference"/>
        </w:rPr>
        <w:footnoteReference w:id="115"/>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6"/>
      </w:r>
    </w:p>
    <w:p w14:paraId="6B4119CD" w14:textId="77777777" w:rsidR="00494B49" w:rsidRDefault="00494B49">
      <w:pPr>
        <w:pStyle w:val="BHead3"/>
      </w:pPr>
      <w:r>
        <w:t>e. Farming Operations</w:t>
      </w:r>
    </w:p>
    <w:p w14:paraId="3B87B3D3" w14:textId="77777777" w:rsidR="00494B49" w:rsidRDefault="00494B49">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7"/>
      </w:r>
      <w:r>
        <w:t xml:space="preserve"> Therefore, in order for the net income or loss from the farming </w:t>
      </w:r>
      <w:r>
        <w:lastRenderedPageBreak/>
        <w:t xml:space="preserve">operation to be included in net investment income, the farming operation must be a passive trade or business, and the income or loss must not be taken into account in computing net earnings from self-employment or NESE. </w:t>
      </w:r>
    </w:p>
    <w:p w14:paraId="600A8449" w14:textId="77777777" w:rsidR="00494B49" w:rsidRDefault="00494B49">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0E81CE2C" w14:textId="77777777" w:rsidR="00494B49" w:rsidRDefault="00494B49">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8"/>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materially participating only if </w:t>
      </w:r>
      <w:smartTag w:uri="http://www.bna.com/sgml2word/cite" w:element="cite.usc">
        <w:smartTagPr>
          <w:attr w:name="ref" w:val="USC\26\2032A(b)(4)"/>
        </w:smartTagPr>
        <w:r>
          <w:t>§2032A(b)(4)</w:t>
        </w:r>
      </w:smartTag>
      <w:r>
        <w:rPr>
          <w:rStyle w:val="FootnoteReference"/>
        </w:rPr>
        <w:footnoteReference w:id="119"/>
      </w:r>
      <w:r>
        <w:t xml:space="preserve"> or </w:t>
      </w:r>
      <w:smartTag w:uri="http://www.bna.com/sgml2word/cite" w:element="cite.usc">
        <w:smartTagPr>
          <w:attr w:name="ref" w:val="USC\26\2032A(b)(5)"/>
        </w:smartTagPr>
        <w:r>
          <w:t>§2032A(b)(5)</w:t>
        </w:r>
      </w:smartTag>
      <w:r>
        <w:rPr>
          <w:rStyle w:val="FootnoteReference"/>
        </w:rPr>
        <w:footnoteReference w:id="120"/>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1"/>
      </w:r>
    </w:p>
    <w:p w14:paraId="24CF25CF" w14:textId="77777777" w:rsidR="00494B49" w:rsidRDefault="00494B49">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w:t>
      </w:r>
      <w:r>
        <w:lastRenderedPageBreak/>
        <w:t xml:space="preserve">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39EA360A" w14:textId="77777777" w:rsidR="00494B49" w:rsidRDefault="00494B49">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6927EE2E" w14:textId="77777777" w:rsidR="00494B49" w:rsidRDefault="00494B49">
      <w:pPr>
        <w:pStyle w:val="BNormal"/>
      </w:pPr>
      <w:r>
        <w:t>However, to the extent that the farm ceases operations, the nonpassive status also ceases. For example, to the extent a farmer retires and leases the farm as a going concern (or parcels of land) to another party (i.e., to an entity in which the farmer has no ownership interest), the farm activity has converted from a farming activity to a rental activity.</w:t>
      </w:r>
      <w:r>
        <w:rPr>
          <w:rStyle w:val="FootnoteReference"/>
        </w:rPr>
        <w:footnoteReference w:id="122"/>
      </w:r>
    </w:p>
    <w:p w14:paraId="3BE93EAA" w14:textId="77777777" w:rsidR="00494B49" w:rsidRDefault="00494B49">
      <w:pPr>
        <w:pStyle w:val="BHead2"/>
      </w:pPr>
      <w:r>
        <w:t>2. Trade or Business of Trading in Financial Instruments or Commodities — §1411(c)(2)(B)</w:t>
      </w:r>
    </w:p>
    <w:p w14:paraId="7E15E56F" w14:textId="77777777" w:rsidR="00494B49" w:rsidRDefault="00494B49">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290FBFD2" w14:textId="77777777" w:rsidR="00494B49" w:rsidRDefault="00494B49">
      <w:pPr>
        <w:pStyle w:val="BNormal"/>
      </w:pPr>
      <w:r>
        <w:t>Determining whether trading in financial instruments or commodities rises to the level of a trade or business is a question of fact.</w:t>
      </w:r>
      <w:r>
        <w:rPr>
          <w:rStyle w:val="FootnoteReference"/>
        </w:rPr>
        <w:footnoteReference w:id="123"/>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4"/>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w:t>
      </w:r>
      <w:r>
        <w:lastRenderedPageBreak/>
        <w:t>might be.</w:t>
      </w:r>
      <w:r>
        <w:rPr>
          <w:rStyle w:val="FootnoteReference"/>
        </w:rPr>
        <w:footnoteReference w:id="125"/>
      </w:r>
      <w:r>
        <w:t xml:space="preserve"> Therefore, an investor is not considered to be engaged in a trade or business of investing.</w:t>
      </w:r>
    </w:p>
    <w:p w14:paraId="5C3EB5BA" w14:textId="77777777" w:rsidR="00494B49" w:rsidRDefault="00494B49">
      <w:pPr>
        <w:pStyle w:val="BNormal"/>
      </w:pPr>
      <w:r>
        <w:t>In between dealer and investor lies the trade or business of trading.</w:t>
      </w:r>
      <w:r>
        <w:rPr>
          <w:rStyle w:val="FootnoteReference"/>
        </w:rPr>
        <w:footnoteReference w:id="126"/>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7"/>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8"/>
      </w:r>
    </w:p>
    <w:p w14:paraId="6CCE83A0" w14:textId="77777777" w:rsidR="00494B49" w:rsidRDefault="00494B49">
      <w:pPr>
        <w:pStyle w:val="BHead3"/>
      </w:pPr>
      <w:r>
        <w:t xml:space="preserve">a. Definition of Financial Instruments and </w:t>
      </w:r>
      <w:r>
        <w:br/>
        <w:t>Commodities</w:t>
      </w:r>
    </w:p>
    <w:p w14:paraId="499C6FE9" w14:textId="77777777" w:rsidR="00494B49" w:rsidRDefault="00494B49">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29"/>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117E0EF2" w14:textId="77777777" w:rsidR="00494B49" w:rsidRDefault="00494B49">
      <w:pPr>
        <w:pStyle w:val="BNormal"/>
      </w:pPr>
      <w:r>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0"/>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1"/>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2"/>
      </w:r>
    </w:p>
    <w:p w14:paraId="2C101077" w14:textId="77777777" w:rsidR="00494B49" w:rsidRDefault="00494B49">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 xml:space="preserve">.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w:t>
      </w:r>
      <w:r>
        <w:lastRenderedPageBreak/>
        <w:t>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3"/>
      </w:r>
    </w:p>
    <w:p w14:paraId="7F5461B2" w14:textId="77777777" w:rsidR="00494B49" w:rsidRDefault="00494B49">
      <w:pPr>
        <w:pStyle w:val="BHead3"/>
      </w:pPr>
      <w:r>
        <w:t>b. Interaction with Passive Activities</w:t>
      </w:r>
    </w:p>
    <w:p w14:paraId="6334D9E8"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4"/>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5"/>
      </w:r>
    </w:p>
    <w:p w14:paraId="7D987703" w14:textId="77777777" w:rsidR="00494B49" w:rsidRDefault="00494B49">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and therefore the interest, dividends, and gains would be income from a passive activity. Given this possible outcome, the activity recharacterization deemed the activity to be a nonpassive activity to prevent hedge funds from being passive income generator-type investments.</w:t>
      </w:r>
    </w:p>
    <w:p w14:paraId="5D1AB735" w14:textId="77777777" w:rsidR="00494B49" w:rsidRDefault="00494B49">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6"/>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64F355AD" w14:textId="77777777" w:rsidR="00494B49" w:rsidRDefault="00494B49">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662ABD7D" w14:textId="77777777" w:rsidR="00494B49" w:rsidRDefault="00494B49">
      <w:pPr>
        <w:pStyle w:val="BChapterName"/>
      </w:pPr>
      <w:r>
        <w:t xml:space="preserve">III. “Gross” Net Investment Income — §1411(c)(1)(A) </w:t>
      </w:r>
    </w:p>
    <w:p w14:paraId="10B456FB" w14:textId="77777777" w:rsidR="00494B49" w:rsidRDefault="00494B49">
      <w:pPr>
        <w:pStyle w:val="BHead1"/>
      </w:pPr>
      <w:r>
        <w:t>A. Overview</w:t>
      </w:r>
    </w:p>
    <w:p w14:paraId="7179843E" w14:textId="77777777" w:rsidR="00494B49" w:rsidRDefault="00494B49">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5DD32D0B" w14:textId="77777777" w:rsidR="00494B49" w:rsidRDefault="00494B49">
      <w:pPr>
        <w:pStyle w:val="BListitemorig"/>
      </w:pPr>
      <w:r>
        <w:t xml:space="preserve">(1) gross income from interest, dividends, annuities, royalties, and rents derived </w:t>
      </w:r>
    </w:p>
    <w:p w14:paraId="0973D5D7" w14:textId="77777777" w:rsidR="00494B49" w:rsidRDefault="00494B49">
      <w:pPr>
        <w:pStyle w:val="BListitemorig"/>
      </w:pPr>
      <w:r>
        <w:lastRenderedPageBreak/>
        <w:t xml:space="preserve">(a) in the ordinary course of a trade or business if that trade or business is either a passive activity with respect to the taxpayer or a trade or business of trading in financial instruments or commodities; or </w:t>
      </w:r>
    </w:p>
    <w:p w14:paraId="3BDF6096" w14:textId="77777777" w:rsidR="00494B49" w:rsidRDefault="00494B49">
      <w:pPr>
        <w:pStyle w:val="BListitemorig"/>
      </w:pPr>
      <w:r>
        <w:t>(b) from a for-profit activity that is not a trade or business;</w:t>
      </w:r>
      <w:r>
        <w:rPr>
          <w:rStyle w:val="FootnoteReference"/>
        </w:rPr>
        <w:footnoteReference w:id="137"/>
      </w:r>
    </w:p>
    <w:p w14:paraId="03893F46" w14:textId="77777777" w:rsidR="00494B49" w:rsidRDefault="00494B49">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8"/>
      </w:r>
      <w:r>
        <w:t xml:space="preserve"> and </w:t>
      </w:r>
    </w:p>
    <w:p w14:paraId="434D1FAB" w14:textId="77777777" w:rsidR="00494B49" w:rsidRDefault="00494B49">
      <w:pPr>
        <w:pStyle w:val="BListitemorig"/>
      </w:pPr>
      <w:r>
        <w:t xml:space="preserve">(3) net gain (to the extent taken into account in computing taxable income) from the disposition of property </w:t>
      </w:r>
    </w:p>
    <w:p w14:paraId="00C4C8A7" w14:textId="77777777" w:rsidR="00494B49" w:rsidRDefault="00494B49">
      <w:pPr>
        <w:pStyle w:val="BListitemorig"/>
      </w:pPr>
      <w:r>
        <w:t xml:space="preserve">(a) held in a trade or business if that trade or business is either a passive activity with respect to the taxpayer or a trade or business of trading in financial instruments or commodities; or </w:t>
      </w:r>
    </w:p>
    <w:p w14:paraId="185266DE" w14:textId="77777777" w:rsidR="00494B49" w:rsidRDefault="00494B49">
      <w:pPr>
        <w:pStyle w:val="BListitemorig"/>
      </w:pPr>
      <w:r>
        <w:t>(b) held in a for-profit activity that is not a trade or business.</w:t>
      </w:r>
      <w:r>
        <w:rPr>
          <w:rStyle w:val="FootnoteReference"/>
        </w:rPr>
        <w:footnoteReference w:id="139"/>
      </w:r>
    </w:p>
    <w:p w14:paraId="2C410EF8" w14:textId="77777777" w:rsidR="00494B49" w:rsidRDefault="00494B49">
      <w:pPr>
        <w:pStyle w:val="BNormal"/>
      </w:pPr>
      <w:r>
        <w:t>In addition, all items of gross income and net gain attributable to the investment of working capital are included in net investment income.</w:t>
      </w:r>
      <w:r>
        <w:rPr>
          <w:rStyle w:val="FootnoteReference"/>
        </w:rPr>
        <w:footnoteReference w:id="140"/>
      </w:r>
    </w:p>
    <w:p w14:paraId="56E80789" w14:textId="77777777" w:rsidR="00494B49" w:rsidRDefault="00494B49" w:rsidP="006951DA">
      <w:pPr>
        <w:pStyle w:val="BNormal"/>
      </w:pPr>
      <w:r>
        <w:t xml:space="preserve">The categories of </w:t>
      </w:r>
      <w:smartTag w:uri="http://www.bna.com/sgml2word/cite" w:element="cite.usc">
        <w:smartTagPr>
          <w:attr w:name="ref" w:val="USC\26\1411"/>
        </w:smartTagPr>
        <w:r>
          <w:t>§1411</w:t>
        </w:r>
      </w:smartTag>
      <w:r>
        <w:t xml:space="preserve"> investment income are summarized in this table:</w:t>
      </w:r>
    </w:p>
    <w:p w14:paraId="1E76073F" w14:textId="77777777" w:rsidR="00494B49" w:rsidRDefault="00494B49" w:rsidP="006951DA">
      <w:pPr>
        <w:pStyle w:val="BNormal"/>
      </w:pPr>
    </w:p>
    <w:tbl>
      <w:tblPr>
        <w:tblStyle w:val="TableGrid"/>
        <w:tblW w:w="9351" w:type="dxa"/>
        <w:tblLook w:val="04A0" w:firstRow="1" w:lastRow="0" w:firstColumn="1" w:lastColumn="0" w:noHBand="0" w:noVBand="1"/>
      </w:tblPr>
      <w:tblGrid>
        <w:gridCol w:w="3881"/>
        <w:gridCol w:w="1510"/>
        <w:gridCol w:w="1360"/>
        <w:gridCol w:w="1240"/>
        <w:gridCol w:w="1360"/>
      </w:tblGrid>
      <w:tr w:rsidR="00D13D21" w14:paraId="0747FB6E" w14:textId="79B6C68B" w:rsidTr="00D13D21">
        <w:tc>
          <w:tcPr>
            <w:tcW w:w="3881" w:type="dxa"/>
          </w:tcPr>
          <w:p w14:paraId="3100D068" w14:textId="77777777" w:rsidR="00494B49" w:rsidRDefault="00494B49">
            <w:r>
              <w:t xml:space="preserve"> </w:t>
            </w:r>
            <w:r>
              <w:rPr>
                <w:b/>
              </w:rPr>
              <w:t>Included in Computation of Net Investment Income?</w:t>
            </w:r>
          </w:p>
        </w:tc>
        <w:tc>
          <w:tcPr>
            <w:tcW w:w="1510" w:type="dxa"/>
            <w:shd w:val="clear" w:color="auto" w:fill="auto"/>
          </w:tcPr>
          <w:p w14:paraId="4D100D0A" w14:textId="77777777" w:rsidR="00D13D21" w:rsidRDefault="00D13D21"/>
        </w:tc>
        <w:tc>
          <w:tcPr>
            <w:tcW w:w="1360" w:type="dxa"/>
            <w:shd w:val="clear" w:color="auto" w:fill="auto"/>
          </w:tcPr>
          <w:p w14:paraId="21454088" w14:textId="77777777" w:rsidR="00D13D21" w:rsidRDefault="00D13D21"/>
        </w:tc>
        <w:tc>
          <w:tcPr>
            <w:tcW w:w="1240" w:type="dxa"/>
            <w:shd w:val="clear" w:color="auto" w:fill="auto"/>
          </w:tcPr>
          <w:p w14:paraId="63817D74" w14:textId="77777777" w:rsidR="00D13D21" w:rsidRDefault="00D13D21"/>
        </w:tc>
        <w:tc>
          <w:tcPr>
            <w:tcW w:w="1360" w:type="dxa"/>
            <w:shd w:val="clear" w:color="auto" w:fill="auto"/>
          </w:tcPr>
          <w:p w14:paraId="73EBC8EA" w14:textId="77777777" w:rsidR="00D13D21" w:rsidRDefault="00D13D21"/>
        </w:tc>
      </w:tr>
      <w:tr w:rsidR="00494B49" w14:paraId="79E97653" w14:textId="77777777" w:rsidTr="00D13D21">
        <w:tc>
          <w:tcPr>
            <w:tcW w:w="3881" w:type="dxa"/>
          </w:tcPr>
          <w:p w14:paraId="6F854FAC" w14:textId="77777777" w:rsidR="00494B49" w:rsidRDefault="00494B49"/>
        </w:tc>
        <w:tc>
          <w:tcPr>
            <w:tcW w:w="1510" w:type="dxa"/>
          </w:tcPr>
          <w:p w14:paraId="684E79D6" w14:textId="77777777" w:rsidR="00494B49" w:rsidRDefault="00494B49">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360" w:type="dxa"/>
          </w:tcPr>
          <w:p w14:paraId="25A4E66D" w14:textId="77777777" w:rsidR="00494B49" w:rsidRDefault="00494B49">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40" w:type="dxa"/>
          </w:tcPr>
          <w:p w14:paraId="4228BBB7" w14:textId="77777777" w:rsidR="00494B49" w:rsidRDefault="00494B49">
            <w:r>
              <w:t>Derived from (or held in) a for-profit activity that is not a trade or business</w:t>
            </w:r>
          </w:p>
        </w:tc>
        <w:tc>
          <w:tcPr>
            <w:tcW w:w="1359" w:type="dxa"/>
          </w:tcPr>
          <w:p w14:paraId="2FB62656" w14:textId="77777777" w:rsidR="00494B49" w:rsidRDefault="00494B49">
            <w:r>
              <w:t>Derived from investment of working capital</w:t>
            </w:r>
          </w:p>
        </w:tc>
      </w:tr>
      <w:tr w:rsidR="00494B49" w14:paraId="2BB899E2" w14:textId="77777777" w:rsidTr="00D13D21">
        <w:tc>
          <w:tcPr>
            <w:tcW w:w="3881" w:type="dxa"/>
          </w:tcPr>
          <w:p w14:paraId="0C6D3A21" w14:textId="77777777" w:rsidR="00494B49" w:rsidRDefault="00494B49">
            <w:r>
              <w:t>Interest, Dividends, Annuities, Royalties and Rents</w:t>
            </w:r>
          </w:p>
        </w:tc>
        <w:tc>
          <w:tcPr>
            <w:tcW w:w="1510" w:type="dxa"/>
          </w:tcPr>
          <w:p w14:paraId="555BADB9" w14:textId="77777777" w:rsidR="00494B49" w:rsidRDefault="00494B49">
            <w:r>
              <w:t>YES</w:t>
            </w:r>
          </w:p>
        </w:tc>
        <w:tc>
          <w:tcPr>
            <w:tcW w:w="1360" w:type="dxa"/>
          </w:tcPr>
          <w:p w14:paraId="392472B7" w14:textId="77777777" w:rsidR="00494B49" w:rsidRDefault="00494B49">
            <w:r>
              <w:t>NO</w:t>
            </w:r>
          </w:p>
        </w:tc>
        <w:tc>
          <w:tcPr>
            <w:tcW w:w="1240" w:type="dxa"/>
          </w:tcPr>
          <w:p w14:paraId="4651AE85" w14:textId="77777777" w:rsidR="00494B49" w:rsidRDefault="00494B49">
            <w:r>
              <w:t>YES</w:t>
            </w:r>
          </w:p>
        </w:tc>
        <w:tc>
          <w:tcPr>
            <w:tcW w:w="1359" w:type="dxa"/>
          </w:tcPr>
          <w:p w14:paraId="46A10E91" w14:textId="77777777" w:rsidR="00494B49" w:rsidRDefault="00494B49">
            <w:r>
              <w:t>YES</w:t>
            </w:r>
          </w:p>
        </w:tc>
      </w:tr>
      <w:tr w:rsidR="00494B49" w14:paraId="05FC4CDA" w14:textId="77777777" w:rsidTr="00D13D21">
        <w:tc>
          <w:tcPr>
            <w:tcW w:w="3881" w:type="dxa"/>
          </w:tcPr>
          <w:p w14:paraId="63F43855" w14:textId="77777777" w:rsidR="00494B49" w:rsidRDefault="00494B49">
            <w:r>
              <w:t xml:space="preserve">Gross Income </w:t>
            </w:r>
            <w:r>
              <w:rPr>
                <w:i/>
              </w:rPr>
              <w:t>other than</w:t>
            </w:r>
            <w:r>
              <w:t xml:space="preserve"> Interest, Dividends, Annuities, Royalties and Rents</w:t>
            </w:r>
          </w:p>
        </w:tc>
        <w:tc>
          <w:tcPr>
            <w:tcW w:w="1510" w:type="dxa"/>
          </w:tcPr>
          <w:p w14:paraId="2B220ECA" w14:textId="77777777" w:rsidR="00494B49" w:rsidRDefault="00494B49">
            <w:r>
              <w:t>YES</w:t>
            </w:r>
          </w:p>
        </w:tc>
        <w:tc>
          <w:tcPr>
            <w:tcW w:w="1360" w:type="dxa"/>
          </w:tcPr>
          <w:p w14:paraId="549E232A" w14:textId="77777777" w:rsidR="00494B49" w:rsidRDefault="00494B49">
            <w:r>
              <w:t>NO</w:t>
            </w:r>
          </w:p>
        </w:tc>
        <w:tc>
          <w:tcPr>
            <w:tcW w:w="1240" w:type="dxa"/>
          </w:tcPr>
          <w:p w14:paraId="51B7DC8C" w14:textId="77777777" w:rsidR="00494B49" w:rsidRDefault="00494B49">
            <w:r>
              <w:t>NO</w:t>
            </w:r>
          </w:p>
        </w:tc>
        <w:tc>
          <w:tcPr>
            <w:tcW w:w="1359" w:type="dxa"/>
          </w:tcPr>
          <w:p w14:paraId="1594BBFB" w14:textId="77777777" w:rsidR="00494B49" w:rsidRDefault="00494B49">
            <w:r>
              <w:t>YES</w:t>
            </w:r>
          </w:p>
        </w:tc>
      </w:tr>
      <w:tr w:rsidR="00494B49" w14:paraId="123FAAF0" w14:textId="77777777" w:rsidTr="00D13D21">
        <w:tc>
          <w:tcPr>
            <w:tcW w:w="3881" w:type="dxa"/>
          </w:tcPr>
          <w:p w14:paraId="3B1CF14E" w14:textId="77777777" w:rsidR="00494B49" w:rsidRDefault="00494B49">
            <w:r>
              <w:lastRenderedPageBreak/>
              <w:t>Net Gain (to the extent taken into account in computing taxable income) Attributable to the Disposition of Property</w:t>
            </w:r>
          </w:p>
        </w:tc>
        <w:tc>
          <w:tcPr>
            <w:tcW w:w="1510" w:type="dxa"/>
          </w:tcPr>
          <w:p w14:paraId="60621A52" w14:textId="77777777" w:rsidR="00494B49" w:rsidRDefault="00494B49">
            <w:r>
              <w:t>YES</w:t>
            </w:r>
          </w:p>
        </w:tc>
        <w:tc>
          <w:tcPr>
            <w:tcW w:w="1360" w:type="dxa"/>
          </w:tcPr>
          <w:p w14:paraId="2E98A597" w14:textId="77777777" w:rsidR="00494B49" w:rsidRDefault="00494B49">
            <w:r>
              <w:t>NO</w:t>
            </w:r>
          </w:p>
        </w:tc>
        <w:tc>
          <w:tcPr>
            <w:tcW w:w="1240" w:type="dxa"/>
          </w:tcPr>
          <w:p w14:paraId="3115579D" w14:textId="77777777" w:rsidR="00494B49" w:rsidRDefault="00494B49">
            <w:r>
              <w:t>YES</w:t>
            </w:r>
          </w:p>
        </w:tc>
        <w:tc>
          <w:tcPr>
            <w:tcW w:w="1359" w:type="dxa"/>
          </w:tcPr>
          <w:p w14:paraId="1ACEFFFF" w14:textId="77777777" w:rsidR="00494B49" w:rsidRDefault="00494B49">
            <w:r>
              <w:t>YES</w:t>
            </w:r>
          </w:p>
        </w:tc>
      </w:tr>
    </w:tbl>
    <w:p w14:paraId="2F8D6FBD" w14:textId="77777777" w:rsidR="00494B49" w:rsidRDefault="00494B49">
      <w:pPr>
        <w:pStyle w:val="BNormal"/>
      </w:pPr>
    </w:p>
    <w:p w14:paraId="60046220" w14:textId="77777777" w:rsidR="00494B49" w:rsidRDefault="00494B49">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1"/>
      </w:r>
    </w:p>
    <w:p w14:paraId="233555DF" w14:textId="77777777" w:rsidR="00494B49" w:rsidRDefault="00494B49">
      <w:pPr>
        <w:pStyle w:val="BHead1"/>
      </w:pPr>
      <w:r>
        <w:t>B. Interest, Dividends, Annuities, Royalties and Rents — §1411(c)(1)(A)(</w:t>
      </w:r>
      <w:proofErr w:type="spellStart"/>
      <w:r>
        <w:t>i</w:t>
      </w:r>
      <w:proofErr w:type="spellEnd"/>
      <w:r>
        <w:t>)</w:t>
      </w:r>
    </w:p>
    <w:p w14:paraId="502C033C" w14:textId="77777777" w:rsidR="00494B49" w:rsidRDefault="00494B49">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2"/>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4384E99E" w14:textId="77777777" w:rsidR="00494B49" w:rsidRDefault="00494B49">
      <w:pPr>
        <w:pStyle w:val="BNormal"/>
      </w:pPr>
      <w:r>
        <w:rPr>
          <w:i/>
        </w:rPr>
        <w:t>Comment:</w:t>
      </w:r>
      <w:r>
        <w:t xml:space="preserve"> In reading </w:t>
      </w:r>
      <w:smartTag w:uri="http://www.bna.com/sgml2word/cite" w:element="cite.usc">
        <w:smartTagPr>
          <w:attr w:name="ref" w:val="USC\26\1411(c)(1)(A)(i)"/>
        </w:smartTagPr>
        <w:r>
          <w:t>§1411(c)(1)(A)(</w:t>
        </w:r>
        <w:proofErr w:type="spellStart"/>
        <w:r>
          <w:t>i</w:t>
        </w:r>
        <w:proofErr w:type="spellEnd"/>
        <w:r>
          <w:t>)</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5D031D8D" w14:textId="77777777" w:rsidR="00494B49" w:rsidRDefault="00494B49">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w:t>
        </w:r>
        <w:proofErr w:type="spellStart"/>
        <w:r>
          <w:t>i</w:t>
        </w:r>
        <w:proofErr w:type="spellEnd"/>
        <w:r>
          <w:t>)</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5B918B2E" w14:textId="77777777" w:rsidR="00494B49" w:rsidRDefault="00494B49">
      <w:pPr>
        <w:pStyle w:val="BListitembul"/>
      </w:pPr>
      <w:r>
        <w:lastRenderedPageBreak/>
        <w:t>Compensation income tied to the performance of the employer’s stock or other financial benchmark (such as the S&amp;P 500).</w:t>
      </w:r>
      <w:r>
        <w:rPr>
          <w:rStyle w:val="FootnoteReference"/>
        </w:rPr>
        <w:footnoteReference w:id="143"/>
      </w:r>
    </w:p>
    <w:p w14:paraId="79953F32" w14:textId="77777777" w:rsidR="00494B49" w:rsidRDefault="00494B49">
      <w:pPr>
        <w:pStyle w:val="BListitembul"/>
      </w:pPr>
      <w:r>
        <w:t>Taxable distributions from health savings accounts.</w:t>
      </w:r>
    </w:p>
    <w:p w14:paraId="6DA6590C" w14:textId="77777777" w:rsidR="00494B49" w:rsidRDefault="00494B49">
      <w:pPr>
        <w:pStyle w:val="BListitembul"/>
      </w:pPr>
      <w:r>
        <w:t>Taxable distributions from §529 plans and Coverdell plans.</w:t>
      </w:r>
    </w:p>
    <w:p w14:paraId="21B3132D" w14:textId="77777777" w:rsidR="00494B49" w:rsidRDefault="00494B49">
      <w:pPr>
        <w:pStyle w:val="BListitembul"/>
      </w:pPr>
      <w:r>
        <w:t>Taxable distributions from a Voluntary Employees’ Beneficiary Association (VEBA), which is a tax-exempt trust under §501(c)(9).</w:t>
      </w:r>
      <w:r>
        <w:rPr>
          <w:rStyle w:val="FootnoteReference"/>
        </w:rPr>
        <w:footnoteReference w:id="144"/>
      </w:r>
    </w:p>
    <w:p w14:paraId="6DF37BE3" w14:textId="77777777" w:rsidR="00494B49" w:rsidRDefault="00494B49">
      <w:pPr>
        <w:pStyle w:val="BListitembul"/>
      </w:pPr>
      <w:r>
        <w:t>Taxable distributions from supplemental unemployment benefits trusts (a tax-exempt trust under §501(c)(17).</w:t>
      </w:r>
      <w:r>
        <w:rPr>
          <w:rStyle w:val="FootnoteReference"/>
        </w:rPr>
        <w:footnoteReference w:id="145"/>
      </w:r>
    </w:p>
    <w:p w14:paraId="30E4ABCD" w14:textId="77777777" w:rsidR="00494B49" w:rsidRDefault="00494B49">
      <w:pPr>
        <w:pStyle w:val="BHead2"/>
      </w:pPr>
      <w:r>
        <w:t>1. Income from Investment of Working Capital</w:t>
      </w:r>
    </w:p>
    <w:p w14:paraId="4F9FA685" w14:textId="77777777" w:rsidR="00494B49" w:rsidRDefault="00494B49">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6"/>
      </w:r>
    </w:p>
    <w:p w14:paraId="3AC42E5C" w14:textId="77777777" w:rsidR="00494B49" w:rsidRDefault="00494B49">
      <w:pPr>
        <w:pStyle w:val="BHead2"/>
      </w:pPr>
      <w:r>
        <w:t>2. ‘Derived in the Ordinary Course of a Trade or Business’ Exception</w:t>
      </w:r>
    </w:p>
    <w:p w14:paraId="1333446F" w14:textId="77777777" w:rsidR="00494B49" w:rsidRDefault="00494B49">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7"/>
      </w:r>
      <w:r>
        <w:t xml:space="preserve"> Reg. </w:t>
      </w:r>
      <w:smartTag w:uri="http://www.bna.com/sgml2word/cite" w:element="cite.cfr">
        <w:smartTagPr>
          <w:attr w:name="ref" w:val="cfr\26\1.1411-4(a)(1)(i)"/>
        </w:smartTagPr>
        <w:r>
          <w:t>§1.1411-4(a)(1)(</w:t>
        </w:r>
        <w:proofErr w:type="spellStart"/>
        <w:r>
          <w:t>i</w:t>
        </w:r>
        <w:proofErr w:type="spellEnd"/>
        <w:r>
          <w:t>)</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30D514F7" w14:textId="77777777" w:rsidR="00494B49" w:rsidRDefault="00494B49">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9921BDF" w14:textId="77777777" w:rsidR="00494B49" w:rsidRDefault="00494B49">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w:t>
      </w:r>
      <w:r>
        <w:lastRenderedPageBreak/>
        <w:t xml:space="preserve">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8"/>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75443989" w14:textId="77777777" w:rsidR="00494B49" w:rsidRDefault="00494B49">
      <w:pPr>
        <w:pStyle w:val="BHead3"/>
      </w:pPr>
      <w:r>
        <w:t>a. Testing for a Trade or Business</w:t>
      </w:r>
    </w:p>
    <w:p w14:paraId="556042F7" w14:textId="77777777" w:rsidR="00494B49" w:rsidRDefault="00494B49">
      <w:pPr>
        <w:pStyle w:val="BNormal"/>
      </w:pPr>
      <w:r>
        <w:t xml:space="preserve">For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49"/>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0"/>
      </w:r>
    </w:p>
    <w:p w14:paraId="68F5E3DB" w14:textId="77777777" w:rsidR="00494B49" w:rsidRDefault="00494B49">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1"/>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2"/>
      </w:r>
    </w:p>
    <w:p w14:paraId="3C333881" w14:textId="77777777" w:rsidR="00494B49" w:rsidRDefault="00494B49">
      <w:pPr>
        <w:pStyle w:val="BNormal"/>
      </w:pPr>
      <w:r>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140B6E94" w14:textId="77777777" w:rsidR="00494B49" w:rsidRDefault="00494B49">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159DE2B5" w14:textId="77777777" w:rsidR="00494B49" w:rsidRDefault="00494B49">
      <w:pPr>
        <w:pStyle w:val="BNormal"/>
      </w:pPr>
      <w:r>
        <w:t xml:space="preserve">To test trade or business status and determine whether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50F0368" w14:textId="77777777" w:rsidR="00494B49" w:rsidRDefault="00494B49">
      <w:pPr>
        <w:pStyle w:val="BNormal"/>
      </w:pPr>
      <w:r>
        <w:lastRenderedPageBreak/>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0C029BD4" w14:textId="77777777" w:rsidR="00494B49" w:rsidRDefault="00494B49">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3"/>
      </w:r>
    </w:p>
    <w:p w14:paraId="5B20CED5" w14:textId="77777777" w:rsidR="00494B49" w:rsidRDefault="00494B49">
      <w:pPr>
        <w:pStyle w:val="BExamplepara"/>
      </w:pPr>
      <w:r>
        <w:rPr>
          <w:rStyle w:val="BExamplehead"/>
          <w:rFonts w:eastAsiaTheme="minorHAnsi"/>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4ABB1C6" w14:textId="77777777" w:rsidR="00494B49" w:rsidRDefault="00494B49">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4"/>
      </w:r>
    </w:p>
    <w:p w14:paraId="19CFBE17" w14:textId="77777777" w:rsidR="00494B49" w:rsidRDefault="00494B49">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w:t>
        </w:r>
        <w:proofErr w:type="spellStart"/>
        <w:r>
          <w:t>i</w:t>
        </w:r>
        <w:proofErr w:type="spellEnd"/>
        <w:r>
          <w:t>)</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5"/>
      </w:r>
      <w:r>
        <w:t xml:space="preserve"> Stated differently, the NIIT “taint” of the trading income, gain, loss, and deduction is retained as those items pass through upper-tier pass-through entities. </w:t>
      </w:r>
    </w:p>
    <w:p w14:paraId="51BC44EE" w14:textId="77777777" w:rsidR="00494B49" w:rsidRDefault="00494B49">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6"/>
      </w:r>
    </w:p>
    <w:p w14:paraId="3EAD50BA" w14:textId="77777777" w:rsidR="00494B49" w:rsidRDefault="00494B49">
      <w:pPr>
        <w:pStyle w:val="BExamplepara"/>
      </w:pPr>
      <w:r>
        <w:rPr>
          <w:rStyle w:val="BExamplehead"/>
          <w:rFonts w:eastAsiaTheme="minorHAnsi"/>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19FEC97D" w14:textId="77777777" w:rsidR="00494B49" w:rsidRDefault="00494B49">
      <w:pPr>
        <w:pStyle w:val="BExamplepara"/>
      </w:pPr>
      <w:r>
        <w:rPr>
          <w:rStyle w:val="BExamplehead"/>
          <w:rFonts w:eastAsiaTheme="minorHAnsi"/>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w:t>
      </w:r>
      <w:r>
        <w:lastRenderedPageBreak/>
        <w:t>provides services to LTP.</w:t>
      </w:r>
      <w:r>
        <w:rPr>
          <w:rStyle w:val="FootnoteReference"/>
        </w:rPr>
        <w:footnoteReference w:id="157"/>
      </w:r>
      <w:r>
        <w:t xml:space="preserve"> This example illustrates that UTP’s trade or business cannot “cleanse” the non-trade-or-business status of LTP.</w:t>
      </w:r>
    </w:p>
    <w:p w14:paraId="5E8472AF" w14:textId="77777777" w:rsidR="00494B49" w:rsidRDefault="00494B49">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8"/>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1A309F35" w14:textId="77777777" w:rsidR="00494B49" w:rsidRDefault="00494B49">
      <w:pPr>
        <w:pStyle w:val="BHead3"/>
      </w:pPr>
      <w:r>
        <w:t>b. Derived in the Ordinary Course</w:t>
      </w:r>
    </w:p>
    <w:p w14:paraId="565882DA" w14:textId="77777777" w:rsidR="00494B49" w:rsidRDefault="00494B49">
      <w:pPr>
        <w:pStyle w:val="BNormal"/>
      </w:pPr>
      <w:r>
        <w:t xml:space="preserve">In the preamble to the 2013 Final Regulations, the IRS and Treasury Department stated: </w:t>
      </w:r>
    </w:p>
    <w:p w14:paraId="1CA0D3CB" w14:textId="77777777" w:rsidR="00494B49" w:rsidRDefault="00494B49">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60E9CA1E" w14:textId="77777777" w:rsidR="00494B49" w:rsidRDefault="00494B49">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03FBC3A8" w14:textId="77777777" w:rsidR="00494B49" w:rsidRDefault="00494B49">
      <w:pPr>
        <w:pStyle w:val="BNormal"/>
      </w:pPr>
      <w:r>
        <w:t xml:space="preserve">Reg. </w:t>
      </w:r>
      <w:smartTag w:uri="http://www.bna.com/sgml2word/cite" w:element="cite.cfr">
        <w:smartTagPr>
          <w:attr w:name="ref" w:val="cfr\26\1.469-2T(c)(3)(i)"/>
        </w:smartTagPr>
        <w:r>
          <w:t>§1.469-2T(c)(3)(</w:t>
        </w:r>
        <w:proofErr w:type="spellStart"/>
        <w:r>
          <w:t>i</w:t>
        </w:r>
        <w:proofErr w:type="spellEnd"/>
        <w:r>
          <w:t>)</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6C8DC6F1" w14:textId="77777777" w:rsidR="00494B49" w:rsidRDefault="00494B49">
      <w:pPr>
        <w:pStyle w:val="BHead3"/>
      </w:pPr>
      <w:r>
        <w:lastRenderedPageBreak/>
        <w:t xml:space="preserve">c. Role of §1411(c)(3) — Treatment of Working </w:t>
      </w:r>
      <w:r>
        <w:br/>
        <w:t>Capital</w:t>
      </w:r>
    </w:p>
    <w:p w14:paraId="1615ED43" w14:textId="77777777" w:rsidR="00494B49" w:rsidRDefault="00494B49">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The items listed include:</w:t>
      </w:r>
      <w:r>
        <w:rPr>
          <w:rStyle w:val="FootnoteReference"/>
        </w:rPr>
        <w:footnoteReference w:id="159"/>
      </w:r>
    </w:p>
    <w:p w14:paraId="623BD16B" w14:textId="77777777" w:rsidR="00494B49" w:rsidRDefault="00494B49">
      <w:pPr>
        <w:pStyle w:val="BListitembul"/>
      </w:pPr>
      <w:r>
        <w:t>Interest income on loans and investments made in the ordinary course of a trade or business of lending money.</w:t>
      </w:r>
    </w:p>
    <w:p w14:paraId="2BDDEAE9" w14:textId="77777777" w:rsidR="00494B49" w:rsidRDefault="00494B49">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7B89BBD7" w14:textId="77777777" w:rsidR="00494B49" w:rsidRDefault="00494B49">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0"/>
      </w:r>
    </w:p>
    <w:p w14:paraId="6DF82715" w14:textId="77777777" w:rsidR="00494B49" w:rsidRDefault="00494B49">
      <w:pPr>
        <w:pStyle w:val="BListitembul"/>
      </w:pPr>
      <w:r>
        <w:t>Income or gain derived in the ordinary course of an activity of trading or dealing in any property if such activity constitutes a trade or business . . . .</w:t>
      </w:r>
    </w:p>
    <w:p w14:paraId="640033C2" w14:textId="77777777" w:rsidR="00494B49" w:rsidRDefault="00494B49">
      <w:pPr>
        <w:pStyle w:val="BListitembul"/>
      </w:pPr>
      <w:r>
        <w:t>Royalties derived by the taxpayer in the ordinary course of a trade or business of licensing intangible property . . . .</w:t>
      </w:r>
    </w:p>
    <w:p w14:paraId="76CE7F4D" w14:textId="77777777" w:rsidR="00494B49" w:rsidRDefault="00494B49">
      <w:pPr>
        <w:pStyle w:val="BListitembul"/>
      </w:pPr>
      <w:r>
        <w:t>Amounts included in the gross income of a patron of a cooperative . . . by reason of any payment or allocation to the patron based on the patronage occurring with respect to a trade or business of the patron.</w:t>
      </w:r>
    </w:p>
    <w:p w14:paraId="6AF6A767" w14:textId="77777777" w:rsidR="00494B49" w:rsidRDefault="00494B49">
      <w:pPr>
        <w:pStyle w:val="BListitembul"/>
      </w:pPr>
      <w:r>
        <w:t>Other income identified by the Commissioner as income derived by the taxpayer in the ordinary course of a trade or business.</w:t>
      </w:r>
    </w:p>
    <w:p w14:paraId="13811321" w14:textId="77777777" w:rsidR="00494B49" w:rsidRDefault="00494B49">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1"/>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2"/>
      </w:r>
      <w:r>
        <w:t xml:space="preserve"> (Emphasis added.) </w:t>
      </w:r>
    </w:p>
    <w:p w14:paraId="59C7A471" w14:textId="77777777" w:rsidR="00494B49" w:rsidRDefault="00494B49">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w:t>
      </w:r>
      <w:r>
        <w:lastRenderedPageBreak/>
        <w:t xml:space="preserve">treated as not derived in the ordinary course of a trade or business. With respect to </w:t>
      </w:r>
      <w:smartTag w:uri="http://www.bna.com/sgml2word/cite" w:element="cite.usc">
        <w:smartTagPr>
          <w:attr w:name="ref" w:val="usc\26\469(e)(1)"/>
        </w:smartTagPr>
        <w:r>
          <w:t>§469(e)(1)</w:t>
        </w:r>
      </w:smartTag>
      <w:r>
        <w:t xml:space="preserve">, the Senate Finance Committee Report states: </w:t>
      </w:r>
    </w:p>
    <w:p w14:paraId="5AFC5984" w14:textId="77777777" w:rsidR="00494B49" w:rsidRDefault="00494B49">
      <w:pPr>
        <w:pStyle w:val="BQuotelong"/>
      </w:pPr>
      <w:r>
        <w:t xml:space="preserve">Portfolio income of a passive activity is taken into account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1E030E52" w14:textId="77777777" w:rsidR="00494B49" w:rsidRDefault="00494B49">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764932CE" w14:textId="77777777" w:rsidR="00494B49" w:rsidRDefault="00494B49">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3"/>
      </w:r>
    </w:p>
    <w:p w14:paraId="712F12ED" w14:textId="77777777" w:rsidR="00494B49" w:rsidRDefault="00494B49">
      <w:pPr>
        <w:pStyle w:val="BHead2"/>
      </w:pPr>
      <w:r>
        <w:t>3. Interest</w:t>
      </w:r>
    </w:p>
    <w:p w14:paraId="35F6054F" w14:textId="77777777" w:rsidR="00494B49" w:rsidRDefault="00494B49">
      <w:pPr>
        <w:pStyle w:val="BHead3"/>
      </w:pPr>
      <w:r>
        <w:t>a. Definition of Interest and Interest-Equivalents</w:t>
      </w:r>
    </w:p>
    <w:p w14:paraId="3A36813D" w14:textId="77777777" w:rsidR="00494B49" w:rsidRDefault="00494B49">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4"/>
      </w:r>
    </w:p>
    <w:p w14:paraId="5808DD52" w14:textId="77777777" w:rsidR="00494B49" w:rsidRDefault="00494B49">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5"/>
      </w:r>
    </w:p>
    <w:p w14:paraId="671F7CA9" w14:textId="77777777" w:rsidR="00494B49" w:rsidRDefault="00494B49">
      <w:pPr>
        <w:pStyle w:val="BHead4"/>
      </w:pPr>
      <w:r>
        <w:t>(1) Common Interest Income</w:t>
      </w:r>
    </w:p>
    <w:p w14:paraId="3DFE527C" w14:textId="77777777" w:rsidR="00494B49" w:rsidRDefault="00494B49">
      <w:pPr>
        <w:pStyle w:val="BNormal"/>
      </w:pPr>
      <w:r>
        <w:t xml:space="preserve">In determining what constitutes “interest” under </w:t>
      </w:r>
      <w:smartTag w:uri="http://www.bna.com/sgml2word/cite" w:element="cite.usc">
        <w:smartTagPr>
          <w:attr w:name="ref" w:val="USC\26\61(a)(4)"/>
        </w:smartTagPr>
        <w:r>
          <w:t>§61(a)(4)</w:t>
        </w:r>
      </w:smartTag>
      <w:r>
        <w:t xml:space="preserve">, courts have held that Congress used the word in the sense in which it is understood in the business world, that is, compensation for </w:t>
      </w:r>
      <w:r>
        <w:lastRenderedPageBreak/>
        <w:t>the use or forbearance of money.</w:t>
      </w:r>
      <w:r>
        <w:rPr>
          <w:rStyle w:val="FootnoteReference"/>
        </w:rPr>
        <w:footnoteReference w:id="166"/>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w:t>
        </w:r>
        <w:proofErr w:type="spellStart"/>
        <w:r>
          <w:t>i</w:t>
        </w:r>
        <w:proofErr w:type="spellEnd"/>
        <w:r>
          <w:t>)</w:t>
        </w:r>
      </w:smartTag>
      <w:r>
        <w:t xml:space="preserve"> includes any item that would be included on a taxpayer’s Schedule B. Examples of interest income includible in net investment income (NII) include: </w:t>
      </w:r>
    </w:p>
    <w:p w14:paraId="60AF38E2" w14:textId="77777777" w:rsidR="00494B49" w:rsidRDefault="00494B49">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7"/>
      </w:r>
    </w:p>
    <w:p w14:paraId="3D262E23" w14:textId="77777777" w:rsidR="00494B49" w:rsidRDefault="00494B49">
      <w:pPr>
        <w:pStyle w:val="BListitembul"/>
      </w:pPr>
      <w:r>
        <w:t>The portion of a bond’s sales proceeds representing interest accrued to the date of the sale when the bond was sold between interest payment dates.</w:t>
      </w:r>
      <w:r>
        <w:rPr>
          <w:rStyle w:val="FootnoteReference"/>
        </w:rPr>
        <w:footnoteReference w:id="168"/>
      </w:r>
    </w:p>
    <w:p w14:paraId="7CC4CE1A" w14:textId="77777777" w:rsidR="00494B49" w:rsidRDefault="00494B49">
      <w:pPr>
        <w:pStyle w:val="BListitembul"/>
      </w:pPr>
      <w:r>
        <w:t>Original issue discount.</w:t>
      </w:r>
      <w:r>
        <w:rPr>
          <w:rStyle w:val="FootnoteReference"/>
        </w:rPr>
        <w:footnoteReference w:id="169"/>
      </w:r>
    </w:p>
    <w:p w14:paraId="2523B009" w14:textId="77777777" w:rsidR="00494B49" w:rsidRDefault="00494B49">
      <w:pPr>
        <w:pStyle w:val="BListitembul"/>
      </w:pPr>
      <w:r>
        <w:t>Disposition gain representing accrued market discount.</w:t>
      </w:r>
      <w:r>
        <w:rPr>
          <w:rStyle w:val="FootnoteReference"/>
        </w:rPr>
        <w:footnoteReference w:id="170"/>
      </w:r>
    </w:p>
    <w:p w14:paraId="65251505" w14:textId="77777777" w:rsidR="00494B49" w:rsidRDefault="00494B49">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1"/>
      </w:r>
    </w:p>
    <w:p w14:paraId="5AA45328" w14:textId="77777777" w:rsidR="00494B49" w:rsidRDefault="00494B49">
      <w:pPr>
        <w:pStyle w:val="BListitembul"/>
      </w:pPr>
      <w:r>
        <w:t>Amounts received as interest on payment of judgment for damages,</w:t>
      </w:r>
      <w:r>
        <w:rPr>
          <w:rStyle w:val="FootnoteReference"/>
        </w:rPr>
        <w:footnoteReference w:id="172"/>
      </w:r>
      <w:r>
        <w:t xml:space="preserve"> regardless of whether the damage award constitutes NII.</w:t>
      </w:r>
    </w:p>
    <w:p w14:paraId="6D170669" w14:textId="77777777" w:rsidR="00494B49" w:rsidRDefault="00494B49">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3"/>
      </w:r>
    </w:p>
    <w:p w14:paraId="275DE507" w14:textId="77777777" w:rsidR="00494B49" w:rsidRDefault="00494B49">
      <w:pPr>
        <w:pStyle w:val="BHead4"/>
      </w:pPr>
      <w:r>
        <w:t>(2) Specific Items Treated as Interest for NIIT Purposes</w:t>
      </w:r>
    </w:p>
    <w:p w14:paraId="5828132F" w14:textId="77777777" w:rsidR="00494B49" w:rsidRDefault="00494B49">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4"/>
      </w:r>
      <w:r>
        <w:t xml:space="preserve"> In addition, under Prop. Reg. </w:t>
      </w:r>
      <w:smartTag w:uri="http://www.bna.com/sgml2word/cite" w:element="cite.cfr">
        <w:smartTagPr>
          <w:attr w:name="ref" w:val="prule\cfr\26\1.1411-4(g)(10)"/>
        </w:smartTagPr>
        <w:r>
          <w:t>§1.1411-4(g)(10)</w:t>
        </w:r>
      </w:smartTag>
      <w:r>
        <w:t xml:space="preserve">, guaranteed payments for </w:t>
      </w:r>
      <w:r>
        <w:lastRenderedPageBreak/>
        <w:t>the use of capital are considered net investment income but are not expressly referred to as interest income.</w:t>
      </w:r>
      <w:r>
        <w:rPr>
          <w:rStyle w:val="FootnoteReference"/>
        </w:rPr>
        <w:footnoteReference w:id="175"/>
      </w:r>
    </w:p>
    <w:p w14:paraId="1474E385" w14:textId="77777777" w:rsidR="00494B49" w:rsidRDefault="00494B49">
      <w:pPr>
        <w:pStyle w:val="BHead4"/>
      </w:pPr>
      <w:r>
        <w:t>(3) Items Not Treated as Interest</w:t>
      </w:r>
    </w:p>
    <w:p w14:paraId="634918F1" w14:textId="77777777" w:rsidR="00494B49" w:rsidRDefault="00494B49">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064EB52A" w14:textId="77777777" w:rsidR="00494B49" w:rsidRDefault="00494B49">
      <w:pPr>
        <w:pStyle w:val="BListitembul"/>
      </w:pPr>
      <w:r>
        <w:t>Interest income that may be excluded from gross income under §103 and §135.</w:t>
      </w:r>
    </w:p>
    <w:p w14:paraId="1488B70B" w14:textId="77777777" w:rsidR="00494B49" w:rsidRDefault="00494B49">
      <w:pPr>
        <w:pStyle w:val="BListitembul"/>
      </w:pPr>
      <w:r>
        <w:t>Fees earned for commitment to provide permanent financing upon maturity of construction loans do not constitute interest.</w:t>
      </w:r>
      <w:r>
        <w:rPr>
          <w:rStyle w:val="FootnoteReference"/>
        </w:rPr>
        <w:footnoteReference w:id="176"/>
      </w:r>
    </w:p>
    <w:p w14:paraId="5BE2EFF8" w14:textId="77777777" w:rsidR="00494B49" w:rsidRDefault="00494B49">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7"/>
      </w:r>
    </w:p>
    <w:p w14:paraId="2C1CE82B" w14:textId="77777777" w:rsidR="00494B49" w:rsidRDefault="00494B49">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8"/>
      </w:r>
    </w:p>
    <w:p w14:paraId="6C0382C0" w14:textId="77777777" w:rsidR="00494B49" w:rsidRDefault="00494B49">
      <w:pPr>
        <w:pStyle w:val="BNormal"/>
      </w:pPr>
      <w:r>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5DBBE461" w14:textId="77777777" w:rsidR="00494B49" w:rsidRDefault="00494B49">
      <w:pPr>
        <w:pStyle w:val="BHead3"/>
      </w:pPr>
      <w:r>
        <w:t xml:space="preserve">b. Interest Derived in the Ordinary Course of a Trade or Business </w:t>
      </w:r>
    </w:p>
    <w:p w14:paraId="0C3534FC" w14:textId="77777777" w:rsidR="00494B49" w:rsidRDefault="00494B49">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79"/>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0"/>
      </w:r>
      <w:r>
        <w:t xml:space="preserve"> These types of interest are substantially </w:t>
      </w:r>
      <w:r>
        <w:lastRenderedPageBreak/>
        <w:t xml:space="preserve">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1"/>
      </w:r>
    </w:p>
    <w:p w14:paraId="703E4F8E" w14:textId="77777777" w:rsidR="00494B49" w:rsidRDefault="00494B49">
      <w:pPr>
        <w:pStyle w:val="BHead3"/>
      </w:pPr>
      <w:r>
        <w:t>c. Self-Charged Interest</w:t>
      </w:r>
    </w:p>
    <w:p w14:paraId="217EFAA4" w14:textId="77777777" w:rsidR="00494B49" w:rsidRDefault="00494B49">
      <w:pPr>
        <w:pStyle w:val="BHead4"/>
      </w:pPr>
      <w:r>
        <w:t xml:space="preserve">(1) Existing Passive Loss Self-Charged Interest Rules </w:t>
      </w:r>
    </w:p>
    <w:p w14:paraId="1F622964" w14:textId="77777777" w:rsidR="00494B49" w:rsidRDefault="00494B49">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2"/>
      </w:r>
      <w:r>
        <w:t xml:space="preserve"> between a taxpayer and a pass-through entity in which the taxpayer owns a direct or indirect interest.</w:t>
      </w:r>
      <w:r>
        <w:rPr>
          <w:rStyle w:val="FootnoteReference"/>
        </w:rPr>
        <w:footnoteReference w:id="183"/>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to a pass-through entity by its owners;</w:t>
      </w:r>
      <w:r>
        <w:rPr>
          <w:rStyle w:val="FootnoteReference"/>
        </w:rPr>
        <w:footnoteReference w:id="184"/>
      </w:r>
      <w:r>
        <w:t xml:space="preserve"> (2) loans by a pass-through entity to its owners;</w:t>
      </w:r>
      <w:r>
        <w:rPr>
          <w:rStyle w:val="FootnoteReference"/>
        </w:rPr>
        <w:footnoteReference w:id="185"/>
      </w:r>
      <w:r>
        <w:t xml:space="preserve"> and (3) loans between two pass-through entities that are identically owned.</w:t>
      </w:r>
      <w:r>
        <w:rPr>
          <w:rStyle w:val="FootnoteReference"/>
        </w:rPr>
        <w:footnoteReference w:id="186"/>
      </w:r>
      <w:r>
        <w:t xml:space="preserve"> For an individual, estate, or trust, the self-charged interest rules do not apply to: (a) loans to C corporations;</w:t>
      </w:r>
      <w:r>
        <w:rPr>
          <w:rStyle w:val="FootnoteReference"/>
        </w:rPr>
        <w:footnoteReference w:id="187"/>
      </w:r>
      <w:r>
        <w:t xml:space="preserve"> and (b) loans between two pass-through entities that are not identically owned.</w:t>
      </w:r>
      <w:r>
        <w:rPr>
          <w:rStyle w:val="FootnoteReference"/>
        </w:rPr>
        <w:footnoteReference w:id="188"/>
      </w:r>
    </w:p>
    <w:p w14:paraId="13DAA391" w14:textId="77777777" w:rsidR="00494B49" w:rsidRDefault="00494B49">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w:t>
        </w:r>
        <w:proofErr w:type="spellStart"/>
        <w:r>
          <w:t>i</w:t>
        </w:r>
        <w:proofErr w:type="spellEnd"/>
        <w:r>
          <w:t>)</w:t>
        </w:r>
      </w:smartTag>
      <w:r>
        <w:rPr>
          <w:rStyle w:val="FootnoteReference"/>
        </w:rPr>
        <w:footnoteReference w:id="189"/>
      </w:r>
      <w:r>
        <w:t xml:space="preserve"> or Reg. </w:t>
      </w:r>
      <w:smartTag w:uri="http://www.bna.com/sgml2word/cite" w:element="cite.cfr">
        <w:smartTagPr>
          <w:attr w:name="ref" w:val="cfr\26\1.1411-4(f)(2)(ii)"/>
        </w:smartTagPr>
        <w:r>
          <w:t>§1.1411-4(f)(2)(ii)</w:t>
        </w:r>
      </w:smartTag>
      <w:r>
        <w:rPr>
          <w:rStyle w:val="FootnoteReference"/>
        </w:rPr>
        <w:footnoteReference w:id="190"/>
      </w:r>
      <w:r>
        <w:t xml:space="preserve"> or taken into </w:t>
      </w:r>
      <w:r>
        <w:lastRenderedPageBreak/>
        <w:t xml:space="preserve">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45C1BB08" w14:textId="77777777" w:rsidR="00494B49" w:rsidRDefault="00494B49">
      <w:pPr>
        <w:pStyle w:val="BHead4"/>
      </w:pPr>
      <w:r>
        <w:t>(2) Self-Charged Interest Rules Under NIIT</w:t>
      </w:r>
    </w:p>
    <w:p w14:paraId="3430F514" w14:textId="77777777" w:rsidR="00494B49" w:rsidRDefault="00494B49">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c)(1)(i)"/>
        </w:smartTagPr>
        <w:r>
          <w:t>§1.1411-4(c)(1)(</w:t>
        </w:r>
        <w:proofErr w:type="spellStart"/>
        <w:r>
          <w:t>i</w:t>
        </w:r>
        <w:proofErr w:type="spellEnd"/>
        <w:r>
          <w:t>)</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1"/>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2"/>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5536CB91" w14:textId="77777777" w:rsidR="00494B49" w:rsidRDefault="00494B49">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commodities under </w:t>
      </w:r>
      <w:smartTag w:uri="http://www.bna.com/sgml2word/cite" w:element="cite.usc">
        <w:smartTagPr>
          <w:attr w:name="ref" w:val="USC\26\1411(c)(2)(B)"/>
        </w:smartTagPr>
        <w:r>
          <w:t>§1411(c)(2)(B)</w:t>
        </w:r>
      </w:smartTag>
      <w:r>
        <w:t>.</w:t>
      </w:r>
      <w:r>
        <w:rPr>
          <w:rStyle w:val="FootnoteReference"/>
        </w:rPr>
        <w:footnoteReference w:id="193"/>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322C6892" w14:textId="77777777" w:rsidR="00494B49" w:rsidRDefault="00494B49">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4"/>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5"/>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6CB47C48" w14:textId="77777777" w:rsidR="00494B49" w:rsidRDefault="00494B49">
      <w:pPr>
        <w:pStyle w:val="BNormal"/>
      </w:pPr>
      <w:r>
        <w:t>Although not explicitly clear in the regulations,</w:t>
      </w:r>
      <w:r>
        <w:rPr>
          <w:rStyle w:val="FootnoteReference"/>
        </w:rPr>
        <w:footnoteReference w:id="196"/>
      </w:r>
      <w:r>
        <w:t xml:space="preserve"> a guaranteed payment for capital that is treated as </w:t>
      </w:r>
      <w:smartTag w:uri="http://www.bna.com/sgml2word/cite" w:element="cite.usc">
        <w:smartTagPr>
          <w:attr w:name="ref" w:val="USC\26\1411(c)(1)(A)(i)"/>
        </w:smartTagPr>
        <w:r>
          <w:t>§1411(c)(1)(A)(</w:t>
        </w:r>
        <w:proofErr w:type="spellStart"/>
        <w:r>
          <w:t>i</w:t>
        </w:r>
        <w:proofErr w:type="spellEnd"/>
        <w:r>
          <w:t>)</w:t>
        </w:r>
      </w:smartTag>
      <w:r>
        <w:t xml:space="preserve"> income should also be considered interest income for purposes of this rule </w:t>
      </w:r>
      <w:r>
        <w:lastRenderedPageBreak/>
        <w:t>in order to mirror the passive loss treatment.</w:t>
      </w:r>
      <w:r>
        <w:rPr>
          <w:rStyle w:val="FootnoteReference"/>
        </w:rPr>
        <w:footnoteReference w:id="197"/>
      </w:r>
      <w:r>
        <w:t xml:space="preserve"> Furthermore, even though the text of Reg. </w:t>
      </w:r>
      <w:smartTag w:uri="http://www.bna.com/sgml2word/cite" w:element="cite.cfr">
        <w:smartTagPr>
          <w:attr w:name="ref" w:val="cfr\26\1.1411-4(g)(5)"/>
        </w:smartTagPr>
        <w:r>
          <w:t>§1.1411-4(g)(5)</w:t>
        </w:r>
      </w:smartTag>
      <w:r>
        <w:t xml:space="preserve"> says “[g]</w:t>
      </w:r>
      <w:proofErr w:type="spellStart"/>
      <w:r>
        <w:t>ross</w:t>
      </w:r>
      <w:proofErr w:type="spellEnd"/>
      <w:r>
        <w:t xml:space="preserve">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r>
        <w:b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8"/>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199"/>
      </w:r>
    </w:p>
    <w:p w14:paraId="6310CECA" w14:textId="77777777" w:rsidR="00494B49" w:rsidRDefault="00494B49">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0"/>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but the corresponding deduction may be limited by the passive loss rules. As a result, the taxpayer is receiving current taxable income (as interest) and 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1"/>
      </w:r>
    </w:p>
    <w:p w14:paraId="16DA064F" w14:textId="77777777" w:rsidR="00494B49" w:rsidRDefault="00494B49">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2"/>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3"/>
      </w:r>
    </w:p>
    <w:p w14:paraId="4530BFE5" w14:textId="77777777" w:rsidR="00494B49" w:rsidRDefault="00494B49">
      <w:pPr>
        <w:pStyle w:val="BNormal"/>
      </w:pPr>
      <w:r>
        <w:rPr>
          <w:i/>
        </w:rPr>
        <w:lastRenderedPageBreak/>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7A3E7AB2" w14:textId="77777777" w:rsidR="00494B49" w:rsidRDefault="00494B49">
      <w:pPr>
        <w:pStyle w:val="BHead3"/>
      </w:pPr>
      <w:r>
        <w:t>d. Interest Included in Net Earnings from Self-</w:t>
      </w:r>
      <w:r>
        <w:br/>
        <w:t>Employment</w:t>
      </w:r>
    </w:p>
    <w:p w14:paraId="49F5FBF2" w14:textId="77777777" w:rsidR="00494B49" w:rsidRDefault="00494B49">
      <w:pPr>
        <w:pStyle w:val="BNormal"/>
      </w:pPr>
      <w:r>
        <w:t>Interest income is excluded from net investment income if it is included in net earnings from self-employment (NESE).</w:t>
      </w:r>
      <w:r>
        <w:rPr>
          <w:rStyle w:val="FootnoteReference"/>
        </w:rPr>
        <w:footnoteReference w:id="204"/>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5"/>
      </w:r>
    </w:p>
    <w:p w14:paraId="7CCF415C" w14:textId="77777777" w:rsidR="00494B49" w:rsidRDefault="00494B49">
      <w:pPr>
        <w:pStyle w:val="BNormal"/>
      </w:pPr>
      <w:r>
        <w:t>However, the inclusion of interest in NESE is very rare, because even if the taxpayer’s income is attributable to dealer activities, most often derived through an ownership interest in an S corporation or limited partnership, the distributive share of such dealer-based interest income is excluded from NESE.</w:t>
      </w:r>
      <w:r>
        <w:rPr>
          <w:rStyle w:val="FootnoteReference"/>
        </w:rPr>
        <w:footnoteReference w:id="206"/>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360B6D72" w14:textId="77777777" w:rsidR="00494B49" w:rsidRDefault="00494B49">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submission processing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w:t>
      </w:r>
      <w:proofErr w:type="spellStart"/>
      <w:r>
        <w:t>i</w:t>
      </w:r>
      <w:proofErr w:type="spellEnd"/>
      <w:r>
        <w:t>]</w:t>
      </w:r>
      <w:proofErr w:type="spellStart"/>
      <w:r>
        <w:t>nterest</w:t>
      </w:r>
      <w:proofErr w:type="spellEnd"/>
      <w:r>
        <w:t xml:space="preserve"> income earned in the ordinary course of your non-§1411 trade or business is excluded from net investment income. If this type of interest income is included in line 1, use line 7 to adjust your net investment income.”</w:t>
      </w:r>
    </w:p>
    <w:p w14:paraId="6F726E2D" w14:textId="77777777" w:rsidR="00494B49" w:rsidRDefault="00494B49">
      <w:pPr>
        <w:pStyle w:val="BHead2"/>
      </w:pPr>
      <w:r>
        <w:t>4. Dividends</w:t>
      </w:r>
    </w:p>
    <w:p w14:paraId="13F9A44B" w14:textId="77777777" w:rsidR="00494B49" w:rsidRDefault="00494B49">
      <w:pPr>
        <w:pStyle w:val="BHead3"/>
      </w:pPr>
      <w:r>
        <w:t>a. Definition of Dividends and Dividend-Equivalents</w:t>
      </w:r>
    </w:p>
    <w:p w14:paraId="6B20931B" w14:textId="77777777" w:rsidR="00494B49" w:rsidRDefault="00494B49">
      <w:pPr>
        <w:pStyle w:val="BNormal"/>
      </w:pPr>
      <w:r>
        <w:lastRenderedPageBreak/>
        <w:t>For NIIT purposes, “dividend income” includes any item treated as a dividend for purposes of Chapter 1.</w:t>
      </w:r>
      <w:r>
        <w:rPr>
          <w:rStyle w:val="FootnoteReference"/>
        </w:rPr>
        <w:footnoteReference w:id="207"/>
      </w:r>
      <w:r>
        <w:t xml:space="preserve"> Pursuant to Reg. </w:t>
      </w:r>
      <w:smartTag w:uri="http://www.bna.com/sgml2word/cite" w:element="cite.cfr">
        <w:smartTagPr>
          <w:attr w:name="ref" w:val="cfr\26\1.1411-1(d)(3)"/>
        </w:smartTagPr>
        <w:r>
          <w:t>§1.1411-1(d)(3)</w:t>
        </w:r>
      </w:smartTag>
      <w:r>
        <w:t>, the term dividend includes (</w:t>
      </w:r>
      <w:proofErr w:type="spellStart"/>
      <w:r>
        <w:t>i</w:t>
      </w:r>
      <w:proofErr w:type="spellEnd"/>
      <w:r>
        <w:t>) amounts treated as dividends under Subchapter C that are included in gross income (including constructive dividends);</w:t>
      </w:r>
      <w:r>
        <w:rPr>
          <w:rStyle w:val="FootnoteReference"/>
        </w:rPr>
        <w:footnoteReference w:id="208"/>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09"/>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0"/>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1"/>
      </w:r>
      <w:r>
        <w:t xml:space="preserve"> and (v) substitute dividends that represent payments made to the transferor of a security in a securities lending transaction or a sale-repurchase transaction.</w:t>
      </w:r>
      <w:r>
        <w:rPr>
          <w:rStyle w:val="FootnoteReference"/>
        </w:rPr>
        <w:footnoteReference w:id="212"/>
      </w:r>
    </w:p>
    <w:p w14:paraId="5BB8660C" w14:textId="77777777" w:rsidR="00494B49" w:rsidRDefault="00494B49">
      <w:pPr>
        <w:pStyle w:val="BNormal"/>
      </w:pPr>
      <w:r>
        <w:rPr>
          <w:i/>
        </w:rPr>
        <w:t>Comment:</w:t>
      </w:r>
      <w:r>
        <w:t xml:space="preserve"> If substitute dividend payments were not treated in this manner, the Treasury Department and the IRS believed that taxpayers could easily avoid the NIIT with respect to 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4C2FC249" w14:textId="77777777" w:rsidR="00494B49" w:rsidRDefault="00494B49">
      <w:pPr>
        <w:pStyle w:val="BNormal"/>
      </w:pPr>
      <w:r>
        <w:t xml:space="preserve">Dividends that are excluded from gross income are likewise excluded from net investment income. Examples include: </w:t>
      </w:r>
    </w:p>
    <w:p w14:paraId="5F3D41E2" w14:textId="77777777" w:rsidR="00494B49" w:rsidRDefault="00494B49">
      <w:pPr>
        <w:pStyle w:val="BListitembul"/>
      </w:pPr>
      <w:r>
        <w:t>Distributions of certain stock and certain stock rights excluded from income by §305.</w:t>
      </w:r>
    </w:p>
    <w:p w14:paraId="4C15735C" w14:textId="77777777" w:rsidR="00494B49" w:rsidRDefault="00494B49">
      <w:pPr>
        <w:pStyle w:val="BListitembul"/>
      </w:pPr>
      <w:r>
        <w:t>Certain amounts received as patronage dividends excluded by §1385(b).</w:t>
      </w:r>
      <w:r>
        <w:rPr>
          <w:rStyle w:val="FootnoteReference"/>
        </w:rPr>
        <w:footnoteReference w:id="213"/>
      </w:r>
      <w:r>
        <w:t xml:space="preserve"> and </w:t>
      </w:r>
    </w:p>
    <w:p w14:paraId="6DF77EB7" w14:textId="77777777" w:rsidR="00494B49" w:rsidRDefault="00494B49">
      <w:pPr>
        <w:pStyle w:val="BListitembul"/>
      </w:pPr>
      <w:r>
        <w:t>Dividends from CFCs and QEFs excluded by §959(d) and §1293(c), respectively, if a 10(g) Election is in effect with respect to such entities.</w:t>
      </w:r>
      <w:r>
        <w:rPr>
          <w:rStyle w:val="FootnoteReference"/>
        </w:rPr>
        <w:footnoteReference w:id="214"/>
      </w:r>
    </w:p>
    <w:p w14:paraId="4AC51AB5" w14:textId="77777777" w:rsidR="00494B49" w:rsidRDefault="00494B49">
      <w:pPr>
        <w:pStyle w:val="BNormal"/>
      </w:pPr>
      <w:r>
        <w:t xml:space="preserve">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w:t>
      </w:r>
      <w:proofErr w:type="spellStart"/>
      <w:r>
        <w:t>nondividends</w:t>
      </w:r>
      <w:proofErr w:type="spellEnd"/>
      <w:r>
        <w:t xml:space="preserve"> by statute. For example:</w:t>
      </w:r>
    </w:p>
    <w:p w14:paraId="069E5EB6" w14:textId="77777777" w:rsidR="00494B49" w:rsidRDefault="00494B49">
      <w:pPr>
        <w:pStyle w:val="BListitembul"/>
      </w:pPr>
      <w:r>
        <w:t xml:space="preserve"> Section 301 provides that a distribution of property by a corporation to its shareholder with respect to its stock is treated either as a dividend (if the corporation </w:t>
      </w:r>
      <w:r>
        <w:lastRenderedPageBreak/>
        <w:t>has sufficient E&amp;P), as a return of basis, or as gain from the sale or exchange of property.</w:t>
      </w:r>
    </w:p>
    <w:p w14:paraId="04A40E23" w14:textId="77777777" w:rsidR="00494B49" w:rsidRDefault="00494B49">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4BF1A07" w14:textId="77777777" w:rsidR="00494B49" w:rsidRDefault="00494B49">
      <w:pPr>
        <w:pStyle w:val="BListitembul"/>
      </w:pPr>
      <w:r>
        <w:t>Dispositions of certain stock are treated as distributions under §306.</w:t>
      </w:r>
    </w:p>
    <w:p w14:paraId="525632B1" w14:textId="77777777" w:rsidR="00494B49" w:rsidRDefault="00494B49">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5"/>
      </w:r>
    </w:p>
    <w:p w14:paraId="4FE39A53" w14:textId="77777777" w:rsidR="00494B49" w:rsidRDefault="00494B49">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6"/>
      </w:r>
      <w:r>
        <w:t xml:space="preserve"> In addition, a number of revenue rulings address specific types of distributions: </w:t>
      </w:r>
    </w:p>
    <w:p w14:paraId="69A43CD0" w14:textId="77777777" w:rsidR="00494B49" w:rsidRDefault="00494B49">
      <w:pPr>
        <w:pStyle w:val="BListitembul"/>
      </w:pPr>
      <w:r>
        <w:t>Distribution of stapled stock is a taxable dividend;</w:t>
      </w:r>
      <w:r>
        <w:rPr>
          <w:rStyle w:val="FootnoteReference"/>
        </w:rPr>
        <w:footnoteReference w:id="217"/>
      </w:r>
    </w:p>
    <w:p w14:paraId="5CBDEF85" w14:textId="77777777" w:rsidR="00494B49" w:rsidRDefault="00494B49">
      <w:pPr>
        <w:pStyle w:val="BListitembul"/>
      </w:pPr>
      <w:r>
        <w:t>Certain redemptions may be constructive dividends to the remaining shareholder(s);</w:t>
      </w:r>
      <w:r>
        <w:rPr>
          <w:rStyle w:val="FootnoteReference"/>
        </w:rPr>
        <w:footnoteReference w:id="218"/>
      </w:r>
    </w:p>
    <w:p w14:paraId="7D9ABA19" w14:textId="77777777" w:rsidR="00494B49" w:rsidRDefault="00494B49">
      <w:pPr>
        <w:pStyle w:val="BListitembul"/>
      </w:pPr>
      <w:r>
        <w:t>Bargain sales between commonly controlled corporations may be constructive dividends;</w:t>
      </w:r>
      <w:r>
        <w:rPr>
          <w:rStyle w:val="FootnoteReference"/>
        </w:rPr>
        <w:footnoteReference w:id="219"/>
      </w:r>
    </w:p>
    <w:p w14:paraId="33E249CB" w14:textId="77777777" w:rsidR="00494B49" w:rsidRDefault="00494B49">
      <w:pPr>
        <w:pStyle w:val="BListitembul"/>
      </w:pPr>
      <w:r>
        <w:t>Excess payments between commonly controlled corporations may be constructive dividends;</w:t>
      </w:r>
      <w:r>
        <w:rPr>
          <w:rStyle w:val="FootnoteReference"/>
        </w:rPr>
        <w:footnoteReference w:id="220"/>
      </w:r>
    </w:p>
    <w:p w14:paraId="0B35BC34" w14:textId="77777777" w:rsidR="00494B49" w:rsidRDefault="00494B49">
      <w:pPr>
        <w:pStyle w:val="BListitembul"/>
      </w:pPr>
      <w:r>
        <w:t>Distribution of subsidiary stock, which is then redeemed for cash, is treated as direct payment of cash dividend;</w:t>
      </w:r>
      <w:r>
        <w:rPr>
          <w:rStyle w:val="FootnoteReference"/>
        </w:rPr>
        <w:footnoteReference w:id="221"/>
      </w:r>
    </w:p>
    <w:p w14:paraId="2781C6FF" w14:textId="77777777" w:rsidR="00494B49" w:rsidRDefault="00494B49">
      <w:pPr>
        <w:pStyle w:val="BListitembul"/>
      </w:pPr>
      <w:r>
        <w:t>Conversion ratio change treated as deemed distribution;</w:t>
      </w:r>
      <w:r>
        <w:rPr>
          <w:rStyle w:val="FootnoteReference"/>
        </w:rPr>
        <w:footnoteReference w:id="222"/>
      </w:r>
    </w:p>
    <w:p w14:paraId="38BBEFA4" w14:textId="77777777" w:rsidR="00494B49" w:rsidRDefault="00494B49">
      <w:pPr>
        <w:pStyle w:val="BListitembul"/>
      </w:pPr>
      <w:r>
        <w:t>Distribution of subsidiary stock rights to parent shareholders by the subsidiary is a constructive distribution;</w:t>
      </w:r>
      <w:r>
        <w:rPr>
          <w:rStyle w:val="FootnoteReference"/>
        </w:rPr>
        <w:footnoteReference w:id="223"/>
      </w:r>
      <w:r>
        <w:t xml:space="preserve"> and</w:t>
      </w:r>
    </w:p>
    <w:p w14:paraId="1CE5399A" w14:textId="77777777" w:rsidR="00494B49" w:rsidRDefault="00494B49">
      <w:pPr>
        <w:pStyle w:val="BListitembul"/>
      </w:pPr>
      <w:r>
        <w:t>Patronage distributions from co-ops are dividends.</w:t>
      </w:r>
      <w:r>
        <w:rPr>
          <w:rStyle w:val="FootnoteReference"/>
        </w:rPr>
        <w:footnoteReference w:id="224"/>
      </w:r>
    </w:p>
    <w:p w14:paraId="20DF8650" w14:textId="77777777" w:rsidR="00494B49" w:rsidRDefault="00494B49">
      <w:pPr>
        <w:pStyle w:val="BHead3"/>
      </w:pPr>
      <w:r>
        <w:t xml:space="preserve">b. Dividends Derived in the Ordinary Course of a Trade or Business </w:t>
      </w:r>
    </w:p>
    <w:p w14:paraId="3A307BD6" w14:textId="77777777" w:rsidR="00494B49" w:rsidRDefault="00494B49">
      <w:pPr>
        <w:pStyle w:val="BNormal"/>
      </w:pPr>
      <w:r>
        <w:t xml:space="preserve">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w:t>
      </w:r>
      <w:r>
        <w:lastRenderedPageBreak/>
        <w:t>(the income may be excluded from net earnings from self-employment if earned as a shareholder of an S corporation</w:t>
      </w:r>
      <w:r>
        <w:rPr>
          <w:rStyle w:val="FootnoteReference"/>
        </w:rPr>
        <w:footnoteReference w:id="225"/>
      </w:r>
      <w:r>
        <w:t xml:space="preserve"> or as a limited partner</w:t>
      </w:r>
      <w:r>
        <w:rPr>
          <w:rStyle w:val="FootnoteReference"/>
        </w:rPr>
        <w:footnoteReference w:id="226"/>
      </w:r>
      <w:r>
        <w:t>):</w:t>
      </w:r>
    </w:p>
    <w:p w14:paraId="710B933C" w14:textId="77777777" w:rsidR="00494B49" w:rsidRDefault="00494B49">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7"/>
      </w:r>
    </w:p>
    <w:p w14:paraId="641C6479" w14:textId="77777777" w:rsidR="00494B49" w:rsidRDefault="00494B49">
      <w:pPr>
        <w:pStyle w:val="BListitembul"/>
      </w:pPr>
      <w:r>
        <w:t>Income or gain derived in the ordinary course of an activity of trading or dealing in any property if the activity constitutes a trade or business;</w:t>
      </w:r>
      <w:r>
        <w:rPr>
          <w:rStyle w:val="FootnoteReference"/>
        </w:rPr>
        <w:footnoteReference w:id="228"/>
      </w:r>
      <w:r>
        <w:t xml:space="preserve"> and </w:t>
      </w:r>
    </w:p>
    <w:p w14:paraId="30476394" w14:textId="77777777" w:rsidR="00494B49" w:rsidRDefault="00494B49">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29"/>
      </w:r>
    </w:p>
    <w:p w14:paraId="3DC3F4A4" w14:textId="77777777" w:rsidR="00494B49" w:rsidRDefault="00494B49">
      <w:pPr>
        <w:pStyle w:val="BNormal"/>
      </w:pPr>
      <w:r>
        <w:rPr>
          <w:i/>
        </w:rPr>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218D032F" w14:textId="77777777" w:rsidR="00494B49" w:rsidRDefault="00494B49">
      <w:pPr>
        <w:pStyle w:val="BExamplepara"/>
      </w:pPr>
      <w:r>
        <w:rPr>
          <w:rStyle w:val="BExamplehead"/>
          <w:rFonts w:eastAsiaTheme="minorHAnsi"/>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w:t>
        </w:r>
        <w:proofErr w:type="spellStart"/>
        <w:r>
          <w:t>i</w:t>
        </w:r>
        <w:proofErr w:type="spellEnd"/>
        <w:r>
          <w:t>)</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0"/>
      </w:r>
    </w:p>
    <w:p w14:paraId="39BFE01E" w14:textId="77777777" w:rsidR="00494B49" w:rsidRDefault="00494B49">
      <w:pPr>
        <w:pStyle w:val="BNormal"/>
      </w:pPr>
      <w:r>
        <w:lastRenderedPageBreak/>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1105A1AA" w14:textId="77777777" w:rsidR="00494B49" w:rsidRDefault="00494B49">
      <w:pPr>
        <w:pStyle w:val="BNormal"/>
      </w:pPr>
      <w:r>
        <w:t>Consider two examples in which one can conclude that, economically, a dividend is being derived in the ordinary course of a trade or business, yet the conclusion does not hold true for NIIT purposes.</w:t>
      </w:r>
    </w:p>
    <w:p w14:paraId="2017A42B" w14:textId="77777777" w:rsidR="00494B49" w:rsidRDefault="00494B49">
      <w:pPr>
        <w:pStyle w:val="BExamplepara"/>
      </w:pPr>
      <w:r>
        <w:rPr>
          <w:rStyle w:val="BExamplehead"/>
          <w:rFonts w:eastAsiaTheme="minorHAnsi"/>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corporation were a qualified Subchapter S subsidiary. In this case, the </w:t>
      </w:r>
      <w:r>
        <w:rPr>
          <w:i/>
        </w:rPr>
        <w:t>form</w:t>
      </w:r>
      <w:r>
        <w:t xml:space="preserve"> of the business arrangement determines the NIIT outcome.</w:t>
      </w:r>
    </w:p>
    <w:p w14:paraId="4601BBF2" w14:textId="77777777" w:rsidR="00494B49" w:rsidRDefault="00494B49">
      <w:pPr>
        <w:pStyle w:val="BExamplepara"/>
      </w:pPr>
      <w:r>
        <w:rPr>
          <w:rStyle w:val="BExamplehead"/>
          <w:rFonts w:eastAsiaTheme="minorHAnsi"/>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1"/>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4B9400D7" w14:textId="77777777" w:rsidR="00494B49" w:rsidRDefault="00494B49">
      <w:pPr>
        <w:pStyle w:val="BHead3"/>
      </w:pPr>
      <w:r>
        <w:t>c. Income from CFCs and PFICs</w:t>
      </w:r>
    </w:p>
    <w:p w14:paraId="07F10E5A" w14:textId="77777777" w:rsidR="00494B49" w:rsidRDefault="00494B49">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45C048CB" w14:textId="77777777" w:rsidR="00494B49" w:rsidRDefault="00494B49">
      <w:pPr>
        <w:pStyle w:val="BHead3"/>
      </w:pPr>
      <w:r>
        <w:lastRenderedPageBreak/>
        <w:t>d. Dividends Included in Net Earnings from Self-</w:t>
      </w:r>
      <w:r>
        <w:br/>
        <w:t>Employment</w:t>
      </w:r>
    </w:p>
    <w:p w14:paraId="7CB57320" w14:textId="77777777" w:rsidR="00494B49" w:rsidRDefault="00494B49">
      <w:pPr>
        <w:pStyle w:val="BNormal"/>
      </w:pPr>
      <w:r>
        <w:t>Dividend income is excluded from net investment income if it is taken into account in the calculation of net earnings from self-employment.</w:t>
      </w:r>
      <w:r>
        <w:rPr>
          <w:rStyle w:val="FootnoteReference"/>
        </w:rPr>
        <w:footnoteReference w:id="232"/>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580E9B98" w14:textId="77777777" w:rsidR="00494B49" w:rsidRDefault="00494B49">
      <w:pPr>
        <w:pStyle w:val="BHead2"/>
      </w:pPr>
      <w:r>
        <w:t>5. Annuities</w:t>
      </w:r>
    </w:p>
    <w:p w14:paraId="4373F18E" w14:textId="77777777" w:rsidR="00494B49" w:rsidRDefault="00494B49">
      <w:pPr>
        <w:pStyle w:val="BHead3"/>
      </w:pPr>
      <w:r>
        <w:t>a. Definition of Annuities</w:t>
      </w:r>
    </w:p>
    <w:p w14:paraId="5206BE89" w14:textId="77777777" w:rsidR="00494B49" w:rsidRDefault="00494B49">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3"/>
      </w:r>
      <w:r>
        <w:t xml:space="preserve"> It is irrelevant whether the annuity income is received in a traditional annuitized payment stream or as a lump-sum payment. Annuity income from commercial annuities, as well as from private annuities,</w:t>
      </w:r>
      <w:r>
        <w:rPr>
          <w:rStyle w:val="FootnoteReference"/>
        </w:rPr>
        <w:footnoteReference w:id="234"/>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67C86176" w14:textId="77777777" w:rsidR="00494B49" w:rsidRDefault="00494B49">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5"/>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0D4FE7F4" w14:textId="77777777" w:rsidR="00494B49" w:rsidRDefault="00494B49">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6"/>
      </w:r>
    </w:p>
    <w:p w14:paraId="4D822753" w14:textId="77777777" w:rsidR="00494B49" w:rsidRDefault="00494B49">
      <w:pPr>
        <w:pStyle w:val="BNormal"/>
      </w:pPr>
      <w:r>
        <w:lastRenderedPageBreak/>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7"/>
      </w:r>
    </w:p>
    <w:p w14:paraId="152B7106" w14:textId="77777777" w:rsidR="00494B49" w:rsidRDefault="00494B49">
      <w:pPr>
        <w:pStyle w:val="BHead4"/>
      </w:pPr>
      <w:r>
        <w:t>(1) Foreign Pensions</w:t>
      </w:r>
    </w:p>
    <w:p w14:paraId="3E9BACCD" w14:textId="77777777" w:rsidR="00494B49" w:rsidRDefault="00494B49">
      <w:pPr>
        <w:pStyle w:val="BNormal"/>
      </w:pPr>
      <w:r>
        <w:t>The term gross income from annuities does not include amounts paid in consideration for services rendered.</w:t>
      </w:r>
      <w:r>
        <w:rPr>
          <w:rStyle w:val="FootnoteReference"/>
        </w:rPr>
        <w:footnoteReference w:id="238"/>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239"/>
      </w:r>
    </w:p>
    <w:p w14:paraId="75410218" w14:textId="77777777" w:rsidR="00494B49" w:rsidRDefault="00494B49">
      <w:pPr>
        <w:pStyle w:val="BNormal"/>
      </w:pPr>
      <w:r>
        <w:t>By including a reference to foreign pensions in the definition of annuity, the 2013 Final Regulations attempted to harmonize the treatment of foreign pensions with the treatment of domestic pensions for NIIT purposes. On the surface, it seems that this goal was achieved. Nonetheless, there are systemic differences between a foreign pension and a domestic pension that are often overlooked for regular tax purposes but highly relevant for net investment income purposes.</w:t>
      </w:r>
    </w:p>
    <w:p w14:paraId="59FA59D0" w14:textId="77777777" w:rsidR="00494B49" w:rsidRDefault="00494B49">
      <w:pPr>
        <w:pStyle w:val="BNormal"/>
      </w:pPr>
      <w:r>
        <w:t xml:space="preserve">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w:t>
      </w:r>
      <w:proofErr w:type="spellStart"/>
      <w:r>
        <w:t>nongrantor</w:t>
      </w:r>
      <w:proofErr w:type="spellEnd"/>
      <w:r>
        <w:t xml:space="preserve"> trusts. In some cases, like certain types of Canadian retirement schemes, there is ample guidance on the U.S. tax treatment.</w:t>
      </w:r>
      <w:r>
        <w:rPr>
          <w:rStyle w:val="FootnoteReference"/>
        </w:rPr>
        <w:footnoteReference w:id="240"/>
      </w:r>
    </w:p>
    <w:p w14:paraId="74546D95" w14:textId="77777777" w:rsidR="00494B49" w:rsidRDefault="00494B49">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1"/>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w:t>
      </w:r>
      <w:proofErr w:type="spellStart"/>
      <w:r>
        <w:t>nonannuities</w:t>
      </w:r>
      <w:proofErr w:type="spellEnd"/>
      <w:r>
        <w:t xml:space="preserve">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w:t>
      </w:r>
      <w:r>
        <w:lastRenderedPageBreak/>
        <w:t xml:space="preserve">net investment income because they would not be distributions from the trust (within the meaning of Subchapter J), so no DNI would be allocable to such payments. </w:t>
      </w:r>
    </w:p>
    <w:p w14:paraId="65FCD1FB" w14:textId="77777777" w:rsidR="00494B49" w:rsidRDefault="00494B49">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2F1076E8" w14:textId="77777777" w:rsidR="00494B49" w:rsidRDefault="00494B49">
      <w:pPr>
        <w:pStyle w:val="BHead4"/>
      </w:pPr>
      <w:r>
        <w:t>(2) Lottery Winnings</w:t>
      </w:r>
    </w:p>
    <w:p w14:paraId="25AE6B43" w14:textId="77777777" w:rsidR="00494B49" w:rsidRDefault="00494B49">
      <w:pPr>
        <w:pStyle w:val="BNormal"/>
      </w:pPr>
      <w:r>
        <w:t>The NIIT treatment of lottery winning presents an interesting intellectual exercise. If one begins with the proposition that lotteries are a form of gambling, then lottery winnings would be considered gross income from gambling.</w:t>
      </w:r>
      <w:r>
        <w:rPr>
          <w:rStyle w:val="FootnoteReference"/>
        </w:rPr>
        <w:footnoteReference w:id="242"/>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3"/>
      </w:r>
    </w:p>
    <w:p w14:paraId="2F55C009" w14:textId="77777777" w:rsidR="00494B49" w:rsidRDefault="00494B49">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07B4D2D1" w14:textId="77777777" w:rsidR="00494B49" w:rsidRDefault="00494B49">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3F086295" w14:textId="77777777" w:rsidR="00494B49" w:rsidRDefault="00494B49">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w:t>
      </w:r>
      <w:r>
        <w:lastRenderedPageBreak/>
        <w:t xml:space="preserve">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3FBAD2FC" w14:textId="77777777" w:rsidR="00494B49" w:rsidRDefault="00494B49">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7D3CD3C0" w14:textId="77777777" w:rsidR="00494B49" w:rsidRDefault="00494B49">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21947486" w14:textId="77777777" w:rsidR="00494B49" w:rsidRDefault="00494B49">
      <w:pPr>
        <w:pStyle w:val="BNormal"/>
      </w:pPr>
      <w:r>
        <w:t>In several instances, lottery winnings were treated as annuities for estate tax valuation purposes.</w:t>
      </w:r>
      <w:r>
        <w:rPr>
          <w:rStyle w:val="FootnoteReference"/>
        </w:rPr>
        <w:footnoteReference w:id="244"/>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5"/>
      </w:r>
      <w:r>
        <w:t xml:space="preserve"> There is little known authority, solely from a Chapter 1 income tax perspective, to conclude that annuitized lottery payments are NII-includible annuities.</w:t>
      </w:r>
    </w:p>
    <w:p w14:paraId="5746F140" w14:textId="77777777" w:rsidR="00494B49" w:rsidRDefault="00494B49">
      <w:pPr>
        <w:pStyle w:val="BHead4"/>
      </w:pPr>
      <w:r>
        <w:t>(3) Sales of Annuities, Endowment, and Life Insurance Contracts</w:t>
      </w:r>
    </w:p>
    <w:p w14:paraId="57A20368" w14:textId="77777777" w:rsidR="00494B49" w:rsidRDefault="00494B49">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246"/>
      </w:r>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7"/>
      </w:r>
    </w:p>
    <w:p w14:paraId="7D69A0D7" w14:textId="77777777" w:rsidR="00494B49" w:rsidRDefault="00494B49">
      <w:pPr>
        <w:pStyle w:val="BNormal"/>
      </w:pPr>
      <w:r>
        <w:t xml:space="preserve">As a practical matter, the gross income from the sale of annuities, endowment, and life insurance contracts is net investment income — whether the contract is redeemed by the issuer/obligor under the contract or sold to a third party (e.g., in a viatical settlement of a life insurance </w:t>
      </w:r>
      <w:r>
        <w:lastRenderedPageBreak/>
        <w:t>policy).</w:t>
      </w:r>
      <w:r>
        <w:rPr>
          <w:rStyle w:val="FootnoteReference"/>
        </w:rPr>
        <w:footnoteReference w:id="248"/>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w:t>
        </w:r>
        <w:proofErr w:type="spellStart"/>
        <w:r>
          <w:t>i</w:t>
        </w:r>
        <w:proofErr w:type="spellEnd"/>
        <w:r>
          <w:t>)</w:t>
        </w:r>
      </w:smartTag>
      <w:r>
        <w:t xml:space="preserve">, while the gain is included in net investment income under </w:t>
      </w:r>
      <w:smartTag w:uri="http://www.bna.com/sgml2word/cite" w:element="cite.usc">
        <w:smartTagPr>
          <w:attr w:name="ref" w:val="USC\26\1411(c)(1)(A)(iii)"/>
        </w:smartTagPr>
        <w:r>
          <w:t>§1411(c)(1)(A)(iii)</w:t>
        </w:r>
      </w:smartTag>
      <w:r>
        <w:t>.</w:t>
      </w:r>
    </w:p>
    <w:p w14:paraId="584C662B" w14:textId="77777777" w:rsidR="00494B49" w:rsidRDefault="00494B49">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49"/>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05F86873" w14:textId="77777777" w:rsidR="00494B49" w:rsidRDefault="00494B49">
      <w:pPr>
        <w:pStyle w:val="BHead4"/>
      </w:pPr>
      <w:r>
        <w:t>(4) Foreign Life Insurance Contacts</w:t>
      </w:r>
    </w:p>
    <w:p w14:paraId="25CBBBAD" w14:textId="77777777" w:rsidR="00494B49" w:rsidRDefault="00494B49">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0"/>
      </w:r>
      <w:r>
        <w:t xml:space="preserve"> under the contract during the taxable year.</w:t>
      </w:r>
    </w:p>
    <w:p w14:paraId="13EBA2A8" w14:textId="77777777" w:rsidR="00494B49" w:rsidRDefault="00494B49">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w:t>
      </w:r>
      <w:r>
        <w:lastRenderedPageBreak/>
        <w:t xml:space="preserve">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51CBD375" w14:textId="77777777" w:rsidR="00494B49" w:rsidRDefault="00494B49">
      <w:pPr>
        <w:pStyle w:val="BHead3"/>
      </w:pPr>
      <w:r>
        <w:t xml:space="preserve">b. Annuities Derived in the Ordinary Course of a Trade or Business </w:t>
      </w:r>
    </w:p>
    <w:p w14:paraId="137C13D6" w14:textId="77777777" w:rsidR="00494B49" w:rsidRDefault="00494B49">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1A11B48A" w14:textId="77777777" w:rsidR="00494B49" w:rsidRDefault="00494B49">
      <w:pPr>
        <w:pStyle w:val="BHead3"/>
      </w:pPr>
      <w:r>
        <w:t>c. Information Reporting</w:t>
      </w:r>
    </w:p>
    <w:p w14:paraId="3447C3A9" w14:textId="77777777" w:rsidR="00494B49" w:rsidRDefault="00494B49">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402A06B5" w14:textId="77777777" w:rsidR="00494B49" w:rsidRDefault="00494B49">
      <w:pPr>
        <w:pStyle w:val="BHead2"/>
      </w:pPr>
      <w:r>
        <w:t>6. Royalties</w:t>
      </w:r>
    </w:p>
    <w:p w14:paraId="27501F34" w14:textId="77777777" w:rsidR="00494B49" w:rsidRDefault="00494B49">
      <w:pPr>
        <w:pStyle w:val="BHead3"/>
      </w:pPr>
      <w:r>
        <w:t>a. Definition of Royalties</w:t>
      </w:r>
    </w:p>
    <w:p w14:paraId="47C9D260" w14:textId="77777777" w:rsidR="00494B49" w:rsidRDefault="00494B49">
      <w:pPr>
        <w:pStyle w:val="BNormal"/>
      </w:pPr>
      <w:r>
        <w:t xml:space="preserve">For NIIT purposes, “royalty income” includes amounts received from mineral, oil, and gas royalties, and amounts received for the privilege of using patents, copyrights, secret processes and formulas, goodwill, trademarks, </w:t>
      </w:r>
      <w:proofErr w:type="spellStart"/>
      <w:r>
        <w:t>tradebrands</w:t>
      </w:r>
      <w:proofErr w:type="spellEnd"/>
      <w:r>
        <w:t>, franchises, and other like property.</w:t>
      </w:r>
      <w:r>
        <w:rPr>
          <w:rStyle w:val="FootnoteReference"/>
        </w:rPr>
        <w:footnoteReference w:id="251"/>
      </w:r>
    </w:p>
    <w:p w14:paraId="24988777" w14:textId="77777777" w:rsidR="00494B49" w:rsidRDefault="00494B49">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w:t>
      </w:r>
      <w:r>
        <w:rPr>
          <w:rStyle w:val="FootnoteReference"/>
        </w:rPr>
        <w:footnoteReference w:id="252"/>
      </w:r>
      <w:r>
        <w:t xml:space="preserve"> Royalties may be received from books, stories, plays, copyrights, trademarks, formulas, patents, and from the exploitation of natural resources, such as coal, gas, oil, copper, or timber.</w:t>
      </w:r>
      <w:r>
        <w:rPr>
          <w:rStyle w:val="FootnoteReference"/>
        </w:rPr>
        <w:footnoteReference w:id="253"/>
      </w:r>
    </w:p>
    <w:p w14:paraId="0A91AADD" w14:textId="77777777" w:rsidR="00494B49" w:rsidRDefault="00494B49">
      <w:pPr>
        <w:pStyle w:val="BHead3"/>
      </w:pPr>
      <w:r>
        <w:t>b. Royalties Derived in the Ordinary Course of a Trade or Business</w:t>
      </w:r>
    </w:p>
    <w:p w14:paraId="11549078" w14:textId="77777777" w:rsidR="00494B49" w:rsidRDefault="00494B49">
      <w:pPr>
        <w:pStyle w:val="BHead4"/>
      </w:pPr>
      <w:r>
        <w:t>(1) Royalties from Intangibles Licensing</w:t>
      </w:r>
    </w:p>
    <w:p w14:paraId="7436F733" w14:textId="77777777" w:rsidR="00494B49" w:rsidRDefault="00494B49">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Royalty income received by a pass-through entity from the licensing </w:t>
      </w:r>
      <w:r>
        <w:lastRenderedPageBreak/>
        <w:t>of intangible property may be treated as income derived in the ordinary course of a trade or business only if the entity (</w:t>
      </w:r>
      <w:proofErr w:type="spellStart"/>
      <w:r>
        <w:t>i</w:t>
      </w:r>
      <w:proofErr w:type="spellEnd"/>
      <w:r>
        <w:t>) created the property or (ii) performed substantial services or incurred substantial costs with respect to the development or marketing of the property.</w:t>
      </w:r>
      <w:r>
        <w:rPr>
          <w:rStyle w:val="FootnoteReference"/>
        </w:rPr>
        <w:footnoteReference w:id="254"/>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5"/>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6"/>
      </w:r>
    </w:p>
    <w:p w14:paraId="7BB654C9" w14:textId="77777777" w:rsidR="00494B49" w:rsidRDefault="00494B49">
      <w:pPr>
        <w:pStyle w:val="BNormal"/>
      </w:pPr>
      <w:r>
        <w:t>As a general rule, the determination of whether a person has performed substantial services or incurred substantial costs with respect to the development or marketing of an item of intangible property is made based on all the facts and circumstances.</w:t>
      </w:r>
      <w:r>
        <w:rPr>
          <w:rStyle w:val="FootnoteReference"/>
        </w:rPr>
        <w:footnoteReference w:id="257"/>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1CDFAD90" w14:textId="77777777" w:rsidR="00494B49" w:rsidRDefault="00494B49">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8"/>
      </w:r>
      <w:r>
        <w:t xml:space="preserve"> or</w:t>
      </w:r>
    </w:p>
    <w:p w14:paraId="4C12419B" w14:textId="77777777" w:rsidR="00494B49" w:rsidRDefault="00494B49">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59"/>
      </w:r>
    </w:p>
    <w:p w14:paraId="736BBE68" w14:textId="77777777" w:rsidR="00494B49" w:rsidRDefault="00494B49">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07749997"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w:t>
      </w:r>
      <w:r>
        <w:lastRenderedPageBreak/>
        <w:t xml:space="preserve">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1F34E86F" w14:textId="77777777" w:rsidR="00494B49" w:rsidRDefault="00494B49">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above) does not apply. As a result, if the royalty income is not income from a passive activity, then the royalty income is excluded from net investment income because it is derived in the ordinary course of a nonpassive trade or business. </w:t>
      </w:r>
    </w:p>
    <w:p w14:paraId="4BC5B51A" w14:textId="77777777" w:rsidR="00494B49" w:rsidRDefault="00494B49">
      <w:pPr>
        <w:pStyle w:val="BHead4"/>
      </w:pPr>
      <w:r>
        <w:t>(2) Mineral Royalties</w:t>
      </w:r>
    </w:p>
    <w:p w14:paraId="7AC18AEC" w14:textId="77777777" w:rsidR="00494B49" w:rsidRDefault="00494B49">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 </w:t>
      </w:r>
    </w:p>
    <w:p w14:paraId="6DFB6FD3" w14:textId="77777777" w:rsidR="00494B49" w:rsidRDefault="00494B49">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0"/>
      </w:r>
      <w:r>
        <w:t xml:space="preserve"> </w:t>
      </w:r>
    </w:p>
    <w:p w14:paraId="61FDE7AA" w14:textId="77777777" w:rsidR="00494B49" w:rsidRDefault="00494B49">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xml:space="preserve">. </w:t>
      </w:r>
    </w:p>
    <w:p w14:paraId="64AD41E4" w14:textId="77777777" w:rsidR="00494B49" w:rsidRDefault="00494B49">
      <w:pPr>
        <w:pStyle w:val="BNormal"/>
      </w:pPr>
      <w:r>
        <w:t xml:space="preserve">The 1988 preamble goes on to state: </w:t>
      </w:r>
    </w:p>
    <w:p w14:paraId="65C5BF90" w14:textId="77777777" w:rsidR="00494B49" w:rsidRDefault="00494B49">
      <w:pPr>
        <w:pStyle w:val="BQuotelong"/>
      </w:pPr>
      <w:r>
        <w:t xml:space="preserve">Under Reg. </w:t>
      </w:r>
      <w:smartTag w:uri="http://www.bna.com/sgml2word/cite" w:element="cite.cfr">
        <w:smartTagPr>
          <w:attr w:name="ref" w:val="cfr\26\1.469-2T(c)(3)(ii)"/>
        </w:smartTagPr>
        <w:r>
          <w:t>§1.469-2T(c)(3)(ii)</w:t>
        </w:r>
      </w:smartTag>
      <w:r>
        <w:t xml:space="preserve">,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 </w:t>
      </w:r>
    </w:p>
    <w:p w14:paraId="6E52DB30" w14:textId="77777777" w:rsidR="00494B49" w:rsidRDefault="00494B49">
      <w:pPr>
        <w:pStyle w:val="BNormal"/>
      </w:pPr>
      <w:r>
        <w:t xml:space="preserve">Nonetheless, the IRS believes that it may be appropriate to treat a portion of a mineral royalty payment as derived in the ordinary course of a trade or business in some cases not involving a </w:t>
      </w:r>
      <w:r>
        <w:lastRenderedPageBreak/>
        <w:t xml:space="preserve">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1"/>
      </w:r>
    </w:p>
    <w:p w14:paraId="7BAFC582" w14:textId="77777777" w:rsidR="00494B49" w:rsidRDefault="00494B49">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w:t>
        </w:r>
        <w:proofErr w:type="spellStart"/>
        <w:r>
          <w:t>i</w:t>
        </w:r>
        <w:proofErr w:type="spellEnd"/>
        <w:r>
          <w:t>)</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2138FCD9" w14:textId="77777777" w:rsidR="00494B49" w:rsidRDefault="00494B49">
      <w:pPr>
        <w:pStyle w:val="BNormal"/>
      </w:pPr>
      <w:r>
        <w:t xml:space="preserve">In </w:t>
      </w:r>
      <w:proofErr w:type="spellStart"/>
      <w:r>
        <w:rPr>
          <w:rStyle w:val="BCasenamefull"/>
        </w:rPr>
        <w:t>Oderio</w:t>
      </w:r>
      <w:proofErr w:type="spellEnd"/>
      <w:r>
        <w:rPr>
          <w:rStyle w:val="BCasenamefull"/>
        </w:rPr>
        <w:t xml:space="preserve"> v. Commissioner</w:t>
      </w:r>
      <w:r>
        <w:t>,</w:t>
      </w:r>
      <w:r>
        <w:rPr>
          <w:rStyle w:val="FootnoteReference"/>
        </w:rPr>
        <w:footnoteReference w:id="262"/>
      </w:r>
      <w:r>
        <w:t xml:space="preserve"> the Tax Court cited two statutory canons of construction. The first cited statutory canon of construction was “</w:t>
      </w:r>
      <w:proofErr w:type="spellStart"/>
      <w:r>
        <w:t>expressio</w:t>
      </w:r>
      <w:proofErr w:type="spellEnd"/>
      <w:r>
        <w:t xml:space="preserve"> </w:t>
      </w:r>
      <w:proofErr w:type="spellStart"/>
      <w:r>
        <w:t>unius</w:t>
      </w:r>
      <w:proofErr w:type="spellEnd"/>
      <w:r>
        <w:t xml:space="preserve"> </w:t>
      </w:r>
      <w:proofErr w:type="spellStart"/>
      <w:r>
        <w:t>est</w:t>
      </w:r>
      <w:proofErr w:type="spellEnd"/>
      <w:r>
        <w:t xml:space="preserve"> </w:t>
      </w:r>
      <w:proofErr w:type="spellStart"/>
      <w:r>
        <w:t>exclusio</w:t>
      </w:r>
      <w:proofErr w:type="spellEnd"/>
      <w:r>
        <w:t xml:space="preserve"> </w:t>
      </w:r>
      <w:proofErr w:type="spellStart"/>
      <w:r>
        <w:t>alterius</w:t>
      </w:r>
      <w:proofErr w:type="spellEnd"/>
      <w:r>
        <w:t>,” which means that if a statute provides specific exceptions to a general rule, the court may infer that Congress intended to exclude any further exception “in the absence of contrary legislative intent.”</w:t>
      </w:r>
      <w:r>
        <w:rPr>
          <w:rStyle w:val="FootnoteReference"/>
        </w:rPr>
        <w:footnoteReference w:id="263"/>
      </w:r>
      <w:r>
        <w:t xml:space="preserve"> The second cited statutory canon of construction was that a statute ought to be construed so that no clause, sentence or word is rendered superfluous, void or insignificant.</w:t>
      </w:r>
      <w:r>
        <w:rPr>
          <w:rStyle w:val="FootnoteReference"/>
        </w:rPr>
        <w:footnoteReference w:id="264"/>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w:t>
        </w:r>
        <w:proofErr w:type="spellStart"/>
        <w:r>
          <w:t>i</w:t>
        </w:r>
        <w:proofErr w:type="spellEnd"/>
        <w:r>
          <w:t>)</w:t>
        </w:r>
      </w:smartTag>
      <w:r>
        <w:t xml:space="preserve"> are the most logical sources of analogous precedent. </w:t>
      </w:r>
    </w:p>
    <w:p w14:paraId="2248C49C" w14:textId="77777777" w:rsidR="00494B49" w:rsidRDefault="00494B49">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CAB5BDA" w14:textId="77777777" w:rsidR="00494B49" w:rsidRDefault="00494B49">
      <w:pPr>
        <w:pStyle w:val="BNormal"/>
      </w:pPr>
      <w:r>
        <w:lastRenderedPageBreak/>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34EFA977" w14:textId="77777777" w:rsidR="00494B49" w:rsidRDefault="00494B49">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694509F4" w14:textId="77777777" w:rsidR="00494B49" w:rsidRDefault="00494B49">
      <w:pPr>
        <w:pStyle w:val="BHead3"/>
      </w:pPr>
      <w:r>
        <w:t>c. Self-Charged Royalties</w:t>
      </w:r>
    </w:p>
    <w:p w14:paraId="189BB9AC" w14:textId="77777777" w:rsidR="00494B49" w:rsidRDefault="00494B49">
      <w:pPr>
        <w:pStyle w:val="BHead4"/>
      </w:pPr>
      <w:r>
        <w:t xml:space="preserve">(1) Existing Passive Loss Self-Charged Royalty Rules </w:t>
      </w:r>
    </w:p>
    <w:p w14:paraId="292EC1C5" w14:textId="77777777" w:rsidR="00494B49" w:rsidRDefault="00494B49">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5"/>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6"/>
      </w:r>
    </w:p>
    <w:p w14:paraId="01CC6495" w14:textId="77777777" w:rsidR="00494B49" w:rsidRDefault="00494B49">
      <w:pPr>
        <w:pStyle w:val="BNormal"/>
      </w:pPr>
      <w:r>
        <w:t xml:space="preserve">As a general rule, Reg. </w:t>
      </w:r>
      <w:smartTag w:uri="http://www.bna.com/sgml2word/cite" w:element="cite.cfr">
        <w:smartTagPr>
          <w:attr w:name="ref" w:val="cfr\26\1.469-2T(c)(3)(iii)(B)(2)(i)"/>
        </w:smartTagPr>
        <w:r>
          <w:t>§1.469-2T(c)(3)(iii)(B)(2)(</w:t>
        </w:r>
        <w:proofErr w:type="spellStart"/>
        <w:r>
          <w:t>i</w:t>
        </w:r>
        <w:proofErr w:type="spellEnd"/>
        <w:r>
          <w:t>)</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w:t>
        </w:r>
        <w:proofErr w:type="spellStart"/>
        <w:r>
          <w:t>i</w:t>
        </w:r>
        <w:proofErr w:type="spellEnd"/>
        <w:r>
          <w:t>)</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193B5C95" w14:textId="77777777" w:rsidR="00494B49" w:rsidRDefault="00494B49">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155B794E" w14:textId="77777777" w:rsidR="00494B49" w:rsidRDefault="00494B49">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1496027" w14:textId="77777777" w:rsidR="00494B49" w:rsidRDefault="00494B49">
      <w:pPr>
        <w:pStyle w:val="BNormal"/>
      </w:pPr>
      <w:r>
        <w:t xml:space="preserve">For purposes of the safe harbor, the term “expenditures” in a tax year includes amounts chargeable to the capital account for such year without regard to the year or years (if any) in </w:t>
      </w:r>
      <w:r>
        <w:lastRenderedPageBreak/>
        <w:t>which any deduction for the expenditure is allowed.</w:t>
      </w:r>
      <w:r>
        <w:rPr>
          <w:rStyle w:val="FootnoteReference"/>
        </w:rPr>
        <w:footnoteReference w:id="267"/>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26FAA890"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8"/>
      </w:r>
      <w:r>
        <w:t xml:space="preserve">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69"/>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0"/>
      </w:r>
    </w:p>
    <w:p w14:paraId="79216178" w14:textId="77777777" w:rsidR="00494B49" w:rsidRDefault="00494B49">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10A52B89" w14:textId="77777777" w:rsidR="00494B49" w:rsidRDefault="00494B49">
      <w:pPr>
        <w:pStyle w:val="BHead4"/>
      </w:pPr>
      <w:r>
        <w:lastRenderedPageBreak/>
        <w:t>(2) Self-Charged Royalty Rules Under NIIT</w:t>
      </w:r>
    </w:p>
    <w:p w14:paraId="2B83F2D3" w14:textId="77777777" w:rsidR="00494B49" w:rsidRDefault="00494B49">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00074A25" w14:textId="77777777" w:rsidR="00494B49" w:rsidRDefault="00494B49">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r>
        <w:rPr>
          <w:rStyle w:val="FootnoteReference"/>
        </w:rPr>
        <w:footnoteReference w:id="271"/>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2"/>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3"/>
      </w:r>
    </w:p>
    <w:p w14:paraId="32B4177A" w14:textId="77777777" w:rsidR="00494B49" w:rsidRDefault="00494B49">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4"/>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5"/>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6"/>
      </w:r>
      <w:r>
        <w:t xml:space="preserve"> If those tests are </w:t>
      </w:r>
      <w:r>
        <w:lastRenderedPageBreak/>
        <w:t xml:space="preserve">met, the income can be presumed to be derived in the ordinary course of a trade or business for NIIT purposes. </w:t>
      </w:r>
    </w:p>
    <w:p w14:paraId="41F57957" w14:textId="77777777" w:rsidR="00494B49" w:rsidRDefault="00494B49">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w:t>
        </w:r>
        <w:proofErr w:type="spellStart"/>
        <w:r>
          <w:t>i</w:t>
        </w:r>
        <w:proofErr w:type="spellEnd"/>
        <w:r>
          <w:t>)</w:t>
        </w:r>
      </w:smartTag>
      <w:r>
        <w:t>. Although the facts-and-circumstances test may be satisfied, there is the risk that the IRS may contend that the royalty income earned should be subject to self-employment tax.</w:t>
      </w:r>
      <w:r>
        <w:rPr>
          <w:rStyle w:val="FootnoteReference"/>
        </w:rPr>
        <w:footnoteReference w:id="277"/>
      </w:r>
    </w:p>
    <w:p w14:paraId="013CD3CE" w14:textId="77777777" w:rsidR="00494B49" w:rsidRDefault="00494B49">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8"/>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1596271B"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3C67032A" w14:textId="77777777" w:rsidR="00494B49" w:rsidRDefault="00494B49">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79"/>
      </w:r>
      <w:r>
        <w:t xml:space="preserve"> or S corporation.</w:t>
      </w:r>
      <w:r>
        <w:rPr>
          <w:rStyle w:val="FootnoteReference"/>
        </w:rPr>
        <w:footnoteReference w:id="280"/>
      </w:r>
    </w:p>
    <w:p w14:paraId="56F124C1" w14:textId="77777777" w:rsidR="00494B49" w:rsidRDefault="00494B49">
      <w:pPr>
        <w:pStyle w:val="BHead3"/>
      </w:pPr>
      <w:r>
        <w:t>d. Royalty Income Included in Net Earnings from Self-Employment</w:t>
      </w:r>
    </w:p>
    <w:p w14:paraId="7C1BF500" w14:textId="77777777" w:rsidR="00494B49" w:rsidRDefault="00494B49">
      <w:pPr>
        <w:pStyle w:val="BNormal"/>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1"/>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r>
        <w:b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2"/>
      </w:r>
    </w:p>
    <w:p w14:paraId="5792E8A0" w14:textId="77777777" w:rsidR="00494B49" w:rsidRDefault="00494B49">
      <w:pPr>
        <w:pStyle w:val="BNormal"/>
      </w:pPr>
      <w:smartTag w:uri="http://www.bna.com/sgml2word/cite" w:element="cite.usc">
        <w:smartTagPr>
          <w:attr w:name="ref" w:val="USC\26\1402(a)"/>
        </w:smartTagPr>
        <w:r>
          <w:lastRenderedPageBreak/>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3"/>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may be attributable in whole or in part to services rendered or other acts performed in a prior tax year as to which the individual was not subject to the tax on self-employment income.</w:t>
      </w:r>
    </w:p>
    <w:p w14:paraId="39F3240F"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3FBB166F" w14:textId="77777777" w:rsidR="00494B49" w:rsidRDefault="00494B49">
      <w:pPr>
        <w:pStyle w:val="BHead2"/>
      </w:pPr>
      <w:r>
        <w:t>7. Rents</w:t>
      </w:r>
    </w:p>
    <w:p w14:paraId="07588901" w14:textId="77777777" w:rsidR="00494B49" w:rsidRDefault="00494B49">
      <w:pPr>
        <w:pStyle w:val="BHead3"/>
      </w:pPr>
      <w:r>
        <w:t>a. Definition of Rents</w:t>
      </w:r>
    </w:p>
    <w:p w14:paraId="6A8C9552" w14:textId="77777777" w:rsidR="00494B49" w:rsidRDefault="00494B49">
      <w:pPr>
        <w:pStyle w:val="BNormal"/>
      </w:pPr>
      <w:r>
        <w:t>For NIIT purposes, income from rents includes amounts paid or to be paid principally for the use of (or the right to use) tangible property.</w:t>
      </w:r>
      <w:r>
        <w:rPr>
          <w:rStyle w:val="FootnoteReference"/>
        </w:rPr>
        <w:footnoteReference w:id="284"/>
      </w:r>
      <w:r>
        <w:t xml:space="preserve"> Similar to the definition of interest and dividend, an amount should constitute rent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5"/>
      </w:r>
      <w:r>
        <w:t xml:space="preserve"> Additionally, if a lessee pays any of the lessor’s expenses, these payments are considered additional rental income to the lessor.</w:t>
      </w:r>
      <w:r>
        <w:rPr>
          <w:rStyle w:val="FootnoteReference"/>
        </w:rPr>
        <w:footnoteReference w:id="286"/>
      </w:r>
      <w:r>
        <w:t xml:space="preserve"> If a lessee places improvements on real estate that constitute, in whole or in part, a substitute for rent, the improvements constitute rental income to the lessor.</w:t>
      </w:r>
      <w:r>
        <w:rPr>
          <w:rStyle w:val="FootnoteReference"/>
        </w:rPr>
        <w:footnoteReference w:id="287"/>
      </w:r>
    </w:p>
    <w:p w14:paraId="2E496034" w14:textId="77777777" w:rsidR="00494B49" w:rsidRDefault="00494B49">
      <w:pPr>
        <w:pStyle w:val="BNormal"/>
      </w:pPr>
      <w:r>
        <w:lastRenderedPageBreak/>
        <w:t xml:space="preserve">It is important to keep in mind that rents must be included in gross income to come within the purview of </w:t>
      </w:r>
      <w:smartTag w:uri="http://www.bna.com/sgml2word/cite" w:element="cite.usc">
        <w:smartTagPr>
          <w:attr w:name="ref" w:val="USC\26\1411(c)(1)(A)(i)"/>
        </w:smartTagPr>
        <w:r>
          <w:t>§1411(c)(1)(A)(</w:t>
        </w:r>
        <w:proofErr w:type="spellStart"/>
        <w:r>
          <w:t>i</w:t>
        </w:r>
        <w:proofErr w:type="spellEnd"/>
        <w:r>
          <w:t>)</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8"/>
      </w:r>
    </w:p>
    <w:p w14:paraId="4FFC7691" w14:textId="77777777" w:rsidR="00494B49" w:rsidRDefault="00494B49">
      <w:pPr>
        <w:pStyle w:val="BHead3"/>
      </w:pPr>
      <w:r>
        <w:t xml:space="preserve">b. Rents Derived in the Ordinary Course of a Trade or Business </w:t>
      </w:r>
    </w:p>
    <w:p w14:paraId="235D840D" w14:textId="77777777" w:rsidR="00494B49" w:rsidRDefault="00494B49">
      <w:pPr>
        <w:pStyle w:val="BNormal"/>
      </w:pPr>
      <w:r>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559FA55D" w14:textId="77777777" w:rsidR="00494B49" w:rsidRDefault="00494B49">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89"/>
      </w:r>
      <w:r>
        <w:t xml:space="preserve"> as well as rents received by certain real estate professionals,</w:t>
      </w:r>
      <w:r>
        <w:rPr>
          <w:rStyle w:val="FootnoteReference"/>
        </w:rPr>
        <w:footnoteReference w:id="290"/>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897B4ED" w14:textId="77777777" w:rsidR="00494B49" w:rsidRDefault="00494B49">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1F04E7A1" w14:textId="77777777" w:rsidR="00494B49" w:rsidRDefault="00494B49">
      <w:pPr>
        <w:pStyle w:val="BNormal"/>
      </w:pPr>
      <w:r>
        <w:t xml:space="preserve"> By way of background,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1"/>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2"/>
      </w:r>
      <w:r>
        <w:t xml:space="preserve"> Reg. </w:t>
      </w:r>
      <w:smartTag w:uri="http://www.bna.com/sgml2word/cite" w:element="cite.cfr">
        <w:smartTagPr>
          <w:attr w:name="ref" w:val="cfr\26\1.469-1T(e)(3)(ii)"/>
        </w:smartTagPr>
        <w:r>
          <w:t>§1.469-1T(e)(3)(ii)</w:t>
        </w:r>
      </w:smartTag>
      <w:r>
        <w:t xml:space="preserve"> provides six exceptions to the general rule.</w:t>
      </w:r>
    </w:p>
    <w:p w14:paraId="1A36C4D0" w14:textId="77777777" w:rsidR="00494B49" w:rsidRDefault="00494B49">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3"/>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w:t>
      </w:r>
      <w:r>
        <w:lastRenderedPageBreak/>
        <w:t xml:space="preserve">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2291151" w14:textId="77777777" w:rsidR="00494B49" w:rsidRDefault="00494B49">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4"/>
      </w:r>
      <w:r>
        <w:t xml:space="preserve"> Thus, for example, a taxpayer operating a hotel is not treated as engaged in a rental activity, even 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3C8A1B48" w14:textId="77777777" w:rsidR="00494B49" w:rsidRDefault="00494B49">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5"/>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9455E3E" w14:textId="77777777" w:rsidR="00494B49" w:rsidRDefault="00494B49">
      <w:pPr>
        <w:pStyle w:val="BNormal"/>
      </w:pPr>
      <w:r>
        <w:t>The fourth exception applies to rentals incidental to certain nonrental activities of the taxpayer.</w:t>
      </w:r>
      <w:r>
        <w:rPr>
          <w:rStyle w:val="FootnoteReference"/>
        </w:rPr>
        <w:footnoteReference w:id="296"/>
      </w:r>
      <w:r>
        <w:t xml:space="preserve"> This exception applies in four situations: </w:t>
      </w:r>
    </w:p>
    <w:p w14:paraId="153D3622" w14:textId="77777777" w:rsidR="00494B49" w:rsidRDefault="00494B49">
      <w:pPr>
        <w:pStyle w:val="BListitemorig"/>
      </w:pPr>
      <w:r>
        <w:t>(</w:t>
      </w:r>
      <w:proofErr w:type="spellStart"/>
      <w:r>
        <w:t>i</w:t>
      </w:r>
      <w:proofErr w:type="spellEnd"/>
      <w:r>
        <w:t xml:space="preserve">) an insubstantial amount of rental income is derived from renting property incidental to an activity of holding the property for investment; </w:t>
      </w:r>
    </w:p>
    <w:p w14:paraId="6852865F" w14:textId="77777777" w:rsidR="00494B49" w:rsidRDefault="00494B49">
      <w:pPr>
        <w:pStyle w:val="BListitemorig"/>
      </w:pPr>
      <w:r>
        <w:t>(ii) the rented property is lodging provided to the taxpayer’s employees for the convenience of the taxpayer;</w:t>
      </w:r>
    </w:p>
    <w:p w14:paraId="40F9EA6A" w14:textId="77777777" w:rsidR="00494B49" w:rsidRDefault="00494B49">
      <w:pPr>
        <w:pStyle w:val="BListitemorig"/>
      </w:pPr>
      <w:r>
        <w:t xml:space="preserve">(iii) an insubstantial amount of rental income is derived from property that was recently used in the taxpayer’s trade or business activity and is temporarily rented; or </w:t>
      </w:r>
    </w:p>
    <w:p w14:paraId="4EA2C0AB" w14:textId="77777777" w:rsidR="00494B49" w:rsidRDefault="00494B49">
      <w:pPr>
        <w:pStyle w:val="BListitemorig"/>
      </w:pPr>
      <w:r>
        <w:t xml:space="preserve">(iv) the property is held for sale to customers in the ordinary course of a trade or business and is, in fact, sold during the tax year. </w:t>
      </w:r>
    </w:p>
    <w:p w14:paraId="54C649FE" w14:textId="77777777" w:rsidR="00494B49" w:rsidRDefault="00494B49">
      <w:pPr>
        <w:pStyle w:val="BNormal"/>
      </w:pPr>
      <w:r>
        <w:t>Unlike the first three exceptions, the fourth exception is not necessarily a good proxy for a trade or business. As a practical matter, situations (ii), (iii), and (iv) may be decent proxies for rents derived in the ordinary course of a trade or business. Situation (</w:t>
      </w:r>
      <w:proofErr w:type="spellStart"/>
      <w:r>
        <w:t>i</w:t>
      </w:r>
      <w:proofErr w:type="spellEnd"/>
      <w:r>
        <w:t xml:space="preserve">),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w:t>
      </w:r>
      <w:r>
        <w:lastRenderedPageBreak/>
        <w:t xml:space="preserve">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7"/>
      </w:r>
      <w:r>
        <w:t xml:space="preserve"> As a result, the rental income is included in net investment income in situation (</w:t>
      </w:r>
      <w:proofErr w:type="spellStart"/>
      <w:r>
        <w:t>i</w:t>
      </w:r>
      <w:proofErr w:type="spellEnd"/>
      <w:r>
        <w:t xml:space="preserve">),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5611885D" w14:textId="77777777" w:rsidR="00494B49" w:rsidRDefault="00494B49">
      <w:pPr>
        <w:pStyle w:val="BNormal"/>
      </w:pPr>
      <w:r>
        <w:t>Under the fifth exception, an activity of making property available for use by customers is not a rental activity if the taxpayer customarily makes the property available during defined business hours for nonexclusive use by various customers.</w:t>
      </w:r>
      <w:r>
        <w:rPr>
          <w:rStyle w:val="FootnoteReference"/>
        </w:rPr>
        <w:footnoteReference w:id="298"/>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79A9319F" w14:textId="77777777" w:rsidR="00494B49" w:rsidRDefault="00494B49">
      <w:pPr>
        <w:pStyle w:val="BNormal"/>
      </w:pPr>
      <w:r>
        <w:t>The sixth exception relates to property provided for use in a nonrental activity of a partnership, S corporation, or joint venture in which the taxpayer owns an interest.</w:t>
      </w:r>
      <w:r>
        <w:rPr>
          <w:rStyle w:val="FootnoteReference"/>
        </w:rPr>
        <w:footnoteReference w:id="299"/>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0"/>
      </w:r>
      <w:r>
        <w:t xml:space="preserve"> the income would be considered net investment income.</w:t>
      </w:r>
      <w:r>
        <w:rPr>
          <w:rStyle w:val="FootnoteReference"/>
        </w:rPr>
        <w:footnoteReference w:id="301"/>
      </w:r>
    </w:p>
    <w:p w14:paraId="6AE198CB" w14:textId="77777777" w:rsidR="00494B49" w:rsidRDefault="00494B49">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w:t>
      </w:r>
      <w:proofErr w:type="spellStart"/>
      <w:r>
        <w:t>nondepreciable</w:t>
      </w:r>
      <w:proofErr w:type="spellEnd"/>
      <w:r>
        <w:t xml:space="preserv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2"/>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6BAFA3A5" w14:textId="77777777" w:rsidR="00494B49" w:rsidRDefault="00494B49">
      <w:pPr>
        <w:pStyle w:val="BHead3"/>
      </w:pPr>
      <w:r>
        <w:t>c. Self-Charged Rents</w:t>
      </w:r>
    </w:p>
    <w:p w14:paraId="4C25F38A" w14:textId="77777777" w:rsidR="00494B49" w:rsidRDefault="00494B49">
      <w:pPr>
        <w:pStyle w:val="BHead4"/>
      </w:pPr>
      <w:r>
        <w:t xml:space="preserve">(1) Existing Passive Loss Self-Charged Rent Rules </w:t>
      </w:r>
    </w:p>
    <w:p w14:paraId="66FCE60C" w14:textId="77777777" w:rsidR="00494B49" w:rsidRDefault="00494B49">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 xml:space="preserve">Passive Loss </w:t>
      </w:r>
      <w:r>
        <w:rPr>
          <w:i/>
        </w:rPr>
        <w:lastRenderedPageBreak/>
        <w:t>Rules</w:t>
      </w:r>
      <w:r>
        <w:t>. Under this rule, the net rental activity income from the property for the tax year, if positive, is treated as nonpassive income.</w:t>
      </w:r>
      <w:r>
        <w:rPr>
          <w:rStyle w:val="FootnoteReference"/>
        </w:rPr>
        <w:footnoteReference w:id="303"/>
      </w:r>
    </w:p>
    <w:p w14:paraId="0F12504D" w14:textId="77777777" w:rsidR="00494B49" w:rsidRDefault="00494B49">
      <w:pPr>
        <w:pStyle w:val="BNormal"/>
      </w:pPr>
      <w:r>
        <w:t>Several nuances to this seemingly simple rule are important to understand in order to apply the special self-charged rent rules for NIIT purposes:</w:t>
      </w:r>
    </w:p>
    <w:p w14:paraId="4C9F49B4" w14:textId="77777777" w:rsidR="00494B49" w:rsidRDefault="00494B49">
      <w:pPr>
        <w:pStyle w:val="BListitembul"/>
      </w:pPr>
      <w:r>
        <w:t>To be subject to the income recharacterization rule in Reg. §1.469-2(f)(6), the rental income must be passive rental income. Although the preceding sentence might seem intuitive, it is important to note:</w:t>
      </w:r>
    </w:p>
    <w:p w14:paraId="15DB4CEB" w14:textId="77777777" w:rsidR="00494B49" w:rsidRDefault="00494B49">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192294A3" w14:textId="77777777" w:rsidR="00494B49" w:rsidRDefault="00494B49">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5EACECB5" w14:textId="77777777" w:rsidR="00494B49" w:rsidRDefault="00494B49">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2B01BE23" w14:textId="77777777" w:rsidR="00494B49" w:rsidRDefault="00494B49" w:rsidP="006951DA"/>
    <w:tbl>
      <w:tblPr>
        <w:tblStyle w:val="TableGrid"/>
        <w:tblW w:w="0" w:type="auto"/>
        <w:tblLook w:val="04A0" w:firstRow="1" w:lastRow="0" w:firstColumn="1" w:lastColumn="0" w:noHBand="0" w:noVBand="1"/>
      </w:tblPr>
      <w:tblGrid>
        <w:gridCol w:w="2378"/>
        <w:gridCol w:w="2310"/>
        <w:gridCol w:w="2352"/>
        <w:gridCol w:w="2310"/>
      </w:tblGrid>
      <w:tr w:rsidR="00494B49" w14:paraId="206FC7D2" w14:textId="77777777">
        <w:tc>
          <w:tcPr>
            <w:tcW w:w="2520" w:type="dxa"/>
          </w:tcPr>
          <w:p w14:paraId="7CE80B25" w14:textId="77777777" w:rsidR="00494B49" w:rsidRDefault="00494B49"/>
        </w:tc>
        <w:tc>
          <w:tcPr>
            <w:tcW w:w="2520" w:type="dxa"/>
          </w:tcPr>
          <w:p w14:paraId="6D0080C0" w14:textId="77777777" w:rsidR="00494B49" w:rsidRDefault="00494B49">
            <w:r>
              <w:t xml:space="preserve"> </w:t>
            </w:r>
            <w:r>
              <w:rPr>
                <w:b/>
              </w:rPr>
              <w:t>Passive</w:t>
            </w:r>
          </w:p>
        </w:tc>
        <w:tc>
          <w:tcPr>
            <w:tcW w:w="2520" w:type="dxa"/>
          </w:tcPr>
          <w:p w14:paraId="47583EC2" w14:textId="77777777" w:rsidR="00494B49" w:rsidRDefault="00494B49">
            <w:r>
              <w:t xml:space="preserve"> </w:t>
            </w:r>
            <w:r>
              <w:rPr>
                <w:b/>
              </w:rPr>
              <w:t>Nonpassive</w:t>
            </w:r>
          </w:p>
        </w:tc>
        <w:tc>
          <w:tcPr>
            <w:tcW w:w="2520" w:type="dxa"/>
          </w:tcPr>
          <w:p w14:paraId="1F6C7FCE" w14:textId="77777777" w:rsidR="00494B49" w:rsidRDefault="00494B49">
            <w:r>
              <w:t xml:space="preserve"> </w:t>
            </w:r>
            <w:r>
              <w:rPr>
                <w:b/>
              </w:rPr>
              <w:t>Total</w:t>
            </w:r>
          </w:p>
        </w:tc>
      </w:tr>
      <w:tr w:rsidR="00494B49" w14:paraId="54F834F6" w14:textId="77777777">
        <w:tc>
          <w:tcPr>
            <w:tcW w:w="2520" w:type="dxa"/>
          </w:tcPr>
          <w:p w14:paraId="7B518FCA" w14:textId="77777777" w:rsidR="00494B49" w:rsidRDefault="00494B49">
            <w:r>
              <w:t xml:space="preserve"> </w:t>
            </w:r>
            <w:r>
              <w:rPr>
                <w:b/>
              </w:rPr>
              <w:t>Income</w:t>
            </w:r>
          </w:p>
        </w:tc>
        <w:tc>
          <w:tcPr>
            <w:tcW w:w="2520" w:type="dxa"/>
          </w:tcPr>
          <w:p w14:paraId="030623AF" w14:textId="77777777" w:rsidR="00494B49" w:rsidRDefault="00494B49">
            <w:r>
              <w:t>$8,000</w:t>
            </w:r>
          </w:p>
        </w:tc>
        <w:tc>
          <w:tcPr>
            <w:tcW w:w="2520" w:type="dxa"/>
          </w:tcPr>
          <w:p w14:paraId="1D93A840" w14:textId="77777777" w:rsidR="00494B49" w:rsidRDefault="00494B49">
            <w:r>
              <w:t>$2,000</w:t>
            </w:r>
          </w:p>
        </w:tc>
        <w:tc>
          <w:tcPr>
            <w:tcW w:w="2520" w:type="dxa"/>
          </w:tcPr>
          <w:p w14:paraId="44AA5128" w14:textId="77777777" w:rsidR="00494B49" w:rsidRDefault="00494B49">
            <w:r>
              <w:t>$10,000</w:t>
            </w:r>
          </w:p>
        </w:tc>
      </w:tr>
      <w:tr w:rsidR="00494B49" w14:paraId="303CB572" w14:textId="77777777">
        <w:tc>
          <w:tcPr>
            <w:tcW w:w="2520" w:type="dxa"/>
          </w:tcPr>
          <w:p w14:paraId="51149B81" w14:textId="77777777" w:rsidR="00494B49" w:rsidRDefault="00494B49">
            <w:r>
              <w:t xml:space="preserve"> </w:t>
            </w:r>
            <w:r>
              <w:rPr>
                <w:b/>
              </w:rPr>
              <w:t>Deductions</w:t>
            </w:r>
          </w:p>
        </w:tc>
        <w:tc>
          <w:tcPr>
            <w:tcW w:w="2520" w:type="dxa"/>
          </w:tcPr>
          <w:p w14:paraId="1E9E9169" w14:textId="77777777" w:rsidR="00494B49" w:rsidRDefault="00494B49">
            <w:r>
              <w:t>($8,000)</w:t>
            </w:r>
          </w:p>
        </w:tc>
        <w:tc>
          <w:tcPr>
            <w:tcW w:w="2520" w:type="dxa"/>
          </w:tcPr>
          <w:p w14:paraId="443D320D" w14:textId="77777777" w:rsidR="00494B49" w:rsidRDefault="00494B49">
            <w:r>
              <w:t>$0</w:t>
            </w:r>
          </w:p>
        </w:tc>
        <w:tc>
          <w:tcPr>
            <w:tcW w:w="2520" w:type="dxa"/>
          </w:tcPr>
          <w:p w14:paraId="7AB5EC71" w14:textId="77777777" w:rsidR="00494B49" w:rsidRDefault="00494B49">
            <w:r>
              <w:t>($8,000)</w:t>
            </w:r>
          </w:p>
        </w:tc>
      </w:tr>
      <w:tr w:rsidR="00494B49" w14:paraId="776C9ED3" w14:textId="77777777">
        <w:tc>
          <w:tcPr>
            <w:tcW w:w="2520" w:type="dxa"/>
          </w:tcPr>
          <w:p w14:paraId="24099CC6" w14:textId="77777777" w:rsidR="00494B49" w:rsidRDefault="00494B49">
            <w:r>
              <w:t xml:space="preserve"> </w:t>
            </w:r>
            <w:r>
              <w:rPr>
                <w:b/>
              </w:rPr>
              <w:t>Net Income/(Loss)</w:t>
            </w:r>
          </w:p>
        </w:tc>
        <w:tc>
          <w:tcPr>
            <w:tcW w:w="2520" w:type="dxa"/>
          </w:tcPr>
          <w:p w14:paraId="1FD020EA" w14:textId="77777777" w:rsidR="00494B49" w:rsidRDefault="00494B49">
            <w:r>
              <w:t>$0</w:t>
            </w:r>
          </w:p>
        </w:tc>
        <w:tc>
          <w:tcPr>
            <w:tcW w:w="2520" w:type="dxa"/>
          </w:tcPr>
          <w:p w14:paraId="0E8B6157" w14:textId="77777777" w:rsidR="00494B49" w:rsidRDefault="00494B49">
            <w:r>
              <w:t>$2,000</w:t>
            </w:r>
          </w:p>
        </w:tc>
        <w:tc>
          <w:tcPr>
            <w:tcW w:w="2520" w:type="dxa"/>
          </w:tcPr>
          <w:p w14:paraId="14220027" w14:textId="77777777" w:rsidR="00494B49" w:rsidRDefault="00494B49">
            <w:r>
              <w:t>$2,000</w:t>
            </w:r>
          </w:p>
        </w:tc>
      </w:tr>
    </w:tbl>
    <w:p w14:paraId="1D15E982" w14:textId="77777777" w:rsidR="00494B49" w:rsidRDefault="00494B49">
      <w:pPr>
        <w:pStyle w:val="BNormal"/>
      </w:pPr>
    </w:p>
    <w:p w14:paraId="6CABE695" w14:textId="77777777" w:rsidR="00494B49" w:rsidRDefault="00494B49">
      <w:pPr>
        <w:pStyle w:val="BListitembul"/>
      </w:pPr>
      <w:r>
        <w:t xml:space="preserve">If the property is rented at a net loss, the loss is a passive loss and is subject to the general passive loss rules regarding use and carryforward. </w:t>
      </w:r>
    </w:p>
    <w:p w14:paraId="19B9D17A" w14:textId="77777777" w:rsidR="00494B49" w:rsidRDefault="00494B49">
      <w:pPr>
        <w:pStyle w:val="BListitembul"/>
      </w:pPr>
      <w:r>
        <w:t xml:space="preserve">If the property is rented at a net loss and the suspended passive loss is carried forward to a year when the property is rented at a profit, the suspended loss is taken into account in determining the profit or loss for purposes of applying the income recharacterization rule in Reg. §1.469-2(f)(6). If there is a profit, after the use of any carryforward loss, the net profit is recharacterized as nonpassive under Reg. §1.469-2(f)(6). </w:t>
      </w:r>
    </w:p>
    <w:p w14:paraId="08A5E5CD" w14:textId="77777777" w:rsidR="00494B49" w:rsidRDefault="00494B49">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5F6DB0F4" w14:textId="77777777" w:rsidR="00494B49" w:rsidRDefault="00494B49" w:rsidP="006951DA">
      <w:pPr>
        <w:pStyle w:val="BHead4"/>
        <w:keepNext/>
        <w:keepLines/>
      </w:pPr>
      <w:r>
        <w:lastRenderedPageBreak/>
        <w:t>(2) Self-Charged Rent Rules for NIIT Purposes</w:t>
      </w:r>
    </w:p>
    <w:p w14:paraId="0E2A656C" w14:textId="77777777" w:rsidR="00494B49" w:rsidRDefault="00494B49" w:rsidP="006951DA">
      <w:pPr>
        <w:pStyle w:val="BNormal"/>
        <w:keepNext/>
        <w:keepLines/>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4"/>
      </w:r>
    </w:p>
    <w:p w14:paraId="0B819F7A" w14:textId="77777777" w:rsidR="00494B49" w:rsidRDefault="00494B49">
      <w:pPr>
        <w:pStyle w:val="BHead5"/>
      </w:pPr>
      <w:r>
        <w:t>(a) Excluded Rental Income</w:t>
      </w:r>
    </w:p>
    <w:p w14:paraId="06CFCA7D" w14:textId="77777777" w:rsidR="00494B49" w:rsidRDefault="00494B49">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which the taxpayer materially participates), the gross rental income is deemed to be derived in the ordinary course of a trade or business.</w:t>
      </w:r>
      <w:r>
        <w:rPr>
          <w:rStyle w:val="FootnoteReference"/>
        </w:rPr>
        <w:footnoteReference w:id="305"/>
      </w:r>
    </w:p>
    <w:p w14:paraId="6C97D59B" w14:textId="77777777" w:rsidR="00494B49" w:rsidRDefault="00494B49" w:rsidP="006951DA">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17EA7DFE"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5B09FF83" w14:textId="77777777">
        <w:tc>
          <w:tcPr>
            <w:tcW w:w="2520" w:type="dxa"/>
          </w:tcPr>
          <w:p w14:paraId="19F0354B" w14:textId="77777777" w:rsidR="00494B49" w:rsidRDefault="00494B49"/>
        </w:tc>
        <w:tc>
          <w:tcPr>
            <w:tcW w:w="2520" w:type="dxa"/>
          </w:tcPr>
          <w:p w14:paraId="2F3944AE" w14:textId="77777777" w:rsidR="00494B49" w:rsidRDefault="00494B49">
            <w:r>
              <w:t xml:space="preserve"> </w:t>
            </w:r>
            <w:r>
              <w:rPr>
                <w:b/>
              </w:rPr>
              <w:t>Passive</w:t>
            </w:r>
          </w:p>
        </w:tc>
        <w:tc>
          <w:tcPr>
            <w:tcW w:w="2520" w:type="dxa"/>
          </w:tcPr>
          <w:p w14:paraId="430C9729" w14:textId="77777777" w:rsidR="00494B49" w:rsidRDefault="00494B49">
            <w:r>
              <w:t xml:space="preserve"> </w:t>
            </w:r>
            <w:r>
              <w:rPr>
                <w:b/>
              </w:rPr>
              <w:t>Nonpassive</w:t>
            </w:r>
          </w:p>
        </w:tc>
        <w:tc>
          <w:tcPr>
            <w:tcW w:w="2520" w:type="dxa"/>
          </w:tcPr>
          <w:p w14:paraId="550FD277" w14:textId="77777777" w:rsidR="00494B49" w:rsidRDefault="00494B49">
            <w:r>
              <w:t xml:space="preserve"> </w:t>
            </w:r>
            <w:r>
              <w:rPr>
                <w:b/>
              </w:rPr>
              <w:t>Total</w:t>
            </w:r>
          </w:p>
        </w:tc>
      </w:tr>
      <w:tr w:rsidR="00494B49" w14:paraId="27173CA0" w14:textId="77777777">
        <w:tc>
          <w:tcPr>
            <w:tcW w:w="2520" w:type="dxa"/>
          </w:tcPr>
          <w:p w14:paraId="299C2E17" w14:textId="77777777" w:rsidR="00494B49" w:rsidRDefault="00494B49">
            <w:r>
              <w:t xml:space="preserve"> </w:t>
            </w:r>
            <w:r>
              <w:rPr>
                <w:b/>
              </w:rPr>
              <w:t>Income</w:t>
            </w:r>
          </w:p>
        </w:tc>
        <w:tc>
          <w:tcPr>
            <w:tcW w:w="2520" w:type="dxa"/>
          </w:tcPr>
          <w:p w14:paraId="67A0F89A" w14:textId="77777777" w:rsidR="00494B49" w:rsidRDefault="00494B49">
            <w:r>
              <w:t>$8,000</w:t>
            </w:r>
          </w:p>
        </w:tc>
        <w:tc>
          <w:tcPr>
            <w:tcW w:w="2520" w:type="dxa"/>
          </w:tcPr>
          <w:p w14:paraId="256E1A64" w14:textId="77777777" w:rsidR="00494B49" w:rsidRDefault="00494B49">
            <w:r>
              <w:t>$2,000</w:t>
            </w:r>
          </w:p>
        </w:tc>
        <w:tc>
          <w:tcPr>
            <w:tcW w:w="2520" w:type="dxa"/>
          </w:tcPr>
          <w:p w14:paraId="0BF73E21" w14:textId="77777777" w:rsidR="00494B49" w:rsidRDefault="00494B49">
            <w:r>
              <w:t>$10,000</w:t>
            </w:r>
          </w:p>
        </w:tc>
      </w:tr>
      <w:tr w:rsidR="00494B49" w14:paraId="17166FC0" w14:textId="77777777">
        <w:tc>
          <w:tcPr>
            <w:tcW w:w="2520" w:type="dxa"/>
          </w:tcPr>
          <w:p w14:paraId="417D8849" w14:textId="77777777" w:rsidR="00494B49" w:rsidRDefault="00494B49">
            <w:r>
              <w:t xml:space="preserve"> </w:t>
            </w:r>
            <w:r>
              <w:rPr>
                <w:b/>
              </w:rPr>
              <w:t>Deductions</w:t>
            </w:r>
          </w:p>
        </w:tc>
        <w:tc>
          <w:tcPr>
            <w:tcW w:w="2520" w:type="dxa"/>
          </w:tcPr>
          <w:p w14:paraId="07E24146" w14:textId="77777777" w:rsidR="00494B49" w:rsidRDefault="00494B49">
            <w:r>
              <w:t>($8,000)</w:t>
            </w:r>
          </w:p>
        </w:tc>
        <w:tc>
          <w:tcPr>
            <w:tcW w:w="2520" w:type="dxa"/>
          </w:tcPr>
          <w:p w14:paraId="0DEECB5C" w14:textId="77777777" w:rsidR="00494B49" w:rsidRDefault="00494B49">
            <w:r>
              <w:t>$0</w:t>
            </w:r>
          </w:p>
        </w:tc>
        <w:tc>
          <w:tcPr>
            <w:tcW w:w="2520" w:type="dxa"/>
          </w:tcPr>
          <w:p w14:paraId="1CFC535A" w14:textId="77777777" w:rsidR="00494B49" w:rsidRDefault="00494B49">
            <w:r>
              <w:t>($8,000)</w:t>
            </w:r>
          </w:p>
        </w:tc>
      </w:tr>
      <w:tr w:rsidR="00494B49" w14:paraId="53FCB20D" w14:textId="77777777">
        <w:tc>
          <w:tcPr>
            <w:tcW w:w="2520" w:type="dxa"/>
          </w:tcPr>
          <w:p w14:paraId="52C9DA3D" w14:textId="77777777" w:rsidR="00494B49" w:rsidRDefault="00494B49">
            <w:r>
              <w:t xml:space="preserve"> </w:t>
            </w:r>
            <w:r>
              <w:rPr>
                <w:b/>
              </w:rPr>
              <w:t>Net Income/(Loss)</w:t>
            </w:r>
          </w:p>
        </w:tc>
        <w:tc>
          <w:tcPr>
            <w:tcW w:w="2520" w:type="dxa"/>
          </w:tcPr>
          <w:p w14:paraId="24C6268F" w14:textId="77777777" w:rsidR="00494B49" w:rsidRDefault="00494B49">
            <w:r>
              <w:t>$0</w:t>
            </w:r>
          </w:p>
        </w:tc>
        <w:tc>
          <w:tcPr>
            <w:tcW w:w="2520" w:type="dxa"/>
          </w:tcPr>
          <w:p w14:paraId="60C211F7" w14:textId="77777777" w:rsidR="00494B49" w:rsidRDefault="00494B49">
            <w:r>
              <w:t>$2,000</w:t>
            </w:r>
          </w:p>
        </w:tc>
        <w:tc>
          <w:tcPr>
            <w:tcW w:w="2520" w:type="dxa"/>
          </w:tcPr>
          <w:p w14:paraId="10381EA7" w14:textId="77777777" w:rsidR="00494B49" w:rsidRDefault="00494B49">
            <w:r>
              <w:t>$2,000</w:t>
            </w:r>
          </w:p>
        </w:tc>
      </w:tr>
    </w:tbl>
    <w:p w14:paraId="20477E35" w14:textId="77777777" w:rsidR="00494B49" w:rsidRDefault="00494B49">
      <w:pPr>
        <w:pStyle w:val="BNormal"/>
      </w:pPr>
    </w:p>
    <w:p w14:paraId="71C176CA" w14:textId="77777777" w:rsidR="00494B49" w:rsidRDefault="00494B49">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25F724C9" w14:textId="77777777" w:rsidR="00494B49" w:rsidRDefault="00494B49">
      <w:pPr>
        <w:pStyle w:val="BNormal"/>
      </w:pPr>
      <w:r>
        <w:t xml:space="preserve">In the example above, the rule in Reg. </w:t>
      </w:r>
      <w:smartTag w:uri="http://www.bna.com/sgml2word/cite" w:element="cite.cfr">
        <w:smartTagPr>
          <w:attr w:name="ref" w:val="cfr\26\1.1411-4(g)(6)(i)"/>
        </w:smartTagPr>
        <w:r>
          <w:t>§1.1411-4(g)(6)(</w:t>
        </w:r>
        <w:proofErr w:type="spellStart"/>
        <w:r>
          <w:t>i</w:t>
        </w:r>
        <w:proofErr w:type="spellEnd"/>
        <w:r>
          <w:t>)</w:t>
        </w:r>
      </w:smartTag>
      <w:r>
        <w:t xml:space="preserve"> leaves the gross rental income that is considered passive ($8,000 in the example) as </w:t>
      </w:r>
      <w:smartTag w:uri="http://www.bna.com/sgml2word/cite" w:element="cite.usc">
        <w:smartTagPr>
          <w:attr w:name="ref" w:val="USC\26\1411(c)(1)(A)(i)"/>
        </w:smartTagPr>
        <w:r>
          <w:t>§1411(c)(1)(A)(</w:t>
        </w:r>
        <w:proofErr w:type="spellStart"/>
        <w:r>
          <w:t>i</w:t>
        </w:r>
        <w:proofErr w:type="spellEnd"/>
        <w:r>
          <w:t>)</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154B012C" w14:textId="77777777" w:rsidR="00494B49" w:rsidRDefault="00494B49">
      <w:pPr>
        <w:pStyle w:val="BNormal"/>
      </w:pPr>
      <w:r>
        <w:t xml:space="preserve">To the casual observer, these mechanics may seem academic. But they are relevant, particularly because self-rental is not always considered nonpassive. Consider the following two-year example: </w:t>
      </w:r>
    </w:p>
    <w:p w14:paraId="7978B9C4" w14:textId="77777777" w:rsidR="00494B49" w:rsidRDefault="00494B49" w:rsidP="006951DA">
      <w:pPr>
        <w:pStyle w:val="BNormal"/>
        <w:rPr>
          <w:b/>
        </w:rPr>
      </w:pPr>
      <w:r>
        <w:t xml:space="preserve"> </w:t>
      </w:r>
      <w:r>
        <w:rPr>
          <w:b/>
        </w:rPr>
        <w:t xml:space="preserve">Year 1 </w:t>
      </w:r>
    </w:p>
    <w:p w14:paraId="277B8AAB" w14:textId="77777777" w:rsidR="00494B49" w:rsidRDefault="00494B49" w:rsidP="006951DA">
      <w:pPr>
        <w:pStyle w:val="BNormal"/>
      </w:pPr>
    </w:p>
    <w:tbl>
      <w:tblPr>
        <w:tblStyle w:val="TableGrid"/>
        <w:tblW w:w="0" w:type="auto"/>
        <w:tblLook w:val="04A0" w:firstRow="1" w:lastRow="0" w:firstColumn="1" w:lastColumn="0" w:noHBand="0" w:noVBand="1"/>
      </w:tblPr>
      <w:tblGrid>
        <w:gridCol w:w="2372"/>
        <w:gridCol w:w="2316"/>
        <w:gridCol w:w="2346"/>
        <w:gridCol w:w="2316"/>
      </w:tblGrid>
      <w:tr w:rsidR="00494B49" w14:paraId="352396D2" w14:textId="77777777">
        <w:tc>
          <w:tcPr>
            <w:tcW w:w="2520" w:type="dxa"/>
          </w:tcPr>
          <w:p w14:paraId="49837C57" w14:textId="77777777" w:rsidR="00494B49" w:rsidRDefault="00494B49"/>
        </w:tc>
        <w:tc>
          <w:tcPr>
            <w:tcW w:w="2520" w:type="dxa"/>
          </w:tcPr>
          <w:p w14:paraId="5445F49D" w14:textId="77777777" w:rsidR="00494B49" w:rsidRDefault="00494B49">
            <w:r>
              <w:t xml:space="preserve"> </w:t>
            </w:r>
            <w:r>
              <w:rPr>
                <w:b/>
              </w:rPr>
              <w:t>Passive</w:t>
            </w:r>
          </w:p>
        </w:tc>
        <w:tc>
          <w:tcPr>
            <w:tcW w:w="2520" w:type="dxa"/>
          </w:tcPr>
          <w:p w14:paraId="1AC6112A" w14:textId="77777777" w:rsidR="00494B49" w:rsidRDefault="00494B49">
            <w:r>
              <w:t xml:space="preserve"> </w:t>
            </w:r>
            <w:r>
              <w:rPr>
                <w:b/>
              </w:rPr>
              <w:t>Nonpassive</w:t>
            </w:r>
          </w:p>
        </w:tc>
        <w:tc>
          <w:tcPr>
            <w:tcW w:w="2520" w:type="dxa"/>
          </w:tcPr>
          <w:p w14:paraId="3B8D41D7" w14:textId="77777777" w:rsidR="00494B49" w:rsidRDefault="00494B49">
            <w:r>
              <w:t xml:space="preserve"> </w:t>
            </w:r>
            <w:r>
              <w:rPr>
                <w:b/>
              </w:rPr>
              <w:t>Total</w:t>
            </w:r>
          </w:p>
        </w:tc>
      </w:tr>
      <w:tr w:rsidR="00494B49" w14:paraId="0DC03AEA" w14:textId="77777777">
        <w:tc>
          <w:tcPr>
            <w:tcW w:w="2520" w:type="dxa"/>
          </w:tcPr>
          <w:p w14:paraId="315DB53B" w14:textId="77777777" w:rsidR="00494B49" w:rsidRDefault="00494B49">
            <w:r>
              <w:t xml:space="preserve"> </w:t>
            </w:r>
            <w:r>
              <w:rPr>
                <w:b/>
              </w:rPr>
              <w:t>Income</w:t>
            </w:r>
          </w:p>
        </w:tc>
        <w:tc>
          <w:tcPr>
            <w:tcW w:w="2520" w:type="dxa"/>
          </w:tcPr>
          <w:p w14:paraId="72FE6216" w14:textId="77777777" w:rsidR="00494B49" w:rsidRDefault="00494B49">
            <w:r>
              <w:t>$10,000</w:t>
            </w:r>
          </w:p>
        </w:tc>
        <w:tc>
          <w:tcPr>
            <w:tcW w:w="2520" w:type="dxa"/>
          </w:tcPr>
          <w:p w14:paraId="2405D50A" w14:textId="77777777" w:rsidR="00494B49" w:rsidRDefault="00494B49">
            <w:r>
              <w:t>$0</w:t>
            </w:r>
          </w:p>
        </w:tc>
        <w:tc>
          <w:tcPr>
            <w:tcW w:w="2520" w:type="dxa"/>
          </w:tcPr>
          <w:p w14:paraId="0ECA9B9B" w14:textId="77777777" w:rsidR="00494B49" w:rsidRDefault="00494B49">
            <w:r>
              <w:t>$10,000</w:t>
            </w:r>
          </w:p>
        </w:tc>
      </w:tr>
      <w:tr w:rsidR="00494B49" w14:paraId="0C994E94" w14:textId="77777777">
        <w:tc>
          <w:tcPr>
            <w:tcW w:w="2520" w:type="dxa"/>
          </w:tcPr>
          <w:p w14:paraId="22A0DFED" w14:textId="77777777" w:rsidR="00494B49" w:rsidRDefault="00494B49">
            <w:r>
              <w:t xml:space="preserve"> </w:t>
            </w:r>
            <w:r>
              <w:rPr>
                <w:b/>
              </w:rPr>
              <w:t>Deductions</w:t>
            </w:r>
          </w:p>
        </w:tc>
        <w:tc>
          <w:tcPr>
            <w:tcW w:w="2520" w:type="dxa"/>
          </w:tcPr>
          <w:p w14:paraId="10BB546D" w14:textId="77777777" w:rsidR="00494B49" w:rsidRDefault="00494B49">
            <w:r>
              <w:t>($11,000)</w:t>
            </w:r>
          </w:p>
        </w:tc>
        <w:tc>
          <w:tcPr>
            <w:tcW w:w="2520" w:type="dxa"/>
          </w:tcPr>
          <w:p w14:paraId="7DA29E74" w14:textId="77777777" w:rsidR="00494B49" w:rsidRDefault="00494B49">
            <w:r>
              <w:t>$0</w:t>
            </w:r>
          </w:p>
        </w:tc>
        <w:tc>
          <w:tcPr>
            <w:tcW w:w="2520" w:type="dxa"/>
          </w:tcPr>
          <w:p w14:paraId="62A5C592" w14:textId="77777777" w:rsidR="00494B49" w:rsidRDefault="00494B49">
            <w:r>
              <w:t>($11,000)</w:t>
            </w:r>
          </w:p>
        </w:tc>
      </w:tr>
      <w:tr w:rsidR="00494B49" w14:paraId="6B9922B2" w14:textId="77777777">
        <w:tc>
          <w:tcPr>
            <w:tcW w:w="2520" w:type="dxa"/>
          </w:tcPr>
          <w:p w14:paraId="706843C0" w14:textId="77777777" w:rsidR="00494B49" w:rsidRDefault="00494B49">
            <w:r>
              <w:t xml:space="preserve"> </w:t>
            </w:r>
            <w:r>
              <w:rPr>
                <w:b/>
              </w:rPr>
              <w:t xml:space="preserve">Loss Suspended </w:t>
            </w:r>
          </w:p>
        </w:tc>
        <w:tc>
          <w:tcPr>
            <w:tcW w:w="2520" w:type="dxa"/>
          </w:tcPr>
          <w:p w14:paraId="6AFC2198" w14:textId="77777777" w:rsidR="00494B49" w:rsidRDefault="00494B49">
            <w:r>
              <w:t>$1,000</w:t>
            </w:r>
          </w:p>
        </w:tc>
        <w:tc>
          <w:tcPr>
            <w:tcW w:w="2520" w:type="dxa"/>
          </w:tcPr>
          <w:p w14:paraId="65A1C65E" w14:textId="77777777" w:rsidR="00494B49" w:rsidRDefault="00494B49">
            <w:r>
              <w:t>$0</w:t>
            </w:r>
          </w:p>
        </w:tc>
        <w:tc>
          <w:tcPr>
            <w:tcW w:w="2520" w:type="dxa"/>
          </w:tcPr>
          <w:p w14:paraId="0A43F19F" w14:textId="77777777" w:rsidR="00494B49" w:rsidRDefault="00494B49">
            <w:r>
              <w:t>$1,000</w:t>
            </w:r>
          </w:p>
        </w:tc>
      </w:tr>
      <w:tr w:rsidR="00494B49" w14:paraId="2A11A884" w14:textId="77777777">
        <w:tc>
          <w:tcPr>
            <w:tcW w:w="2520" w:type="dxa"/>
          </w:tcPr>
          <w:p w14:paraId="6CD500DF" w14:textId="77777777" w:rsidR="00494B49" w:rsidRDefault="00494B49">
            <w:r>
              <w:t xml:space="preserve"> </w:t>
            </w:r>
            <w:r>
              <w:rPr>
                <w:b/>
              </w:rPr>
              <w:t>Net Income/(Loss)</w:t>
            </w:r>
          </w:p>
        </w:tc>
        <w:tc>
          <w:tcPr>
            <w:tcW w:w="2520" w:type="dxa"/>
          </w:tcPr>
          <w:p w14:paraId="428F4EBE" w14:textId="77777777" w:rsidR="00494B49" w:rsidRDefault="00494B49">
            <w:r>
              <w:t>$0</w:t>
            </w:r>
          </w:p>
        </w:tc>
        <w:tc>
          <w:tcPr>
            <w:tcW w:w="2520" w:type="dxa"/>
          </w:tcPr>
          <w:p w14:paraId="0ECC9FE0" w14:textId="77777777" w:rsidR="00494B49" w:rsidRDefault="00494B49">
            <w:r>
              <w:t>$0</w:t>
            </w:r>
          </w:p>
        </w:tc>
        <w:tc>
          <w:tcPr>
            <w:tcW w:w="2520" w:type="dxa"/>
          </w:tcPr>
          <w:p w14:paraId="5B1E077A" w14:textId="77777777" w:rsidR="00494B49" w:rsidRDefault="00494B49">
            <w:r>
              <w:t>$0</w:t>
            </w:r>
          </w:p>
        </w:tc>
      </w:tr>
    </w:tbl>
    <w:p w14:paraId="027A9797" w14:textId="77777777" w:rsidR="00494B49" w:rsidRDefault="00494B49">
      <w:pPr>
        <w:pStyle w:val="BNormal"/>
      </w:pPr>
    </w:p>
    <w:p w14:paraId="341621D8" w14:textId="77777777" w:rsidR="00494B49" w:rsidRDefault="00494B49" w:rsidP="006951DA">
      <w:pPr>
        <w:pStyle w:val="BNormal"/>
        <w:rPr>
          <w:b/>
        </w:rPr>
      </w:pPr>
      <w:r>
        <w:lastRenderedPageBreak/>
        <w:t xml:space="preserve"> </w:t>
      </w:r>
      <w:r>
        <w:rPr>
          <w:b/>
        </w:rPr>
        <w:t>Year 2</w:t>
      </w:r>
    </w:p>
    <w:p w14:paraId="501D38D5"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03E6E208" w14:textId="77777777">
        <w:tc>
          <w:tcPr>
            <w:tcW w:w="2520" w:type="dxa"/>
          </w:tcPr>
          <w:p w14:paraId="0C1A1A4D" w14:textId="77777777" w:rsidR="00494B49" w:rsidRDefault="00494B49"/>
        </w:tc>
        <w:tc>
          <w:tcPr>
            <w:tcW w:w="2520" w:type="dxa"/>
          </w:tcPr>
          <w:p w14:paraId="606FA40F" w14:textId="77777777" w:rsidR="00494B49" w:rsidRDefault="00494B49">
            <w:r>
              <w:t xml:space="preserve"> </w:t>
            </w:r>
            <w:r>
              <w:rPr>
                <w:b/>
              </w:rPr>
              <w:t>Passive</w:t>
            </w:r>
          </w:p>
        </w:tc>
        <w:tc>
          <w:tcPr>
            <w:tcW w:w="2520" w:type="dxa"/>
          </w:tcPr>
          <w:p w14:paraId="35F5B41C" w14:textId="77777777" w:rsidR="00494B49" w:rsidRDefault="00494B49">
            <w:r>
              <w:t xml:space="preserve"> </w:t>
            </w:r>
            <w:r>
              <w:rPr>
                <w:b/>
              </w:rPr>
              <w:t>Nonpassive</w:t>
            </w:r>
          </w:p>
        </w:tc>
        <w:tc>
          <w:tcPr>
            <w:tcW w:w="2520" w:type="dxa"/>
          </w:tcPr>
          <w:p w14:paraId="2E0B55CA" w14:textId="77777777" w:rsidR="00494B49" w:rsidRDefault="00494B49">
            <w:r>
              <w:t xml:space="preserve"> </w:t>
            </w:r>
            <w:r>
              <w:rPr>
                <w:b/>
              </w:rPr>
              <w:t>Total</w:t>
            </w:r>
          </w:p>
        </w:tc>
      </w:tr>
      <w:tr w:rsidR="00494B49" w14:paraId="4523B27B" w14:textId="77777777">
        <w:tc>
          <w:tcPr>
            <w:tcW w:w="2520" w:type="dxa"/>
          </w:tcPr>
          <w:p w14:paraId="4B79F07F" w14:textId="77777777" w:rsidR="00494B49" w:rsidRDefault="00494B49">
            <w:r>
              <w:t xml:space="preserve"> </w:t>
            </w:r>
            <w:r>
              <w:rPr>
                <w:b/>
              </w:rPr>
              <w:t>Income</w:t>
            </w:r>
          </w:p>
        </w:tc>
        <w:tc>
          <w:tcPr>
            <w:tcW w:w="2520" w:type="dxa"/>
          </w:tcPr>
          <w:p w14:paraId="200C1CB1" w14:textId="77777777" w:rsidR="00494B49" w:rsidRDefault="00494B49">
            <w:r>
              <w:t>$9,000</w:t>
            </w:r>
          </w:p>
        </w:tc>
        <w:tc>
          <w:tcPr>
            <w:tcW w:w="2520" w:type="dxa"/>
          </w:tcPr>
          <w:p w14:paraId="0BB58301" w14:textId="77777777" w:rsidR="00494B49" w:rsidRDefault="00494B49">
            <w:r>
              <w:t>$1,000</w:t>
            </w:r>
          </w:p>
        </w:tc>
        <w:tc>
          <w:tcPr>
            <w:tcW w:w="2520" w:type="dxa"/>
          </w:tcPr>
          <w:p w14:paraId="4D6F6287" w14:textId="77777777" w:rsidR="00494B49" w:rsidRDefault="00494B49">
            <w:r>
              <w:t>$10,000</w:t>
            </w:r>
          </w:p>
        </w:tc>
      </w:tr>
      <w:tr w:rsidR="00494B49" w14:paraId="669B5FD0" w14:textId="77777777">
        <w:tc>
          <w:tcPr>
            <w:tcW w:w="2520" w:type="dxa"/>
          </w:tcPr>
          <w:p w14:paraId="0582DF92" w14:textId="77777777" w:rsidR="00494B49" w:rsidRDefault="00494B49">
            <w:r>
              <w:t xml:space="preserve"> </w:t>
            </w:r>
            <w:r>
              <w:rPr>
                <w:b/>
              </w:rPr>
              <w:t>Deductions</w:t>
            </w:r>
          </w:p>
        </w:tc>
        <w:tc>
          <w:tcPr>
            <w:tcW w:w="2520" w:type="dxa"/>
          </w:tcPr>
          <w:p w14:paraId="08C79113" w14:textId="77777777" w:rsidR="00494B49" w:rsidRDefault="00494B49">
            <w:r>
              <w:t>($8,000)</w:t>
            </w:r>
          </w:p>
        </w:tc>
        <w:tc>
          <w:tcPr>
            <w:tcW w:w="2520" w:type="dxa"/>
          </w:tcPr>
          <w:p w14:paraId="6B153FBF" w14:textId="77777777" w:rsidR="00494B49" w:rsidRDefault="00494B49">
            <w:r>
              <w:t>$0</w:t>
            </w:r>
          </w:p>
        </w:tc>
        <w:tc>
          <w:tcPr>
            <w:tcW w:w="2520" w:type="dxa"/>
          </w:tcPr>
          <w:p w14:paraId="293B64EB" w14:textId="77777777" w:rsidR="00494B49" w:rsidRDefault="00494B49">
            <w:r>
              <w:t>($8,000)</w:t>
            </w:r>
          </w:p>
        </w:tc>
      </w:tr>
      <w:tr w:rsidR="00494B49" w14:paraId="0BC3E8A1" w14:textId="77777777">
        <w:tc>
          <w:tcPr>
            <w:tcW w:w="2520" w:type="dxa"/>
          </w:tcPr>
          <w:p w14:paraId="71B7A399" w14:textId="77777777" w:rsidR="00494B49" w:rsidRDefault="00494B49">
            <w:r>
              <w:t xml:space="preserve"> </w:t>
            </w:r>
            <w:r>
              <w:rPr>
                <w:b/>
              </w:rPr>
              <w:t>Year 1 Loss Allowed</w:t>
            </w:r>
          </w:p>
        </w:tc>
        <w:tc>
          <w:tcPr>
            <w:tcW w:w="2520" w:type="dxa"/>
          </w:tcPr>
          <w:p w14:paraId="2D0C1A25" w14:textId="77777777" w:rsidR="00494B49" w:rsidRDefault="00494B49">
            <w:r>
              <w:t>($1,000)</w:t>
            </w:r>
          </w:p>
        </w:tc>
        <w:tc>
          <w:tcPr>
            <w:tcW w:w="2520" w:type="dxa"/>
          </w:tcPr>
          <w:p w14:paraId="4453D721" w14:textId="77777777" w:rsidR="00494B49" w:rsidRDefault="00494B49">
            <w:r>
              <w:t>$0</w:t>
            </w:r>
          </w:p>
        </w:tc>
        <w:tc>
          <w:tcPr>
            <w:tcW w:w="2520" w:type="dxa"/>
          </w:tcPr>
          <w:p w14:paraId="5F70F716" w14:textId="77777777" w:rsidR="00494B49" w:rsidRDefault="00494B49">
            <w:r>
              <w:t>($8,000)</w:t>
            </w:r>
          </w:p>
        </w:tc>
      </w:tr>
      <w:tr w:rsidR="00494B49" w14:paraId="58671E5B" w14:textId="77777777">
        <w:tc>
          <w:tcPr>
            <w:tcW w:w="2520" w:type="dxa"/>
          </w:tcPr>
          <w:p w14:paraId="75C00F99" w14:textId="77777777" w:rsidR="00494B49" w:rsidRDefault="00494B49">
            <w:r>
              <w:t xml:space="preserve"> </w:t>
            </w:r>
            <w:r>
              <w:rPr>
                <w:b/>
              </w:rPr>
              <w:t>Net Income/(Loss)</w:t>
            </w:r>
          </w:p>
        </w:tc>
        <w:tc>
          <w:tcPr>
            <w:tcW w:w="2520" w:type="dxa"/>
          </w:tcPr>
          <w:p w14:paraId="642359BD" w14:textId="77777777" w:rsidR="00494B49" w:rsidRDefault="00494B49">
            <w:r>
              <w:t>$0</w:t>
            </w:r>
          </w:p>
        </w:tc>
        <w:tc>
          <w:tcPr>
            <w:tcW w:w="2520" w:type="dxa"/>
          </w:tcPr>
          <w:p w14:paraId="3B369CEC" w14:textId="77777777" w:rsidR="00494B49" w:rsidRDefault="00494B49">
            <w:r>
              <w:t>$1,000</w:t>
            </w:r>
          </w:p>
        </w:tc>
        <w:tc>
          <w:tcPr>
            <w:tcW w:w="2520" w:type="dxa"/>
          </w:tcPr>
          <w:p w14:paraId="392EEDD7" w14:textId="77777777" w:rsidR="00494B49" w:rsidRDefault="00494B49">
            <w:r>
              <w:t>$1,000</w:t>
            </w:r>
          </w:p>
        </w:tc>
      </w:tr>
    </w:tbl>
    <w:p w14:paraId="07046D51" w14:textId="77777777" w:rsidR="00494B49" w:rsidRDefault="00494B49">
      <w:pPr>
        <w:pStyle w:val="BNormal"/>
      </w:pPr>
    </w:p>
    <w:p w14:paraId="4FE27140" w14:textId="77777777" w:rsidR="00494B49" w:rsidRDefault="00494B49">
      <w:pPr>
        <w:pStyle w:val="BNormal"/>
      </w:pPr>
      <w:r>
        <w:t xml:space="preserve">In the example above, none of the taxpayer’s income is recharacterized as nonpassive because the self-rental has passive deductions ($11,000) in excess of passive income ($10,000). Therefore, the special rule in Reg. </w:t>
      </w:r>
      <w:smartTag w:uri="http://www.bna.com/sgml2word/cite" w:element="cite.cfr">
        <w:smartTagPr>
          <w:attr w:name="ref" w:val="cfr\26\1.1411-4(g)(6)(i)"/>
        </w:smartTagPr>
        <w:r>
          <w:t>§1.1411-4(g)(6)(</w:t>
        </w:r>
        <w:proofErr w:type="spellStart"/>
        <w:r>
          <w:t>i</w:t>
        </w:r>
        <w:proofErr w:type="spellEnd"/>
        <w:r>
          <w:t>)</w:t>
        </w:r>
      </w:smartTag>
      <w:r>
        <w:t xml:space="preserve"> is not activated. For net investment income purposes, the taxpayer has $10,000 of </w:t>
      </w:r>
      <w:smartTag w:uri="http://www.bna.com/sgml2word/cite" w:element="cite.usc">
        <w:smartTagPr>
          <w:attr w:name="ref" w:val="USC\26\1411(c)(1)(A)(i)"/>
        </w:smartTagPr>
        <w:r>
          <w:t>§1411(c)(1)(A)(</w:t>
        </w:r>
        <w:proofErr w:type="spellStart"/>
        <w:r>
          <w:t>i</w:t>
        </w:r>
        <w:proofErr w:type="spellEnd"/>
        <w:r>
          <w:t>)</w:t>
        </w:r>
      </w:smartTag>
      <w:r>
        <w:t xml:space="preserve"> income and $10,000 of </w:t>
      </w:r>
      <w:smartTag w:uri="http://www.bna.com/sgml2word/cite" w:element="cite.usc">
        <w:smartTagPr>
          <w:attr w:name="ref" w:val="USC\26\1411(c)(1)(B)"/>
        </w:smartTagPr>
        <w:r>
          <w:t>§1411(c)(1)(B)</w:t>
        </w:r>
      </w:smartTag>
      <w:r>
        <w:t xml:space="preserve"> deductions. </w:t>
      </w:r>
    </w:p>
    <w:p w14:paraId="3D1F8043" w14:textId="77777777" w:rsidR="00494B49" w:rsidRDefault="00494B49">
      <w:pPr>
        <w:pStyle w:val="BNormal"/>
      </w:pPr>
      <w:r>
        <w:t>In Year 2, due to the mechanics of the passive loss rules, the suspended $1,000 of deductions from Year 1 are treated as accruing in Year 2.</w:t>
      </w:r>
      <w:r>
        <w:rPr>
          <w:rStyle w:val="FootnoteReference"/>
        </w:rPr>
        <w:footnoteReference w:id="306"/>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w:t>
        </w:r>
        <w:proofErr w:type="spellStart"/>
        <w:r>
          <w:t>i</w:t>
        </w:r>
        <w:proofErr w:type="spellEnd"/>
        <w:r>
          <w:t>)</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w:t>
        </w:r>
        <w:proofErr w:type="spellStart"/>
        <w:r>
          <w:t>i</w:t>
        </w:r>
        <w:proofErr w:type="spellEnd"/>
        <w:r>
          <w:t>)</w:t>
        </w:r>
      </w:smartTag>
      <w:r>
        <w:t xml:space="preserve"> excludes the $1,000 of nonpassive rental income. </w:t>
      </w:r>
    </w:p>
    <w:p w14:paraId="7C886646" w14:textId="77777777" w:rsidR="00494B49" w:rsidRDefault="00494B49">
      <w:pPr>
        <w:pStyle w:val="BHead5"/>
      </w:pPr>
      <w:r>
        <w:t>(b) Exclusion of Gain on Disposition of Self-Rented Property</w:t>
      </w:r>
    </w:p>
    <w:p w14:paraId="17C886C4" w14:textId="77777777" w:rsidR="00494B49" w:rsidRDefault="00494B49">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7"/>
      </w:r>
    </w:p>
    <w:p w14:paraId="02E6C015" w14:textId="77777777" w:rsidR="00494B49" w:rsidRDefault="00494B49">
      <w:pPr>
        <w:pStyle w:val="BNormal"/>
      </w:pPr>
      <w:r>
        <w:t xml:space="preserve">As with the self-rental income, only the portion of the gain that is considered nonpassive is excluded from net investment income. This may appear intuitive, but consider the following example: </w:t>
      </w:r>
    </w:p>
    <w:p w14:paraId="6963A5EA" w14:textId="77777777" w:rsidR="00494B49" w:rsidRDefault="00494B49" w:rsidP="006951DA">
      <w:pPr>
        <w:pStyle w:val="BNormal"/>
        <w:rPr>
          <w:b/>
        </w:rPr>
      </w:pPr>
      <w:r>
        <w:t xml:space="preserve"> </w:t>
      </w:r>
      <w:r>
        <w:rPr>
          <w:b/>
        </w:rPr>
        <w:t xml:space="preserve">Year 1 </w:t>
      </w:r>
    </w:p>
    <w:p w14:paraId="2EE0FC5F" w14:textId="77777777" w:rsidR="00494B49" w:rsidRDefault="00494B49" w:rsidP="006951DA">
      <w:pPr>
        <w:pStyle w:val="BNormal"/>
      </w:pPr>
    </w:p>
    <w:tbl>
      <w:tblPr>
        <w:tblStyle w:val="TableGrid"/>
        <w:tblW w:w="0" w:type="auto"/>
        <w:tblLook w:val="04A0" w:firstRow="1" w:lastRow="0" w:firstColumn="1" w:lastColumn="0" w:noHBand="0" w:noVBand="1"/>
      </w:tblPr>
      <w:tblGrid>
        <w:gridCol w:w="2369"/>
        <w:gridCol w:w="2317"/>
        <w:gridCol w:w="2347"/>
        <w:gridCol w:w="2317"/>
      </w:tblGrid>
      <w:tr w:rsidR="00494B49" w14:paraId="1BB88C94" w14:textId="77777777">
        <w:tc>
          <w:tcPr>
            <w:tcW w:w="2520" w:type="dxa"/>
          </w:tcPr>
          <w:p w14:paraId="083E8462" w14:textId="77777777" w:rsidR="00494B49" w:rsidRDefault="00494B49"/>
        </w:tc>
        <w:tc>
          <w:tcPr>
            <w:tcW w:w="2520" w:type="dxa"/>
          </w:tcPr>
          <w:p w14:paraId="61695C19" w14:textId="77777777" w:rsidR="00494B49" w:rsidRDefault="00494B49">
            <w:r>
              <w:t xml:space="preserve"> </w:t>
            </w:r>
            <w:r>
              <w:rPr>
                <w:b/>
              </w:rPr>
              <w:t>Passive</w:t>
            </w:r>
          </w:p>
        </w:tc>
        <w:tc>
          <w:tcPr>
            <w:tcW w:w="2520" w:type="dxa"/>
          </w:tcPr>
          <w:p w14:paraId="21FF0346" w14:textId="77777777" w:rsidR="00494B49" w:rsidRDefault="00494B49">
            <w:r>
              <w:t xml:space="preserve"> </w:t>
            </w:r>
            <w:r>
              <w:rPr>
                <w:b/>
              </w:rPr>
              <w:t>Nonpassive</w:t>
            </w:r>
          </w:p>
        </w:tc>
        <w:tc>
          <w:tcPr>
            <w:tcW w:w="2520" w:type="dxa"/>
          </w:tcPr>
          <w:p w14:paraId="4F2D6640" w14:textId="77777777" w:rsidR="00494B49" w:rsidRDefault="00494B49">
            <w:r>
              <w:t xml:space="preserve"> </w:t>
            </w:r>
            <w:r>
              <w:rPr>
                <w:b/>
              </w:rPr>
              <w:t>Total</w:t>
            </w:r>
          </w:p>
        </w:tc>
      </w:tr>
      <w:tr w:rsidR="00494B49" w14:paraId="25078C75" w14:textId="77777777">
        <w:tc>
          <w:tcPr>
            <w:tcW w:w="2520" w:type="dxa"/>
          </w:tcPr>
          <w:p w14:paraId="11F5CFC0" w14:textId="77777777" w:rsidR="00494B49" w:rsidRDefault="00494B49">
            <w:r>
              <w:t xml:space="preserve"> </w:t>
            </w:r>
            <w:r>
              <w:rPr>
                <w:b/>
              </w:rPr>
              <w:t>Income</w:t>
            </w:r>
          </w:p>
        </w:tc>
        <w:tc>
          <w:tcPr>
            <w:tcW w:w="2520" w:type="dxa"/>
          </w:tcPr>
          <w:p w14:paraId="1E2FC541" w14:textId="77777777" w:rsidR="00494B49" w:rsidRDefault="00494B49">
            <w:r>
              <w:t>$10,000</w:t>
            </w:r>
          </w:p>
        </w:tc>
        <w:tc>
          <w:tcPr>
            <w:tcW w:w="2520" w:type="dxa"/>
          </w:tcPr>
          <w:p w14:paraId="29AF138D" w14:textId="77777777" w:rsidR="00494B49" w:rsidRDefault="00494B49">
            <w:r>
              <w:t>$0</w:t>
            </w:r>
          </w:p>
        </w:tc>
        <w:tc>
          <w:tcPr>
            <w:tcW w:w="2520" w:type="dxa"/>
          </w:tcPr>
          <w:p w14:paraId="3C8DBFE5" w14:textId="77777777" w:rsidR="00494B49" w:rsidRDefault="00494B49">
            <w:r>
              <w:t>$10,000</w:t>
            </w:r>
          </w:p>
        </w:tc>
      </w:tr>
      <w:tr w:rsidR="00494B49" w14:paraId="52B4D560" w14:textId="77777777">
        <w:tc>
          <w:tcPr>
            <w:tcW w:w="2520" w:type="dxa"/>
          </w:tcPr>
          <w:p w14:paraId="2DA43D4C" w14:textId="77777777" w:rsidR="00494B49" w:rsidRDefault="00494B49">
            <w:r>
              <w:t xml:space="preserve"> </w:t>
            </w:r>
            <w:r>
              <w:rPr>
                <w:b/>
              </w:rPr>
              <w:t>Deductions</w:t>
            </w:r>
          </w:p>
        </w:tc>
        <w:tc>
          <w:tcPr>
            <w:tcW w:w="2520" w:type="dxa"/>
          </w:tcPr>
          <w:p w14:paraId="10D04974" w14:textId="77777777" w:rsidR="00494B49" w:rsidRDefault="00494B49">
            <w:r>
              <w:t>($11,000)</w:t>
            </w:r>
          </w:p>
        </w:tc>
        <w:tc>
          <w:tcPr>
            <w:tcW w:w="2520" w:type="dxa"/>
          </w:tcPr>
          <w:p w14:paraId="219EAD80" w14:textId="77777777" w:rsidR="00494B49" w:rsidRDefault="00494B49">
            <w:r>
              <w:t>$0</w:t>
            </w:r>
          </w:p>
        </w:tc>
        <w:tc>
          <w:tcPr>
            <w:tcW w:w="2520" w:type="dxa"/>
          </w:tcPr>
          <w:p w14:paraId="5F72D07B" w14:textId="77777777" w:rsidR="00494B49" w:rsidRDefault="00494B49">
            <w:r>
              <w:t>($11,000)</w:t>
            </w:r>
          </w:p>
        </w:tc>
      </w:tr>
      <w:tr w:rsidR="00494B49" w14:paraId="7C5E4107" w14:textId="77777777">
        <w:tc>
          <w:tcPr>
            <w:tcW w:w="2520" w:type="dxa"/>
          </w:tcPr>
          <w:p w14:paraId="7E6AA3C8" w14:textId="77777777" w:rsidR="00494B49" w:rsidRDefault="00494B49">
            <w:r>
              <w:t xml:space="preserve"> </w:t>
            </w:r>
            <w:r>
              <w:rPr>
                <w:b/>
              </w:rPr>
              <w:t xml:space="preserve">Loss suspended </w:t>
            </w:r>
          </w:p>
        </w:tc>
        <w:tc>
          <w:tcPr>
            <w:tcW w:w="2520" w:type="dxa"/>
          </w:tcPr>
          <w:p w14:paraId="5C1A1CAD" w14:textId="77777777" w:rsidR="00494B49" w:rsidRDefault="00494B49">
            <w:r>
              <w:t>$1,000</w:t>
            </w:r>
          </w:p>
        </w:tc>
        <w:tc>
          <w:tcPr>
            <w:tcW w:w="2520" w:type="dxa"/>
          </w:tcPr>
          <w:p w14:paraId="70CAFDC6" w14:textId="77777777" w:rsidR="00494B49" w:rsidRDefault="00494B49">
            <w:r>
              <w:t>$0</w:t>
            </w:r>
          </w:p>
        </w:tc>
        <w:tc>
          <w:tcPr>
            <w:tcW w:w="2520" w:type="dxa"/>
          </w:tcPr>
          <w:p w14:paraId="36768878" w14:textId="77777777" w:rsidR="00494B49" w:rsidRDefault="00494B49">
            <w:r>
              <w:t>$1,000</w:t>
            </w:r>
          </w:p>
        </w:tc>
      </w:tr>
      <w:tr w:rsidR="00494B49" w14:paraId="3FEF84AE" w14:textId="77777777">
        <w:tc>
          <w:tcPr>
            <w:tcW w:w="2520" w:type="dxa"/>
          </w:tcPr>
          <w:p w14:paraId="46F196CA" w14:textId="77777777" w:rsidR="00494B49" w:rsidRDefault="00494B49">
            <w:r>
              <w:t xml:space="preserve"> </w:t>
            </w:r>
            <w:r>
              <w:rPr>
                <w:b/>
              </w:rPr>
              <w:t>Net income/(loss)</w:t>
            </w:r>
          </w:p>
        </w:tc>
        <w:tc>
          <w:tcPr>
            <w:tcW w:w="2520" w:type="dxa"/>
          </w:tcPr>
          <w:p w14:paraId="3D3296EE" w14:textId="77777777" w:rsidR="00494B49" w:rsidRDefault="00494B49">
            <w:r>
              <w:t>$0</w:t>
            </w:r>
          </w:p>
        </w:tc>
        <w:tc>
          <w:tcPr>
            <w:tcW w:w="2520" w:type="dxa"/>
          </w:tcPr>
          <w:p w14:paraId="58D4F03E" w14:textId="77777777" w:rsidR="00494B49" w:rsidRDefault="00494B49">
            <w:r>
              <w:t>$0</w:t>
            </w:r>
          </w:p>
        </w:tc>
        <w:tc>
          <w:tcPr>
            <w:tcW w:w="2520" w:type="dxa"/>
          </w:tcPr>
          <w:p w14:paraId="7C1154CF" w14:textId="77777777" w:rsidR="00494B49" w:rsidRDefault="00494B49">
            <w:r>
              <w:t>$0</w:t>
            </w:r>
          </w:p>
        </w:tc>
      </w:tr>
    </w:tbl>
    <w:p w14:paraId="62C1EE3C" w14:textId="77777777" w:rsidR="00494B49" w:rsidRDefault="00494B49">
      <w:pPr>
        <w:pStyle w:val="BNormal"/>
      </w:pPr>
    </w:p>
    <w:p w14:paraId="44DD6AA2" w14:textId="77777777" w:rsidR="00494B49" w:rsidRDefault="00494B49" w:rsidP="006951DA">
      <w:pPr>
        <w:pStyle w:val="BNormal"/>
        <w:rPr>
          <w:b/>
        </w:rPr>
      </w:pPr>
      <w:r>
        <w:t xml:space="preserve"> </w:t>
      </w:r>
      <w:r>
        <w:rPr>
          <w:b/>
        </w:rPr>
        <w:t>Year 2</w:t>
      </w:r>
    </w:p>
    <w:p w14:paraId="7D50A5D6" w14:textId="77777777" w:rsidR="00494B49" w:rsidRDefault="00494B49" w:rsidP="006951DA">
      <w:pPr>
        <w:pStyle w:val="BNormal"/>
      </w:pPr>
    </w:p>
    <w:tbl>
      <w:tblPr>
        <w:tblStyle w:val="TableGrid"/>
        <w:tblW w:w="0" w:type="auto"/>
        <w:tblLook w:val="04A0" w:firstRow="1" w:lastRow="0" w:firstColumn="1" w:lastColumn="0" w:noHBand="0" w:noVBand="1"/>
      </w:tblPr>
      <w:tblGrid>
        <w:gridCol w:w="2373"/>
        <w:gridCol w:w="2312"/>
        <w:gridCol w:w="2353"/>
        <w:gridCol w:w="2312"/>
      </w:tblGrid>
      <w:tr w:rsidR="00494B49" w14:paraId="7E9188EF" w14:textId="77777777">
        <w:tc>
          <w:tcPr>
            <w:tcW w:w="2520" w:type="dxa"/>
          </w:tcPr>
          <w:p w14:paraId="19F6EC8B" w14:textId="77777777" w:rsidR="00494B49" w:rsidRDefault="00494B49"/>
        </w:tc>
        <w:tc>
          <w:tcPr>
            <w:tcW w:w="2520" w:type="dxa"/>
          </w:tcPr>
          <w:p w14:paraId="30DD5641" w14:textId="77777777" w:rsidR="00494B49" w:rsidRDefault="00494B49">
            <w:r>
              <w:t xml:space="preserve"> </w:t>
            </w:r>
            <w:r>
              <w:rPr>
                <w:b/>
              </w:rPr>
              <w:t>Passive</w:t>
            </w:r>
          </w:p>
        </w:tc>
        <w:tc>
          <w:tcPr>
            <w:tcW w:w="2520" w:type="dxa"/>
          </w:tcPr>
          <w:p w14:paraId="3642D993" w14:textId="77777777" w:rsidR="00494B49" w:rsidRDefault="00494B49">
            <w:r>
              <w:t xml:space="preserve"> </w:t>
            </w:r>
            <w:r>
              <w:rPr>
                <w:b/>
              </w:rPr>
              <w:t>Nonpassive</w:t>
            </w:r>
          </w:p>
        </w:tc>
        <w:tc>
          <w:tcPr>
            <w:tcW w:w="2520" w:type="dxa"/>
          </w:tcPr>
          <w:p w14:paraId="3DA1ADB3" w14:textId="77777777" w:rsidR="00494B49" w:rsidRDefault="00494B49">
            <w:r>
              <w:t xml:space="preserve"> </w:t>
            </w:r>
            <w:r>
              <w:rPr>
                <w:b/>
              </w:rPr>
              <w:t>Total</w:t>
            </w:r>
          </w:p>
        </w:tc>
      </w:tr>
      <w:tr w:rsidR="00494B49" w14:paraId="5EF4F2E5" w14:textId="77777777">
        <w:tc>
          <w:tcPr>
            <w:tcW w:w="2520" w:type="dxa"/>
          </w:tcPr>
          <w:p w14:paraId="303F4205" w14:textId="77777777" w:rsidR="00494B49" w:rsidRDefault="00494B49">
            <w:r>
              <w:t xml:space="preserve"> </w:t>
            </w:r>
            <w:r>
              <w:rPr>
                <w:b/>
              </w:rPr>
              <w:t>Gain on the sale</w:t>
            </w:r>
          </w:p>
        </w:tc>
        <w:tc>
          <w:tcPr>
            <w:tcW w:w="2520" w:type="dxa"/>
          </w:tcPr>
          <w:p w14:paraId="05D483C6" w14:textId="77777777" w:rsidR="00494B49" w:rsidRDefault="00494B49">
            <w:r>
              <w:t>$1,000</w:t>
            </w:r>
          </w:p>
        </w:tc>
        <w:tc>
          <w:tcPr>
            <w:tcW w:w="2520" w:type="dxa"/>
          </w:tcPr>
          <w:p w14:paraId="44D0011F" w14:textId="77777777" w:rsidR="00494B49" w:rsidRDefault="00494B49">
            <w:r>
              <w:t>$9,000</w:t>
            </w:r>
          </w:p>
        </w:tc>
        <w:tc>
          <w:tcPr>
            <w:tcW w:w="2520" w:type="dxa"/>
          </w:tcPr>
          <w:p w14:paraId="7AC7D2F5" w14:textId="77777777" w:rsidR="00494B49" w:rsidRDefault="00494B49">
            <w:r>
              <w:t>$10,000</w:t>
            </w:r>
          </w:p>
        </w:tc>
      </w:tr>
      <w:tr w:rsidR="00494B49" w14:paraId="525AC798" w14:textId="77777777">
        <w:tc>
          <w:tcPr>
            <w:tcW w:w="2520" w:type="dxa"/>
          </w:tcPr>
          <w:p w14:paraId="761718A0" w14:textId="77777777" w:rsidR="00494B49" w:rsidRDefault="00494B49">
            <w:r>
              <w:lastRenderedPageBreak/>
              <w:t xml:space="preserve"> </w:t>
            </w:r>
            <w:r>
              <w:rPr>
                <w:b/>
              </w:rPr>
              <w:t>Deductions</w:t>
            </w:r>
          </w:p>
        </w:tc>
        <w:tc>
          <w:tcPr>
            <w:tcW w:w="2520" w:type="dxa"/>
          </w:tcPr>
          <w:p w14:paraId="6F189F5E" w14:textId="77777777" w:rsidR="00494B49" w:rsidRDefault="00494B49">
            <w:r>
              <w:t>$0</w:t>
            </w:r>
          </w:p>
        </w:tc>
        <w:tc>
          <w:tcPr>
            <w:tcW w:w="2520" w:type="dxa"/>
          </w:tcPr>
          <w:p w14:paraId="1EA6D30F" w14:textId="77777777" w:rsidR="00494B49" w:rsidRDefault="00494B49">
            <w:r>
              <w:t>$0</w:t>
            </w:r>
          </w:p>
        </w:tc>
        <w:tc>
          <w:tcPr>
            <w:tcW w:w="2520" w:type="dxa"/>
          </w:tcPr>
          <w:p w14:paraId="00FBAE4F" w14:textId="77777777" w:rsidR="00494B49" w:rsidRDefault="00494B49">
            <w:r>
              <w:t>$0</w:t>
            </w:r>
          </w:p>
        </w:tc>
      </w:tr>
      <w:tr w:rsidR="00494B49" w14:paraId="32852351" w14:textId="77777777">
        <w:tc>
          <w:tcPr>
            <w:tcW w:w="2520" w:type="dxa"/>
          </w:tcPr>
          <w:p w14:paraId="7FA7E337" w14:textId="77777777" w:rsidR="00494B49" w:rsidRDefault="00494B49">
            <w:r>
              <w:t xml:space="preserve"> </w:t>
            </w:r>
            <w:r>
              <w:rPr>
                <w:b/>
              </w:rPr>
              <w:t>Year 1 loss allowed</w:t>
            </w:r>
          </w:p>
        </w:tc>
        <w:tc>
          <w:tcPr>
            <w:tcW w:w="2520" w:type="dxa"/>
          </w:tcPr>
          <w:p w14:paraId="66C4A7D8" w14:textId="77777777" w:rsidR="00494B49" w:rsidRDefault="00494B49">
            <w:r>
              <w:t>($1,000)</w:t>
            </w:r>
          </w:p>
        </w:tc>
        <w:tc>
          <w:tcPr>
            <w:tcW w:w="2520" w:type="dxa"/>
          </w:tcPr>
          <w:p w14:paraId="2167F4D8" w14:textId="77777777" w:rsidR="00494B49" w:rsidRDefault="00494B49">
            <w:r>
              <w:t>$0</w:t>
            </w:r>
          </w:p>
        </w:tc>
        <w:tc>
          <w:tcPr>
            <w:tcW w:w="2520" w:type="dxa"/>
          </w:tcPr>
          <w:p w14:paraId="2C28C11C" w14:textId="77777777" w:rsidR="00494B49" w:rsidRDefault="00494B49">
            <w:r>
              <w:t>($1,000)</w:t>
            </w:r>
          </w:p>
        </w:tc>
      </w:tr>
      <w:tr w:rsidR="00494B49" w14:paraId="116F43E5" w14:textId="77777777">
        <w:tc>
          <w:tcPr>
            <w:tcW w:w="2520" w:type="dxa"/>
          </w:tcPr>
          <w:p w14:paraId="38A8B397" w14:textId="77777777" w:rsidR="00494B49" w:rsidRDefault="00494B49">
            <w:r>
              <w:t xml:space="preserve"> </w:t>
            </w:r>
            <w:r>
              <w:rPr>
                <w:b/>
              </w:rPr>
              <w:t>Net income/(loss)</w:t>
            </w:r>
          </w:p>
        </w:tc>
        <w:tc>
          <w:tcPr>
            <w:tcW w:w="2520" w:type="dxa"/>
          </w:tcPr>
          <w:p w14:paraId="3AFE878A" w14:textId="77777777" w:rsidR="00494B49" w:rsidRDefault="00494B49">
            <w:r>
              <w:t>$0</w:t>
            </w:r>
          </w:p>
        </w:tc>
        <w:tc>
          <w:tcPr>
            <w:tcW w:w="2520" w:type="dxa"/>
          </w:tcPr>
          <w:p w14:paraId="51A2913F" w14:textId="77777777" w:rsidR="00494B49" w:rsidRDefault="00494B49">
            <w:r>
              <w:t>$9,000</w:t>
            </w:r>
          </w:p>
        </w:tc>
        <w:tc>
          <w:tcPr>
            <w:tcW w:w="2520" w:type="dxa"/>
          </w:tcPr>
          <w:p w14:paraId="64AB0F1A" w14:textId="77777777" w:rsidR="00494B49" w:rsidRDefault="00494B49">
            <w:r>
              <w:t>$9,000</w:t>
            </w:r>
          </w:p>
        </w:tc>
      </w:tr>
    </w:tbl>
    <w:p w14:paraId="748C6DCC" w14:textId="77777777" w:rsidR="00494B49" w:rsidRDefault="00494B49">
      <w:pPr>
        <w:pStyle w:val="BNormal"/>
      </w:pPr>
    </w:p>
    <w:p w14:paraId="4A5D217F" w14:textId="77777777" w:rsidR="00494B49" w:rsidRDefault="00494B49">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8"/>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09"/>
      </w:r>
      <w:r>
        <w:t xml:space="preserve"> Reg. </w:t>
      </w:r>
      <w:smartTag w:uri="http://www.bna.com/sgml2word/cite" w:element="cite.cfr">
        <w:smartTagPr>
          <w:attr w:name="ref" w:val="cfr\26\1.1411-4(g)(6)(ii)"/>
        </w:smartTagPr>
        <w:r>
          <w:t>§1.1411-4(g)(6)(ii)</w:t>
        </w:r>
      </w:smartTag>
      <w:r>
        <w:t xml:space="preserve"> excludes the $9,000 from net investment income. </w:t>
      </w:r>
    </w:p>
    <w:p w14:paraId="71DADEAC" w14:textId="77777777" w:rsidR="00494B49" w:rsidRDefault="00494B49">
      <w:pPr>
        <w:pStyle w:val="BHead3"/>
      </w:pPr>
      <w:r>
        <w:t>d. Rents Received by Real Estate Professionals</w:t>
      </w:r>
    </w:p>
    <w:p w14:paraId="749D6F02" w14:textId="77777777" w:rsidR="00494B49" w:rsidRDefault="00494B49">
      <w:pPr>
        <w:pStyle w:val="BHead4"/>
      </w:pPr>
      <w:r>
        <w:t>(1) Overview of Section 469 Treatment of Real Estate Professionals</w:t>
      </w:r>
    </w:p>
    <w:p w14:paraId="56B889C0" w14:textId="77777777" w:rsidR="00494B49" w:rsidRDefault="00494B49">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0"/>
      </w:r>
    </w:p>
    <w:p w14:paraId="0089657E" w14:textId="77777777" w:rsidR="00494B49" w:rsidRDefault="00494B49">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w:t>
      </w:r>
      <w:proofErr w:type="spellStart"/>
      <w:r>
        <w:t>i</w:t>
      </w:r>
      <w:proofErr w:type="spellEnd"/>
      <w:r>
        <w:t>) more than half of the “personal services”</w:t>
      </w:r>
      <w:r>
        <w:rPr>
          <w:rStyle w:val="FootnoteReference"/>
        </w:rPr>
        <w:footnoteReference w:id="311"/>
      </w:r>
      <w:r>
        <w:t xml:space="preserve"> the taxpayer performs during the tax year must be performed in real property trades or businesses in which the taxpayer materially participates;</w:t>
      </w:r>
      <w:r>
        <w:rPr>
          <w:rStyle w:val="FootnoteReference"/>
        </w:rPr>
        <w:footnoteReference w:id="312"/>
      </w:r>
      <w:r>
        <w:t xml:space="preserve"> and (ii) the taxpayer must perform more than 750 hours of services during the tax year in real property trades or businesses in which the taxpayer materially participates.</w:t>
      </w:r>
      <w:r>
        <w:rPr>
          <w:rStyle w:val="FootnoteReference"/>
        </w:rPr>
        <w:footnoteReference w:id="313"/>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4"/>
      </w:r>
    </w:p>
    <w:p w14:paraId="320744FA" w14:textId="77777777" w:rsidR="00494B49" w:rsidRDefault="00494B49">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5"/>
      </w:r>
      <w:r>
        <w:t xml:space="preserve"> or certain employee hours</w:t>
      </w:r>
      <w:r>
        <w:rPr>
          <w:rStyle w:val="FootnoteReference"/>
        </w:rPr>
        <w:footnoteReference w:id="316"/>
      </w:r>
      <w:r>
        <w:t xml:space="preserve"> that would not count in determining material participation. However, for purposes of </w:t>
      </w:r>
      <w:r>
        <w:lastRenderedPageBreak/>
        <w:t xml:space="preserve">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7"/>
      </w:r>
    </w:p>
    <w:p w14:paraId="5BEDF91F" w14:textId="77777777" w:rsidR="00494B49" w:rsidRDefault="00494B49">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8"/>
      </w:r>
    </w:p>
    <w:p w14:paraId="537AF87C" w14:textId="77777777" w:rsidR="00494B49" w:rsidRDefault="00494B49">
      <w:pPr>
        <w:pStyle w:val="BHead4"/>
      </w:pPr>
      <w:r>
        <w:t xml:space="preserve">(2) Disconnects Between Sections 469 and 1411 </w:t>
      </w:r>
    </w:p>
    <w:p w14:paraId="2F9B8384" w14:textId="77777777" w:rsidR="00494B49" w:rsidRDefault="00494B49">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7C1129F4" w14:textId="77777777" w:rsidR="00494B49" w:rsidRDefault="00494B49">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39836F06" w14:textId="77777777" w:rsidR="00494B49" w:rsidRDefault="00494B49">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19"/>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0"/>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02471CEA" w14:textId="77777777" w:rsidR="00494B49" w:rsidRDefault="00494B49">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1"/>
      </w:r>
    </w:p>
    <w:p w14:paraId="7D2CE76A" w14:textId="77777777" w:rsidR="00494B49" w:rsidRDefault="00494B49">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t>
      </w:r>
      <w:r>
        <w:lastRenderedPageBreak/>
        <w:t>was hampered by the fact that (</w:t>
      </w:r>
      <w:proofErr w:type="spellStart"/>
      <w:r>
        <w:t>i</w:t>
      </w:r>
      <w:proofErr w:type="spellEnd"/>
      <w:r>
        <w:t xml:space="preserve">)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3EB6C65F" w14:textId="77777777" w:rsidR="00494B49" w:rsidRDefault="00494B49">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2"/>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04E4F478" w14:textId="77777777" w:rsidR="00494B49" w:rsidRDefault="00494B49">
      <w:pPr>
        <w:pStyle w:val="BHead4"/>
      </w:pPr>
      <w:r>
        <w:t>(3) Treatment of Real Estate Professionals Who Meet NIIT Safe Harbor</w:t>
      </w:r>
    </w:p>
    <w:p w14:paraId="5E835DC8" w14:textId="77777777" w:rsidR="00494B49" w:rsidRDefault="00494B49">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70B1B8B7" w14:textId="77777777" w:rsidR="00494B49" w:rsidRDefault="00494B49">
      <w:pPr>
        <w:pStyle w:val="BHead5"/>
      </w:pPr>
      <w:r>
        <w:t>(a) Safe Harbor Requirements</w:t>
      </w:r>
    </w:p>
    <w:p w14:paraId="6D08365E" w14:textId="77777777" w:rsidR="00494B49" w:rsidRDefault="00494B49">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3"/>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4"/>
      </w:r>
    </w:p>
    <w:p w14:paraId="6F1AB7F2" w14:textId="77777777" w:rsidR="00494B49" w:rsidRDefault="00494B49">
      <w:pPr>
        <w:pStyle w:val="BNormal"/>
      </w:pPr>
      <w:r>
        <w:lastRenderedPageBreak/>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5"/>
      </w:r>
    </w:p>
    <w:p w14:paraId="6F0FAC3B" w14:textId="77777777" w:rsidR="00494B49" w:rsidRDefault="00494B49">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applies.</w:t>
      </w:r>
      <w:r>
        <w:rPr>
          <w:rStyle w:val="FootnoteReference"/>
        </w:rPr>
        <w:footnoteReference w:id="326"/>
      </w:r>
      <w:r>
        <w:t xml:space="preserve"> However, any rental real estate that the taxpayer grouped with a trade or business activity</w:t>
      </w:r>
      <w:r>
        <w:rPr>
          <w:rStyle w:val="FootnoteReference"/>
        </w:rPr>
        <w:footnoteReference w:id="327"/>
      </w:r>
      <w:r>
        <w:t xml:space="preserve"> is not a rental real estate activity.</w:t>
      </w:r>
    </w:p>
    <w:p w14:paraId="474F543C" w14:textId="77777777" w:rsidR="00494B49" w:rsidRDefault="00494B49">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495F64ED" w14:textId="77777777" w:rsidR="00494B49" w:rsidRDefault="00494B49">
      <w:pPr>
        <w:pStyle w:val="BHead5"/>
      </w:pPr>
      <w:r>
        <w:t xml:space="preserve">(b) Consequences of Meeting Safe Harbor </w:t>
      </w:r>
    </w:p>
    <w:p w14:paraId="6BAFBDD9" w14:textId="77777777" w:rsidR="00494B49" w:rsidRDefault="00494B49">
      <w:pPr>
        <w:pStyle w:val="BNormal"/>
      </w:pPr>
      <w:r>
        <w:t>For real estate professionals who meet the safe harbor, rental income and associated expenses are excluded from net investment income.</w:t>
      </w:r>
      <w:r>
        <w:rPr>
          <w:rStyle w:val="FootnoteReference"/>
        </w:rPr>
        <w:footnoteReference w:id="328"/>
      </w:r>
      <w:r>
        <w:t xml:space="preserve"> In addition, the gain or loss from the disposition of rental properties is also excluded.</w:t>
      </w:r>
      <w:r>
        <w:rPr>
          <w:rStyle w:val="FootnoteReference"/>
        </w:rPr>
        <w:footnoteReference w:id="329"/>
      </w:r>
    </w:p>
    <w:p w14:paraId="5013214C" w14:textId="77777777" w:rsidR="00494B49" w:rsidRDefault="00494B49">
      <w:pPr>
        <w:pStyle w:val="BHead4"/>
      </w:pPr>
      <w:r>
        <w:t>(4) Treatment of Real Estate Professionals Who Do Not Meet NIIT Safe Harbor</w:t>
      </w:r>
    </w:p>
    <w:p w14:paraId="08F13701" w14:textId="77777777" w:rsidR="00494B49" w:rsidRDefault="00494B49">
      <w:pPr>
        <w:pStyle w:val="BNormal"/>
      </w:pPr>
      <w:r>
        <w:t xml:space="preserve">In developing the safe harbor in Reg. </w:t>
      </w:r>
      <w:smartTag w:uri="http://www.bna.com/sgml2word/cite" w:element="cite.cfr">
        <w:smartTagPr>
          <w:attr w:name="ref" w:val="cfr\26\1.1411-4(g)(7)(i)"/>
        </w:smartTagPr>
        <w:r>
          <w:t>§1.1411-4(g)(7)(</w:t>
        </w:r>
        <w:proofErr w:type="spellStart"/>
        <w:r>
          <w:t>i</w:t>
        </w:r>
        <w:proofErr w:type="spellEnd"/>
        <w:r>
          <w:t>)</w:t>
        </w:r>
      </w:smartTag>
      <w:r>
        <w:t xml:space="preserve">,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w:t>
      </w:r>
      <w:r>
        <w:lastRenderedPageBreak/>
        <w:t>or loss from the disposition of real property, as applicable, is not included in net investment income.</w:t>
      </w:r>
      <w:r>
        <w:rPr>
          <w:rStyle w:val="FootnoteReference"/>
        </w:rPr>
        <w:footnoteReference w:id="330"/>
      </w:r>
    </w:p>
    <w:p w14:paraId="28D7E566" w14:textId="77777777" w:rsidR="00494B49" w:rsidRDefault="00494B49">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7D885131" w14:textId="77777777" w:rsidR="00494B49" w:rsidRDefault="00494B49">
      <w:pPr>
        <w:pStyle w:val="BListitembul"/>
      </w:pPr>
      <w:r>
        <w:t>the rental income and/or gain must be considered nonpassive under §469; and</w:t>
      </w:r>
    </w:p>
    <w:p w14:paraId="719FCE84" w14:textId="77777777" w:rsidR="00494B49" w:rsidRDefault="00494B49">
      <w:pPr>
        <w:pStyle w:val="BListitembul"/>
      </w:pPr>
      <w:r>
        <w:t>either (</w:t>
      </w:r>
      <w:proofErr w:type="spellStart"/>
      <w:r>
        <w:t>i</w:t>
      </w:r>
      <w:proofErr w:type="spellEnd"/>
      <w:r>
        <w:t xml:space="preserve">) the rental income must be derived in the ordinary course of a trade or business or (ii) the gain must be associated with property held in a nonpassive trade or business. </w:t>
      </w:r>
    </w:p>
    <w:p w14:paraId="1AC298C3" w14:textId="77777777" w:rsidR="00494B49" w:rsidRDefault="00494B49">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1"/>
      </w:r>
    </w:p>
    <w:p w14:paraId="366B3F97" w14:textId="77777777" w:rsidR="00494B49" w:rsidRDefault="00494B49">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2"/>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4B735A06" w14:textId="77777777" w:rsidR="00494B49" w:rsidRDefault="00494B49">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3"/>
      </w:r>
      <w:r>
        <w:t xml:space="preserve"> This example was specifically added to the instructions for non-safe-harbor real estate professionals.</w:t>
      </w:r>
      <w:r>
        <w:rPr>
          <w:rStyle w:val="FootnoteReference"/>
        </w:rPr>
        <w:footnoteReference w:id="334"/>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3516DAD" w14:textId="77777777" w:rsidR="00494B49" w:rsidRDefault="00494B49">
      <w:pPr>
        <w:pStyle w:val="BHead3"/>
      </w:pPr>
      <w:r>
        <w:lastRenderedPageBreak/>
        <w:t xml:space="preserve">e. Rental of Farm Land </w:t>
      </w:r>
    </w:p>
    <w:p w14:paraId="05E942FE" w14:textId="77777777" w:rsidR="00494B49" w:rsidRDefault="00494B49">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5"/>
      </w:r>
      <w:r>
        <w:t xml:space="preserve"> In the case of fixed-rate leases, the tenant pays a fixed price that is not tied to the production of the land during the lease term. For NIIT purposes, the rent attributable to these leases is almost certainly net investment income.</w:t>
      </w:r>
      <w:r>
        <w:rPr>
          <w:rStyle w:val="FootnoteReference"/>
        </w:rPr>
        <w:footnoteReference w:id="336"/>
      </w:r>
    </w:p>
    <w:p w14:paraId="60BBC624" w14:textId="77777777" w:rsidR="00494B49" w:rsidRDefault="00494B49">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1EAD31F1" w14:textId="77777777" w:rsidR="00494B49" w:rsidRDefault="00494B49">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7"/>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75619C60" w14:textId="77777777" w:rsidR="00494B49" w:rsidRDefault="00494B49">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xml:space="preserve">,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w:t>
      </w:r>
      <w:r>
        <w:lastRenderedPageBreak/>
        <w:t>or joint venture, then provision of such property is not a rental activity.</w:t>
      </w:r>
      <w:r>
        <w:rPr>
          <w:rStyle w:val="FootnoteReference"/>
        </w:rPr>
        <w:footnoteReference w:id="338"/>
      </w:r>
      <w:r>
        <w:t xml:space="preserve"> The effect of this provision is to turn off the per se passive activity treatment of these purported rental arrangements.</w:t>
      </w:r>
      <w:r>
        <w:rPr>
          <w:rStyle w:val="FootnoteReference"/>
        </w:rPr>
        <w:footnoteReference w:id="339"/>
      </w:r>
    </w:p>
    <w:p w14:paraId="3CB9070F" w14:textId="77777777" w:rsidR="00494B49" w:rsidRDefault="00494B49">
      <w:pPr>
        <w:pStyle w:val="BNormal"/>
      </w:pPr>
      <w:r>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0"/>
      </w:r>
      <w:r>
        <w:t xml:space="preserve"> This example provides: </w:t>
      </w:r>
    </w:p>
    <w:p w14:paraId="2150B1C7" w14:textId="77777777" w:rsidR="00494B49" w:rsidRDefault="00494B49">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 </w:t>
      </w:r>
    </w:p>
    <w:p w14:paraId="2FC0E547" w14:textId="77777777" w:rsidR="00494B49" w:rsidRDefault="00494B49">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1628A14C" w14:textId="77777777" w:rsidR="00494B49" w:rsidRDefault="00494B49">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1"/>
      </w:r>
      <w:r>
        <w:t xml:space="preserve"> In this case, the gross income will be net investment income under either </w:t>
      </w:r>
      <w:smartTag w:uri="http://www.bna.com/sgml2word/cite" w:element="cite.usc">
        <w:smartTagPr>
          <w:attr w:name="ref" w:val="USC\26\1411(c)(1)(A)(i)"/>
        </w:smartTagPr>
        <w:r>
          <w:t>§1411(c)(1)(A)(</w:t>
        </w:r>
        <w:proofErr w:type="spellStart"/>
        <w:r>
          <w:t>i</w:t>
        </w:r>
        <w:proofErr w:type="spellEnd"/>
        <w:r>
          <w:t>)</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2FC0A58B" w14:textId="77777777" w:rsidR="00494B49" w:rsidRDefault="00494B49">
      <w:pPr>
        <w:pStyle w:val="BNormal"/>
      </w:pPr>
      <w:r>
        <w:lastRenderedPageBreak/>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2"/>
      </w:r>
    </w:p>
    <w:p w14:paraId="0C9BA389" w14:textId="77777777" w:rsidR="00494B49" w:rsidRDefault="00494B49">
      <w:pPr>
        <w:pStyle w:val="BNormal"/>
      </w:pPr>
      <w:r>
        <w:t>It is important to note that if the taxpayer participates in the crop-share arrangement, it might cause the crop-share income to be included in net earnings from self-employment.</w:t>
      </w:r>
      <w:r>
        <w:rPr>
          <w:rStyle w:val="FootnoteReference"/>
        </w:rPr>
        <w:footnoteReference w:id="343"/>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9DD70AC" w14:textId="77777777" w:rsidR="00494B49" w:rsidRDefault="00494B49">
      <w:pPr>
        <w:pStyle w:val="BHead3"/>
      </w:pPr>
      <w:r>
        <w:t>f. Difference Between ‘Rents’ and Income from a §469 ‘Rental Activity’</w:t>
      </w:r>
    </w:p>
    <w:p w14:paraId="4F384F46" w14:textId="77777777" w:rsidR="00494B49" w:rsidRDefault="00494B49">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3E4613A3" w14:textId="77777777" w:rsidR="00494B49" w:rsidRDefault="00494B49">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4"/>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5"/>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6"/>
      </w:r>
      <w:r>
        <w:t xml:space="preserve"> and all deductions arising in connection with a passive activity are passive activity deductions.</w:t>
      </w:r>
      <w:r>
        <w:rPr>
          <w:rStyle w:val="FootnoteReference"/>
        </w:rPr>
        <w:footnoteReference w:id="347"/>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w:t>
      </w:r>
      <w:r>
        <w:lastRenderedPageBreak/>
        <w:t>shared costs should be allocated among activities.</w:t>
      </w:r>
      <w:r>
        <w:rPr>
          <w:rStyle w:val="FootnoteReference"/>
        </w:rPr>
        <w:footnoteReference w:id="348"/>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216C1A93" w14:textId="77777777" w:rsidR="00494B49" w:rsidRDefault="00494B49">
      <w:pPr>
        <w:pStyle w:val="BNormal"/>
      </w:pPr>
      <w:r>
        <w:t xml:space="preserve">The NIIT rules pertaining to </w:t>
      </w:r>
      <w:smartTag w:uri="http://www.bna.com/sgml2word/cite" w:element="cite.usc">
        <w:smartTagPr>
          <w:attr w:name="ref" w:val="USC\26\1411(c)(1)(A)(i)"/>
        </w:smartTagPr>
        <w:r>
          <w:t>§1411(c)(1)(A)(</w:t>
        </w:r>
        <w:proofErr w:type="spellStart"/>
        <w:r>
          <w:t>i</w:t>
        </w:r>
        <w:proofErr w:type="spellEnd"/>
        <w:r>
          <w:t>)</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349"/>
      </w:r>
      <w:r>
        <w:t xml:space="preserve"> Consider the following scenarios: </w:t>
      </w:r>
    </w:p>
    <w:p w14:paraId="4B444262" w14:textId="77777777" w:rsidR="00494B49" w:rsidRDefault="00494B49">
      <w:pPr>
        <w:pStyle w:val="BExamplepara"/>
      </w:pPr>
      <w:r>
        <w:rPr>
          <w:rStyle w:val="BExamplehead"/>
          <w:rFonts w:eastAsiaTheme="minorHAnsi"/>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w:t>
        </w:r>
        <w:proofErr w:type="spellStart"/>
        <w:r>
          <w:t>i</w:t>
        </w:r>
        <w:proofErr w:type="spellEnd"/>
        <w:r>
          <w:t>)</w:t>
        </w:r>
      </w:smartTag>
      <w:r>
        <w:t>.</w:t>
      </w:r>
    </w:p>
    <w:p w14:paraId="14B3804C" w14:textId="77777777" w:rsidR="00494B49" w:rsidRDefault="00494B49">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454D9D28" w14:textId="77777777" w:rsidR="00494B49" w:rsidRDefault="00494B49">
      <w:pPr>
        <w:pStyle w:val="BExamplepara"/>
      </w:pPr>
      <w:r>
        <w:rPr>
          <w:rStyle w:val="BExamplehead"/>
          <w:rFonts w:eastAsiaTheme="minorHAnsi"/>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4D92CE30" w14:textId="77777777" w:rsidR="00494B49" w:rsidRDefault="00494B49">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w:t>
      </w:r>
      <w:r>
        <w:lastRenderedPageBreak/>
        <w:t>COD is not a recapture of a previously deducted item. Thus, it would appear in this situation that the COD is not included in net investment income.</w:t>
      </w:r>
    </w:p>
    <w:p w14:paraId="13FCEC4B" w14:textId="77777777" w:rsidR="00494B49" w:rsidRDefault="00494B49">
      <w:pPr>
        <w:pStyle w:val="BHead1"/>
      </w:pPr>
      <w:r>
        <w:t>C. Other Income Items Derived from §1411(c)(2) Trades or Businesses — §1411(c)(1)(A)(ii)</w:t>
      </w:r>
    </w:p>
    <w:p w14:paraId="6901BF74" w14:textId="77777777" w:rsidR="00494B49" w:rsidRDefault="00494B49">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0"/>
      </w:r>
      <w:r>
        <w:t xml:space="preserve"> If a trade or business is a passive activity with respect to 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w:t>
        </w:r>
        <w:proofErr w:type="spellStart"/>
        <w:r>
          <w:t>i</w:t>
        </w:r>
        <w:proofErr w:type="spellEnd"/>
        <w:r>
          <w:t>)</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1"/>
      </w:r>
      <w:r>
        <w:t xml:space="preserve"> Thus, if an item of gross income or net gain is subject to </w:t>
      </w:r>
      <w:smartTag w:uri="http://www.bna.com/sgml2word/cite" w:element="cite.usc">
        <w:smartTagPr>
          <w:attr w:name="ref" w:val="USC\26\1411(c)(1)(A)(i)"/>
        </w:smartTagPr>
        <w:r>
          <w:t>§1411(c)(1)(A)(</w:t>
        </w:r>
        <w:proofErr w:type="spellStart"/>
        <w:r>
          <w:t>i</w:t>
        </w:r>
        <w:proofErr w:type="spellEnd"/>
        <w:r>
          <w:t>)</w:t>
        </w:r>
      </w:smartTag>
      <w:r>
        <w:t xml:space="preserve"> or (iii), it is generally not other gross income described in </w:t>
      </w:r>
      <w:smartTag w:uri="http://www.bna.com/sgml2word/cite" w:element="cite.usc">
        <w:smartTagPr>
          <w:attr w:name="ref" w:val="USC\26\1411(c)(1)(A)(ii)"/>
        </w:smartTagPr>
        <w:r>
          <w:t>§1411(c)(1)(A)(ii)</w:t>
        </w:r>
      </w:smartTag>
      <w:r>
        <w:t>.</w:t>
      </w:r>
    </w:p>
    <w:p w14:paraId="031AA68D" w14:textId="77777777" w:rsidR="00494B49" w:rsidRDefault="00494B49">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w:t>
        </w:r>
        <w:proofErr w:type="spellStart"/>
        <w:r>
          <w:t>i</w:t>
        </w:r>
        <w:proofErr w:type="spellEnd"/>
        <w:r>
          <w:t>)</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07427CB" w14:textId="77777777" w:rsidR="00494B49" w:rsidRDefault="00494B49">
      <w:pPr>
        <w:pStyle w:val="BHead2"/>
      </w:pPr>
      <w:r>
        <w:t>1. Scope of Category II</w:t>
      </w:r>
    </w:p>
    <w:p w14:paraId="732775E8" w14:textId="77777777" w:rsidR="00494B49" w:rsidRDefault="00494B49">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4BE329FC" w14:textId="77777777" w:rsidR="00494B49" w:rsidRDefault="00494B49">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2"/>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3"/>
      </w:r>
    </w:p>
    <w:p w14:paraId="64CE872E" w14:textId="77777777" w:rsidR="00494B49" w:rsidRDefault="00494B49">
      <w:pPr>
        <w:pStyle w:val="BHead2"/>
      </w:pPr>
      <w:r>
        <w:t>2. Income from CFCs and PFICs as Category II Income</w:t>
      </w:r>
    </w:p>
    <w:p w14:paraId="6224D95C" w14:textId="77777777" w:rsidR="00494B49" w:rsidRDefault="00494B49">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4"/>
      </w:r>
      <w:r>
        <w:t xml:space="preserve"> Reg. </w:t>
      </w:r>
      <w:smartTag w:uri="http://www.bna.com/sgml2word/cite" w:element="cite.cfr">
        <w:smartTagPr>
          <w:attr w:name="ref" w:val="cfr\26\1.1411-10(b)"/>
        </w:smartTagPr>
        <w:r>
          <w:t>§1.1411-</w:t>
        </w:r>
        <w:r>
          <w:lastRenderedPageBreak/>
          <w:t>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3AB37C9B" w14:textId="77777777" w:rsidR="00494B49" w:rsidRDefault="00494B49">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5"/>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w:t>
      </w:r>
    </w:p>
    <w:p w14:paraId="12C02C84" w14:textId="77777777" w:rsidR="00494B49" w:rsidRDefault="00494B49">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w:t>
        </w:r>
        <w:proofErr w:type="spellStart"/>
        <w:r>
          <w:t>i</w:t>
        </w:r>
        <w:proofErr w:type="spellEnd"/>
        <w:r>
          <w:t>)(A)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71786E23" w14:textId="77777777" w:rsidR="00494B49" w:rsidRDefault="00494B49">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6"/>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342618AC" w14:textId="77777777" w:rsidR="00494B49" w:rsidRDefault="00494B49">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w:t>
      </w:r>
      <w:r>
        <w:lastRenderedPageBreak/>
        <w:t xml:space="preserve">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348D3DF3" w14:textId="77777777" w:rsidR="00494B49" w:rsidRDefault="00494B49">
      <w:pPr>
        <w:pStyle w:val="BNormal"/>
      </w:pPr>
      <w:r>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7"/>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298E6759" w14:textId="77777777" w:rsidR="00494B49" w:rsidRDefault="00494B49">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8"/>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571F9387" w14:textId="77777777" w:rsidR="00494B49" w:rsidRDefault="00494B49">
      <w:pPr>
        <w:pStyle w:val="BHead1"/>
      </w:pPr>
      <w:r>
        <w:t>D. Net Gain from Disposition of Property — §1411(c)(1)(A)(iii)</w:t>
      </w:r>
    </w:p>
    <w:p w14:paraId="716B85D8" w14:textId="77777777" w:rsidR="00494B49" w:rsidRDefault="00494B49">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59"/>
      </w:r>
      <w:r>
        <w:t xml:space="preserve"> For purposes of this provision, the term “disposition” means a sale, exchange, transfer, conversion, cash </w:t>
      </w:r>
      <w:r>
        <w:lastRenderedPageBreak/>
        <w:t xml:space="preserve">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0"/>
      </w:r>
      <w:r>
        <w:t xml:space="preserve"> The calculation of net gain cannot be less than zero.</w:t>
      </w:r>
      <w:r>
        <w:rPr>
          <w:rStyle w:val="FootnoteReference"/>
        </w:rPr>
        <w:footnoteReference w:id="361"/>
      </w:r>
    </w:p>
    <w:p w14:paraId="44FAAD93" w14:textId="77777777" w:rsidR="00494B49" w:rsidRDefault="00494B49">
      <w:pPr>
        <w:pStyle w:val="BNormal"/>
      </w:pPr>
      <w:r>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2"/>
      </w:r>
    </w:p>
    <w:p w14:paraId="5FE1AEDA" w14:textId="77777777" w:rsidR="00494B49" w:rsidRDefault="00494B49">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6FFDC1DA" w14:textId="77777777" w:rsidR="00494B49" w:rsidRDefault="00494B49">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3"/>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7502AE2B" w14:textId="77777777" w:rsidR="00494B49" w:rsidRDefault="00494B49">
      <w:pPr>
        <w:pStyle w:val="BHead2"/>
      </w:pPr>
      <w:r>
        <w:t>1. Scope of Category III Income</w:t>
      </w:r>
    </w:p>
    <w:p w14:paraId="02E0B012" w14:textId="77777777" w:rsidR="00494B49" w:rsidRDefault="00494B49">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w:t>
        </w:r>
        <w:proofErr w:type="spellStart"/>
        <w:r>
          <w:t>i</w:t>
        </w:r>
        <w:proofErr w:type="spellEnd"/>
        <w:r>
          <w:t>)</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00CF4D2D" w14:textId="77777777" w:rsidR="00494B49" w:rsidRDefault="00494B49">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2BD07864" w14:textId="77777777" w:rsidR="00494B49" w:rsidRDefault="00494B49">
      <w:pPr>
        <w:pStyle w:val="BHead3"/>
      </w:pPr>
      <w:r>
        <w:t>a. Gains and Losses Excluded from Taxable Income</w:t>
      </w:r>
    </w:p>
    <w:p w14:paraId="77A751E9" w14:textId="77777777" w:rsidR="00494B49" w:rsidRDefault="00494B49">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4"/>
      </w:r>
      <w:r>
        <w:t xml:space="preserve"> losses from casualties and thefts to the extent they do not meet the minimum thresholds under </w:t>
      </w:r>
      <w:smartTag w:uri="http://www.bna.com/sgml2word/cite" w:element="cite.usc">
        <w:smartTagPr>
          <w:attr w:name="ref" w:val="USC\26\165"/>
        </w:smartTagPr>
        <w:r>
          <w:t>§165</w:t>
        </w:r>
      </w:smartTag>
      <w:r>
        <w:t xml:space="preserve">; losses on a “registration-required obligation” that is not in </w:t>
      </w:r>
      <w:r>
        <w:lastRenderedPageBreak/>
        <w:t>registered form;</w:t>
      </w:r>
      <w:r>
        <w:rPr>
          <w:rStyle w:val="FootnoteReference"/>
        </w:rPr>
        <w:footnoteReference w:id="365"/>
      </w:r>
      <w:r>
        <w:t xml:space="preserve"> debts from political parties;</w:t>
      </w:r>
      <w:r>
        <w:rPr>
          <w:rStyle w:val="FootnoteReference"/>
        </w:rPr>
        <w:footnoteReference w:id="366"/>
      </w:r>
      <w:r>
        <w:t xml:space="preserve"> losses from wash sales;</w:t>
      </w:r>
      <w:r>
        <w:rPr>
          <w:rStyle w:val="FootnoteReference"/>
        </w:rPr>
        <w:footnoteReference w:id="367"/>
      </w:r>
      <w:r>
        <w:t xml:space="preserve"> loses associated with not-for-profit activities (hobby losses):</w:t>
      </w:r>
      <w:r>
        <w:rPr>
          <w:rStyle w:val="FootnoteReference"/>
        </w:rPr>
        <w:footnoteReference w:id="368"/>
      </w:r>
      <w:r>
        <w:t xml:space="preserve"> and losses from the demolition of a structure.</w:t>
      </w:r>
      <w:r>
        <w:rPr>
          <w:rStyle w:val="FootnoteReference"/>
        </w:rPr>
        <w:footnoteReference w:id="369"/>
      </w:r>
    </w:p>
    <w:p w14:paraId="68FE508A" w14:textId="77777777" w:rsidR="00494B49" w:rsidRDefault="00494B49">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0"/>
      </w:r>
      <w:r>
        <w:t xml:space="preserve"> gain excluded on the sale of certain small business stock;</w:t>
      </w:r>
      <w:r>
        <w:rPr>
          <w:rStyle w:val="FootnoteReference"/>
        </w:rPr>
        <w:footnoteReference w:id="371"/>
      </w:r>
      <w:r>
        <w:t xml:space="preserve"> gain attributable to the reacquisition of real property;</w:t>
      </w:r>
      <w:r>
        <w:rPr>
          <w:rStyle w:val="FootnoteReference"/>
        </w:rPr>
        <w:footnoteReference w:id="372"/>
      </w:r>
      <w:r>
        <w:t xml:space="preserve"> qualified capital gain from the sale or exchange in years 2003 through 2014 of a qualified community asset held for more than five years;</w:t>
      </w:r>
      <w:r>
        <w:rPr>
          <w:rStyle w:val="FootnoteReference"/>
        </w:rPr>
        <w:footnoteReference w:id="373"/>
      </w:r>
      <w:r>
        <w:t xml:space="preserve"> and qualified capital gain from the sale or exchange in years 1998 through 2016 of any District of Columbia Empowerment Zone asset held for more than five years.</w:t>
      </w:r>
      <w:r>
        <w:rPr>
          <w:rStyle w:val="FootnoteReference"/>
        </w:rPr>
        <w:footnoteReference w:id="374"/>
      </w:r>
    </w:p>
    <w:p w14:paraId="7F64AE26" w14:textId="77777777" w:rsidR="00494B49" w:rsidRDefault="00494B49">
      <w:pPr>
        <w:pStyle w:val="BHead3"/>
      </w:pPr>
      <w:r>
        <w:t xml:space="preserve">b. Deferred Gain or Loss </w:t>
      </w:r>
    </w:p>
    <w:p w14:paraId="5479D6D9" w14:textId="77777777" w:rsidR="00494B49" w:rsidRDefault="00494B49">
      <w:pPr>
        <w:pStyle w:val="BHead4"/>
      </w:pPr>
      <w:r>
        <w:t>(1) General Rule</w:t>
      </w:r>
    </w:p>
    <w:p w14:paraId="6134242A" w14:textId="77777777" w:rsidR="00494B49" w:rsidRDefault="00494B49">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285C373A" w14:textId="77777777" w:rsidR="00494B49" w:rsidRDefault="00494B49">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w:t>
        </w:r>
        <w:proofErr w:type="spellStart"/>
        <w:r>
          <w:t>i</w:t>
        </w:r>
        <w:proofErr w:type="spellEnd"/>
        <w:r>
          <w:t>)</w:t>
        </w:r>
      </w:smartTag>
      <w:r>
        <w:t xml:space="preserve"> because it was used in a nonpassive trade or business on the day of the sale? </w:t>
      </w:r>
      <w:r>
        <w:lastRenderedPageBreak/>
        <w:t>Conversely, if a property was used in a non-</w:t>
      </w:r>
      <w:smartTag w:uri="http://www.bna.com/sgml2word/cite" w:element="cite.usc">
        <w:smartTagPr>
          <w:attr w:name="ref" w:val="USC\26\1411"/>
        </w:smartTagPr>
        <w:r>
          <w:t>§1411</w:t>
        </w:r>
      </w:smartTag>
      <w:r>
        <w:t xml:space="preserve"> trade or business but then exchanged for a property held for investment, should the gain from the property be included in net investment income when sold? The regulations do not address this issue.</w:t>
      </w:r>
    </w:p>
    <w:p w14:paraId="74BF68FC" w14:textId="77777777" w:rsidR="00494B49" w:rsidRDefault="00494B49">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5"/>
      </w:r>
      <w:r>
        <w:t xml:space="preserve"> and gain associated with accumulated depreciation.</w:t>
      </w:r>
      <w:r>
        <w:rPr>
          <w:rStyle w:val="FootnoteReference"/>
        </w:rPr>
        <w:footnoteReference w:id="376"/>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7"/>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6E2B7F3C" w14:textId="77777777" w:rsidR="00494B49" w:rsidRDefault="00494B49">
      <w:pPr>
        <w:pStyle w:val="BNormal"/>
      </w:pPr>
      <w:r>
        <w:t>Consider the following NIIT treatment of two gain deferral transactions into the new Opportunity Zones.</w:t>
      </w:r>
      <w:r>
        <w:rPr>
          <w:rStyle w:val="FootnoteReference"/>
        </w:rPr>
        <w:footnoteReference w:id="378"/>
      </w:r>
    </w:p>
    <w:p w14:paraId="15BD0C06" w14:textId="77777777" w:rsidR="00494B49" w:rsidRDefault="00494B49">
      <w:pPr>
        <w:pStyle w:val="BExamplepara"/>
      </w:pPr>
      <w:r>
        <w:rPr>
          <w:rStyle w:val="BExamplehead"/>
          <w:rFonts w:eastAsiaTheme="minorHAnsi"/>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1082F2F6" w14:textId="77777777" w:rsidR="00494B49" w:rsidRDefault="00494B49">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0AAF845D" w14:textId="77777777" w:rsidR="00494B49" w:rsidRDefault="00494B49">
      <w:pPr>
        <w:pStyle w:val="BExamplepara"/>
      </w:pPr>
      <w:r>
        <w:rPr>
          <w:rStyle w:val="BExamplehead"/>
          <w:rFonts w:eastAsiaTheme="minorHAnsi"/>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0A7591B8" w14:textId="77777777" w:rsidR="00494B49" w:rsidRDefault="00494B49">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w:t>
      </w:r>
      <w:r>
        <w:lastRenderedPageBreak/>
        <w:t xml:space="preserve">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5B640095" w14:textId="77777777" w:rsidR="00494B49" w:rsidRDefault="00494B49">
      <w:pPr>
        <w:pStyle w:val="BHead4"/>
      </w:pPr>
      <w:r>
        <w:t>(2) Opportunity Zone Funds</w:t>
      </w:r>
    </w:p>
    <w:p w14:paraId="26772B92" w14:textId="77777777" w:rsidR="00494B49" w:rsidRDefault="00494B49">
      <w:pPr>
        <w:pStyle w:val="BNormal"/>
      </w:pPr>
      <w:r>
        <w:t>For tax years beginning after 2017, individuals, trusts and estates can defer gain if the gain is contributed to an Opportunity Zone Fund.</w:t>
      </w:r>
      <w:r>
        <w:rPr>
          <w:rStyle w:val="FootnoteReference"/>
        </w:rPr>
        <w:footnoteReference w:id="379"/>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44CF58E7" w14:textId="77777777" w:rsidR="00494B49" w:rsidRDefault="00494B49">
      <w:pPr>
        <w:pStyle w:val="BHead3"/>
      </w:pPr>
      <w:r>
        <w:t xml:space="preserve">c. Installment Sales and Private Annuities </w:t>
      </w:r>
    </w:p>
    <w:p w14:paraId="61928017" w14:textId="77777777" w:rsidR="00494B49" w:rsidRDefault="00494B49">
      <w:pPr>
        <w:pStyle w:val="BNormal"/>
      </w:pPr>
      <w:r>
        <w:t xml:space="preserve">Example 2 in Reg. </w:t>
      </w:r>
      <w:smartTag w:uri="http://www.bna.com/sgml2word/cite" w:element="cite.cfr">
        <w:smartTagPr>
          <w:attr w:name="ref" w:val="cfr\26\1.1411-4"/>
        </w:smartTagPr>
        <w:r>
          <w:t>§1.1411-4(d)(4)(</w:t>
        </w:r>
        <w:proofErr w:type="spellStart"/>
        <w:r>
          <w:t>i</w:t>
        </w:r>
        <w:proofErr w:type="spellEnd"/>
        <w:r>
          <w:t>)(C)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4C48DAF4" w14:textId="77777777" w:rsidR="00494B49" w:rsidRDefault="00494B49">
      <w:pPr>
        <w:pStyle w:val="BHead3"/>
      </w:pPr>
      <w:r>
        <w:t xml:space="preserve">d. Gains and Losses from Entities </w:t>
      </w:r>
    </w:p>
    <w:p w14:paraId="2204B25C" w14:textId="77777777" w:rsidR="00494B49" w:rsidRDefault="00494B49">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0"/>
      </w:r>
      <w:r>
        <w:t xml:space="preserve"> and real estate investment trusts (REITs).</w:t>
      </w:r>
      <w:r>
        <w:rPr>
          <w:rStyle w:val="FootnoteReference"/>
        </w:rPr>
        <w:footnoteReference w:id="381"/>
      </w:r>
      <w:r>
        <w:t xml:space="preserve"> Amounts of gain included in income of a participant in a common trust fund</w:t>
      </w:r>
      <w:r>
        <w:rPr>
          <w:rStyle w:val="FootnoteReference"/>
        </w:rPr>
        <w:footnoteReference w:id="382"/>
      </w:r>
      <w:r>
        <w:t xml:space="preserve"> or as beneficiary of a </w:t>
      </w:r>
      <w:proofErr w:type="spellStart"/>
      <w:r>
        <w:t>nongrantor</w:t>
      </w:r>
      <w:proofErr w:type="spellEnd"/>
      <w:r>
        <w:t xml:space="preserve"> trust or estate</w:t>
      </w:r>
      <w:r>
        <w:rPr>
          <w:rStyle w:val="FootnoteReference"/>
        </w:rPr>
        <w:footnoteReference w:id="383"/>
      </w:r>
      <w:r>
        <w:t xml:space="preserve"> are also considered gains and losses under </w:t>
      </w:r>
      <w:smartTag w:uri="http://www.bna.com/sgml2word/cite" w:element="cite.usc">
        <w:smartTagPr>
          <w:attr w:name="ref" w:val="USC\26\1411(c)(1)(A)(iii)"/>
        </w:smartTagPr>
        <w:r>
          <w:t>§1411(c)(1)(A)(iii)</w:t>
        </w:r>
      </w:smartTag>
      <w:r>
        <w:t xml:space="preserve">. </w:t>
      </w:r>
    </w:p>
    <w:p w14:paraId="293B4698" w14:textId="77777777" w:rsidR="00494B49" w:rsidRDefault="00494B49">
      <w:pPr>
        <w:pStyle w:val="BHead3"/>
      </w:pPr>
      <w:r>
        <w:t>e. Pre-2013 Capital Loss Carryforwards</w:t>
      </w:r>
    </w:p>
    <w:p w14:paraId="62100085" w14:textId="77777777" w:rsidR="00494B49" w:rsidRDefault="00494B49">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a trade or business, or (2) held in a trade or business described in </w:t>
      </w:r>
      <w:smartTag w:uri="http://www.bna.com/sgml2word/cite" w:element="cite.cfr">
        <w:smartTagPr>
          <w:attr w:name="ref" w:val="cfr\26\1.1411-5"/>
        </w:smartTagPr>
        <w:r>
          <w:t>§1.1411-5</w:t>
        </w:r>
      </w:smartTag>
      <w:r>
        <w:t xml:space="preserve">. Therefore, the term </w:t>
      </w:r>
      <w:r>
        <w:lastRenderedPageBreak/>
        <w:t xml:space="preserve">“net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4"/>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1AF0DD36" w14:textId="77777777" w:rsidR="00494B49" w:rsidRDefault="00494B49">
      <w:pPr>
        <w:pStyle w:val="BHead2"/>
      </w:pPr>
      <w:r>
        <w:t>2. Net Gain Attributable to Investment of Working Capital</w:t>
      </w:r>
    </w:p>
    <w:p w14:paraId="256333DD" w14:textId="77777777" w:rsidR="00494B49" w:rsidRDefault="00494B49">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5"/>
      </w:r>
    </w:p>
    <w:p w14:paraId="69C9778E" w14:textId="77777777" w:rsidR="00494B49" w:rsidRDefault="00494B49">
      <w:pPr>
        <w:pStyle w:val="BHead2"/>
      </w:pPr>
      <w:r>
        <w:t>3. Sale of Partnership Interest or S Corporation Stock</w:t>
      </w:r>
    </w:p>
    <w:p w14:paraId="70FC6D5B" w14:textId="77777777" w:rsidR="00494B49" w:rsidRDefault="00494B49">
      <w:pPr>
        <w:pStyle w:val="BNormal"/>
      </w:pPr>
      <w:r>
        <w:t xml:space="preserve">Reg. </w:t>
      </w:r>
      <w:smartTag w:uri="http://www.bna.com/sgml2word/cite" w:element="cite.cfr">
        <w:smartTagPr>
          <w:attr w:name="ref" w:val="cfr\26\1.1411-4(d)(4)(i)(B)"/>
        </w:smartTagPr>
        <w:r>
          <w:t>§1.1411-4(d)(4)(</w:t>
        </w:r>
        <w:proofErr w:type="spellStart"/>
        <w:r>
          <w:t>i</w:t>
        </w:r>
        <w:proofErr w:type="spellEnd"/>
        <w:r>
          <w:t>)(B)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6"/>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EFC360B" w14:textId="77777777" w:rsidR="00494B49" w:rsidRDefault="00494B49">
      <w:pPr>
        <w:pStyle w:val="BHead2"/>
      </w:pPr>
      <w:r>
        <w:t>4. ‘Dispositions’</w:t>
      </w:r>
    </w:p>
    <w:p w14:paraId="4CB212BF" w14:textId="77777777" w:rsidR="00494B49" w:rsidRDefault="00494B49">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6685FF8D" w14:textId="77777777" w:rsidR="00494B49" w:rsidRDefault="00494B49">
      <w:pPr>
        <w:pStyle w:val="BListitembul"/>
      </w:pPr>
      <w:r>
        <w:t>The transfer of appreciated property to a political organization to which §84 applies;</w:t>
      </w:r>
      <w:r>
        <w:rPr>
          <w:rStyle w:val="FootnoteReference"/>
        </w:rPr>
        <w:footnoteReference w:id="387"/>
      </w:r>
    </w:p>
    <w:p w14:paraId="3DA9C014" w14:textId="77777777" w:rsidR="00494B49" w:rsidRDefault="00494B49">
      <w:pPr>
        <w:pStyle w:val="BListitembul"/>
      </w:pPr>
      <w:r>
        <w:t>Gain recognized under §301(c) from the distribution of property from a C corporation in excess of the adjusted basis of the shareholder’s stock;</w:t>
      </w:r>
      <w:r>
        <w:rPr>
          <w:rStyle w:val="FootnoteReference"/>
        </w:rPr>
        <w:footnoteReference w:id="388"/>
      </w:r>
    </w:p>
    <w:p w14:paraId="343AA2C5" w14:textId="77777777" w:rsidR="00494B49" w:rsidRDefault="00494B49">
      <w:pPr>
        <w:pStyle w:val="BListitembul"/>
      </w:pPr>
      <w:r>
        <w:lastRenderedPageBreak/>
        <w:t>Upon a sale of S corporation stock with a §338(h)(10) election, each shareholder’s pro rata share of the deemed asset sale gain or loss;</w:t>
      </w:r>
      <w:r>
        <w:rPr>
          <w:rStyle w:val="FootnoteReference"/>
        </w:rPr>
        <w:footnoteReference w:id="389"/>
      </w:r>
      <w:r>
        <w:t xml:space="preserve"> </w:t>
      </w:r>
    </w:p>
    <w:p w14:paraId="488341CC" w14:textId="77777777" w:rsidR="00494B49" w:rsidRDefault="00494B49">
      <w:pPr>
        <w:pStyle w:val="BListitembul"/>
      </w:pPr>
      <w:r>
        <w:t>Gain recognized on the transfer of an installment obligation under §453B;</w:t>
      </w:r>
    </w:p>
    <w:p w14:paraId="6E800DF7" w14:textId="77777777" w:rsidR="00494B49" w:rsidRDefault="00494B49">
      <w:pPr>
        <w:pStyle w:val="BListitembul"/>
      </w:pPr>
      <w:r>
        <w:t>Gain or loss recognized under the §475(f) market-to-market regime;</w:t>
      </w:r>
    </w:p>
    <w:p w14:paraId="41A4BB49" w14:textId="77777777" w:rsidR="00494B49" w:rsidRDefault="00494B49">
      <w:pPr>
        <w:pStyle w:val="BListitembul"/>
      </w:pPr>
      <w:r>
        <w:t>Gain recognized under §731 from the distribution of money from a partnership in excess of the adjusted basis of the partner’s interest in the partnership;</w:t>
      </w:r>
      <w:r>
        <w:rPr>
          <w:rStyle w:val="FootnoteReference"/>
        </w:rPr>
        <w:footnoteReference w:id="390"/>
      </w:r>
    </w:p>
    <w:p w14:paraId="67B1B16A" w14:textId="77777777" w:rsidR="00494B49" w:rsidRDefault="00494B49">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w:t>
      </w:r>
      <w:proofErr w:type="spellStart"/>
      <w:r>
        <w:t>i</w:t>
      </w:r>
      <w:proofErr w:type="spellEnd"/>
      <w:r>
        <w:t>));</w:t>
      </w:r>
    </w:p>
    <w:p w14:paraId="26F01DCE" w14:textId="77777777" w:rsidR="00494B49" w:rsidRDefault="00494B49">
      <w:pPr>
        <w:pStyle w:val="BListitembul"/>
      </w:pPr>
      <w:r>
        <w:t>Gain or loss under §877A for a covered expatriate;</w:t>
      </w:r>
      <w:r>
        <w:rPr>
          <w:rStyle w:val="FootnoteReference"/>
        </w:rPr>
        <w:footnoteReference w:id="391"/>
      </w:r>
    </w:p>
    <w:p w14:paraId="64B429B2" w14:textId="77777777" w:rsidR="00494B49" w:rsidRDefault="00494B49">
      <w:pPr>
        <w:pStyle w:val="BListitembul"/>
      </w:pPr>
      <w:r>
        <w:t>Gain recognized on a gift when property is encumbered by liabilities in excess of the donor’s basis;</w:t>
      </w:r>
      <w:r>
        <w:rPr>
          <w:rStyle w:val="FootnoteReference"/>
        </w:rPr>
        <w:footnoteReference w:id="392"/>
      </w:r>
    </w:p>
    <w:p w14:paraId="6EB084E7" w14:textId="77777777" w:rsidR="00494B49" w:rsidRDefault="00494B49">
      <w:pPr>
        <w:pStyle w:val="BListitembul"/>
      </w:pPr>
      <w:r>
        <w:t>Gain or loss recognized on a bargain sale to charity (even though the corresponding charitable contribution is not deductible in calculating NII);</w:t>
      </w:r>
      <w:r>
        <w:rPr>
          <w:rStyle w:val="FootnoteReference"/>
        </w:rPr>
        <w:footnoteReference w:id="393"/>
      </w:r>
    </w:p>
    <w:p w14:paraId="04E779B3" w14:textId="77777777" w:rsidR="00494B49" w:rsidRDefault="00494B49">
      <w:pPr>
        <w:pStyle w:val="BListitembul"/>
      </w:pPr>
      <w:r>
        <w:t>Transfer of property consisting of all substantial rights to a patent, or an undivided interest therein under §1235;</w:t>
      </w:r>
      <w:r>
        <w:rPr>
          <w:rStyle w:val="FootnoteReference"/>
        </w:rPr>
        <w:footnoteReference w:id="394"/>
      </w:r>
    </w:p>
    <w:p w14:paraId="3F346B2B" w14:textId="77777777" w:rsidR="00494B49" w:rsidRDefault="00494B49">
      <w:pPr>
        <w:pStyle w:val="BListitembul"/>
      </w:pPr>
      <w:r>
        <w:t>Cancellation of a lease or distributor’s agreement covered by §1241;</w:t>
      </w:r>
    </w:p>
    <w:p w14:paraId="590031BA" w14:textId="77777777" w:rsidR="00494B49" w:rsidRDefault="00494B49">
      <w:pPr>
        <w:pStyle w:val="BListitembul"/>
      </w:pPr>
      <w:r>
        <w:t>Gain or loss recognized under the §1256 market-to-market regime;</w:t>
      </w:r>
      <w:r>
        <w:rPr>
          <w:rStyle w:val="FootnoteReference"/>
        </w:rPr>
        <w:footnoteReference w:id="395"/>
      </w:r>
    </w:p>
    <w:p w14:paraId="778095FE" w14:textId="77777777" w:rsidR="00494B49" w:rsidRDefault="00494B49">
      <w:pPr>
        <w:pStyle w:val="BListitembul"/>
      </w:pPr>
      <w:r>
        <w:t>Gain or loss recognized under the §1296 market-to-market regime for electing PFICs; and</w:t>
      </w:r>
    </w:p>
    <w:p w14:paraId="1B0720EB" w14:textId="77777777" w:rsidR="00494B49" w:rsidRDefault="00494B49">
      <w:pPr>
        <w:pStyle w:val="BListitembul"/>
      </w:pPr>
      <w:r>
        <w:t>Gain recognized under §1368 from the distribution of property from an S corporation in excess of the adjusted basis of the shareholder’s stock.</w:t>
      </w:r>
    </w:p>
    <w:p w14:paraId="7B86A3B8" w14:textId="77777777" w:rsidR="00494B49" w:rsidRDefault="00494B49">
      <w:pPr>
        <w:pStyle w:val="BNormal"/>
      </w:pPr>
      <w:r>
        <w:t xml:space="preserve">Given the breadth of the term disposition, it is more challenging to determine what is not included than what is included. </w:t>
      </w:r>
    </w:p>
    <w:p w14:paraId="7743CD91" w14:textId="77777777" w:rsidR="00494B49" w:rsidRDefault="00494B49">
      <w:pPr>
        <w:pStyle w:val="BHead2"/>
      </w:pPr>
      <w:r>
        <w:t xml:space="preserve">5. Interaction with Properly Allocable Deductions </w:t>
      </w:r>
    </w:p>
    <w:p w14:paraId="7F321A19"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40203CF9" w14:textId="77777777" w:rsidR="00494B49" w:rsidRDefault="00494B49">
      <w:pPr>
        <w:pStyle w:val="BNormal"/>
      </w:pPr>
      <w:r>
        <w:lastRenderedPageBreak/>
        <w:t xml:space="preserve">Reg. </w:t>
      </w:r>
      <w:smartTag w:uri="http://www.bna.com/sgml2word/cite" w:element="cite.cfr">
        <w:smartTagPr>
          <w:attr w:name="ref" w:val="cfr\26\1.1411-4(f)(4)(i)"/>
        </w:smartTagPr>
        <w:r>
          <w:t>§1.1411-4(f)(4)(</w:t>
        </w:r>
        <w:proofErr w:type="spellStart"/>
        <w:r>
          <w:t>i</w:t>
        </w:r>
        <w:proofErr w:type="spellEnd"/>
        <w:r>
          <w:t>)</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6"/>
      </w:r>
      <w:r>
        <w:t xml:space="preserve"> or below the line,</w:t>
      </w:r>
      <w:r>
        <w:rPr>
          <w:rStyle w:val="FootnoteReference"/>
        </w:rPr>
        <w:footnoteReference w:id="397"/>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8"/>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w:t>
        </w:r>
        <w:proofErr w:type="spellStart"/>
        <w:r>
          <w:t>i</w:t>
        </w:r>
        <w:proofErr w:type="spellEnd"/>
        <w:r>
          <w:t>)</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399"/>
      </w:r>
    </w:p>
    <w:p w14:paraId="2FCFFB18" w14:textId="77777777" w:rsidR="00494B49" w:rsidRDefault="00494B49">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0"/>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1"/>
      </w:r>
    </w:p>
    <w:p w14:paraId="58E08B01" w14:textId="77777777" w:rsidR="00494B49" w:rsidRDefault="00494B49">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3941838D" w14:textId="77777777" w:rsidR="00494B49" w:rsidRDefault="00494B49">
      <w:pPr>
        <w:pStyle w:val="BListitemorig"/>
      </w:pPr>
      <w:r>
        <w:t>(</w:t>
      </w:r>
      <w:proofErr w:type="spellStart"/>
      <w:r>
        <w:t>i</w:t>
      </w:r>
      <w:proofErr w:type="spellEnd"/>
      <w:r>
        <w:t xml:space="preserve">)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21607810" w14:textId="77777777" w:rsidR="00494B49" w:rsidRDefault="00494B49">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0CEACE5D" w14:textId="77777777" w:rsidR="00494B49" w:rsidRDefault="00494B49">
      <w:pPr>
        <w:pStyle w:val="BNormal"/>
      </w:pPr>
      <w:r>
        <w:lastRenderedPageBreak/>
        <w:t xml:space="preserve">The analysis concluded that B’s net investment income for Year 1 was $35,000. It arrived at that conclusion in the following manner: </w:t>
      </w:r>
    </w:p>
    <w:p w14:paraId="26FB8361" w14:textId="77777777" w:rsidR="00494B49" w:rsidRDefault="00494B49">
      <w:pPr>
        <w:pStyle w:val="BListitemorig"/>
      </w:pPr>
      <w:r>
        <w:t>(iii) For purposes of calculating net investment income, B includes the $50,000 of annuity income in net investment income. Pursuant to Reg. §1.1411-4(d)(4)(</w:t>
      </w:r>
      <w:proofErr w:type="spellStart"/>
      <w:r>
        <w:t>i</w:t>
      </w:r>
      <w:proofErr w:type="spellEnd"/>
      <w:r>
        <w:t>), B’s net gain does not include the $21,000 long-term capital gain because it is attributable to property held in B’s sole proprietorship (a nonpassive trade or business). Pursuant to Reg. §1.1411-4(d), B</w:t>
      </w:r>
      <w:r>
        <w:rPr>
          <w:rStyle w:val="FootnoteReference"/>
        </w:rPr>
        <w:footnoteReference w:id="402"/>
      </w:r>
      <w:r>
        <w:t xml:space="preserve"> takes into account the $15,000 capital loss allowed by Chapter 1. B’s losses ($15,000) exceed B’s gains ($0). Therefore, B’s net gain is zero. However, B is allowed a deduction under Reg. §1.1411-4 (f)(4)(</w:t>
      </w:r>
      <w:proofErr w:type="spellStart"/>
      <w:r>
        <w:t>i</w:t>
      </w:r>
      <w:proofErr w:type="spellEnd"/>
      <w:r>
        <w:t xml:space="preserve">) of this section for $15,000 (the amount of losses that were allowable under Chapter 1 in excess of the amounts taken into account in computing net gain). </w:t>
      </w:r>
    </w:p>
    <w:p w14:paraId="19EBDF8E" w14:textId="77777777" w:rsidR="00494B49" w:rsidRDefault="00494B49">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08EC10B9" w14:textId="77777777" w:rsidR="00494B49" w:rsidRDefault="00494B49">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w:t>
        </w:r>
        <w:proofErr w:type="spellStart"/>
        <w:r>
          <w:t>i</w:t>
        </w:r>
        <w:proofErr w:type="spellEnd"/>
        <w:r>
          <w:t>)</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634A3D48" w14:textId="77777777" w:rsidR="00494B49" w:rsidRDefault="00494B49">
      <w:pPr>
        <w:pStyle w:val="BHead2"/>
      </w:pPr>
      <w:r>
        <w:t>6. Capital vs. Ordinary Gains and Losses</w:t>
      </w:r>
    </w:p>
    <w:p w14:paraId="321DD636" w14:textId="77777777" w:rsidR="00494B49" w:rsidRDefault="00494B49">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3DAFB467" w14:textId="77777777" w:rsidR="00494B49" w:rsidRDefault="00494B49">
      <w:pPr>
        <w:pStyle w:val="BHead2"/>
      </w:pPr>
      <w:r>
        <w:lastRenderedPageBreak/>
        <w:t>7. Exception for Gain or Loss Attributable to Property Held in a Non-§1411(c)(2) Trade or Business</w:t>
      </w:r>
    </w:p>
    <w:p w14:paraId="18A8A4A5" w14:textId="77777777" w:rsidR="00494B49" w:rsidRDefault="00494B49">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3"/>
      </w:r>
    </w:p>
    <w:p w14:paraId="18C0FD86" w14:textId="77777777" w:rsidR="00494B49" w:rsidRDefault="00494B49">
      <w:pPr>
        <w:pStyle w:val="BHead3"/>
      </w:pPr>
      <w:r>
        <w:t xml:space="preserve">a. Held for Use in a Non-§1411(c)(2) Trade or </w:t>
      </w:r>
      <w:r>
        <w:br/>
        <w:t>Business</w:t>
      </w:r>
    </w:p>
    <w:p w14:paraId="3ECABE45" w14:textId="77777777" w:rsidR="00494B49" w:rsidRDefault="00494B49">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4"/>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5"/>
      </w:r>
    </w:p>
    <w:p w14:paraId="02F22693" w14:textId="77777777" w:rsidR="00494B49" w:rsidRDefault="00494B49">
      <w:pPr>
        <w:pStyle w:val="BHead4"/>
      </w:pPr>
      <w:r>
        <w:t>(1) ‘Held’ vs. ‘Used’ vs. ‘Held for Use’</w:t>
      </w:r>
    </w:p>
    <w:p w14:paraId="1EBE9026" w14:textId="77777777" w:rsidR="00494B49" w:rsidRDefault="00494B49">
      <w:pPr>
        <w:pStyle w:val="BNormal"/>
      </w:pPr>
      <w:r>
        <w:t xml:space="preserve">The text of Reg. </w:t>
      </w:r>
      <w:smartTag w:uri="http://www.bna.com/sgml2word/cite" w:element="cite.cfr">
        <w:smartTagPr>
          <w:attr w:name="ref" w:val="cfr\26\1.1411-4(d)(4)(i)"/>
        </w:smartTagPr>
        <w:r>
          <w:t>§1.1411-4(d)(4)(</w:t>
        </w:r>
        <w:proofErr w:type="spellStart"/>
        <w:r>
          <w:t>i</w:t>
        </w:r>
        <w:proofErr w:type="spellEnd"/>
        <w:r>
          <w:t>)</w:t>
        </w:r>
      </w:smartTag>
      <w:r>
        <w:t xml:space="preserve"> does not elaborate on the term “held” in a trade or business. The preamble to the 2013 Final Regulations provides no further insight on the matter.</w:t>
      </w:r>
    </w:p>
    <w:p w14:paraId="0FACC4DF" w14:textId="77777777" w:rsidR="00494B49" w:rsidRDefault="00494B49">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6"/>
      </w:r>
    </w:p>
    <w:p w14:paraId="720958EE" w14:textId="77777777" w:rsidR="00494B49" w:rsidRDefault="00494B49">
      <w:pPr>
        <w:pStyle w:val="BNormal"/>
      </w:pPr>
      <w:r>
        <w:t xml:space="preserve">Is there a difference between “held” and “held for use” or simply “used”? If so, should there be? As a practical matter, only in rare circumstances will there ever be a need to split hairs with respect to this issue. Some may view the term “used” as requiring more effort and engagement by the business with respect to an asset when compared to “held.” Stated differently, one could </w:t>
      </w:r>
      <w:r>
        <w:lastRenderedPageBreak/>
        <w:t>say that “held” is a broader term than “used,” such that property “held” in a business is broader than property “used” in a business.</w:t>
      </w:r>
    </w:p>
    <w:p w14:paraId="6BA58BF5" w14:textId="77777777" w:rsidR="00494B49" w:rsidRDefault="00494B49">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w:t>
        </w:r>
        <w:proofErr w:type="spellStart"/>
        <w:r>
          <w:t>i</w:t>
        </w:r>
        <w:proofErr w:type="spellEnd"/>
        <w:r>
          <w:t>)</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48F72C9D" w14:textId="77777777" w:rsidR="00494B49" w:rsidRDefault="00494B49">
      <w:pPr>
        <w:pStyle w:val="BNormal"/>
      </w:pPr>
      <w:r>
        <w:t>The regulations provide no insight. These factual questions regarding characterization have existed for generations.</w:t>
      </w:r>
    </w:p>
    <w:p w14:paraId="4D77718E" w14:textId="77777777" w:rsidR="00494B49" w:rsidRDefault="00494B49">
      <w:pPr>
        <w:pStyle w:val="BHead4"/>
      </w:pPr>
      <w:r>
        <w:t>(2) Section 1231 Classification as a Proxy?</w:t>
      </w:r>
    </w:p>
    <w:p w14:paraId="7A4C2B5A" w14:textId="77777777" w:rsidR="00494B49" w:rsidRDefault="00494B49">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7280292" w14:textId="77777777" w:rsidR="00494B49" w:rsidRDefault="00494B49">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7"/>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4F78404" w14:textId="77777777" w:rsidR="00494B49" w:rsidRDefault="00494B49">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profit.”</w:t>
      </w:r>
      <w:r>
        <w:rPr>
          <w:rStyle w:val="FootnoteReference"/>
        </w:rPr>
        <w:footnoteReference w:id="408"/>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w:t>
      </w:r>
      <w:r>
        <w:lastRenderedPageBreak/>
        <w:t xml:space="preserve">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1690534A" w14:textId="77777777" w:rsidR="00494B49" w:rsidRDefault="00494B49">
      <w:pPr>
        <w:pStyle w:val="BHead4"/>
      </w:pPr>
      <w:r>
        <w:t>(3) Section 167 as a Proxy?</w:t>
      </w:r>
    </w:p>
    <w:p w14:paraId="39D7FC73" w14:textId="77777777" w:rsidR="00494B49" w:rsidRDefault="00494B49">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09"/>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0"/>
      </w:r>
      <w:r>
        <w:t xml:space="preserve"> or “abnormal”</w:t>
      </w:r>
      <w:r>
        <w:rPr>
          <w:rStyle w:val="FootnoteReference"/>
        </w:rPr>
        <w:footnoteReference w:id="411"/>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2"/>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3"/>
      </w:r>
      <w:r>
        <w:t xml:space="preserve"> In this case, it would still be considered held in a trade or business. </w:t>
      </w:r>
    </w:p>
    <w:p w14:paraId="2DFC94F4" w14:textId="77777777" w:rsidR="00494B49" w:rsidRDefault="00494B49">
      <w:pPr>
        <w:pStyle w:val="BHead4"/>
      </w:pPr>
      <w:r>
        <w:t>(4) Section 1221(a)(2) as a Proxy?</w:t>
      </w:r>
    </w:p>
    <w:p w14:paraId="4DEB31ED" w14:textId="77777777" w:rsidR="00494B49" w:rsidRDefault="00494B49">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from the term “capital assets.”</w:t>
      </w:r>
      <w:r>
        <w:rPr>
          <w:rStyle w:val="FootnoteReference"/>
        </w:rPr>
        <w:footnoteReference w:id="414"/>
      </w:r>
      <w:r>
        <w:t xml:space="preserve"> Gains and losses from the sale or exchange of such property are </w:t>
      </w:r>
      <w:r>
        <w:lastRenderedPageBreak/>
        <w:t xml:space="preserve">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5"/>
      </w:r>
    </w:p>
    <w:p w14:paraId="52E73068" w14:textId="77777777" w:rsidR="00494B49" w:rsidRDefault="00494B49">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0A38E16C" w14:textId="77777777" w:rsidR="00494B49" w:rsidRDefault="00494B49">
      <w:pPr>
        <w:pStyle w:val="BNormal"/>
      </w:pPr>
      <w:r>
        <w:t xml:space="preserve">In </w:t>
      </w:r>
      <w:r>
        <w:rPr>
          <w:rStyle w:val="BCasenamefull"/>
        </w:rPr>
        <w:t>Riss v. Commissioner</w:t>
      </w:r>
      <w:r>
        <w:t>,</w:t>
      </w:r>
      <w:r>
        <w:rPr>
          <w:rStyle w:val="FootnoteReference"/>
        </w:rPr>
        <w:footnoteReference w:id="416"/>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432CA554" w14:textId="77777777" w:rsidR="00494B49" w:rsidRDefault="00494B49">
      <w:pPr>
        <w:pStyle w:val="BNormal"/>
      </w:pPr>
      <w:r>
        <w:t xml:space="preserve">In </w:t>
      </w:r>
      <w:r>
        <w:rPr>
          <w:rStyle w:val="BCasenamefull"/>
        </w:rPr>
        <w:t>Azar Nut Co. v. Commissioner</w:t>
      </w:r>
      <w:r>
        <w:t>,</w:t>
      </w:r>
      <w:r>
        <w:rPr>
          <w:rStyle w:val="FootnoteReference"/>
        </w:rPr>
        <w:footnoteReference w:id="417"/>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22CF7117" w14:textId="77777777" w:rsidR="00494B49" w:rsidRDefault="00494B49">
      <w:pPr>
        <w:pStyle w:val="BNormal"/>
      </w:pPr>
      <w:r>
        <w:t xml:space="preserve">In </w:t>
      </w:r>
      <w:r>
        <w:rPr>
          <w:rStyle w:val="BCasenamefull"/>
        </w:rPr>
        <w:t>Carter-Colton Cigar Co. v. Commissioner</w:t>
      </w:r>
      <w:r>
        <w:t>,</w:t>
      </w:r>
      <w:r>
        <w:rPr>
          <w:rStyle w:val="FootnoteReference"/>
        </w:rPr>
        <w:footnoteReference w:id="418"/>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19"/>
      </w:r>
      <w:r>
        <w:t xml:space="preserve"> the Tax Court reaffirmed its holding in </w:t>
      </w:r>
      <w:r>
        <w:rPr>
          <w:i/>
        </w:rPr>
        <w:t>Carter-Colton Cigar</w:t>
      </w:r>
      <w:r>
        <w:t>,</w:t>
      </w:r>
      <w:r>
        <w:rPr>
          <w:rStyle w:val="FootnoteReference"/>
        </w:rPr>
        <w:footnoteReference w:id="420"/>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0B325693" w14:textId="77777777" w:rsidR="00494B49" w:rsidRDefault="00494B49">
      <w:pPr>
        <w:pStyle w:val="BNormal"/>
      </w:pPr>
      <w:r>
        <w:t xml:space="preserve">In </w:t>
      </w:r>
      <w:r>
        <w:rPr>
          <w:rStyle w:val="BCasenamefull"/>
        </w:rPr>
        <w:t>Wilson Line, Inc. v. Commissioner</w:t>
      </w:r>
      <w:r>
        <w:t>,</w:t>
      </w:r>
      <w:r>
        <w:rPr>
          <w:rStyle w:val="FootnoteReference"/>
        </w:rPr>
        <w:footnoteReference w:id="421"/>
      </w:r>
      <w:r>
        <w:t xml:space="preserve"> property that had been used in the taxpayer’s trade or business ceased to be used in the business when a marine railway was dismantled and the parts were put in storage for five years. The Tax Court found that the dismantled parts could have been reused to construct another marine railroad and that it was the taxpayer’s intention to use them </w:t>
      </w:r>
      <w:r>
        <w:lastRenderedPageBreak/>
        <w:t xml:space="preserve">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2530095D" w14:textId="77777777" w:rsidR="00494B49" w:rsidRDefault="00494B49">
      <w:pPr>
        <w:pStyle w:val="BNormal"/>
      </w:pPr>
      <w:r>
        <w:t xml:space="preserve">On the other hand, in </w:t>
      </w:r>
      <w:r>
        <w:rPr>
          <w:rStyle w:val="BCasenamefull"/>
        </w:rPr>
        <w:t>Stewart Title Guar. Co. v. Commissioner</w:t>
      </w:r>
      <w:r>
        <w:t>,</w:t>
      </w:r>
      <w:r>
        <w:rPr>
          <w:rStyle w:val="FootnoteReference"/>
        </w:rPr>
        <w:footnoteReference w:id="422"/>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3EE404F5" w14:textId="77777777" w:rsidR="00494B49" w:rsidRDefault="00494B49">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w:t>
        </w:r>
        <w:proofErr w:type="spellStart"/>
        <w:r>
          <w:t>i</w:t>
        </w:r>
        <w:proofErr w:type="spellEnd"/>
        <w:r>
          <w:t>)</w:t>
        </w:r>
      </w:smartTag>
      <w:r>
        <w:t xml:space="preserve"> exclusions by taking the position that being owned by the business is sufficient, in and of itself, to constitute “held in a trade or business.” </w:t>
      </w:r>
    </w:p>
    <w:p w14:paraId="4C9F127B" w14:textId="77777777" w:rsidR="00494B49" w:rsidRDefault="00494B49">
      <w:pPr>
        <w:pStyle w:val="BHead3"/>
      </w:pPr>
      <w:r>
        <w:t>b. Treatment of Working Capital</w:t>
      </w:r>
    </w:p>
    <w:p w14:paraId="0D94CC9B" w14:textId="77777777" w:rsidR="00494B49" w:rsidRDefault="00494B49">
      <w:pPr>
        <w:pStyle w:val="BNormal"/>
      </w:pPr>
      <w:r>
        <w:t xml:space="preserve">Reg. </w:t>
      </w:r>
      <w:smartTag w:uri="http://www.bna.com/sgml2word/cite" w:element="cite.cfr">
        <w:smartTagPr>
          <w:attr w:name="ref" w:val="cfr\26\1.1411-4(d)(4)(i)(A)"/>
        </w:smartTagPr>
        <w:r>
          <w:t>§1.1411-4(d)(4)(</w:t>
        </w:r>
        <w:proofErr w:type="spellStart"/>
        <w:r>
          <w:t>i</w:t>
        </w:r>
        <w:proofErr w:type="spellEnd"/>
        <w:r>
          <w:t>)(A)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r>
        <w:b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w:t>
      </w:r>
      <w:proofErr w:type="spellStart"/>
      <w:r>
        <w:t>i</w:t>
      </w:r>
      <w:proofErr w:type="spellEnd"/>
      <w:r>
        <w:t>),</w:t>
      </w:r>
      <w:r>
        <w:rPr>
          <w:rStyle w:val="FootnoteReference"/>
        </w:rPr>
        <w:footnoteReference w:id="423"/>
      </w:r>
      <w:r>
        <w:t xml:space="preserve"> or (II) held for investment.”</w:t>
      </w:r>
    </w:p>
    <w:p w14:paraId="207A1A92" w14:textId="77777777" w:rsidR="00494B49" w:rsidRDefault="00494B49">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w:t>
        </w:r>
        <w:proofErr w:type="spellStart"/>
        <w:r>
          <w:t>i</w:t>
        </w:r>
        <w:proofErr w:type="spellEnd"/>
        <w:r>
          <w:t>)</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w:t>
      </w:r>
      <w:r>
        <w:lastRenderedPageBreak/>
        <w:t xml:space="preserve">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075A18BA" w14:textId="77777777" w:rsidR="00494B49" w:rsidRDefault="00494B49">
      <w:pPr>
        <w:pStyle w:val="BNormal"/>
      </w:pPr>
      <w:r>
        <w:t xml:space="preserve">In the context of gains and losses, Reg. </w:t>
      </w:r>
      <w:smartTag w:uri="http://www.bna.com/sgml2word/cite" w:element="cite.cfr">
        <w:smartTagPr>
          <w:attr w:name="ref" w:val="cfr\26\1.469-2T(c)(3)(i)"/>
        </w:smartTagPr>
        <w:r>
          <w:t>§1.469-2T(c)(3)(</w:t>
        </w:r>
        <w:proofErr w:type="spellStart"/>
        <w:r>
          <w:t>i</w:t>
        </w:r>
        <w:proofErr w:type="spellEnd"/>
        <w:r>
          <w:t>)</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w:t>
        </w:r>
        <w:proofErr w:type="spellStart"/>
        <w:r>
          <w:t>i</w:t>
        </w:r>
        <w:proofErr w:type="spellEnd"/>
        <w:r>
          <w:t>)(A)</w:t>
        </w:r>
      </w:smartTag>
      <w:r>
        <w:rPr>
          <w:rStyle w:val="FootnoteReference"/>
        </w:rPr>
        <w:footnoteReference w:id="424"/>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5"/>
      </w:r>
    </w:p>
    <w:p w14:paraId="26734833" w14:textId="77777777" w:rsidR="00494B49" w:rsidRDefault="00494B49">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6"/>
      </w:r>
      <w:r>
        <w:t xml:space="preserve"> The NIIT rule for dispositions follows the same construct. If the gain or loss is not covered by Reg. </w:t>
      </w:r>
      <w:smartTag w:uri="http://www.bna.com/sgml2word/cite" w:element="cite.cfr">
        <w:smartTagPr>
          <w:attr w:name="ref" w:val="cfr\26\1.469-2T(c)(3)(i)(C)"/>
        </w:smartTagPr>
        <w:r>
          <w:t>§1.469-2T(c)(3)(</w:t>
        </w:r>
        <w:proofErr w:type="spellStart"/>
        <w:r>
          <w:t>i</w:t>
        </w:r>
        <w:proofErr w:type="spellEnd"/>
        <w:r>
          <w:t>)(C)</w:t>
        </w:r>
      </w:smartTag>
      <w:r>
        <w:t xml:space="preserve"> (because it did not produce income of a type described in Reg. </w:t>
      </w:r>
      <w:smartTag w:uri="http://www.bna.com/sgml2word/cite" w:element="cite.cfr">
        <w:smartTagPr>
          <w:attr w:name="ref" w:val="cfr\26\1.469-2T(c)(3)(i)(A)"/>
        </w:smartTagPr>
        <w:r>
          <w:t>§1.469-2T(c)(3)(</w:t>
        </w:r>
        <w:proofErr w:type="spellStart"/>
        <w:r>
          <w:t>i</w:t>
        </w:r>
        <w:proofErr w:type="spellEnd"/>
        <w:r>
          <w:t>)(A)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w:t>
        </w:r>
        <w:proofErr w:type="spellStart"/>
        <w:r>
          <w:t>i</w:t>
        </w:r>
        <w:proofErr w:type="spellEnd"/>
        <w:r>
          <w:t>)(A)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7"/>
      </w:r>
      <w:r>
        <w:t xml:space="preserve"> Consider this example: </w:t>
      </w:r>
    </w:p>
    <w:p w14:paraId="2FA5A1F2" w14:textId="77777777" w:rsidR="00494B49" w:rsidRDefault="00494B49">
      <w:pPr>
        <w:pStyle w:val="BExamplepara"/>
      </w:pPr>
      <w:r>
        <w:rPr>
          <w:rStyle w:val="BExamplehead"/>
          <w:rFonts w:eastAsiaTheme="minorHAnsi"/>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w:t>
        </w:r>
        <w:proofErr w:type="spellStart"/>
        <w:r>
          <w:t>i</w:t>
        </w:r>
        <w:proofErr w:type="spellEnd"/>
        <w:r>
          <w:t>)(A)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w:t>
        </w:r>
        <w:proofErr w:type="spellStart"/>
        <w:r>
          <w:t>i</w:t>
        </w:r>
        <w:proofErr w:type="spellEnd"/>
        <w:r>
          <w:t>)(A)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w:t>
        </w:r>
        <w:proofErr w:type="spellStart"/>
        <w:r>
          <w:t>i</w:t>
        </w:r>
        <w:proofErr w:type="spellEnd"/>
        <w:r>
          <w:t>)(A)</w:t>
        </w:r>
      </w:smartTag>
      <w:r>
        <w:t xml:space="preserve"> (dividends on C corporation stock), the gain is treated as portfolio income by reason of Reg. </w:t>
      </w:r>
      <w:smartTag w:uri="http://www.bna.com/sgml2word/cite" w:element="cite.cfr">
        <w:smartTagPr>
          <w:attr w:name="ref" w:val="cfr\26\1.469-2T(c)(3)(i)(C)"/>
        </w:smartTagPr>
        <w:r>
          <w:t>§1.469-2T(c)(3)(</w:t>
        </w:r>
        <w:proofErr w:type="spellStart"/>
        <w:r>
          <w:t>i</w:t>
        </w:r>
        <w:proofErr w:type="spellEnd"/>
        <w:r>
          <w:t>)(C)</w:t>
        </w:r>
      </w:smartTag>
      <w:r>
        <w:t xml:space="preserve"> (gains from disposition of assets that produce dividends). As a result, it cannot be excluded from net investment income. </w:t>
      </w:r>
    </w:p>
    <w:p w14:paraId="00429D74" w14:textId="77777777" w:rsidR="00494B49" w:rsidRDefault="00494B49">
      <w:pPr>
        <w:pStyle w:val="BHead3"/>
      </w:pPr>
      <w:r>
        <w:t xml:space="preserve">c. Application to Certain Nonpassive Activities </w:t>
      </w:r>
      <w:r>
        <w:br/>
        <w:t xml:space="preserve">Arising from §469 Recharacterizations </w:t>
      </w:r>
    </w:p>
    <w:p w14:paraId="169F2B22" w14:textId="77777777" w:rsidR="00494B49" w:rsidRDefault="00494B49">
      <w:pPr>
        <w:pStyle w:val="BNormal"/>
      </w:pPr>
      <w:r>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8"/>
      </w:r>
      <w:r>
        <w:t xml:space="preserve"> is neither as complicated, nor as critical, as the </w:t>
      </w:r>
      <w:r>
        <w:lastRenderedPageBreak/>
        <w:t xml:space="preserve">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73466F79" w14:textId="77777777" w:rsidR="00494B49" w:rsidRDefault="00494B49">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702F5F09" w14:textId="77777777" w:rsidR="00494B49" w:rsidRDefault="00494B49">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645DC5D7" w14:textId="77777777" w:rsidR="00494B49" w:rsidRDefault="00494B49">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7BC6C2" w14:textId="77777777" w:rsidR="00494B49" w:rsidRDefault="00494B49">
      <w:pPr>
        <w:pStyle w:val="BNormal"/>
      </w:pPr>
      <w:r>
        <w:t xml:space="preserve">The income recharacterizations that are respected for NIIT purposes, including gain from the disposition of assets held in the activity, or the interest in the activity itself are as follows: </w:t>
      </w:r>
    </w:p>
    <w:p w14:paraId="3384F1C5" w14:textId="77777777" w:rsidR="00494B49" w:rsidRDefault="00494B49">
      <w:pPr>
        <w:pStyle w:val="BListitembul"/>
      </w:pPr>
      <w:r>
        <w:t>Reg. §1.469-1T(e)(4): working interests from oil &amp; gas wells with unlimited liability.</w:t>
      </w:r>
    </w:p>
    <w:p w14:paraId="0E3BDE9F" w14:textId="77777777" w:rsidR="00494B49" w:rsidRDefault="00494B49">
      <w:pPr>
        <w:pStyle w:val="BListitembul"/>
      </w:pPr>
      <w:r>
        <w:t>Reg. §1.469-2T(f)(2): significant participation activities.</w:t>
      </w:r>
    </w:p>
    <w:p w14:paraId="29D83B40" w14:textId="77777777" w:rsidR="00494B49" w:rsidRDefault="00494B49">
      <w:pPr>
        <w:pStyle w:val="BListitembul"/>
      </w:pPr>
      <w:r>
        <w:t>Reg. §1.469-2(f)(5): rental incident to development activity.</w:t>
      </w:r>
    </w:p>
    <w:p w14:paraId="6765D6A5" w14:textId="77777777" w:rsidR="00494B49" w:rsidRDefault="00494B49">
      <w:pPr>
        <w:pStyle w:val="BListitembul"/>
      </w:pPr>
      <w:r>
        <w:t>Reg. §1.469-2(f)(6): rental to nonpassive activity (self-charged rents).</w:t>
      </w:r>
    </w:p>
    <w:p w14:paraId="48E87452" w14:textId="77777777" w:rsidR="00494B49" w:rsidRDefault="00494B49">
      <w:pPr>
        <w:pStyle w:val="BHead4"/>
      </w:pPr>
      <w:r>
        <w:t>(1) Income Recharacterizations — Under Reg. §1.469-2(f)(10)</w:t>
      </w:r>
    </w:p>
    <w:p w14:paraId="18C35BB6" w14:textId="77777777" w:rsidR="00494B49" w:rsidRDefault="00494B49">
      <w:pPr>
        <w:pStyle w:val="BNormal"/>
      </w:pPr>
      <w:r>
        <w:t xml:space="preserve">Reg. </w:t>
      </w:r>
      <w:smartTag w:uri="http://www.bna.com/sgml2word/cite" w:element="cite.cfr">
        <w:smartTagPr>
          <w:attr w:name="ref" w:val="cfr\26\1.469-2T(c)(3)(i)(D)"/>
        </w:smartTagPr>
        <w:r>
          <w:t>§1.469-2T(c)(3)(</w:t>
        </w:r>
        <w:proofErr w:type="spellStart"/>
        <w:r>
          <w:t>i</w:t>
        </w:r>
        <w:proofErr w:type="spellEnd"/>
        <w:r>
          <w:t>)(D)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w:t>
        </w:r>
        <w:proofErr w:type="spellStart"/>
        <w:r>
          <w:t>i</w:t>
        </w:r>
        <w:proofErr w:type="spellEnd"/>
        <w:r>
          <w:t>)(C)</w:t>
        </w:r>
      </w:smartTag>
      <w:r>
        <w:rPr>
          <w:rStyle w:val="FootnoteReference"/>
        </w:rPr>
        <w:footnoteReference w:id="429"/>
      </w:r>
      <w:r>
        <w:t xml:space="preserve"> or Reg. </w:t>
      </w:r>
      <w:smartTag w:uri="http://www.bna.com/sgml2word/cite" w:element="cite.cfr">
        <w:smartTagPr>
          <w:attr w:name="ref" w:val="cfr\26\1.469-2T(c)(3)(i)(D)"/>
        </w:smartTagPr>
        <w:r>
          <w:t>§1.469-2T(c)(3)(</w:t>
        </w:r>
        <w:proofErr w:type="spellStart"/>
        <w:r>
          <w:t>i</w:t>
        </w:r>
        <w:proofErr w:type="spellEnd"/>
        <w:r>
          <w:t>)(D)</w:t>
        </w:r>
      </w:smartTag>
      <w:r>
        <w:t>.</w:t>
      </w:r>
      <w:r>
        <w:rPr>
          <w:rStyle w:val="FootnoteReference"/>
        </w:rPr>
        <w:footnoteReference w:id="430"/>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19A21A81" w14:textId="77777777" w:rsidR="00494B49" w:rsidRDefault="00494B49">
      <w:pPr>
        <w:pStyle w:val="BHead4"/>
      </w:pPr>
      <w:r>
        <w:t>(2) Income Recharacterizations Beyond/Apart from Reg. §1.469-2(f)(10)</w:t>
      </w:r>
    </w:p>
    <w:p w14:paraId="7ADF81FA" w14:textId="77777777" w:rsidR="00494B49" w:rsidRDefault="00494B49">
      <w:pPr>
        <w:pStyle w:val="BNormal"/>
      </w:pPr>
      <w:r>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w:t>
      </w:r>
      <w:r>
        <w:lastRenderedPageBreak/>
        <w:t xml:space="preserve">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6B8A6015" w14:textId="77777777" w:rsidR="00494B49" w:rsidRDefault="00494B49">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1"/>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proofErr w:type="spellStart"/>
        <w:r>
          <w:t>i</w:t>
        </w:r>
        <w:proofErr w:type="spellEnd"/>
        <w:r>
          <w:t>)</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36950708" w14:textId="77777777" w:rsidR="00494B49" w:rsidRDefault="00494B49">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2"/>
      </w:r>
    </w:p>
    <w:p w14:paraId="0E3B8C0F" w14:textId="77777777" w:rsidR="00494B49" w:rsidRDefault="00494B49">
      <w:pPr>
        <w:pStyle w:val="BHead4"/>
      </w:pPr>
      <w:r>
        <w:t>(3) Activity Recharacterizations</w:t>
      </w:r>
    </w:p>
    <w:p w14:paraId="1D78E03C" w14:textId="77777777" w:rsidR="00494B49" w:rsidRDefault="00494B49">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w:t>
        </w:r>
        <w:proofErr w:type="spellStart"/>
        <w:r>
          <w:t>i</w:t>
        </w:r>
        <w:proofErr w:type="spellEnd"/>
        <w:r>
          <w:t>)(D)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413F2DE5"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2FD08AB3" w14:textId="77777777" w:rsidR="00494B49" w:rsidRDefault="00494B49">
      <w:pPr>
        <w:pStyle w:val="BHead3"/>
      </w:pPr>
      <w:r>
        <w:lastRenderedPageBreak/>
        <w:t xml:space="preserve">d. Gains and Losses Taken into Account in Computing Net Earnings from Self-Employment </w:t>
      </w:r>
    </w:p>
    <w:p w14:paraId="6E65CD11" w14:textId="77777777" w:rsidR="00494B49" w:rsidRDefault="00494B49">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3"/>
      </w:r>
      <w:r>
        <w:t xml:space="preserve"> But there is an exception. </w:t>
      </w:r>
    </w:p>
    <w:p w14:paraId="5278EF6C" w14:textId="77777777" w:rsidR="00494B49" w:rsidRDefault="00494B49">
      <w:pPr>
        <w:pStyle w:val="BNormal"/>
      </w:pPr>
      <w:smartTag w:uri="http://www.bna.com/sgml2word/cite" w:element="cite.usc">
        <w:smartTagPr>
          <w:attr w:name="ref" w:val="USC\26\1402(i)"/>
        </w:smartTagPr>
        <w:r>
          <w:t>Section 1402(</w:t>
        </w:r>
        <w:proofErr w:type="spellStart"/>
        <w:r>
          <w:t>i</w:t>
        </w:r>
        <w:proofErr w:type="spellEnd"/>
        <w:r>
          <w:t>)</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4"/>
      </w:r>
      <w:r>
        <w:t xml:space="preserve"> and commodities</w:t>
      </w:r>
      <w:r>
        <w:rPr>
          <w:rStyle w:val="FootnoteReference"/>
        </w:rPr>
        <w:footnoteReference w:id="435"/>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w:t>
        </w:r>
        <w:proofErr w:type="spellStart"/>
        <w:r>
          <w:t>i</w:t>
        </w:r>
        <w:proofErr w:type="spellEnd"/>
        <w:r>
          <w:t>)</w:t>
        </w:r>
      </w:smartTag>
      <w:r>
        <w:t xml:space="preserve"> dealers and common-law dealers.</w:t>
      </w:r>
      <w:r>
        <w:rPr>
          <w:rStyle w:val="FootnoteReference"/>
        </w:rPr>
        <w:footnoteReference w:id="436"/>
      </w:r>
    </w:p>
    <w:p w14:paraId="0485F1F5" w14:textId="77777777" w:rsidR="00494B49" w:rsidRDefault="00494B49">
      <w:pPr>
        <w:pStyle w:val="BNormal"/>
      </w:pPr>
      <w:r>
        <w:t xml:space="preserve">The consequence of the special </w:t>
      </w:r>
      <w:smartTag w:uri="http://www.bna.com/sgml2word/cite" w:element="cite.usc">
        <w:smartTagPr>
          <w:attr w:name="ref" w:val="USC\26\1402(i)"/>
        </w:smartTagPr>
        <w:r>
          <w:t>§1402(</w:t>
        </w:r>
        <w:proofErr w:type="spellStart"/>
        <w:r>
          <w:t>i</w:t>
        </w:r>
        <w:proofErr w:type="spellEnd"/>
        <w:r>
          <w:t>)</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w:t>
        </w:r>
        <w:proofErr w:type="spellStart"/>
        <w:r>
          <w:t>i</w:t>
        </w:r>
        <w:proofErr w:type="spellEnd"/>
        <w:r>
          <w:t>)(2)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the 60%/40% long-term/short-term split but may also be subject to subject to self-employment tax on those contracts.</w:t>
      </w:r>
    </w:p>
    <w:p w14:paraId="219FF0D0" w14:textId="77777777" w:rsidR="00494B49" w:rsidRDefault="00494B49">
      <w:pPr>
        <w:pStyle w:val="BNormal"/>
      </w:pPr>
      <w:r>
        <w:lastRenderedPageBreak/>
        <w:t>Similar to other instances where income is included in NESE (such as interest and dividend income from dealers),</w:t>
      </w:r>
      <w:r>
        <w:rPr>
          <w:rStyle w:val="FootnoteReference"/>
        </w:rPr>
        <w:footnoteReference w:id="437"/>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w:t>
        </w:r>
        <w:proofErr w:type="spellStart"/>
        <w:r>
          <w:t>i</w:t>
        </w:r>
        <w:proofErr w:type="spellEnd"/>
        <w:r>
          <w:t>)</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w:t>
        </w:r>
        <w:proofErr w:type="spellStart"/>
        <w:r>
          <w:t>i</w:t>
        </w:r>
        <w:proofErr w:type="spellEnd"/>
        <w:r>
          <w:t>)</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8"/>
      </w:r>
      <w:r>
        <w:t xml:space="preserve"> or as a limited partner,</w:t>
      </w:r>
      <w:r>
        <w:rPr>
          <w:rStyle w:val="FootnoteReference"/>
        </w:rPr>
        <w:footnoteReference w:id="439"/>
      </w:r>
      <w:r>
        <w:t xml:space="preserve"> the </w:t>
      </w:r>
      <w:smartTag w:uri="http://www.bna.com/sgml2word/cite" w:element="cite.usc">
        <w:smartTagPr>
          <w:attr w:name="ref" w:val="USC\26\1401(i)"/>
        </w:smartTagPr>
        <w:r>
          <w:t>§1401(</w:t>
        </w:r>
        <w:proofErr w:type="spellStart"/>
        <w:r>
          <w:t>i</w:t>
        </w:r>
        <w:proofErr w:type="spellEnd"/>
        <w:r>
          <w:t>)</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0FE626DE" w14:textId="77777777" w:rsidR="00494B49" w:rsidRDefault="00494B49">
      <w:pPr>
        <w:pStyle w:val="BHead2"/>
      </w:pPr>
      <w:r>
        <w:t xml:space="preserve">8. Special Treatment of Carryover Capital Losses </w:t>
      </w:r>
    </w:p>
    <w:p w14:paraId="0B6DDB2F" w14:textId="77777777" w:rsidR="00494B49" w:rsidRDefault="00494B49">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0"/>
      </w:r>
      <w:r>
        <w:t xml:space="preserve"> The example shows that the elegant simplicity of the rule is very complicated when applied on a multi-year basis.</w:t>
      </w:r>
      <w:r>
        <w:rPr>
          <w:rStyle w:val="FootnoteReference"/>
        </w:rPr>
        <w:footnoteReference w:id="441"/>
      </w:r>
    </w:p>
    <w:p w14:paraId="107E46F6" w14:textId="77777777" w:rsidR="00494B49" w:rsidRDefault="00494B49">
      <w:pPr>
        <w:pStyle w:val="BNormal"/>
      </w:pPr>
      <w:r>
        <w:t xml:space="preserve">The need for this rule implicitly recognizes that a capital loss carryforward retains its component parts from prior years. To understand why the rule is needed, the preamble to the 2013 Proposed Regulations serves as a useful starting point. The preamble provides, in relevant part: </w:t>
      </w:r>
    </w:p>
    <w:p w14:paraId="5774F746" w14:textId="77777777" w:rsidR="00494B49" w:rsidRDefault="00494B49">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 xml:space="preserve">. </w:t>
      </w:r>
    </w:p>
    <w:p w14:paraId="3D3F2334" w14:textId="77777777" w:rsidR="00494B49" w:rsidRDefault="00494B49">
      <w:pPr>
        <w:pStyle w:val="BNormal"/>
      </w:pPr>
      <w:r>
        <w:lastRenderedPageBreak/>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2"/>
      </w:r>
      <w:r>
        <w:t xml:space="preserve"> The downside of the annual adjustment is that it applies even if the taxpayer is not subject to NIIT in the adjustment year.</w:t>
      </w:r>
      <w:r>
        <w:rPr>
          <w:rStyle w:val="FootnoteReference"/>
        </w:rPr>
        <w:footnoteReference w:id="443"/>
      </w:r>
      <w:r>
        <w:t xml:space="preserve"> This may be viewed as a trap for the unwary, and definitely an issue for taxpayers that prepare income tax returns by hand. </w:t>
      </w:r>
    </w:p>
    <w:p w14:paraId="3A365583" w14:textId="77777777" w:rsidR="00494B49" w:rsidRDefault="00494B49">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517B5157" w14:textId="77777777" w:rsidR="00494B49" w:rsidRDefault="00494B49">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02EC4CC7" w14:textId="77777777" w:rsidR="00494B49" w:rsidRDefault="00494B49">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3E4A1D6C" w14:textId="77777777" w:rsidR="00494B49" w:rsidRDefault="00494B49">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adjustment will be zero in the subsequent year because there was no “net capital loss” in the preceding year. In this situation, no adjustment is required because the previous year’s excluded </w:t>
      </w:r>
      <w:r>
        <w:lastRenderedPageBreak/>
        <w:t xml:space="preserve">gains were fully absorbed by the excluded losses. Finally, the rule allows taxpayers to use </w:t>
      </w:r>
      <w:proofErr w:type="spellStart"/>
      <w:r>
        <w:t>nonexcluded</w:t>
      </w:r>
      <w:proofErr w:type="spellEnd"/>
      <w:r>
        <w:t xml:space="preserve">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3C579BBE" w14:textId="77777777" w:rsidR="00494B49" w:rsidRDefault="00494B49">
      <w:pPr>
        <w:pStyle w:val="BHead1"/>
      </w:pPr>
      <w:r>
        <w:t>E. Special Rules</w:t>
      </w:r>
    </w:p>
    <w:p w14:paraId="07FE9AE6" w14:textId="77777777" w:rsidR="00494B49" w:rsidRDefault="00494B49">
      <w:pPr>
        <w:pStyle w:val="BHead2"/>
      </w:pPr>
      <w:r>
        <w:t xml:space="preserve">1. Treatment of Receipts and Payments on Notional Principal Contracts </w:t>
      </w:r>
    </w:p>
    <w:p w14:paraId="4D8918FC" w14:textId="77777777" w:rsidR="00494B49" w:rsidRDefault="00494B49">
      <w:pPr>
        <w:pStyle w:val="BHead3"/>
      </w:pPr>
      <w:r>
        <w:t>a. Notional Principal Contracts Held in a §1411 Trade or Business</w:t>
      </w:r>
    </w:p>
    <w:p w14:paraId="1F905490" w14:textId="77777777" w:rsidR="00494B49" w:rsidRDefault="00494B49">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4"/>
      </w:r>
      <w:r>
        <w:t xml:space="preserve"> and all such gross income is included in net investment income.</w:t>
      </w:r>
      <w:r>
        <w:rPr>
          <w:rStyle w:val="FootnoteReference"/>
        </w:rPr>
        <w:footnoteReference w:id="445"/>
      </w:r>
    </w:p>
    <w:p w14:paraId="7F08EA0E" w14:textId="77777777" w:rsidR="00494B49" w:rsidRDefault="00494B49">
      <w:pPr>
        <w:pStyle w:val="BHead3"/>
      </w:pPr>
      <w:r>
        <w:t xml:space="preserve">b. Notional Principal Contracts Held for Investment </w:t>
      </w:r>
    </w:p>
    <w:p w14:paraId="140821CF" w14:textId="77777777" w:rsidR="00494B49" w:rsidRDefault="00494B49">
      <w:pPr>
        <w:pStyle w:val="BNormal"/>
      </w:pPr>
      <w:r>
        <w:t>Under the 2012 Proposed Regulations (and the 2013 Final Regulations), gain on the disposition of a notional principal contract (NPC) is included in net investment income,</w:t>
      </w:r>
      <w:r>
        <w:rPr>
          <w:rStyle w:val="FootnoteReference"/>
        </w:rPr>
        <w:footnoteReference w:id="446"/>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7"/>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1705CC75" w14:textId="77777777" w:rsidR="00494B49" w:rsidRDefault="00494B49">
      <w:pPr>
        <w:pStyle w:val="BHead3"/>
      </w:pPr>
      <w:r>
        <w:t>c. Treatment of Income and Deductions</w:t>
      </w:r>
    </w:p>
    <w:p w14:paraId="54815834" w14:textId="77777777" w:rsidR="00494B49" w:rsidRDefault="00494B49">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8"/>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49"/>
      </w:r>
    </w:p>
    <w:p w14:paraId="0121A979" w14:textId="77777777" w:rsidR="00494B49" w:rsidRDefault="00494B49">
      <w:pPr>
        <w:pStyle w:val="BNormal"/>
      </w:pPr>
      <w:r>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0"/>
      </w:r>
    </w:p>
    <w:p w14:paraId="036F2DA0" w14:textId="77777777" w:rsidR="00494B49" w:rsidRDefault="00494B49">
      <w:pPr>
        <w:pStyle w:val="BHead3"/>
      </w:pPr>
      <w:r>
        <w:lastRenderedPageBreak/>
        <w:t>d. Limited Scope of NPCs</w:t>
      </w:r>
    </w:p>
    <w:p w14:paraId="5B35FC1C" w14:textId="77777777" w:rsidR="00494B49" w:rsidRDefault="00494B49">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1"/>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4115B138" w14:textId="77777777" w:rsidR="00494B49" w:rsidRDefault="00494B49">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2"/>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3"/>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783C9346" w14:textId="77777777" w:rsidR="00494B49" w:rsidRDefault="00494B49">
      <w:pPr>
        <w:pStyle w:val="BHead2"/>
      </w:pPr>
      <w:r>
        <w:t xml:space="preserve">2. Treatment of Income or Loss Attributable to Residual Interests in REMICs </w:t>
      </w:r>
    </w:p>
    <w:p w14:paraId="46EACDC7" w14:textId="77777777" w:rsidR="00494B49" w:rsidRDefault="00494B49">
      <w:pPr>
        <w:pStyle w:val="BNormal"/>
      </w:pPr>
      <w:r>
        <w:t>The 2012 Proposed Regulations did not explicitly address income and deductions related to residual interests in real estate mortgage investment conduits (REMICs).</w:t>
      </w:r>
      <w:r>
        <w:rPr>
          <w:rStyle w:val="FootnoteReference"/>
        </w:rPr>
        <w:footnoteReference w:id="454"/>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5"/>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6"/>
      </w:r>
    </w:p>
    <w:p w14:paraId="38E5341E" w14:textId="77777777" w:rsidR="00494B49" w:rsidRDefault="00494B49">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§1.469-2T(c)(3)(</w:t>
        </w:r>
        <w:proofErr w:type="spellStart"/>
        <w:r>
          <w:t>i</w:t>
        </w:r>
        <w:proofErr w:type="spellEnd"/>
        <w:r>
          <w:t>)(A)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7"/>
      </w:r>
    </w:p>
    <w:p w14:paraId="4C0D4128" w14:textId="77777777" w:rsidR="00494B49" w:rsidRDefault="00494B49">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w:t>
      </w:r>
      <w:r>
        <w:lastRenderedPageBreak/>
        <w:t>investment income.</w:t>
      </w:r>
      <w:r>
        <w:rPr>
          <w:rStyle w:val="FootnoteReference"/>
        </w:rPr>
        <w:footnoteReference w:id="458"/>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59"/>
      </w:r>
    </w:p>
    <w:p w14:paraId="338988B4" w14:textId="77777777" w:rsidR="00494B49" w:rsidRDefault="00494B49">
      <w:pPr>
        <w:pStyle w:val="BNormal"/>
      </w:pPr>
      <w:r>
        <w:rPr>
          <w:i/>
        </w:rPr>
        <w:t>Comment:</w:t>
      </w:r>
      <w:r>
        <w:t xml:space="preserve"> The regular interest in a REMIC is treated as a debt instrument for purposes of Chapter 1,</w:t>
      </w:r>
      <w:r>
        <w:rPr>
          <w:rStyle w:val="FootnoteReference"/>
        </w:rPr>
        <w:footnoteReference w:id="460"/>
      </w:r>
      <w:r>
        <w:t xml:space="preserve"> and therefore the income attributable to such ownership interest is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461"/>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3E4E2DD1" w14:textId="77777777" w:rsidR="00494B49" w:rsidRDefault="00494B49">
      <w:pPr>
        <w:pStyle w:val="BHead2"/>
      </w:pPr>
      <w:r>
        <w:t xml:space="preserve">3. Treatment of Participants in Common Trust Funds </w:t>
      </w:r>
    </w:p>
    <w:p w14:paraId="58408F41" w14:textId="77777777" w:rsidR="00494B49" w:rsidRDefault="00494B49">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3FC492C5" w14:textId="77777777" w:rsidR="00494B49" w:rsidRDefault="00494B49">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733F6774" w14:textId="77777777" w:rsidR="00494B49" w:rsidRDefault="00494B49">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2"/>
      </w:r>
    </w:p>
    <w:p w14:paraId="6270CFD0" w14:textId="77777777" w:rsidR="00494B49" w:rsidRDefault="00494B49">
      <w:pPr>
        <w:pStyle w:val="BNormal"/>
      </w:pPr>
      <w:r>
        <w:lastRenderedPageBreak/>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1CE15660" w14:textId="77777777" w:rsidR="00494B49" w:rsidRDefault="00494B49">
      <w:pPr>
        <w:pStyle w:val="BHead2"/>
      </w:pPr>
      <w:r>
        <w:t xml:space="preserve">4. Treatment of §707(c) Guaranteed Payments </w:t>
      </w:r>
    </w:p>
    <w:p w14:paraId="0BBB655D" w14:textId="77777777" w:rsidR="00494B49" w:rsidRDefault="00494B49">
      <w:pPr>
        <w:pStyle w:val="BHead3"/>
      </w:pPr>
      <w:r>
        <w:t>a. Subchapter K Treatment</w:t>
      </w:r>
    </w:p>
    <w:p w14:paraId="2F2C5503" w14:textId="77777777" w:rsidR="00494B49" w:rsidRDefault="00494B49">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2C61EB8" w14:textId="77777777" w:rsidR="00494B49" w:rsidRDefault="00494B49">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3"/>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For the purposes of other provisions of the internal revenue laws, guaranteed payments are regarded as a partner’s distributive share of ordinary income.”</w:t>
      </w:r>
      <w:r>
        <w:rPr>
          <w:rStyle w:val="FootnoteReference"/>
        </w:rPr>
        <w:footnoteReference w:id="464"/>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15954F64" w14:textId="77777777" w:rsidR="00494B49" w:rsidRDefault="00494B49">
      <w:pPr>
        <w:pStyle w:val="BNormal"/>
      </w:pPr>
      <w:r>
        <w:lastRenderedPageBreak/>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5"/>
      </w:r>
    </w:p>
    <w:p w14:paraId="1C135AF0" w14:textId="77777777" w:rsidR="00494B49" w:rsidRDefault="00494B49">
      <w:pPr>
        <w:pStyle w:val="BHead3"/>
      </w:pPr>
      <w:r>
        <w:t>b. Passive Loss Treatment</w:t>
      </w:r>
    </w:p>
    <w:p w14:paraId="2D947817" w14:textId="77777777" w:rsidR="00494B49" w:rsidRDefault="00494B49">
      <w:pPr>
        <w:pStyle w:val="BNormal"/>
      </w:pPr>
      <w:r>
        <w:t>The passive loss rules have several rules regarding guaranteed payments.</w:t>
      </w:r>
      <w:r>
        <w:rPr>
          <w:rStyle w:val="FootnoteReference"/>
        </w:rPr>
        <w:footnoteReference w:id="466"/>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7"/>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33CFC819" w14:textId="77777777" w:rsidR="00494B49" w:rsidRDefault="00494B49">
      <w:pPr>
        <w:pStyle w:val="BHead3"/>
      </w:pPr>
      <w:r>
        <w:t>c. NIIT Treatment</w:t>
      </w:r>
    </w:p>
    <w:p w14:paraId="453C3455" w14:textId="77777777" w:rsidR="00494B49" w:rsidRDefault="00494B49">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8"/>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69"/>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0"/>
      </w:r>
    </w:p>
    <w:p w14:paraId="31B08522" w14:textId="77777777" w:rsidR="00494B49" w:rsidRDefault="00494B49">
      <w:pPr>
        <w:pStyle w:val="BHead2"/>
      </w:pPr>
      <w:r>
        <w:t xml:space="preserve">5. Treatment of §736 Payments </w:t>
      </w:r>
    </w:p>
    <w:p w14:paraId="5BF0448A" w14:textId="77777777" w:rsidR="00494B49" w:rsidRDefault="00494B49">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1"/>
      </w:r>
    </w:p>
    <w:p w14:paraId="2B823E25" w14:textId="77777777" w:rsidR="00494B49" w:rsidRDefault="00494B49">
      <w:pPr>
        <w:pStyle w:val="BHead3"/>
      </w:pPr>
      <w:r>
        <w:lastRenderedPageBreak/>
        <w:t>a. Subchapter K Treatment</w:t>
      </w:r>
    </w:p>
    <w:p w14:paraId="3E96ED61" w14:textId="77777777" w:rsidR="00494B49" w:rsidRDefault="00494B49">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2"/>
      </w:r>
      <w:r>
        <w:t xml:space="preserve"> or to a deceased partner’s successor-in-interest in liquidation of its entire interest in the partnership.</w:t>
      </w:r>
      <w:r>
        <w:rPr>
          <w:rStyle w:val="FootnoteReference"/>
        </w:rPr>
        <w:footnoteReference w:id="473"/>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3F1D7735" w14:textId="77777777" w:rsidR="00494B49" w:rsidRDefault="00494B49">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68730557" w14:textId="77777777" w:rsidR="00494B49" w:rsidRDefault="00494B49">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1FA0D9B0" w14:textId="77777777" w:rsidR="00494B49" w:rsidRDefault="00494B49">
      <w:pPr>
        <w:pStyle w:val="BHead4"/>
      </w:pPr>
      <w:r>
        <w:t>(1) Section 736(b) Payments</w:t>
      </w:r>
    </w:p>
    <w:p w14:paraId="78CBEACF" w14:textId="77777777" w:rsidR="00494B49" w:rsidRDefault="00494B49">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4"/>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5"/>
      </w:r>
    </w:p>
    <w:p w14:paraId="41FBF80B" w14:textId="77777777" w:rsidR="00494B49" w:rsidRDefault="00494B49">
      <w:pPr>
        <w:pStyle w:val="BHead4"/>
      </w:pPr>
      <w:r>
        <w:t>(2) Section 736(a) Payments</w:t>
      </w:r>
    </w:p>
    <w:p w14:paraId="7A6786C0" w14:textId="77777777" w:rsidR="00494B49" w:rsidRDefault="00494B49">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70A95BE6" w14:textId="77777777" w:rsidR="00494B49" w:rsidRDefault="00494B49">
      <w:pPr>
        <w:pStyle w:val="BNormal"/>
      </w:pPr>
      <w:r>
        <w:lastRenderedPageBreak/>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6"/>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C3772FA" w14:textId="77777777" w:rsidR="00494B49" w:rsidRDefault="00494B49">
      <w:pPr>
        <w:pStyle w:val="BNormal"/>
      </w:pPr>
      <w:r>
        <w:t>In the case of payments to a general partner in a service partnership,</w:t>
      </w:r>
      <w:r>
        <w:rPr>
          <w:rStyle w:val="FootnoteReference"/>
        </w:rPr>
        <w:footnoteReference w:id="477"/>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6642B45D" w14:textId="77777777" w:rsidR="00494B49" w:rsidRDefault="00494B49">
      <w:pPr>
        <w:pStyle w:val="BListitembul"/>
      </w:pPr>
      <w:r>
        <w:t xml:space="preserve">goodwill not specifically designed in the partnership agreement; </w:t>
      </w:r>
    </w:p>
    <w:p w14:paraId="280E41EE" w14:textId="77777777" w:rsidR="00494B49" w:rsidRDefault="00494B49">
      <w:pPr>
        <w:pStyle w:val="BListitembul"/>
      </w:pPr>
      <w:r>
        <w:t xml:space="preserve">unrealized receivables described in §751(c)(1)–§751(c)(2); </w:t>
      </w:r>
    </w:p>
    <w:p w14:paraId="460421C0" w14:textId="77777777" w:rsidR="00494B49" w:rsidRDefault="00494B49">
      <w:pPr>
        <w:pStyle w:val="BListitembul"/>
      </w:pPr>
      <w:r>
        <w:t xml:space="preserve">payments in excess of the value of partnership property (because payments for the value of partnership property are §736(b) payments); and </w:t>
      </w:r>
    </w:p>
    <w:p w14:paraId="278F97DF" w14:textId="77777777" w:rsidR="00494B49" w:rsidRDefault="00494B49">
      <w:pPr>
        <w:pStyle w:val="BListitembul"/>
      </w:pPr>
      <w:r>
        <w:t>payments specifically designated as such in an agreement.</w:t>
      </w:r>
      <w:r>
        <w:rPr>
          <w:rStyle w:val="FootnoteReference"/>
        </w:rPr>
        <w:footnoteReference w:id="478"/>
      </w:r>
    </w:p>
    <w:p w14:paraId="4AC206AD" w14:textId="77777777" w:rsidR="00494B49" w:rsidRDefault="00494B49">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79"/>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1086EB53" w14:textId="77777777" w:rsidR="00494B49" w:rsidRDefault="00494B49">
      <w:pPr>
        <w:pStyle w:val="BHead3"/>
      </w:pPr>
      <w:r>
        <w:t>b. Passive Loss Treatment</w:t>
      </w:r>
    </w:p>
    <w:p w14:paraId="22FE85C7" w14:textId="77777777" w:rsidR="00494B49" w:rsidRDefault="00494B49">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195EE6BB" w14:textId="77777777" w:rsidR="00494B49" w:rsidRDefault="00494B49">
      <w:pPr>
        <w:pStyle w:val="BHead4"/>
      </w:pPr>
      <w:r>
        <w:t>(1) Passive Loss Treatment of §736(b) Payments</w:t>
      </w:r>
    </w:p>
    <w:p w14:paraId="68C659B1" w14:textId="77777777" w:rsidR="00494B49" w:rsidRDefault="00494B49">
      <w:pPr>
        <w:pStyle w:val="BNormal"/>
      </w:pPr>
      <w:r>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1C6BB943" w14:textId="77777777" w:rsidR="00494B49" w:rsidRDefault="00494B49">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6BAF10A2" w14:textId="77777777" w:rsidR="00494B49" w:rsidRDefault="00494B49">
      <w:pPr>
        <w:pStyle w:val="BHead4"/>
      </w:pPr>
      <w:r>
        <w:lastRenderedPageBreak/>
        <w:t>(2) Passive Loss Treatment of §736(a) Payments</w:t>
      </w:r>
    </w:p>
    <w:p w14:paraId="361E1A20" w14:textId="77777777" w:rsidR="00494B49" w:rsidRDefault="00494B49">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3BDD2075" w14:textId="77777777" w:rsidR="00494B49" w:rsidRDefault="00494B49">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0"/>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1"/>
      </w:r>
    </w:p>
    <w:p w14:paraId="2D32F262" w14:textId="77777777" w:rsidR="00494B49" w:rsidRDefault="00494B49">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16897731" w14:textId="77777777" w:rsidR="00494B49" w:rsidRDefault="00494B49">
      <w:pPr>
        <w:pStyle w:val="BListitembul"/>
      </w:pPr>
      <w:r>
        <w:t>Distributive share payments for unrealized receivables and goodwill under §736(a)(1): the taxpayer’s distributive share may be passive or nonpassive, or a combination thereof.</w:t>
      </w:r>
    </w:p>
    <w:p w14:paraId="32AE4142" w14:textId="77777777" w:rsidR="00494B49" w:rsidRDefault="00494B49">
      <w:pPr>
        <w:pStyle w:val="BListitembul"/>
      </w:pPr>
      <w:r>
        <w:t>Distributive share payments not for unrealized receivables and goodwill: the taxpayer’s distributive share may be passive or nonpassive based on the general rules of §469.</w:t>
      </w:r>
    </w:p>
    <w:p w14:paraId="620A4C21" w14:textId="77777777" w:rsidR="00494B49" w:rsidRDefault="00494B49">
      <w:pPr>
        <w:pStyle w:val="BListitembul"/>
      </w:pPr>
      <w:r>
        <w:t>Guaranteed payments for unrealized receivables and goodwill under §736(a)(2): the payments may be passive or nonpassive, or a combination thereof.</w:t>
      </w:r>
    </w:p>
    <w:p w14:paraId="40176EF2" w14:textId="77777777" w:rsidR="00494B49" w:rsidRDefault="00494B49">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E081566" w14:textId="77777777" w:rsidR="00494B49" w:rsidRDefault="00494B49">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7729E1F0" w14:textId="77777777" w:rsidR="00494B49" w:rsidRDefault="00494B49">
      <w:pPr>
        <w:pStyle w:val="BHead3"/>
      </w:pPr>
      <w:r>
        <w:t>c. NIIT Treatment</w:t>
      </w:r>
    </w:p>
    <w:p w14:paraId="1CCDA602" w14:textId="77777777" w:rsidR="00494B49" w:rsidRDefault="00494B49">
      <w:pPr>
        <w:pStyle w:val="BNormal"/>
      </w:pPr>
      <w:r>
        <w:lastRenderedPageBreak/>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2"/>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3"/>
      </w:r>
    </w:p>
    <w:p w14:paraId="18664AE8" w14:textId="77777777" w:rsidR="00494B49" w:rsidRDefault="00494B49">
      <w:pPr>
        <w:pStyle w:val="BHead4"/>
      </w:pPr>
      <w:r>
        <w:t xml:space="preserve">(1) NIIT Treatment of </w:t>
      </w:r>
      <w:smartTag w:uri="http://www.bna.com/sgml2word/cite" w:element="cite.usc">
        <w:smartTagPr>
          <w:attr w:name="ref" w:val="USC\26\736(b)"/>
        </w:smartTagPr>
        <w:r>
          <w:t>§736(b)</w:t>
        </w:r>
      </w:smartTag>
      <w:r>
        <w:t xml:space="preserve"> Payments</w:t>
      </w:r>
    </w:p>
    <w:p w14:paraId="27547841" w14:textId="77777777" w:rsidR="00494B49" w:rsidRDefault="00494B49">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4"/>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6E962483" w14:textId="77777777" w:rsidR="00494B49" w:rsidRDefault="00494B49">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5"/>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6"/>
      </w:r>
    </w:p>
    <w:p w14:paraId="110399B2" w14:textId="77777777" w:rsidR="00494B49" w:rsidRDefault="00494B49">
      <w:pPr>
        <w:pStyle w:val="BHead4"/>
      </w:pPr>
      <w:r>
        <w:t>(2) NIIT Treatment of §736(a) Payments</w:t>
      </w:r>
    </w:p>
    <w:p w14:paraId="522C0EEA" w14:textId="77777777" w:rsidR="00494B49" w:rsidRDefault="00494B49">
      <w:pPr>
        <w:pStyle w:val="BNormal"/>
      </w:pPr>
      <w:r>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7"/>
      </w:r>
    </w:p>
    <w:p w14:paraId="7F450B42" w14:textId="77777777" w:rsidR="00494B49" w:rsidRDefault="00494B49">
      <w:pPr>
        <w:pStyle w:val="BHead5"/>
      </w:pPr>
      <w:r>
        <w:t>(a) NIIT Treatment of §736(a)(1) Payments</w:t>
      </w:r>
    </w:p>
    <w:p w14:paraId="16CDE488" w14:textId="77777777" w:rsidR="00494B49" w:rsidRDefault="00494B49">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8"/>
      </w:r>
    </w:p>
    <w:p w14:paraId="73C4EB21" w14:textId="77777777" w:rsidR="00494B49" w:rsidRDefault="00494B49">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w:t>
      </w:r>
      <w:r>
        <w:lastRenderedPageBreak/>
        <w:t>are net investment income because they are “consistent with the item’s character and treatment for Chapter 1 purposes.”</w:t>
      </w:r>
    </w:p>
    <w:p w14:paraId="647D33E4" w14:textId="77777777" w:rsidR="00494B49" w:rsidRDefault="00494B49">
      <w:pPr>
        <w:pStyle w:val="BExamplepara"/>
      </w:pPr>
      <w:r>
        <w:rPr>
          <w:rStyle w:val="BExamplehead"/>
          <w:rFonts w:eastAsiaTheme="minorHAnsi"/>
          <w:i/>
        </w:rPr>
        <w:t>Example 1:</w:t>
      </w:r>
      <w:r>
        <w:rPr>
          <w:rStyle w:val="FootnoteReference"/>
        </w:rPr>
        <w:footnoteReference w:id="489"/>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323CA90A" w14:textId="77777777" w:rsidR="00494B49" w:rsidRDefault="00494B49">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5C2DBE19" w14:textId="77777777" w:rsidR="00494B49" w:rsidRDefault="00494B49">
      <w:pPr>
        <w:pStyle w:val="BCommentpara"/>
      </w:pPr>
      <w:r>
        <w:rPr>
          <w:rStyle w:val="BCommenthead"/>
        </w:rPr>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61E29A46" w14:textId="77777777" w:rsidR="00494B49" w:rsidRDefault="00494B49">
      <w:pPr>
        <w:pStyle w:val="BExamplepara"/>
      </w:pPr>
      <w:r>
        <w:rPr>
          <w:rStyle w:val="BExamplehead"/>
          <w:rFonts w:eastAsiaTheme="minorHAnsi"/>
          <w:i/>
        </w:rPr>
        <w:t>Example 2:</w:t>
      </w:r>
      <w:r>
        <w:t xml:space="preserve"> Assume the same facts as in </w:t>
      </w:r>
      <w:r>
        <w:rPr>
          <w:i/>
        </w:rPr>
        <w:t>Example 1</w:t>
      </w:r>
      <w:r>
        <w:t xml:space="preserve"> except that PRS provides </w:t>
      </w:r>
      <w:proofErr w:type="spellStart"/>
      <w:r>
        <w:t>A</w:t>
      </w:r>
      <w:proofErr w:type="spellEnd"/>
      <w:r>
        <w:t xml:space="preserve">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w:t>
      </w:r>
      <w:r>
        <w:lastRenderedPageBreak/>
        <w:t xml:space="preserve">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4D455D6D" w14:textId="77777777" w:rsidR="00494B49" w:rsidRDefault="00494B49">
      <w:pPr>
        <w:pStyle w:val="BHead5"/>
      </w:pPr>
      <w:r>
        <w:t xml:space="preserve">(b) NIIT Treatment of §736(a)(2) Payments </w:t>
      </w:r>
    </w:p>
    <w:p w14:paraId="791DEAF2" w14:textId="77777777" w:rsidR="00494B49" w:rsidRDefault="00494B49">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0"/>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1"/>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2"/>
      </w:r>
    </w:p>
    <w:p w14:paraId="0BCB49A4" w14:textId="77777777" w:rsidR="00494B49" w:rsidRDefault="00494B49">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3"/>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0D4D8A5" w14:textId="77777777" w:rsidR="00494B49" w:rsidRDefault="00494B49">
      <w:pPr>
        <w:pStyle w:val="BChapterName"/>
      </w:pPr>
      <w:r>
        <w:t xml:space="preserve">IV. Excluded Income </w:t>
      </w:r>
    </w:p>
    <w:p w14:paraId="5087F108" w14:textId="77777777" w:rsidR="00494B49" w:rsidRDefault="00494B49">
      <w:pPr>
        <w:pStyle w:val="BHead1"/>
      </w:pPr>
      <w:r>
        <w:t xml:space="preserve">A. General Categories </w:t>
      </w:r>
    </w:p>
    <w:p w14:paraId="0A369780" w14:textId="77777777" w:rsidR="00494B49" w:rsidRDefault="00494B49">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6B5EC9F0" w14:textId="77777777" w:rsidR="00494B49" w:rsidRDefault="00494B49">
      <w:pPr>
        <w:pStyle w:val="BListitembul"/>
      </w:pPr>
      <w:r>
        <w:t>Type 1 — Items that are excluded from gross income under Chapter 1.</w:t>
      </w:r>
      <w:r>
        <w:rPr>
          <w:rStyle w:val="FootnoteReference"/>
        </w:rPr>
        <w:footnoteReference w:id="494"/>
      </w:r>
    </w:p>
    <w:p w14:paraId="2E75DE1F" w14:textId="77777777" w:rsidR="00494B49" w:rsidRDefault="00494B49">
      <w:pPr>
        <w:pStyle w:val="BListitembul"/>
      </w:pPr>
      <w:r>
        <w:t>Type 2 — Items that are not included in the definition of net investment income, as determined under Reg. §1.1411-4 and §1.1411-10.</w:t>
      </w:r>
      <w:r>
        <w:rPr>
          <w:rStyle w:val="FootnoteReference"/>
        </w:rPr>
        <w:footnoteReference w:id="495"/>
      </w:r>
    </w:p>
    <w:p w14:paraId="7AD70E52" w14:textId="77777777" w:rsidR="00494B49" w:rsidRDefault="00494B49">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6"/>
      </w:r>
    </w:p>
    <w:p w14:paraId="274D4F6F" w14:textId="77777777" w:rsidR="00494B49" w:rsidRDefault="00494B49">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w:t>
      </w:r>
      <w:r>
        <w:lastRenderedPageBreak/>
        <w:t>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5BED21AD" w14:textId="77777777" w:rsidR="00494B49" w:rsidRDefault="00494B49">
      <w:pPr>
        <w:pStyle w:val="BHead1"/>
      </w:pPr>
      <w:r>
        <w:t xml:space="preserve">B. Type 1 — Items Excluded from Gross Income </w:t>
      </w:r>
    </w:p>
    <w:p w14:paraId="3331C736" w14:textId="77777777" w:rsidR="00494B49" w:rsidRDefault="00494B49">
      <w:pPr>
        <w:pStyle w:val="BNormal"/>
      </w:pPr>
      <w:r>
        <w:t xml:space="preserve">Reg. </w:t>
      </w:r>
      <w:smartTag w:uri="http://www.bna.com/sgml2word/cite" w:element="cite.cfr">
        <w:smartTagPr>
          <w:attr w:name="ref" w:val="cfr\26\1.1411-1(d)(4)(i)"/>
        </w:smartTagPr>
        <w:r>
          <w:t>§1.1411-1(d)(4)(</w:t>
        </w:r>
        <w:proofErr w:type="spellStart"/>
        <w:r>
          <w:t>i</w:t>
        </w:r>
        <w:proofErr w:type="spellEnd"/>
        <w:r>
          <w:t>)</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7"/>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8"/>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499"/>
      </w:r>
      <w:r>
        <w:t xml:space="preserve"> and income from discharge of indebtedness,</w:t>
      </w:r>
      <w:r>
        <w:rPr>
          <w:rStyle w:val="FootnoteReference"/>
        </w:rPr>
        <w:footnoteReference w:id="500"/>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1"/>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2"/>
      </w:r>
    </w:p>
    <w:p w14:paraId="17B42289" w14:textId="77777777" w:rsidR="00494B49" w:rsidRDefault="00494B49">
      <w:pPr>
        <w:pStyle w:val="BNormal"/>
      </w:pPr>
      <w:r>
        <w:rPr>
          <w:i/>
        </w:rPr>
        <w:t>Comment:</w:t>
      </w:r>
      <w:r>
        <w:t xml:space="preserve"> With few exceptions,</w:t>
      </w:r>
      <w:r>
        <w:rPr>
          <w:rStyle w:val="FootnoteReference"/>
        </w:rPr>
        <w:footnoteReference w:id="503"/>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w:t>
      </w:r>
      <w:r>
        <w:lastRenderedPageBreak/>
        <w:t xml:space="preserve">Chapter 1 purposes in determining taxable income of a taxpayer also apply in determining the taxpayer’s NIIT. Reg. </w:t>
      </w:r>
      <w:smartTag w:uri="http://www.bna.com/sgml2word/cite" w:element="cite.cfr">
        <w:smartTagPr>
          <w:attr w:name="ref" w:val="cfr\26\1.1411-1(d)(4)(i)"/>
        </w:smartTagPr>
        <w:r>
          <w:t>§1.1411-1(d)(4)(</w:t>
        </w:r>
        <w:proofErr w:type="spellStart"/>
        <w:r>
          <w:t>i</w:t>
        </w:r>
        <w:proofErr w:type="spellEnd"/>
        <w:r>
          <w:t>)</w:t>
        </w:r>
      </w:smartTag>
      <w:r>
        <w:t xml:space="preserve"> embodies this principle with respect to gross income.</w:t>
      </w:r>
    </w:p>
    <w:p w14:paraId="749D92EB" w14:textId="77777777" w:rsidR="00494B49" w:rsidRDefault="00494B49">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5C1A4791" w14:textId="77777777" w:rsidR="00494B49" w:rsidRDefault="00494B49">
      <w:pPr>
        <w:pStyle w:val="BListitembul"/>
      </w:pPr>
      <w:r>
        <w:t>Nontaxable distributions from §529 plans</w:t>
      </w:r>
      <w:r>
        <w:rPr>
          <w:rStyle w:val="FootnoteReference"/>
        </w:rPr>
        <w:footnoteReference w:id="504"/>
      </w:r>
      <w:r>
        <w:t xml:space="preserve"> and Coverdell Education Savings Accounts.</w:t>
      </w:r>
      <w:r>
        <w:rPr>
          <w:rStyle w:val="FootnoteReference"/>
        </w:rPr>
        <w:footnoteReference w:id="505"/>
      </w:r>
    </w:p>
    <w:p w14:paraId="77386BCD" w14:textId="77777777" w:rsidR="00494B49" w:rsidRDefault="00494B49">
      <w:pPr>
        <w:pStyle w:val="BListitembul"/>
      </w:pPr>
      <w:r>
        <w:t>Nontaxable distributions from Archer MSAs</w:t>
      </w:r>
      <w:r>
        <w:rPr>
          <w:rStyle w:val="FootnoteReference"/>
        </w:rPr>
        <w:footnoteReference w:id="506"/>
      </w:r>
      <w:r>
        <w:t xml:space="preserve"> and Health Savings Accounts.</w:t>
      </w:r>
      <w:r>
        <w:rPr>
          <w:rStyle w:val="FootnoteReference"/>
        </w:rPr>
        <w:footnoteReference w:id="507"/>
      </w:r>
    </w:p>
    <w:p w14:paraId="4A8C876A" w14:textId="77777777" w:rsidR="00494B49" w:rsidRDefault="00494B49">
      <w:pPr>
        <w:pStyle w:val="BListitembul"/>
      </w:pPr>
      <w:r>
        <w:t>Rental income excluded from gross under §280A.</w:t>
      </w:r>
      <w:r>
        <w:rPr>
          <w:rStyle w:val="FootnoteReference"/>
        </w:rPr>
        <w:footnoteReference w:id="508"/>
      </w:r>
    </w:p>
    <w:p w14:paraId="0C33D5BD" w14:textId="77777777" w:rsidR="00494B49" w:rsidRDefault="00494B49">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3B9B5A2D" w14:textId="77777777" w:rsidR="00494B49" w:rsidRDefault="00494B49">
      <w:pPr>
        <w:pStyle w:val="BHead1"/>
      </w:pPr>
      <w:r>
        <w:t xml:space="preserve">C. Type 2 — Items Not Included in Net Investment Income </w:t>
      </w:r>
    </w:p>
    <w:p w14:paraId="51DF31C2" w14:textId="77777777" w:rsidR="00494B49" w:rsidRDefault="00494B49">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7A84CF44" w14:textId="77777777" w:rsidR="00494B49" w:rsidRDefault="00494B49">
      <w:pPr>
        <w:pStyle w:val="BNormal"/>
      </w:pPr>
      <w:r>
        <w:t>These types of Excluded Income may generate the most controversy between taxpayers and the government. Each of the examples listed in the regulation is unique for different reasons.</w:t>
      </w:r>
    </w:p>
    <w:p w14:paraId="54106434" w14:textId="77777777" w:rsidR="00494B49" w:rsidRDefault="00494B49">
      <w:pPr>
        <w:pStyle w:val="BHead2"/>
      </w:pPr>
      <w:r>
        <w:t xml:space="preserve">1. Wages and Other Employee Payments </w:t>
      </w:r>
    </w:p>
    <w:p w14:paraId="13E10C84" w14:textId="77777777" w:rsidR="00494B49" w:rsidRDefault="00494B49">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3BA9CD77" w14:textId="77777777" w:rsidR="00494B49" w:rsidRDefault="00494B49">
      <w:pPr>
        <w:pStyle w:val="BNormal"/>
      </w:pPr>
      <w:r>
        <w:t xml:space="preserve">The phrase “wages” should not be read to include only amounts subject to FICA withholding in the year earned. In the case of unfunded nonqualified deferred compensation arrangements, compensation received through such an arrangement generally is not recognized as gross income </w:t>
      </w:r>
      <w:r>
        <w:lastRenderedPageBreak/>
        <w:t>until the employee receives the payment. Note that the treatment of deferred compensation for FICA tax purposes differs markedly from its treatment for income tax purposes.</w:t>
      </w:r>
      <w:r>
        <w:rPr>
          <w:rStyle w:val="FootnoteReference"/>
        </w:rPr>
        <w:footnoteReference w:id="509"/>
      </w:r>
    </w:p>
    <w:p w14:paraId="7C3C19D4" w14:textId="77777777" w:rsidR="00494B49" w:rsidRDefault="00494B49">
      <w:pPr>
        <w:pStyle w:val="BNormal"/>
      </w:pPr>
      <w:r>
        <w:t>Even if a specific Code provision accelerates the deferred payments into income,</w:t>
      </w:r>
      <w:r>
        <w:rPr>
          <w:rStyle w:val="FootnoteReference"/>
        </w:rPr>
        <w:footnoteReference w:id="510"/>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1"/>
      </w:r>
    </w:p>
    <w:p w14:paraId="28B7E4C9" w14:textId="77777777" w:rsidR="00494B49" w:rsidRDefault="00494B49">
      <w:pPr>
        <w:pStyle w:val="BHead2"/>
      </w:pPr>
      <w:r>
        <w:t>2. Unemployment Compensation and Social Security Benefits</w:t>
      </w:r>
    </w:p>
    <w:p w14:paraId="31D0B5C8" w14:textId="77777777" w:rsidR="00494B49" w:rsidRDefault="00494B49">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2"/>
      </w:r>
    </w:p>
    <w:p w14:paraId="2EDA8D6D" w14:textId="77777777" w:rsidR="00494B49" w:rsidRDefault="00494B49">
      <w:pPr>
        <w:pStyle w:val="BHead2"/>
      </w:pPr>
      <w:r>
        <w:t xml:space="preserve">3. Alimony </w:t>
      </w:r>
    </w:p>
    <w:p w14:paraId="11706B4A" w14:textId="77777777" w:rsidR="00494B49" w:rsidRDefault="00494B49">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20D09D72" w14:textId="77777777" w:rsidR="00494B49" w:rsidRDefault="00494B49">
      <w:pPr>
        <w:pStyle w:val="BHead2"/>
      </w:pPr>
      <w:r>
        <w:t>4. Alaska Permanent Fund Dividends</w:t>
      </w:r>
    </w:p>
    <w:p w14:paraId="7E34F4A7" w14:textId="77777777" w:rsidR="00494B49" w:rsidRDefault="00494B49">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509AAD7E" w14:textId="77777777" w:rsidR="00494B49" w:rsidRDefault="00494B49">
      <w:pPr>
        <w:pStyle w:val="BNormal"/>
      </w:pPr>
      <w:smartTag w:uri="http://www.bna.com/sgml2word/cite" w:element="cite.agency.doc">
        <w:smartTagPr>
          <w:attr w:name="ref" w:val="IRS\RevRul\90-56"/>
        </w:smartTagPr>
        <w:r>
          <w:lastRenderedPageBreak/>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58FE9A4E" w14:textId="77777777" w:rsidR="00494B49" w:rsidRDefault="00494B49">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3"/>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3A7292E1" w14:textId="77777777" w:rsidR="00494B49" w:rsidRDefault="00494B49">
      <w:pPr>
        <w:pStyle w:val="BHead1"/>
      </w:pPr>
      <w:r>
        <w:t>D. Type 3 — Items Specifically Excluded by §1411 and §1411 Regulations</w:t>
      </w:r>
    </w:p>
    <w:p w14:paraId="587994D5" w14:textId="77777777" w:rsidR="00494B49" w:rsidRDefault="00494B49">
      <w:pPr>
        <w:pStyle w:val="BNormal"/>
      </w:pPr>
      <w:r>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4"/>
      </w:r>
      <w:r>
        <w:t xml:space="preserve"> As examples, such regulations list:</w:t>
      </w:r>
    </w:p>
    <w:p w14:paraId="4B4F9A14" w14:textId="77777777" w:rsidR="00494B49" w:rsidRDefault="00494B49">
      <w:pPr>
        <w:pStyle w:val="BListitembul"/>
      </w:pPr>
      <w:r>
        <w:t>gains from the disposition of property used in a non-§1411(c)(2) trade or business (which are specifically excluded under Reg. §1.1411-4(d)(4)(</w:t>
      </w:r>
      <w:proofErr w:type="spellStart"/>
      <w:r>
        <w:t>i</w:t>
      </w:r>
      <w:proofErr w:type="spellEnd"/>
      <w:r>
        <w:t>)) (discussed in III.D.7.III.D.7., above);</w:t>
      </w:r>
    </w:p>
    <w:p w14:paraId="47D6BDEB" w14:textId="77777777" w:rsidR="00494B49" w:rsidRDefault="00494B49">
      <w:pPr>
        <w:pStyle w:val="BListitembul"/>
      </w:pPr>
      <w:r>
        <w:t xml:space="preserve">distributions from certain qualified plans (which are specifically excluded under §1411(c)(5) and Reg. §1.1411-8) (discussed in IV.D.1.IV.D.1., below); </w:t>
      </w:r>
    </w:p>
    <w:p w14:paraId="1440B33F" w14:textId="77777777" w:rsidR="00494B49" w:rsidRDefault="00494B49">
      <w:pPr>
        <w:pStyle w:val="BListitembul"/>
      </w:pPr>
      <w:r>
        <w:t>income taken into account in determining self-employment income subject to tax under §1401(b) (which is specifically excluded under §1411(c)(6) and Reg. §1.1411-9) (discussed in IV.D.2.IV.D.2., below); and</w:t>
      </w:r>
    </w:p>
    <w:p w14:paraId="11292752" w14:textId="77777777" w:rsidR="00494B49" w:rsidRDefault="00494B49">
      <w:pPr>
        <w:pStyle w:val="BListitembul"/>
      </w:pPr>
      <w:r>
        <w:t xml:space="preserve"> §951(a) inclusions from a CFC for which a Reg. §1.1411-10(g) election is not in effect (discussed in VII.VII., below). </w:t>
      </w:r>
    </w:p>
    <w:p w14:paraId="72D62770" w14:textId="77777777" w:rsidR="00494B49" w:rsidRDefault="00494B49">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B3EBCD" w14:textId="77777777" w:rsidR="00494B49" w:rsidRDefault="00494B49">
      <w:pPr>
        <w:pStyle w:val="BNormal"/>
      </w:pPr>
      <w:r>
        <w:rPr>
          <w:i/>
        </w:rPr>
        <w:lastRenderedPageBreak/>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3D69D18B" w14:textId="77777777" w:rsidR="00494B49" w:rsidRDefault="00494B49">
      <w:pPr>
        <w:pStyle w:val="BHead2"/>
      </w:pPr>
      <w:r>
        <w:t xml:space="preserve">1. Distributions from Qualified Plans — §1411(c)(5) </w:t>
      </w:r>
    </w:p>
    <w:p w14:paraId="1F989292"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3B3BB30C" w14:textId="77777777" w:rsidR="00494B49" w:rsidRDefault="00494B49">
      <w:pPr>
        <w:pStyle w:val="BListitemorig"/>
      </w:pPr>
      <w:r>
        <w:t>(1) a qualified pension, stock bonus, or profit-sharing plan under §401(a);</w:t>
      </w:r>
    </w:p>
    <w:p w14:paraId="7C509C30" w14:textId="77777777" w:rsidR="00494B49" w:rsidRDefault="00494B49">
      <w:pPr>
        <w:pStyle w:val="BListitemorig"/>
      </w:pPr>
      <w:r>
        <w:t xml:space="preserve">(2) a qualified annuity plan under §403(a); </w:t>
      </w:r>
    </w:p>
    <w:p w14:paraId="3B84CC8F" w14:textId="77777777" w:rsidR="00494B49" w:rsidRDefault="00494B49">
      <w:pPr>
        <w:pStyle w:val="BListitemorig"/>
      </w:pPr>
      <w:r>
        <w:t xml:space="preserve">(3) a tax-sheltered annuity under §403(b); </w:t>
      </w:r>
    </w:p>
    <w:p w14:paraId="70A84BCF" w14:textId="77777777" w:rsidR="00494B49" w:rsidRDefault="00494B49">
      <w:pPr>
        <w:pStyle w:val="BListitemorig"/>
      </w:pPr>
      <w:r>
        <w:t xml:space="preserve">(4) an individual retirement account (IRA) under §408; </w:t>
      </w:r>
    </w:p>
    <w:p w14:paraId="03713771" w14:textId="77777777" w:rsidR="00494B49" w:rsidRDefault="00494B49">
      <w:pPr>
        <w:pStyle w:val="BListitemorig"/>
      </w:pPr>
      <w:r>
        <w:t xml:space="preserve">(5) a Roth IRA under §408A; or </w:t>
      </w:r>
    </w:p>
    <w:p w14:paraId="2968AB9D" w14:textId="77777777" w:rsidR="00494B49" w:rsidRDefault="00494B49">
      <w:pPr>
        <w:pStyle w:val="BListitemorig"/>
      </w:pPr>
      <w:r>
        <w:t>(6) a deferred compensation plan of a state and local government or a tax-exempt organization under §457(b).</w:t>
      </w:r>
      <w:r>
        <w:rPr>
          <w:rStyle w:val="FootnoteReference"/>
        </w:rPr>
        <w:footnoteReference w:id="515"/>
      </w:r>
    </w:p>
    <w:p w14:paraId="2F8C7D67" w14:textId="77777777" w:rsidR="00494B49" w:rsidRDefault="00494B49">
      <w:pPr>
        <w:pStyle w:val="BNormal"/>
      </w:pPr>
      <w:r>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3BB3AA51" w14:textId="77777777" w:rsidR="00494B49" w:rsidRDefault="00494B49">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6"/>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7"/>
      </w:r>
      <w:r>
        <w:t xml:space="preserve"> from a qualified plan or arrangement to maintain its tax-favored status.</w:t>
      </w:r>
      <w:r>
        <w:rPr>
          <w:rStyle w:val="FootnoteReference"/>
        </w:rPr>
        <w:footnoteReference w:id="518"/>
      </w:r>
    </w:p>
    <w:p w14:paraId="7699AD5B" w14:textId="77777777" w:rsidR="00494B49" w:rsidRDefault="00494B49">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19"/>
      </w:r>
      <w:r>
        <w:t xml:space="preserve"> Additionally, any amount that is not treated as a distribution but is otherwise includible in gross income </w:t>
      </w:r>
      <w:r>
        <w:lastRenderedPageBreak/>
        <w:t xml:space="preserve">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0"/>
      </w:r>
    </w:p>
    <w:p w14:paraId="009C644A" w14:textId="77777777" w:rsidR="00494B49" w:rsidRDefault="00494B49">
      <w:pPr>
        <w:pStyle w:val="BNormal"/>
      </w:pPr>
      <w:r>
        <w:t xml:space="preserve">Reg. </w:t>
      </w:r>
      <w:smartTag w:uri="http://www.bna.com/sgml2word/cite" w:element="cite.cfr">
        <w:smartTagPr>
          <w:attr w:name="ref" w:val="cfr\26\1.1411-8(b)(4)(i)"/>
        </w:smartTagPr>
        <w:r>
          <w:t>§1.1411-8(b)(4)(</w:t>
        </w:r>
        <w:proofErr w:type="spellStart"/>
        <w:r>
          <w:t>i</w:t>
        </w:r>
        <w:proofErr w:type="spellEnd"/>
        <w:r>
          <w:t>)</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1"/>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2"/>
      </w:r>
      <w:r>
        <w:t xml:space="preserve"> However, the exclusion does not apply to amounts paid as a dividend after the employer securities have been distributed from a qualified plan.</w:t>
      </w:r>
      <w:r>
        <w:rPr>
          <w:rStyle w:val="FootnoteReference"/>
        </w:rPr>
        <w:footnoteReference w:id="523"/>
      </w:r>
    </w:p>
    <w:p w14:paraId="0AC01179" w14:textId="77777777" w:rsidR="00494B49" w:rsidRDefault="00494B49">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4"/>
      </w:r>
      <w:r>
        <w:t xml:space="preserve"> The regulation provides that any NUA in employer securities that is realized in 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5"/>
      </w:r>
    </w:p>
    <w:p w14:paraId="056B1758" w14:textId="77777777" w:rsidR="00494B49" w:rsidRDefault="00494B49">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786B356A" w14:textId="77777777" w:rsidR="00494B49" w:rsidRDefault="00494B49">
      <w:pPr>
        <w:pStyle w:val="BHead2"/>
      </w:pPr>
      <w:r>
        <w:t>2. Section 1411(c)(6) — Earnings Subject to Self-Employment Tax</w:t>
      </w:r>
    </w:p>
    <w:p w14:paraId="43ED0CAB" w14:textId="77777777" w:rsidR="00494B49" w:rsidRDefault="00494B49">
      <w:pPr>
        <w:pStyle w:val="BHead3"/>
      </w:pPr>
      <w:r>
        <w:t>a. General Rule — Excluded Income</w:t>
      </w:r>
    </w:p>
    <w:p w14:paraId="780BE697" w14:textId="77777777" w:rsidR="00494B49" w:rsidRDefault="00494B49">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w:t>
      </w:r>
      <w:r>
        <w:lastRenderedPageBreak/>
        <w:t xml:space="preserve">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7B9A3353" w14:textId="77777777" w:rsidR="00494B49" w:rsidRDefault="00494B49">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5AFFCBF" w14:textId="77777777" w:rsidR="00494B49" w:rsidRDefault="00494B49">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2B80267F" w14:textId="77777777" w:rsidR="00494B49" w:rsidRDefault="00494B49">
      <w:pPr>
        <w:pStyle w:val="BNormal"/>
      </w:pPr>
      <w:r>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6"/>
      </w:r>
    </w:p>
    <w:p w14:paraId="6E519A52" w14:textId="77777777" w:rsidR="00494B49" w:rsidRDefault="00494B49">
      <w:pPr>
        <w:pStyle w:val="BNormal"/>
      </w:pPr>
      <w:r>
        <w:rPr>
          <w:i/>
        </w:rPr>
        <w:t>Comment:</w:t>
      </w:r>
      <w:r>
        <w:t xml:space="preserve"> For purposes of the tax imposed on self-</w:t>
      </w:r>
      <w:r>
        <w:br/>
        <w:t>employment income, the trade or business must be carried on by the individual, either personally or through agents or employees.</w:t>
      </w:r>
      <w:r>
        <w:rPr>
          <w:rStyle w:val="FootnoteReference"/>
        </w:rPr>
        <w:footnoteReference w:id="527"/>
      </w:r>
      <w:r>
        <w:t xml:space="preserve"> Therefore, because an item can only be taken into account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8"/>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29"/>
      </w:r>
    </w:p>
    <w:p w14:paraId="4B9A20DE" w14:textId="77777777" w:rsidR="00494B49" w:rsidRDefault="00494B49">
      <w:pPr>
        <w:pStyle w:val="BNormal"/>
      </w:pPr>
      <w:r>
        <w:rPr>
          <w:i/>
        </w:rPr>
        <w:lastRenderedPageBreak/>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0"/>
      </w:r>
      <w:r>
        <w:t xml:space="preserve"> The addition of the NIIT regime has only heightened the consequences and highlighted the uncertainty regarding the characterization of an LLC member as a general partner or limited partner for SECA tax purposes. </w:t>
      </w:r>
    </w:p>
    <w:p w14:paraId="72EBBFD5" w14:textId="77777777" w:rsidR="00494B49" w:rsidRDefault="00494B49">
      <w:pPr>
        <w:pStyle w:val="BHead3"/>
      </w:pPr>
      <w:r>
        <w:t>b. Investors in a Limited Partnership Investor Fund</w:t>
      </w:r>
    </w:p>
    <w:p w14:paraId="592B50C1" w14:textId="77777777" w:rsidR="00494B49" w:rsidRDefault="00494B49">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1"/>
      </w:r>
      <w:r>
        <w:t xml:space="preserve"> Applicable rules in determining the allowable portion of itemized deductions against net investment income could further limit the usefulness of these expenses in reducing a taxpayer’s NIIT liability.</w:t>
      </w:r>
      <w:r>
        <w:rPr>
          <w:rStyle w:val="FootnoteReference"/>
        </w:rPr>
        <w:footnoteReference w:id="532"/>
      </w:r>
    </w:p>
    <w:p w14:paraId="6DC5D80C" w14:textId="77777777" w:rsidR="00494B49" w:rsidRDefault="00494B49">
      <w:pPr>
        <w:pStyle w:val="BHead3"/>
      </w:pPr>
      <w:r>
        <w:t>c. Investors in a Trading Fund</w:t>
      </w:r>
    </w:p>
    <w:p w14:paraId="59FE3FB1" w14:textId="77777777" w:rsidR="00494B49" w:rsidRDefault="00494B49">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3"/>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09DE428B" w14:textId="77777777" w:rsidR="00494B49" w:rsidRDefault="00494B49">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w:t>
      </w:r>
      <w:r>
        <w:lastRenderedPageBreak/>
        <w:t xml:space="preserve">purposes to prevent a double deduction (a deduction of the same dollar of expense for both NESE and NII). </w:t>
      </w:r>
    </w:p>
    <w:p w14:paraId="2EAB8EC9" w14:textId="77777777" w:rsidR="00494B49" w:rsidRDefault="00494B49">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r>
        <w:rPr>
          <w:rStyle w:val="FootnoteReference"/>
        </w:rPr>
        <w:footnoteReference w:id="534"/>
      </w:r>
    </w:p>
    <w:p w14:paraId="06918905" w14:textId="77777777" w:rsidR="00494B49" w:rsidRDefault="00494B49">
      <w:pPr>
        <w:pStyle w:val="BHead3"/>
      </w:pPr>
      <w:r>
        <w:t>d. Treatment of Managers</w:t>
      </w:r>
    </w:p>
    <w:p w14:paraId="184229AF" w14:textId="77777777" w:rsidR="00494B49" w:rsidRDefault="00494B49">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management entity would only be net investment income when the activity is a passive activity to the partner or member. </w:t>
      </w:r>
    </w:p>
    <w:p w14:paraId="3D45E023" w14:textId="77777777" w:rsidR="00494B49" w:rsidRDefault="00494B49">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3CB47615" w14:textId="77777777" w:rsidR="00494B49" w:rsidRDefault="00494B49">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7222D586" w14:textId="77777777" w:rsidR="00494B49" w:rsidRDefault="00494B49" w:rsidP="006951DA">
      <w:pPr>
        <w:pStyle w:val="BNormal"/>
      </w:pPr>
      <w:r>
        <w:lastRenderedPageBreak/>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3D6663FA" w14:textId="77777777" w:rsidR="00494B49" w:rsidRDefault="00494B49" w:rsidP="006951DA">
      <w:pPr>
        <w:pStyle w:val="BNormal"/>
      </w:pPr>
    </w:p>
    <w:tbl>
      <w:tblPr>
        <w:tblStyle w:val="TableGrid"/>
        <w:tblW w:w="9353" w:type="dxa"/>
        <w:tblLook w:val="04A0" w:firstRow="1" w:lastRow="0" w:firstColumn="1" w:lastColumn="0" w:noHBand="0" w:noVBand="1"/>
      </w:tblPr>
      <w:tblGrid>
        <w:gridCol w:w="2241"/>
        <w:gridCol w:w="2221"/>
        <w:gridCol w:w="1800"/>
        <w:gridCol w:w="1390"/>
        <w:gridCol w:w="891"/>
        <w:gridCol w:w="810"/>
      </w:tblGrid>
      <w:tr w:rsidR="00E51513" w14:paraId="277F6904" w14:textId="2BFEA0F1" w:rsidTr="00E51513">
        <w:tc>
          <w:tcPr>
            <w:tcW w:w="2241" w:type="dxa"/>
          </w:tcPr>
          <w:p w14:paraId="1C162FAF" w14:textId="77777777" w:rsidR="00494B49" w:rsidRDefault="00494B49">
            <w:r>
              <w:t xml:space="preserve"> </w:t>
            </w:r>
            <w:r>
              <w:rPr>
                <w:b/>
              </w:rPr>
              <w:t xml:space="preserve">Management </w:t>
            </w:r>
            <w:r>
              <w:br/>
            </w:r>
            <w:r>
              <w:rPr>
                <w:b/>
              </w:rPr>
              <w:t>company</w:t>
            </w:r>
          </w:p>
        </w:tc>
        <w:tc>
          <w:tcPr>
            <w:tcW w:w="2221" w:type="dxa"/>
          </w:tcPr>
          <w:p w14:paraId="1A301974" w14:textId="77777777" w:rsidR="00494B49" w:rsidRDefault="00494B49">
            <w:r>
              <w:t xml:space="preserve"> </w:t>
            </w:r>
            <w:r>
              <w:rPr>
                <w:b/>
              </w:rPr>
              <w:t xml:space="preserve">Material </w:t>
            </w:r>
            <w:r>
              <w:br/>
            </w:r>
            <w:r>
              <w:rPr>
                <w:b/>
              </w:rPr>
              <w:t>participation</w:t>
            </w:r>
          </w:p>
        </w:tc>
        <w:tc>
          <w:tcPr>
            <w:tcW w:w="1800" w:type="dxa"/>
          </w:tcPr>
          <w:p w14:paraId="424D388E" w14:textId="77777777" w:rsidR="00494B49" w:rsidRDefault="00494B49">
            <w:r>
              <w:t xml:space="preserve"> </w:t>
            </w:r>
            <w:r>
              <w:rPr>
                <w:b/>
              </w:rPr>
              <w:t xml:space="preserve">No material </w:t>
            </w:r>
            <w:r>
              <w:br/>
            </w:r>
            <w:r>
              <w:rPr>
                <w:b/>
              </w:rPr>
              <w:t xml:space="preserve">participation </w:t>
            </w:r>
          </w:p>
        </w:tc>
        <w:tc>
          <w:tcPr>
            <w:tcW w:w="1390" w:type="dxa"/>
            <w:shd w:val="clear" w:color="auto" w:fill="auto"/>
          </w:tcPr>
          <w:p w14:paraId="088E77C3" w14:textId="77777777" w:rsidR="00E51513" w:rsidRDefault="00E51513"/>
        </w:tc>
        <w:tc>
          <w:tcPr>
            <w:tcW w:w="891" w:type="dxa"/>
            <w:shd w:val="clear" w:color="auto" w:fill="auto"/>
          </w:tcPr>
          <w:p w14:paraId="723EF379" w14:textId="77777777" w:rsidR="00E51513" w:rsidRDefault="00E51513"/>
        </w:tc>
        <w:tc>
          <w:tcPr>
            <w:tcW w:w="810" w:type="dxa"/>
            <w:shd w:val="clear" w:color="auto" w:fill="auto"/>
          </w:tcPr>
          <w:p w14:paraId="6270F9CB" w14:textId="77777777" w:rsidR="00E51513" w:rsidRDefault="00E51513"/>
        </w:tc>
      </w:tr>
      <w:tr w:rsidR="00E51513" w14:paraId="11162654" w14:textId="67C88930" w:rsidTr="00E51513">
        <w:tc>
          <w:tcPr>
            <w:tcW w:w="2241" w:type="dxa"/>
          </w:tcPr>
          <w:p w14:paraId="5DEC9897" w14:textId="77777777" w:rsidR="00494B49" w:rsidRDefault="00494B49">
            <w:r>
              <w:t xml:space="preserve"> </w:t>
            </w:r>
            <w:r>
              <w:rPr>
                <w:b/>
              </w:rPr>
              <w:t>SECA tax</w:t>
            </w:r>
          </w:p>
        </w:tc>
        <w:tc>
          <w:tcPr>
            <w:tcW w:w="2221" w:type="dxa"/>
          </w:tcPr>
          <w:p w14:paraId="58A6C666" w14:textId="77777777" w:rsidR="00494B49" w:rsidRDefault="00494B49">
            <w:r>
              <w:t xml:space="preserve"> </w:t>
            </w:r>
            <w:r>
              <w:rPr>
                <w:b/>
              </w:rPr>
              <w:t>NIIT</w:t>
            </w:r>
          </w:p>
        </w:tc>
        <w:tc>
          <w:tcPr>
            <w:tcW w:w="1800" w:type="dxa"/>
            <w:shd w:val="clear" w:color="auto" w:fill="auto"/>
          </w:tcPr>
          <w:p w14:paraId="63A7425A" w14:textId="77777777" w:rsidR="00E51513" w:rsidRDefault="00E51513"/>
        </w:tc>
        <w:tc>
          <w:tcPr>
            <w:tcW w:w="1390" w:type="dxa"/>
            <w:shd w:val="clear" w:color="auto" w:fill="auto"/>
          </w:tcPr>
          <w:p w14:paraId="562156D1" w14:textId="77777777" w:rsidR="00E51513" w:rsidRDefault="00E51513"/>
        </w:tc>
        <w:tc>
          <w:tcPr>
            <w:tcW w:w="891" w:type="dxa"/>
            <w:shd w:val="clear" w:color="auto" w:fill="auto"/>
          </w:tcPr>
          <w:p w14:paraId="4E489E55" w14:textId="77777777" w:rsidR="00E51513" w:rsidRDefault="00E51513"/>
        </w:tc>
        <w:tc>
          <w:tcPr>
            <w:tcW w:w="810" w:type="dxa"/>
            <w:shd w:val="clear" w:color="auto" w:fill="auto"/>
          </w:tcPr>
          <w:p w14:paraId="1343D2E7" w14:textId="77777777" w:rsidR="00E51513" w:rsidRDefault="00E51513"/>
        </w:tc>
      </w:tr>
      <w:tr w:rsidR="00E51513" w14:paraId="66168440" w14:textId="52EEFF90" w:rsidTr="00E51513">
        <w:tc>
          <w:tcPr>
            <w:tcW w:w="2241" w:type="dxa"/>
          </w:tcPr>
          <w:p w14:paraId="19C90DE1" w14:textId="77777777" w:rsidR="00494B49" w:rsidRDefault="00494B49">
            <w:r>
              <w:t xml:space="preserve"> </w:t>
            </w:r>
            <w:r>
              <w:rPr>
                <w:b/>
              </w:rPr>
              <w:t>Income</w:t>
            </w:r>
          </w:p>
        </w:tc>
        <w:tc>
          <w:tcPr>
            <w:tcW w:w="2221" w:type="dxa"/>
          </w:tcPr>
          <w:p w14:paraId="51262E67" w14:textId="77777777" w:rsidR="00494B49" w:rsidRDefault="00494B49">
            <w:r>
              <w:t xml:space="preserve"> </w:t>
            </w:r>
            <w:r>
              <w:rPr>
                <w:b/>
              </w:rPr>
              <w:t>Expenses</w:t>
            </w:r>
          </w:p>
        </w:tc>
        <w:tc>
          <w:tcPr>
            <w:tcW w:w="1800" w:type="dxa"/>
          </w:tcPr>
          <w:p w14:paraId="40CF1210" w14:textId="77777777" w:rsidR="00494B49" w:rsidRDefault="00494B49">
            <w:r>
              <w:t xml:space="preserve"> </w:t>
            </w:r>
            <w:r>
              <w:rPr>
                <w:b/>
              </w:rPr>
              <w:t>Income</w:t>
            </w:r>
          </w:p>
        </w:tc>
        <w:tc>
          <w:tcPr>
            <w:tcW w:w="1390" w:type="dxa"/>
          </w:tcPr>
          <w:p w14:paraId="62F4D830" w14:textId="77777777" w:rsidR="00494B49" w:rsidRDefault="00494B49">
            <w:r>
              <w:t xml:space="preserve"> </w:t>
            </w:r>
            <w:r>
              <w:rPr>
                <w:b/>
              </w:rPr>
              <w:t>Expenses</w:t>
            </w:r>
          </w:p>
        </w:tc>
        <w:tc>
          <w:tcPr>
            <w:tcW w:w="891" w:type="dxa"/>
            <w:shd w:val="clear" w:color="auto" w:fill="auto"/>
          </w:tcPr>
          <w:p w14:paraId="0AE3C271" w14:textId="77777777" w:rsidR="00E51513" w:rsidRDefault="00E51513"/>
        </w:tc>
        <w:tc>
          <w:tcPr>
            <w:tcW w:w="810" w:type="dxa"/>
            <w:shd w:val="clear" w:color="auto" w:fill="auto"/>
          </w:tcPr>
          <w:p w14:paraId="35CF2B9A" w14:textId="77777777" w:rsidR="00E51513" w:rsidRDefault="00E51513"/>
        </w:tc>
      </w:tr>
      <w:tr w:rsidR="00494B49" w14:paraId="7E97A33A" w14:textId="77777777" w:rsidTr="00E51513">
        <w:tc>
          <w:tcPr>
            <w:tcW w:w="2241" w:type="dxa"/>
          </w:tcPr>
          <w:p w14:paraId="08DC6ACA" w14:textId="77777777" w:rsidR="00494B49" w:rsidRDefault="00494B49">
            <w:r>
              <w:t>Limited partnership</w:t>
            </w:r>
          </w:p>
        </w:tc>
        <w:tc>
          <w:tcPr>
            <w:tcW w:w="2221" w:type="dxa"/>
          </w:tcPr>
          <w:p w14:paraId="0AF96B34" w14:textId="77777777" w:rsidR="00494B49" w:rsidRDefault="00494B49">
            <w:r>
              <w:t>General partner</w:t>
            </w:r>
          </w:p>
        </w:tc>
        <w:tc>
          <w:tcPr>
            <w:tcW w:w="1800" w:type="dxa"/>
          </w:tcPr>
          <w:p w14:paraId="1D9256A0" w14:textId="77777777" w:rsidR="00494B49" w:rsidRDefault="00494B49">
            <w:r>
              <w:t xml:space="preserve">Not </w:t>
            </w:r>
            <w:r>
              <w:br/>
              <w:t>exempt</w:t>
            </w:r>
          </w:p>
        </w:tc>
        <w:tc>
          <w:tcPr>
            <w:tcW w:w="1390" w:type="dxa"/>
          </w:tcPr>
          <w:p w14:paraId="1211FC76" w14:textId="77777777" w:rsidR="00494B49" w:rsidRDefault="00494B49">
            <w:r>
              <w:t xml:space="preserve">Not </w:t>
            </w:r>
            <w:r>
              <w:br/>
              <w:t>exempt</w:t>
            </w:r>
          </w:p>
        </w:tc>
        <w:tc>
          <w:tcPr>
            <w:tcW w:w="891" w:type="dxa"/>
          </w:tcPr>
          <w:p w14:paraId="570F0785" w14:textId="77777777" w:rsidR="00494B49" w:rsidRDefault="00494B49">
            <w:r>
              <w:t>N/A</w:t>
            </w:r>
          </w:p>
        </w:tc>
        <w:tc>
          <w:tcPr>
            <w:tcW w:w="810" w:type="dxa"/>
          </w:tcPr>
          <w:p w14:paraId="76A04C2F" w14:textId="77777777" w:rsidR="00494B49" w:rsidRDefault="00494B49">
            <w:r>
              <w:t>N/A</w:t>
            </w:r>
          </w:p>
        </w:tc>
      </w:tr>
      <w:tr w:rsidR="00E51513" w14:paraId="1515A01E" w14:textId="43655496" w:rsidTr="00E51513">
        <w:tc>
          <w:tcPr>
            <w:tcW w:w="2241" w:type="dxa"/>
          </w:tcPr>
          <w:p w14:paraId="1A5DE787" w14:textId="77777777" w:rsidR="00494B49" w:rsidRDefault="00494B49">
            <w:r>
              <w:t>Limited partner</w:t>
            </w:r>
          </w:p>
        </w:tc>
        <w:tc>
          <w:tcPr>
            <w:tcW w:w="2221" w:type="dxa"/>
          </w:tcPr>
          <w:p w14:paraId="1F87D879" w14:textId="77777777" w:rsidR="00494B49" w:rsidRDefault="00494B49">
            <w:r>
              <w:t xml:space="preserve"> </w:t>
            </w:r>
            <w:r>
              <w:rPr>
                <w:i/>
              </w:rPr>
              <w:t>Exempt</w:t>
            </w:r>
          </w:p>
        </w:tc>
        <w:tc>
          <w:tcPr>
            <w:tcW w:w="1800" w:type="dxa"/>
          </w:tcPr>
          <w:p w14:paraId="398856CD" w14:textId="77777777" w:rsidR="00494B49" w:rsidRDefault="00494B49">
            <w:r>
              <w:t xml:space="preserve"> </w:t>
            </w:r>
            <w:r>
              <w:rPr>
                <w:i/>
              </w:rPr>
              <w:t>Exempt</w:t>
            </w:r>
          </w:p>
        </w:tc>
        <w:tc>
          <w:tcPr>
            <w:tcW w:w="1390" w:type="dxa"/>
          </w:tcPr>
          <w:p w14:paraId="3E76BCD5" w14:textId="77777777" w:rsidR="00494B49" w:rsidRDefault="00494B49">
            <w:r>
              <w:t>NII</w:t>
            </w:r>
          </w:p>
        </w:tc>
        <w:tc>
          <w:tcPr>
            <w:tcW w:w="891" w:type="dxa"/>
          </w:tcPr>
          <w:p w14:paraId="6C37005B" w14:textId="77777777" w:rsidR="00494B49" w:rsidRDefault="00494B49">
            <w:r>
              <w:t>NII</w:t>
            </w:r>
          </w:p>
        </w:tc>
        <w:tc>
          <w:tcPr>
            <w:tcW w:w="810" w:type="dxa"/>
            <w:shd w:val="clear" w:color="auto" w:fill="auto"/>
          </w:tcPr>
          <w:p w14:paraId="216AD08A" w14:textId="77777777" w:rsidR="00E51513" w:rsidRDefault="00E51513"/>
        </w:tc>
      </w:tr>
      <w:tr w:rsidR="00494B49" w14:paraId="491AA049" w14:textId="77777777" w:rsidTr="00E51513">
        <w:tc>
          <w:tcPr>
            <w:tcW w:w="2241" w:type="dxa"/>
          </w:tcPr>
          <w:p w14:paraId="79AC5884" w14:textId="77777777" w:rsidR="00494B49" w:rsidRDefault="00494B49">
            <w:r>
              <w:t>Limited liability company</w:t>
            </w:r>
          </w:p>
        </w:tc>
        <w:tc>
          <w:tcPr>
            <w:tcW w:w="2221" w:type="dxa"/>
          </w:tcPr>
          <w:p w14:paraId="63CCB3F1" w14:textId="77777777" w:rsidR="00494B49" w:rsidRDefault="00494B49">
            <w:r>
              <w:t>Managing member</w:t>
            </w:r>
          </w:p>
        </w:tc>
        <w:tc>
          <w:tcPr>
            <w:tcW w:w="1800" w:type="dxa"/>
          </w:tcPr>
          <w:p w14:paraId="3F200549" w14:textId="77777777" w:rsidR="00494B49" w:rsidRDefault="00494B49">
            <w:r>
              <w:t xml:space="preserve">Not </w:t>
            </w:r>
            <w:r>
              <w:br/>
              <w:t>exempt</w:t>
            </w:r>
          </w:p>
        </w:tc>
        <w:tc>
          <w:tcPr>
            <w:tcW w:w="1390" w:type="dxa"/>
          </w:tcPr>
          <w:p w14:paraId="4A77881A" w14:textId="77777777" w:rsidR="00494B49" w:rsidRDefault="00494B49">
            <w:r>
              <w:t xml:space="preserve">Not </w:t>
            </w:r>
            <w:r>
              <w:br/>
              <w:t>exempt</w:t>
            </w:r>
          </w:p>
        </w:tc>
        <w:tc>
          <w:tcPr>
            <w:tcW w:w="891" w:type="dxa"/>
          </w:tcPr>
          <w:p w14:paraId="66AD2B54" w14:textId="77777777" w:rsidR="00494B49" w:rsidRDefault="00494B49">
            <w:r>
              <w:t>N/A</w:t>
            </w:r>
          </w:p>
        </w:tc>
        <w:tc>
          <w:tcPr>
            <w:tcW w:w="810" w:type="dxa"/>
          </w:tcPr>
          <w:p w14:paraId="1C642636" w14:textId="77777777" w:rsidR="00494B49" w:rsidRDefault="00494B49">
            <w:r>
              <w:t>N/A</w:t>
            </w:r>
          </w:p>
        </w:tc>
      </w:tr>
      <w:tr w:rsidR="00E51513" w14:paraId="3D0F8A91" w14:textId="19CF1401" w:rsidTr="00E51513">
        <w:tc>
          <w:tcPr>
            <w:tcW w:w="2241" w:type="dxa"/>
          </w:tcPr>
          <w:p w14:paraId="1D83F2FA" w14:textId="77777777" w:rsidR="00494B49" w:rsidRDefault="00494B49">
            <w:proofErr w:type="spellStart"/>
            <w:r>
              <w:t>Nonmanaging</w:t>
            </w:r>
            <w:proofErr w:type="spellEnd"/>
            <w:r>
              <w:t xml:space="preserve"> member</w:t>
            </w:r>
          </w:p>
        </w:tc>
        <w:tc>
          <w:tcPr>
            <w:tcW w:w="2221" w:type="dxa"/>
          </w:tcPr>
          <w:p w14:paraId="6A0D2E38" w14:textId="77777777" w:rsidR="00494B49" w:rsidRDefault="00494B49">
            <w:r>
              <w:t>Uncertain</w:t>
            </w:r>
          </w:p>
        </w:tc>
        <w:tc>
          <w:tcPr>
            <w:tcW w:w="1800" w:type="dxa"/>
          </w:tcPr>
          <w:p w14:paraId="16B30C8A" w14:textId="77777777" w:rsidR="00494B49" w:rsidRDefault="00494B49">
            <w:r>
              <w:t>Uncertain</w:t>
            </w:r>
          </w:p>
        </w:tc>
        <w:tc>
          <w:tcPr>
            <w:tcW w:w="1390" w:type="dxa"/>
          </w:tcPr>
          <w:p w14:paraId="6DF4B6B6" w14:textId="77777777" w:rsidR="00494B49" w:rsidRDefault="00494B49">
            <w:r>
              <w:t>NII</w:t>
            </w:r>
          </w:p>
        </w:tc>
        <w:tc>
          <w:tcPr>
            <w:tcW w:w="891" w:type="dxa"/>
          </w:tcPr>
          <w:p w14:paraId="6012673D" w14:textId="77777777" w:rsidR="00494B49" w:rsidRDefault="00494B49">
            <w:r>
              <w:t>NII</w:t>
            </w:r>
          </w:p>
        </w:tc>
        <w:tc>
          <w:tcPr>
            <w:tcW w:w="810" w:type="dxa"/>
            <w:shd w:val="clear" w:color="auto" w:fill="auto"/>
          </w:tcPr>
          <w:p w14:paraId="383F23FC" w14:textId="77777777" w:rsidR="00E51513" w:rsidRDefault="00E51513"/>
        </w:tc>
      </w:tr>
      <w:tr w:rsidR="00494B49" w14:paraId="790967F4" w14:textId="77777777" w:rsidTr="00E51513">
        <w:tc>
          <w:tcPr>
            <w:tcW w:w="2241" w:type="dxa"/>
          </w:tcPr>
          <w:p w14:paraId="1843BCBD" w14:textId="77777777" w:rsidR="00494B49" w:rsidRDefault="00494B49">
            <w:r>
              <w:t>S corporation</w:t>
            </w:r>
          </w:p>
        </w:tc>
        <w:tc>
          <w:tcPr>
            <w:tcW w:w="2221" w:type="dxa"/>
          </w:tcPr>
          <w:p w14:paraId="79AC4CE3" w14:textId="77777777" w:rsidR="00494B49" w:rsidRDefault="00494B49">
            <w:r>
              <w:t>Member</w:t>
            </w:r>
          </w:p>
        </w:tc>
        <w:tc>
          <w:tcPr>
            <w:tcW w:w="1800" w:type="dxa"/>
          </w:tcPr>
          <w:p w14:paraId="620EA370" w14:textId="77777777" w:rsidR="00494B49" w:rsidRDefault="00494B49">
            <w:r>
              <w:t>Exempt</w:t>
            </w:r>
          </w:p>
        </w:tc>
        <w:tc>
          <w:tcPr>
            <w:tcW w:w="1390" w:type="dxa"/>
          </w:tcPr>
          <w:p w14:paraId="66A0ED01" w14:textId="77777777" w:rsidR="00494B49" w:rsidRDefault="00494B49">
            <w:r>
              <w:t>Exempt</w:t>
            </w:r>
          </w:p>
        </w:tc>
        <w:tc>
          <w:tcPr>
            <w:tcW w:w="891" w:type="dxa"/>
          </w:tcPr>
          <w:p w14:paraId="46B14017" w14:textId="77777777" w:rsidR="00494B49" w:rsidRDefault="00494B49">
            <w:r>
              <w:t>NII</w:t>
            </w:r>
          </w:p>
        </w:tc>
        <w:tc>
          <w:tcPr>
            <w:tcW w:w="810" w:type="dxa"/>
          </w:tcPr>
          <w:p w14:paraId="18F48E72" w14:textId="77777777" w:rsidR="00494B49" w:rsidRDefault="00494B49">
            <w:r>
              <w:t>NII</w:t>
            </w:r>
          </w:p>
        </w:tc>
      </w:tr>
    </w:tbl>
    <w:p w14:paraId="78E5F2D9" w14:textId="77777777" w:rsidR="00494B49" w:rsidRDefault="00494B49">
      <w:pPr>
        <w:pStyle w:val="BNormal"/>
      </w:pPr>
    </w:p>
    <w:p w14:paraId="28A26EBD" w14:textId="77777777" w:rsidR="00494B49" w:rsidRDefault="00494B49">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A7EFE88" w14:textId="77777777" w:rsidR="00494B49" w:rsidRDefault="00494B49">
      <w:pPr>
        <w:pStyle w:val="BNormal"/>
      </w:pPr>
      <w:r>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5"/>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74F7983F" w14:textId="77777777" w:rsidR="00494B49" w:rsidRDefault="00494B49" w:rsidP="006951DA">
      <w:pPr>
        <w:pStyle w:val="BChapterName"/>
        <w:keepNext/>
        <w:keepLines/>
      </w:pPr>
      <w:r>
        <w:lastRenderedPageBreak/>
        <w:t>V. Properly Allocable Deductions — §1411(c)(1)(B)</w:t>
      </w:r>
    </w:p>
    <w:p w14:paraId="59989801" w14:textId="77777777" w:rsidR="00494B49" w:rsidRDefault="00494B49" w:rsidP="006951DA">
      <w:pPr>
        <w:pStyle w:val="BHead1"/>
        <w:keepNext/>
        <w:keepLines/>
      </w:pPr>
      <w:r>
        <w:t xml:space="preserve">A. Overview </w:t>
      </w:r>
    </w:p>
    <w:p w14:paraId="4E0C4697" w14:textId="77777777" w:rsidR="00494B49" w:rsidRDefault="00494B49" w:rsidP="006951DA">
      <w:pPr>
        <w:pStyle w:val="BNormal"/>
        <w:keepNext/>
        <w:keepLines/>
      </w:pPr>
      <w:r>
        <w:t xml:space="preserve">Once a taxpayer has calculated the total amount of Category I through Category III investment income under </w:t>
      </w:r>
      <w:smartTag w:uri="http://www.bna.com/sgml2word/cite" w:element="cite.usc">
        <w:smartTagPr>
          <w:attr w:name="ref" w:val="USC\26\1411(c)(1)(A)(i)"/>
        </w:smartTagPr>
        <w:r>
          <w:t>§1411(c)(1)(A)(</w:t>
        </w:r>
        <w:proofErr w:type="spellStart"/>
        <w:r>
          <w:t>i</w:t>
        </w:r>
        <w:proofErr w:type="spellEnd"/>
        <w:r>
          <w:t>)</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6"/>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7"/>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8"/>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39"/>
      </w:r>
    </w:p>
    <w:p w14:paraId="47FCDBBB" w14:textId="77777777" w:rsidR="00494B49" w:rsidRDefault="00494B49">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4A867CB5" w14:textId="77777777" w:rsidR="00494B49" w:rsidRDefault="00494B49">
      <w:pPr>
        <w:pStyle w:val="BExamplepara"/>
      </w:pPr>
      <w:r>
        <w:rPr>
          <w:rStyle w:val="BExamplehead"/>
          <w:rFonts w:eastAsiaTheme="minorHAnsi"/>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40"/>
      </w:r>
    </w:p>
    <w:p w14:paraId="246B1B8D" w14:textId="77777777" w:rsidR="00494B49" w:rsidRDefault="00494B49">
      <w:pPr>
        <w:pStyle w:val="BExamplepara"/>
      </w:pPr>
      <w:r>
        <w:rPr>
          <w:rStyle w:val="BExamplehead"/>
          <w:rFonts w:eastAsiaTheme="minorHAnsi"/>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w:t>
      </w:r>
      <w:r>
        <w:lastRenderedPageBreak/>
        <w:t xml:space="preserve">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1"/>
      </w:r>
    </w:p>
    <w:p w14:paraId="3C0CA400" w14:textId="77777777" w:rsidR="00494B49" w:rsidRDefault="00494B49">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2"/>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4BFC5B2E" w14:textId="77777777" w:rsidR="00494B49" w:rsidRDefault="00494B49">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3"/>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w:t>
      </w:r>
      <w:proofErr w:type="spellStart"/>
      <w:r>
        <w:t>subregulatory</w:t>
      </w:r>
      <w:proofErr w:type="spellEnd"/>
      <w:r>
        <w:t xml:space="preserve"> guidance (such as a revenue ruling), then the amount is not deductible.</w:t>
      </w:r>
      <w:r>
        <w:rPr>
          <w:rStyle w:val="FootnoteReference"/>
        </w:rPr>
        <w:footnoteReference w:id="544"/>
      </w:r>
    </w:p>
    <w:p w14:paraId="2B42E2FB" w14:textId="77777777" w:rsidR="00494B49" w:rsidRDefault="00494B49">
      <w:pPr>
        <w:pStyle w:val="BHead2"/>
      </w:pPr>
      <w:r>
        <w:t>1. Nondeductible Items</w:t>
      </w:r>
    </w:p>
    <w:p w14:paraId="400A86E8" w14:textId="77777777" w:rsidR="00494B49" w:rsidRDefault="00494B49">
      <w:pPr>
        <w:pStyle w:val="BNormal"/>
      </w:pPr>
      <w:r>
        <w:t xml:space="preserve">The </w:t>
      </w:r>
      <w:hyperlink r:id="rId7" w:history="1">
        <w:r>
          <w:rPr>
            <w:rStyle w:val="Hyperlink"/>
          </w:rPr>
          <w:t>Instructions for Form 8960</w:t>
        </w:r>
      </w:hyperlink>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5"/>
      </w:r>
    </w:p>
    <w:p w14:paraId="6EE6564F" w14:textId="77777777" w:rsidR="00494B49" w:rsidRDefault="00494B49">
      <w:pPr>
        <w:pStyle w:val="BHead2"/>
      </w:pPr>
      <w:r>
        <w:t xml:space="preserve">2. Properly Allocable Deductions in Excess of Gross Income </w:t>
      </w:r>
    </w:p>
    <w:p w14:paraId="158A0159" w14:textId="77777777" w:rsidR="00494B49" w:rsidRDefault="00494B49">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6"/>
      </w:r>
      <w:r>
        <w:t xml:space="preserve"> However, deductions in excess of such income cannot be carried forward (or backward) to a different tax year because there is no </w:t>
      </w:r>
      <w:r>
        <w:lastRenderedPageBreak/>
        <w:t>operative deduction provision in Subtitle A to accomplish this result.</w:t>
      </w:r>
      <w:r>
        <w:rPr>
          <w:rStyle w:val="FootnoteReference"/>
        </w:rPr>
        <w:footnoteReference w:id="547"/>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6A62757E" w14:textId="77777777" w:rsidR="00494B49" w:rsidRDefault="00494B49">
      <w:pPr>
        <w:pStyle w:val="BHead1"/>
      </w:pPr>
      <w:r>
        <w:t xml:space="preserve">B. Properly Allocable Deductions Allowed Under Reg. §1.1411-4(f) </w:t>
      </w:r>
    </w:p>
    <w:p w14:paraId="5E424B86" w14:textId="77777777" w:rsidR="00494B49" w:rsidRDefault="00494B49">
      <w:pPr>
        <w:pStyle w:val="BHead2"/>
      </w:pPr>
      <w:r>
        <w:t>1. Section 62 — Above-the-Line Deductions</w:t>
      </w:r>
    </w:p>
    <w:p w14:paraId="30582AF9" w14:textId="77777777" w:rsidR="00494B49" w:rsidRDefault="00494B49">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41755D63" w14:textId="77777777" w:rsidR="00494B49" w:rsidRDefault="00494B49">
      <w:pPr>
        <w:pStyle w:val="BListitembul"/>
      </w:pPr>
      <w:r>
        <w:t> §62(a)(4) deductions allocable to rents and royalties (which have been included in §1411 investment income under §1411(c)(1)(A)(</w:t>
      </w:r>
      <w:proofErr w:type="spellStart"/>
      <w:r>
        <w:t>i</w:t>
      </w:r>
      <w:proofErr w:type="spellEnd"/>
      <w:r>
        <w:t>));</w:t>
      </w:r>
      <w:r>
        <w:rPr>
          <w:rStyle w:val="FootnoteReference"/>
        </w:rPr>
        <w:footnoteReference w:id="548"/>
      </w:r>
    </w:p>
    <w:p w14:paraId="4E8C6B04" w14:textId="77777777" w:rsidR="00494B49" w:rsidRDefault="00494B49">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49"/>
      </w:r>
    </w:p>
    <w:p w14:paraId="7BF2604D" w14:textId="77777777" w:rsidR="00494B49" w:rsidRDefault="00494B49">
      <w:pPr>
        <w:pStyle w:val="BListitembul"/>
      </w:pPr>
      <w:r>
        <w:t xml:space="preserve"> §62(a)(9) deductions (penalties on early withdrawal of savings); </w:t>
      </w:r>
      <w:r>
        <w:rPr>
          <w:rStyle w:val="FootnoteReference"/>
        </w:rPr>
        <w:footnoteReference w:id="550"/>
      </w:r>
      <w:r>
        <w:t xml:space="preserve"> and</w:t>
      </w:r>
    </w:p>
    <w:p w14:paraId="1C6560BD" w14:textId="77777777" w:rsidR="00494B49" w:rsidRDefault="00494B49">
      <w:pPr>
        <w:pStyle w:val="BListitembul"/>
      </w:pPr>
      <w:r>
        <w:t xml:space="preserve">the total §1411 NOL amount of a net operating loss under §172. </w:t>
      </w:r>
      <w:r>
        <w:rPr>
          <w:rStyle w:val="FootnoteReference"/>
        </w:rPr>
        <w:footnoteReference w:id="551"/>
      </w:r>
    </w:p>
    <w:p w14:paraId="783CE263" w14:textId="77777777" w:rsidR="00494B49" w:rsidRDefault="00494B49">
      <w:pPr>
        <w:pStyle w:val="BHead3"/>
      </w:pPr>
      <w:r>
        <w:t>a. Deductions Allocable to Gross Income from Rents and Royalties</w:t>
      </w:r>
    </w:p>
    <w:p w14:paraId="52C5E4DA" w14:textId="77777777" w:rsidR="00494B49" w:rsidRDefault="00494B49">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w:t>
        </w:r>
        <w:proofErr w:type="spellStart"/>
        <w:r>
          <w:t>i</w:t>
        </w:r>
        <w:proofErr w:type="spellEnd"/>
        <w:r>
          <w:t>)</w:t>
        </w:r>
      </w:smartTag>
      <w:r>
        <w:t xml:space="preserve"> in determining net investment income.</w:t>
      </w:r>
      <w:r>
        <w:rPr>
          <w:rStyle w:val="FootnoteReference"/>
        </w:rPr>
        <w:footnoteReference w:id="552"/>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w:t>
        </w:r>
        <w:proofErr w:type="spellStart"/>
        <w:r>
          <w:t>i</w:t>
        </w:r>
        <w:proofErr w:type="spellEnd"/>
        <w:r>
          <w:t>)</w:t>
        </w:r>
      </w:smartTag>
      <w:r>
        <w:t>.</w:t>
      </w:r>
    </w:p>
    <w:p w14:paraId="0CE966D3" w14:textId="77777777" w:rsidR="00494B49" w:rsidRDefault="00494B49">
      <w:pPr>
        <w:pStyle w:val="BHead4"/>
      </w:pPr>
      <w:r>
        <w:t>(1) Section 62(a)(4) Requirements</w:t>
      </w:r>
    </w:p>
    <w:p w14:paraId="711A6825"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w:t>
      </w:r>
      <w:r>
        <w:lastRenderedPageBreak/>
        <w:t>held for the production of rents or royalties” to determine the proper net investment income tax (NIIT) treatment.</w:t>
      </w:r>
      <w:r>
        <w:rPr>
          <w:rStyle w:val="FootnoteReference"/>
        </w:rPr>
        <w:footnoteReference w:id="553"/>
      </w:r>
    </w:p>
    <w:p w14:paraId="1D1A35D3" w14:textId="77777777" w:rsidR="00494B49" w:rsidRDefault="00494B49">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18FA62A" w14:textId="77777777" w:rsidR="00494B49" w:rsidRDefault="00494B49">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4"/>
      </w:r>
    </w:p>
    <w:p w14:paraId="4EE649D0" w14:textId="77777777" w:rsidR="00494B49" w:rsidRDefault="00494B49">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5"/>
      </w:r>
      <w:r>
        <w:t xml:space="preserve"> Generally, the impact on the individual’s regular income tax liability should be largely the same, whether the activity is operated outright or through a pass-through entity.</w:t>
      </w:r>
    </w:p>
    <w:p w14:paraId="73AA7F02" w14:textId="77777777" w:rsidR="00494B49" w:rsidRDefault="00494B49">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6"/>
      </w:r>
      <w:r>
        <w:t xml:space="preserve"> Although not expressly stated in </w:t>
      </w:r>
      <w:r>
        <w:lastRenderedPageBreak/>
        <w:t xml:space="preserve">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6ED776BF" w14:textId="77777777" w:rsidR="00494B49" w:rsidRDefault="00494B49">
      <w:pPr>
        <w:pStyle w:val="BNormal"/>
      </w:pPr>
      <w:r>
        <w:rPr>
          <w:i/>
        </w:rPr>
        <w:t>Comment:</w:t>
      </w:r>
      <w:r>
        <w:t xml:space="preserve"> This same analysis applies to the cross-</w:t>
      </w:r>
      <w:r>
        <w:b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7"/>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5AF36383" w14:textId="77777777" w:rsidR="00494B49" w:rsidRDefault="00494B49">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463D889C" w14:textId="77777777" w:rsidR="00494B49" w:rsidRDefault="00494B49">
      <w:pPr>
        <w:pStyle w:val="BHead4"/>
      </w:pPr>
      <w:r>
        <w:t xml:space="preserve">(2) Allocable to Rents and Royalties Included in Net Investment Income </w:t>
      </w:r>
    </w:p>
    <w:p w14:paraId="41AE915A" w14:textId="77777777" w:rsidR="00494B49" w:rsidRDefault="00494B49">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w:t>
        </w:r>
        <w:proofErr w:type="spellStart"/>
        <w:r>
          <w:t>i</w:t>
        </w:r>
        <w:proofErr w:type="spellEnd"/>
        <w:r>
          <w:t>)</w:t>
        </w:r>
      </w:smartTag>
      <w:r>
        <w:t xml:space="preserve">. To the extent that income is not included in </w:t>
      </w:r>
      <w:smartTag w:uri="http://www.bna.com/sgml2word/cite" w:element="cite.usc">
        <w:smartTagPr>
          <w:attr w:name="ref" w:val="USC\26\1411(c)(1)(A)(i)"/>
        </w:smartTagPr>
        <w:r>
          <w:t>§1411(c)(1)(A)(</w:t>
        </w:r>
        <w:proofErr w:type="spellStart"/>
        <w:r>
          <w:t>i</w:t>
        </w:r>
        <w:proofErr w:type="spellEnd"/>
        <w:r>
          <w:t>)</w:t>
        </w:r>
      </w:smartTag>
      <w:r>
        <w:t xml:space="preserve"> by reason of a specific rule in Chapter 1, or by reason of a special NIIT rule, the associated deductions are excluded as well.</w:t>
      </w:r>
      <w:r>
        <w:rPr>
          <w:rStyle w:val="FootnoteReference"/>
        </w:rPr>
        <w:footnoteReference w:id="558"/>
      </w:r>
    </w:p>
    <w:p w14:paraId="610B0AE0" w14:textId="77777777" w:rsidR="00494B49" w:rsidRDefault="00494B49">
      <w:pPr>
        <w:pStyle w:val="BNormal"/>
      </w:pPr>
      <w:r>
        <w:lastRenderedPageBreak/>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w:t>
        </w:r>
        <w:proofErr w:type="spellStart"/>
        <w:r>
          <w:t>i</w:t>
        </w:r>
        <w:proofErr w:type="spellEnd"/>
        <w:r>
          <w:t>)</w:t>
        </w:r>
      </w:smartTag>
      <w:r>
        <w:t xml:space="preserve"> excludes the gross nonpassive rental income from </w:t>
      </w:r>
      <w:smartTag w:uri="http://www.bna.com/sgml2word/cite" w:element="cite.usc">
        <w:smartTagPr>
          <w:attr w:name="ref" w:val="USC\26\1411(c)(1)(A)(i)"/>
        </w:smartTagPr>
        <w:r>
          <w:t>§1411(c)(1)(A)(</w:t>
        </w:r>
        <w:proofErr w:type="spellStart"/>
        <w:r>
          <w:t>i</w:t>
        </w:r>
        <w:proofErr w:type="spellEnd"/>
        <w:r>
          <w:t>)</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w:t>
        </w:r>
        <w:proofErr w:type="spellStart"/>
        <w:r>
          <w:t>i</w:t>
        </w:r>
        <w:proofErr w:type="spellEnd"/>
        <w:r>
          <w:t>)</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causes the rent to be tax-exempt income for purposes of the NIIT, thus Reg. </w:t>
      </w:r>
      <w:smartTag w:uri="http://www.bna.com/sgml2word/cite" w:element="cite.cfr">
        <w:smartTagPr>
          <w:attr w:name="ref" w:val="cfr\26\1.1411-4(f)(2)(i)"/>
        </w:smartTagPr>
        <w:r>
          <w:t>§1.1411-4(f)(2)(</w:t>
        </w:r>
        <w:proofErr w:type="spellStart"/>
        <w:r>
          <w:t>i</w:t>
        </w:r>
        <w:proofErr w:type="spellEnd"/>
        <w:r>
          <w:t>)</w:t>
        </w:r>
      </w:smartTag>
      <w:r>
        <w:t xml:space="preserve"> operates like </w:t>
      </w:r>
      <w:smartTag w:uri="http://www.bna.com/sgml2word/cite" w:element="cite.usc">
        <w:smartTagPr>
          <w:attr w:name="ref" w:val="USC\26\265"/>
        </w:smartTagPr>
        <w:r>
          <w:t>§265</w:t>
        </w:r>
      </w:smartTag>
      <w:r>
        <w:t xml:space="preserve"> to eliminate the associated deductions.</w:t>
      </w:r>
    </w:p>
    <w:p w14:paraId="7FAD23C4" w14:textId="77777777" w:rsidR="00494B49" w:rsidRDefault="00494B49">
      <w:pPr>
        <w:pStyle w:val="BHead3"/>
      </w:pPr>
      <w:r>
        <w:t>b. Trade or Business Deductions Allocable to §1411(c)(2) Trades or Businesses</w:t>
      </w:r>
    </w:p>
    <w:p w14:paraId="304201BA" w14:textId="77777777" w:rsidR="00494B49" w:rsidRDefault="00494B49">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59"/>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60"/>
      </w:r>
      <w:r>
        <w:t xml:space="preserve"> There are three criteria for an item to be deductible under this provision.</w:t>
      </w:r>
    </w:p>
    <w:p w14:paraId="6F490938" w14:textId="77777777" w:rsidR="00494B49" w:rsidRDefault="00494B49">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5FF3A293" w14:textId="77777777" w:rsidR="00494B49" w:rsidRDefault="00494B49">
      <w:pPr>
        <w:pStyle w:val="BHead4"/>
      </w:pPr>
      <w:r>
        <w:t>(1) Section 62(a)(1) Requirements</w:t>
      </w:r>
    </w:p>
    <w:p w14:paraId="20B0DDB6"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1"/>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w:t>
      </w:r>
      <w:r>
        <w:lastRenderedPageBreak/>
        <w:t xml:space="preserve">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2"/>
      </w:r>
    </w:p>
    <w:p w14:paraId="3C364FB5" w14:textId="77777777" w:rsidR="00494B49" w:rsidRDefault="00494B49">
      <w:pPr>
        <w:pStyle w:val="BHead4"/>
      </w:pPr>
      <w:r>
        <w:t xml:space="preserve">(2) Properly Allocable to Income from a §1411(c)(2) Trade or Business </w:t>
      </w:r>
    </w:p>
    <w:p w14:paraId="0A9C9C43" w14:textId="77777777" w:rsidR="00494B49" w:rsidRDefault="00494B49">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3"/>
      </w:r>
    </w:p>
    <w:p w14:paraId="35237116" w14:textId="77777777" w:rsidR="00494B49" w:rsidRDefault="00494B49">
      <w:pPr>
        <w:pStyle w:val="BHead4"/>
      </w:pPr>
      <w:r>
        <w:t>(3) Not Taken into Account in Determining Self-</w:t>
      </w:r>
      <w:r>
        <w:br/>
        <w:t>Employment Income</w:t>
      </w:r>
    </w:p>
    <w:p w14:paraId="2BB61C0E" w14:textId="77777777" w:rsidR="00494B49" w:rsidRDefault="00494B49">
      <w:pPr>
        <w:pStyle w:val="BNormal"/>
      </w:pPr>
      <w:r>
        <w:t xml:space="preserve">As discussed in more detail in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r>
        <w:br/>
        <w:t>employment income.</w:t>
      </w:r>
      <w:r>
        <w:rPr>
          <w:rStyle w:val="FootnoteReference"/>
        </w:rPr>
        <w:footnoteReference w:id="564"/>
      </w:r>
      <w:r>
        <w:t xml:space="preserve"> More simply, if the income is included in the self-employment tax base (referred to as “net earnings from self-employment”) it is not included in net investment income. 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045F0E5F" w14:textId="77777777" w:rsidR="00494B49" w:rsidRDefault="00494B49">
      <w:pPr>
        <w:pStyle w:val="BHead4"/>
      </w:pPr>
      <w:r>
        <w:t xml:space="preserve">(4) Special Rules for Traders in Financial Instruments or Commodities </w:t>
      </w:r>
    </w:p>
    <w:p w14:paraId="4DB6F85A" w14:textId="77777777" w:rsidR="00494B49" w:rsidRDefault="00494B49">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7F62641E" w14:textId="77777777" w:rsidR="00494B49" w:rsidRDefault="00494B49">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w:t>
      </w:r>
      <w:r>
        <w:lastRenderedPageBreak/>
        <w:t xml:space="preserve">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7CA7C16A" w14:textId="77777777" w:rsidR="00494B49" w:rsidRDefault="00494B49">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4AB3FCB6" w14:textId="77777777" w:rsidR="00494B49" w:rsidRDefault="00494B49">
      <w:pPr>
        <w:pStyle w:val="BCommentpara"/>
      </w:pPr>
      <w:r>
        <w:rPr>
          <w:rStyle w:val="BCommenthead"/>
        </w:rPr>
        <w:t xml:space="preserve">Practice Point: </w:t>
      </w:r>
      <w:r>
        <w:t xml:space="preserve">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75F2C009" w14:textId="77777777" w:rsidR="00494B49" w:rsidRDefault="00494B49">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 </w:t>
      </w:r>
    </w:p>
    <w:p w14:paraId="7CBE0503" w14:textId="77777777" w:rsidR="00494B49" w:rsidRDefault="00494B49">
      <w:pPr>
        <w:pStyle w:val="BQuotelong"/>
      </w:pPr>
      <w:r>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w:t>
      </w:r>
      <w:proofErr w:type="spellStart"/>
      <w:r>
        <w:t>E</w:t>
      </w:r>
      <w:proofErr w:type="spellEnd"/>
      <w:r>
        <w:t xml:space="preserv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taken into account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20D34C16" w14:textId="77777777" w:rsidR="00494B49" w:rsidRDefault="00494B49">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w:t>
      </w:r>
      <w:r>
        <w:lastRenderedPageBreak/>
        <w:t>election, the example reinforces two main points.</w:t>
      </w:r>
      <w:r>
        <w:rPr>
          <w:rStyle w:val="FootnoteReference"/>
        </w:rPr>
        <w:footnoteReference w:id="565"/>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6"/>
      </w:r>
      <w:r>
        <w:t xml:space="preserve"> or assets that are neither inventory,</w:t>
      </w:r>
      <w:r>
        <w:rPr>
          <w:rStyle w:val="FootnoteReference"/>
        </w:rPr>
        <w:footnoteReference w:id="567"/>
      </w:r>
      <w:r>
        <w:t xml:space="preserve"> nor otherwise held for sale to customers in the ordinary course of a trade or business.</w:t>
      </w:r>
      <w:r>
        <w:rPr>
          <w:rStyle w:val="FootnoteReference"/>
        </w:rPr>
        <w:footnoteReference w:id="568"/>
      </w:r>
    </w:p>
    <w:p w14:paraId="651AB58B" w14:textId="77777777" w:rsidR="00494B49" w:rsidRDefault="00494B49">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69"/>
      </w:r>
    </w:p>
    <w:p w14:paraId="4CB36F42" w14:textId="77777777" w:rsidR="00494B49" w:rsidRDefault="00494B49">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70"/>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self-employment.</w:t>
      </w:r>
      <w:r>
        <w:rPr>
          <w:rStyle w:val="FootnoteReference"/>
        </w:rPr>
        <w:footnoteReference w:id="571"/>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1AC0280C" w14:textId="77777777" w:rsidR="00494B49" w:rsidRDefault="00494B49">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8CD0B81" w14:textId="77777777" w:rsidR="00494B49" w:rsidRDefault="00494B49">
      <w:pPr>
        <w:pStyle w:val="BCommentpara"/>
      </w:pPr>
      <w:r>
        <w:rPr>
          <w:rStyle w:val="BCommenthead"/>
        </w:rPr>
        <w:t>Practice Point</w:t>
      </w:r>
      <w:r>
        <w:t xml:space="preserve">: The </w:t>
      </w:r>
      <w:hyperlink r:id="rId8" w:history="1">
        <w:r>
          <w:rPr>
            <w:rStyle w:val="Hyperlink"/>
          </w:rPr>
          <w:t>Instructions for Form 8960</w:t>
        </w:r>
      </w:hyperlink>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 </w:t>
      </w:r>
    </w:p>
    <w:p w14:paraId="4D3F4814" w14:textId="77777777" w:rsidR="00494B49" w:rsidRDefault="00494B49">
      <w:pPr>
        <w:pStyle w:val="BListitembul"/>
      </w:pPr>
      <w:r>
        <w:t xml:space="preserve">If the trader’s net earnings from self-employment is positive when taking into account trader expenses, then none of the expenses are deductible in computing net investment income. </w:t>
      </w:r>
    </w:p>
    <w:p w14:paraId="0FBCF68B" w14:textId="77777777" w:rsidR="00494B49" w:rsidRDefault="00494B49">
      <w:pPr>
        <w:pStyle w:val="BListitembul"/>
      </w:pPr>
      <w:r>
        <w:lastRenderedPageBreak/>
        <w:t xml:space="preserve">If the trader’s net earnings from self-employment are negative with and without the trader expenses, then all of the trader expenses are deductible in computing net investment income. </w:t>
      </w:r>
    </w:p>
    <w:p w14:paraId="5F4AECB7" w14:textId="77777777" w:rsidR="00494B49" w:rsidRDefault="00494B49">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5868077D" w14:textId="77777777" w:rsidR="00494B49" w:rsidRDefault="00494B49">
      <w:pPr>
        <w:pStyle w:val="BCommentpara"/>
      </w:pPr>
      <w:r>
        <w:rPr>
          <w:rStyle w:val="BCommenthead"/>
        </w:rPr>
        <w:t xml:space="preserve">Comment: </w:t>
      </w:r>
      <w:r>
        <w:t xml:space="preserve">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2"/>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hyperlink r:id="rId9" w:history="1">
        <w:r>
          <w:rPr>
            <w:rStyle w:val="Hyperlink"/>
          </w:rPr>
          <w:t>Instructions for Form 8960</w:t>
        </w:r>
      </w:hyperlink>
      <w:r>
        <w:t xml:space="preserve">. In all cases, there is no basis for a taxpayer to 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29F42C8A" w14:textId="77777777" w:rsidR="00494B49" w:rsidRDefault="00494B49">
      <w:pPr>
        <w:pStyle w:val="BHead3"/>
      </w:pPr>
      <w:r>
        <w:t>c. Deductions for Early Withdrawal from Savings</w:t>
      </w:r>
    </w:p>
    <w:p w14:paraId="175D73B7" w14:textId="77777777" w:rsidR="00494B49" w:rsidRDefault="00494B49">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3"/>
      </w:r>
      <w:r>
        <w:t xml:space="preserve"> In essence, these amounts are negative interest that a taxpayer repays to the bank for early withdrawal of funds.</w:t>
      </w:r>
    </w:p>
    <w:p w14:paraId="772CF531" w14:textId="77777777" w:rsidR="00494B49" w:rsidRDefault="00494B49">
      <w:pPr>
        <w:pStyle w:val="BHead3"/>
      </w:pPr>
      <w:r>
        <w:t xml:space="preserve">d. Net Operating Losses </w:t>
      </w:r>
    </w:p>
    <w:p w14:paraId="12C73E1B" w14:textId="77777777" w:rsidR="00494B49" w:rsidRDefault="00494B49">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4"/>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00A65B78" w14:textId="77777777" w:rsidR="00494B49" w:rsidRDefault="00494B49" w:rsidP="006951DA">
      <w:pPr>
        <w:pStyle w:val="BHead2"/>
        <w:keepNext/>
        <w:keepLines/>
      </w:pPr>
      <w:r>
        <w:lastRenderedPageBreak/>
        <w:t>2. Section 63 — Itemized Deductions</w:t>
      </w:r>
    </w:p>
    <w:p w14:paraId="090FACEA" w14:textId="77777777" w:rsidR="00494B49" w:rsidRDefault="00494B49" w:rsidP="006951DA">
      <w:pPr>
        <w:pStyle w:val="BNormal"/>
        <w:keepNext/>
        <w:keepLines/>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5"/>
      </w:r>
    </w:p>
    <w:p w14:paraId="396947D4" w14:textId="77777777" w:rsidR="00494B49" w:rsidRDefault="00494B49">
      <w:pPr>
        <w:pStyle w:val="BListitembul"/>
      </w:pPr>
      <w:r>
        <w:t> §163 investment interest to the extent allowed under §163(d)(1);</w:t>
      </w:r>
      <w:r>
        <w:rPr>
          <w:rStyle w:val="FootnoteReference"/>
        </w:rPr>
        <w:footnoteReference w:id="576"/>
      </w:r>
    </w:p>
    <w:p w14:paraId="16F5658D" w14:textId="77777777" w:rsidR="00494B49" w:rsidRDefault="00494B49">
      <w:pPr>
        <w:pStyle w:val="BListitembul"/>
      </w:pPr>
      <w:r>
        <w:t> §163(d)(4)(C) investment expenses;</w:t>
      </w:r>
      <w:r>
        <w:rPr>
          <w:rStyle w:val="FootnoteReference"/>
        </w:rPr>
        <w:footnoteReference w:id="577"/>
      </w:r>
    </w:p>
    <w:p w14:paraId="5F457FA1" w14:textId="77777777" w:rsidR="00494B49" w:rsidRDefault="00494B49">
      <w:pPr>
        <w:pStyle w:val="BListitembul"/>
      </w:pPr>
      <w:r>
        <w:t>taxes described in §164(a)(3) that are allocable to net investment income under Reg. §1.1411-4(g)(1);</w:t>
      </w:r>
      <w:r>
        <w:rPr>
          <w:rStyle w:val="FootnoteReference"/>
        </w:rPr>
        <w:footnoteReference w:id="578"/>
      </w:r>
    </w:p>
    <w:p w14:paraId="083E202E" w14:textId="77777777" w:rsidR="00494B49" w:rsidRDefault="00494B49">
      <w:pPr>
        <w:pStyle w:val="BListitembul"/>
      </w:pPr>
      <w:r>
        <w:t xml:space="preserve"> §72(b)(3) amounts if deducted in the same year that the annuity income would have been included in the computation of net investment income; </w:t>
      </w:r>
      <w:r>
        <w:rPr>
          <w:rStyle w:val="FootnoteReference"/>
        </w:rPr>
        <w:footnoteReference w:id="579"/>
      </w:r>
    </w:p>
    <w:p w14:paraId="52652C46" w14:textId="77777777" w:rsidR="00494B49" w:rsidRDefault="00494B49">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80"/>
      </w:r>
    </w:p>
    <w:p w14:paraId="0E604FAD" w14:textId="77777777" w:rsidR="00494B49" w:rsidRDefault="00494B49">
      <w:pPr>
        <w:pStyle w:val="BListitembul"/>
      </w:pPr>
      <w:r>
        <w:t> §212(3) and Reg. §1.212-1(</w:t>
      </w:r>
      <w:proofErr w:type="spellStart"/>
      <w:r>
        <w:t>i</w:t>
      </w:r>
      <w:proofErr w:type="spellEnd"/>
      <w:r>
        <w:t>) investment income under Reg. §1.1411-4(g)(1);</w:t>
      </w:r>
      <w:r>
        <w:rPr>
          <w:rStyle w:val="FootnoteReference"/>
        </w:rPr>
        <w:footnoteReference w:id="581"/>
      </w:r>
    </w:p>
    <w:p w14:paraId="1FDD55F3" w14:textId="77777777" w:rsidR="00494B49" w:rsidRDefault="00494B49">
      <w:pPr>
        <w:pStyle w:val="BListitembul"/>
      </w:pPr>
      <w:r>
        <w:t xml:space="preserve"> §171(a)(1) amortizable bond premium; </w:t>
      </w:r>
      <w:r>
        <w:rPr>
          <w:rStyle w:val="FootnoteReference"/>
        </w:rPr>
        <w:footnoteReference w:id="582"/>
      </w:r>
      <w:r>
        <w:t xml:space="preserve"> and</w:t>
      </w:r>
    </w:p>
    <w:p w14:paraId="0937044D" w14:textId="77777777" w:rsidR="00494B49" w:rsidRDefault="00494B49">
      <w:pPr>
        <w:pStyle w:val="BListitembul"/>
      </w:pPr>
      <w:r>
        <w:t>for an estate or trust, fiduciary expenses described in Reg. §1.212-1(</w:t>
      </w:r>
      <w:proofErr w:type="spellStart"/>
      <w:r>
        <w:t>i</w:t>
      </w:r>
      <w:proofErr w:type="spellEnd"/>
      <w:r>
        <w:t>) to the extent that they are allocable to net investment income under Reg. §1.1411-4(g)(1).</w:t>
      </w:r>
      <w:r>
        <w:rPr>
          <w:rStyle w:val="FootnoteReference"/>
        </w:rPr>
        <w:footnoteReference w:id="583"/>
      </w:r>
    </w:p>
    <w:p w14:paraId="1EACBA38" w14:textId="77777777" w:rsidR="00494B49" w:rsidRDefault="00494B49">
      <w:pPr>
        <w:pStyle w:val="BNormal"/>
      </w:pPr>
      <w:r>
        <w:t>If an individual claims the standard deduction for regular income tax purposes, the individual may not use any itemized deductions in the computation of net investment income.</w:t>
      </w:r>
    </w:p>
    <w:p w14:paraId="6370AB51" w14:textId="77777777" w:rsidR="00494B49" w:rsidRDefault="00494B49">
      <w:pPr>
        <w:pStyle w:val="BCommentpara"/>
      </w:pPr>
      <w:r>
        <w:rPr>
          <w:rStyle w:val="BCommenthead"/>
        </w:rPr>
        <w:t xml:space="preserve">Practice Point: </w:t>
      </w:r>
      <w:r>
        <w:t xml:space="preserve">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4"/>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74692C5F" w14:textId="77777777" w:rsidR="00494B49" w:rsidRDefault="00494B49">
      <w:pPr>
        <w:pStyle w:val="BHead3"/>
      </w:pPr>
      <w:r>
        <w:lastRenderedPageBreak/>
        <w:t>a. Investment Interest Expense</w:t>
      </w:r>
    </w:p>
    <w:p w14:paraId="01D83293" w14:textId="77777777" w:rsidR="00494B49" w:rsidRDefault="00494B49">
      <w:pPr>
        <w:pStyle w:val="BHead4"/>
      </w:pPr>
      <w:r>
        <w:t xml:space="preserve">(1) General Rule </w:t>
      </w:r>
    </w:p>
    <w:p w14:paraId="5E18E0D5" w14:textId="77777777" w:rsidR="00494B49" w:rsidRDefault="00494B49">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5"/>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6"/>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7B762465" w14:textId="77777777" w:rsidR="00494B49" w:rsidRDefault="00494B49">
      <w:pPr>
        <w:pStyle w:val="BNormal"/>
      </w:pPr>
      <w:r>
        <w:t>The regulations provide the following example:</w:t>
      </w:r>
      <w:r>
        <w:rPr>
          <w:rStyle w:val="FootnoteReference"/>
        </w:rPr>
        <w:footnoteReference w:id="587"/>
      </w:r>
    </w:p>
    <w:p w14:paraId="7E5F1F70" w14:textId="77777777" w:rsidR="00494B49" w:rsidRDefault="00494B49">
      <w:pPr>
        <w:pStyle w:val="BExamplepara"/>
      </w:pPr>
      <w:r>
        <w:rPr>
          <w:rStyle w:val="BExamplehead"/>
          <w:rFonts w:eastAsiaTheme="minorHAnsi"/>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2246097F" w14:textId="77777777" w:rsidR="00494B49" w:rsidRDefault="00494B49">
      <w:pPr>
        <w:pStyle w:val="BExamplepara"/>
      </w:pPr>
      <w:r>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73E6FFB6" w14:textId="77777777" w:rsidR="00494B49" w:rsidRDefault="00494B49">
      <w:pPr>
        <w:pStyle w:val="BHead4"/>
      </w:pPr>
      <w:r>
        <w:t>(2) Optional Investment Interest Expense Calculation for CFC/PFIC Related Items</w:t>
      </w:r>
    </w:p>
    <w:p w14:paraId="7FECDA41" w14:textId="77777777" w:rsidR="00494B49" w:rsidRDefault="00494B49">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w:t>
        </w:r>
        <w:proofErr w:type="spellStart"/>
        <w:r>
          <w:t>i</w:t>
        </w:r>
        <w:proofErr w:type="spellEnd"/>
        <w:r>
          <w:t>)</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3C7DFA9B" w14:textId="77777777" w:rsidR="00494B49" w:rsidRDefault="00494B49">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w:t>
      </w:r>
      <w:r>
        <w:lastRenderedPageBreak/>
        <w:t>income.</w:t>
      </w:r>
      <w:r>
        <w:rPr>
          <w:rStyle w:val="FootnoteReference"/>
        </w:rPr>
        <w:footnoteReference w:id="588"/>
      </w:r>
      <w:r>
        <w:t xml:space="preserve"> The method of calculation must be adopted no later than the first year the taxpayer is first subject to the NIIT.</w:t>
      </w:r>
      <w:r>
        <w:rPr>
          <w:rStyle w:val="FootnoteReference"/>
        </w:rPr>
        <w:footnoteReference w:id="589"/>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90"/>
      </w:r>
      <w:r>
        <w:t xml:space="preserve"> and must be consistently applied for NIIT purposes.</w:t>
      </w:r>
      <w:r>
        <w:rPr>
          <w:rStyle w:val="FootnoteReference"/>
        </w:rPr>
        <w:footnoteReference w:id="591"/>
      </w:r>
      <w:r>
        <w:t xml:space="preserve"> The method of calculation may only be changed with the consent of the IRS.</w:t>
      </w:r>
      <w:r>
        <w:rPr>
          <w:rStyle w:val="FootnoteReference"/>
        </w:rPr>
        <w:footnoteReference w:id="592"/>
      </w:r>
    </w:p>
    <w:p w14:paraId="4803E40D" w14:textId="77777777" w:rsidR="00494B49" w:rsidRDefault="00494B49">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58509519" w14:textId="77777777" w:rsidR="00494B49" w:rsidRDefault="00494B49">
      <w:pPr>
        <w:pStyle w:val="BHead3"/>
      </w:pPr>
      <w:r>
        <w:t>b. Investment Expenses</w:t>
      </w:r>
    </w:p>
    <w:p w14:paraId="2674B9C6" w14:textId="77777777" w:rsidR="00494B49" w:rsidRDefault="00494B49">
      <w:pPr>
        <w:pStyle w:val="BNormal"/>
      </w:pPr>
      <w:r>
        <w:t>Properly allocable deductions include investment expenses.</w:t>
      </w:r>
      <w:r>
        <w:rPr>
          <w:rStyle w:val="FootnoteReference"/>
        </w:rPr>
        <w:footnoteReference w:id="593"/>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4"/>
      </w:r>
    </w:p>
    <w:p w14:paraId="6707A4AA" w14:textId="77777777" w:rsidR="00494B49" w:rsidRDefault="00494B49">
      <w:pPr>
        <w:pStyle w:val="BNormal"/>
      </w:pPr>
      <w:r>
        <w:rPr>
          <w:i/>
        </w:rPr>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5"/>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6"/>
      </w:r>
    </w:p>
    <w:p w14:paraId="2B44EF64" w14:textId="77777777" w:rsidR="00494B49" w:rsidRDefault="00494B49">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w:t>
      </w:r>
      <w:r>
        <w:lastRenderedPageBreak/>
        <w:t>beginning in 2018 through 2025); and real estate taxes,</w:t>
      </w:r>
      <w:r>
        <w:rPr>
          <w:rStyle w:val="FootnoteReference"/>
        </w:rPr>
        <w:footnoteReference w:id="597"/>
      </w:r>
      <w:r>
        <w:t xml:space="preserve"> depletion, and depreciation</w:t>
      </w:r>
      <w:r>
        <w:rPr>
          <w:rStyle w:val="FootnoteReference"/>
        </w:rPr>
        <w:footnoteReference w:id="598"/>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0EA09CCF" w14:textId="77777777" w:rsidR="00494B49" w:rsidRDefault="00494B49">
      <w:pPr>
        <w:pStyle w:val="BCommentpara"/>
      </w:pPr>
      <w:r>
        <w:rPr>
          <w:rStyle w:val="BCommenthead"/>
        </w:rPr>
        <w:t xml:space="preserve">Practice Point: </w:t>
      </w:r>
      <w:r>
        <w:t xml:space="preserve">Real estate taxes as investment expenses are expressly noted in the </w:t>
      </w:r>
      <w:hyperlink r:id="rId10" w:history="1">
        <w:r>
          <w:rPr>
            <w:rStyle w:val="Hyperlink"/>
          </w:rPr>
          <w:t>Instructions for Form 8960</w:t>
        </w:r>
      </w:hyperlink>
      <w:r>
        <w:t>. However, only real estate tax imposed on property held for investment is deductible. Real estate taxes on a taxpayer's principal residence are not deductible.</w:t>
      </w:r>
    </w:p>
    <w:p w14:paraId="42AC5DA2" w14:textId="77777777" w:rsidR="00494B49" w:rsidRDefault="00494B49">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6990DEAD" w14:textId="77777777" w:rsidR="00494B49" w:rsidRDefault="00494B49">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599"/>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75BB6FFB" w14:textId="77777777" w:rsidR="00494B49" w:rsidRDefault="00494B49">
      <w:pPr>
        <w:pStyle w:val="BCommentpara"/>
      </w:pPr>
      <w:r>
        <w:rPr>
          <w:rStyle w:val="BCommenthead"/>
        </w:rPr>
        <w:lastRenderedPageBreak/>
        <w:t xml:space="preserve">Practice Point: </w:t>
      </w:r>
      <w:r>
        <w:t xml:space="preserve">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32C3E7EC" w14:textId="77777777" w:rsidR="00494B49" w:rsidRDefault="00494B49">
      <w:pPr>
        <w:pStyle w:val="BNormal"/>
      </w:pPr>
      <w:r>
        <w:t>For tax years beginning in 2018 through 2025, miscellaneous itemized deductions are not deductible for regular tax purposes.</w:t>
      </w:r>
      <w:r>
        <w:rPr>
          <w:rStyle w:val="FootnoteReference"/>
        </w:rPr>
        <w:footnoteReference w:id="600"/>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0A50667" w14:textId="77777777" w:rsidR="00494B49" w:rsidRDefault="00494B49">
      <w:pPr>
        <w:pStyle w:val="BCommentpara"/>
      </w:pPr>
      <w:r>
        <w:rPr>
          <w:rStyle w:val="BCommenthead"/>
        </w:rPr>
        <w:t xml:space="preserve">Practice Point: </w:t>
      </w:r>
      <w:r>
        <w:t xml:space="preserve">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are covered by the itemized deduction limitation on taxes and, thus, would not be deductible as investment expenses.</w:t>
      </w:r>
    </w:p>
    <w:p w14:paraId="75F363B3" w14:textId="77777777" w:rsidR="00494B49" w:rsidRDefault="00494B49">
      <w:pPr>
        <w:pStyle w:val="BHead3"/>
      </w:pPr>
      <w:r>
        <w:t>c. Section 164(a)(3) — State, Local, and Foreign Taxes</w:t>
      </w:r>
    </w:p>
    <w:p w14:paraId="1544B268" w14:textId="77777777" w:rsidR="00494B49" w:rsidRDefault="00494B49">
      <w:pPr>
        <w:pStyle w:val="BHead4"/>
      </w:pPr>
      <w:r>
        <w:t>(1) State and Local Income Taxes (Other Than Those Deductible in Tax Years Beginning in 2018–2025)</w:t>
      </w:r>
    </w:p>
    <w:p w14:paraId="077CF44F"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1"/>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2"/>
      </w:r>
    </w:p>
    <w:p w14:paraId="5FB53AD6" w14:textId="77777777" w:rsidR="00494B49" w:rsidRDefault="00494B49">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469F102A" w14:textId="77777777" w:rsidR="00494B49" w:rsidRDefault="00494B49">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lastRenderedPageBreak/>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F3BEEBA" w14:textId="77777777" w:rsidR="00494B49" w:rsidRDefault="00494B49">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3"/>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4"/>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5"/>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However, it may be possible (although complicated) to use accrual accounting concepts in developing a reasonable allocation method.</w:t>
      </w:r>
      <w:r>
        <w:rPr>
          <w:rStyle w:val="FootnoteReference"/>
        </w:rPr>
        <w:footnoteReference w:id="606"/>
      </w:r>
    </w:p>
    <w:p w14:paraId="19423CC0" w14:textId="77777777" w:rsidR="00494B49" w:rsidRDefault="00494B49">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7"/>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1D2149CC" w14:textId="77777777" w:rsidR="00494B49" w:rsidRDefault="00494B49">
      <w:pPr>
        <w:pStyle w:val="BHead4"/>
      </w:pPr>
      <w:r>
        <w:t>(2) State and Local Income Taxes Deductible in Tax Years Beginning in 2018-2025</w:t>
      </w:r>
    </w:p>
    <w:p w14:paraId="2118EBDB" w14:textId="77777777" w:rsidR="00494B49" w:rsidRDefault="00494B49">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541CF4BE" w14:textId="77777777" w:rsidR="00494B49" w:rsidRDefault="00494B49">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w:t>
      </w:r>
      <w:r>
        <w:lastRenderedPageBreak/>
        <w:t>income (NII).</w:t>
      </w:r>
      <w:r>
        <w:rPr>
          <w:rStyle w:val="FootnoteReference"/>
        </w:rPr>
        <w:footnoteReference w:id="608"/>
      </w:r>
      <w:r>
        <w:t xml:space="preserve"> As a consequence, one can reasonably conclude that if the maximum SALT deduction allowed as an itemized deduction is $10,000, then the maximum SALT amount deductible for NII purposes is $10,000.</w:t>
      </w:r>
    </w:p>
    <w:p w14:paraId="75E60219" w14:textId="77777777" w:rsidR="00494B49" w:rsidRDefault="00494B49">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13EB7A90" w14:textId="77777777" w:rsidR="00494B49" w:rsidRDefault="00494B49">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09"/>
      </w:r>
    </w:p>
    <w:p w14:paraId="4BC994FE" w14:textId="77777777" w:rsidR="00494B49" w:rsidRDefault="00494B49">
      <w:pPr>
        <w:pStyle w:val="BNormal"/>
      </w:pPr>
      <w:r>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10"/>
      </w:r>
    </w:p>
    <w:p w14:paraId="0F65B456" w14:textId="77777777" w:rsidR="00494B49" w:rsidRDefault="00494B49">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1"/>
      </w:r>
      <w:r>
        <w:t xml:space="preserve"> In other words, the limitation mechanics were designed to allow the taxpayers the maximum amount of NII deductions.</w:t>
      </w:r>
    </w:p>
    <w:p w14:paraId="4BC3F579" w14:textId="77777777" w:rsidR="00494B49" w:rsidRDefault="00494B49">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2"/>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3"/>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37ACFF92" w14:textId="77777777" w:rsidR="00494B49" w:rsidRDefault="00494B49">
      <w:pPr>
        <w:pStyle w:val="BCommentpara"/>
      </w:pPr>
      <w:r>
        <w:rPr>
          <w:rStyle w:val="BCommenthead"/>
        </w:rPr>
        <w:lastRenderedPageBreak/>
        <w:t xml:space="preserve">Comment: </w:t>
      </w:r>
      <w:r>
        <w:t>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2D54B00" w14:textId="77777777" w:rsidR="00494B49" w:rsidRDefault="00494B49">
      <w:pPr>
        <w:pStyle w:val="BHead4"/>
      </w:pPr>
      <w:r>
        <w:t>(3) Foreign Income Taxes</w:t>
      </w:r>
    </w:p>
    <w:p w14:paraId="4BAAF300" w14:textId="77777777" w:rsidR="00494B49" w:rsidRDefault="00494B49">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4"/>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The limitation on taxes imposed by the TCJA for tax years beginning in 2018–2025 does not extend to deductible foreign income taxes, and therefore they remain deductible for net investment income tax purposes.</w:t>
      </w:r>
    </w:p>
    <w:p w14:paraId="78392316" w14:textId="77777777" w:rsidR="00494B49" w:rsidRDefault="00494B49">
      <w:pPr>
        <w:pStyle w:val="BHead3"/>
      </w:pPr>
      <w:r>
        <w:t xml:space="preserve">d. Section 72(b)(3) — Annuity Basis </w:t>
      </w:r>
    </w:p>
    <w:p w14:paraId="4303FCE7"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5"/>
      </w:r>
    </w:p>
    <w:p w14:paraId="0B09F1C7" w14:textId="77777777" w:rsidR="00494B49" w:rsidRDefault="00494B49">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w:t>
        </w:r>
        <w:proofErr w:type="spellStart"/>
        <w:r>
          <w:t>i</w:t>
        </w:r>
        <w:proofErr w:type="spellEnd"/>
        <w:r>
          <w:t>)</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178D1A30" w14:textId="77777777" w:rsidR="00494B49" w:rsidRDefault="00494B49">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6"/>
      </w:r>
    </w:p>
    <w:p w14:paraId="1B327470" w14:textId="77777777" w:rsidR="00494B49" w:rsidRDefault="00494B49">
      <w:pPr>
        <w:pStyle w:val="BHead3"/>
      </w:pPr>
      <w:r>
        <w:t>e. Section 691(c) — Deductions for Estate Taxes</w:t>
      </w:r>
    </w:p>
    <w:p w14:paraId="79A9ADB9"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w:t>
      </w:r>
      <w:r>
        <w:lastRenderedPageBreak/>
        <w:t>for regular tax purposes.</w:t>
      </w:r>
      <w:r>
        <w:rPr>
          <w:rStyle w:val="FootnoteReference"/>
        </w:rPr>
        <w:footnoteReference w:id="617"/>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8"/>
      </w:r>
    </w:p>
    <w:p w14:paraId="7D7A8585" w14:textId="77777777" w:rsidR="00494B49" w:rsidRDefault="00494B49">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612E22" w14:textId="77777777" w:rsidR="00494B49" w:rsidRDefault="00494B49">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0B33C112" w14:textId="77777777" w:rsidR="00494B49" w:rsidRDefault="00494B49">
      <w:pPr>
        <w:pStyle w:val="BHead3"/>
      </w:pPr>
      <w:r>
        <w:t xml:space="preserve">f. Section 212(3) and Reg. §1.212-1(l) — Tax </w:t>
      </w:r>
      <w:r>
        <w:br/>
        <w:t>Expenses</w:t>
      </w:r>
    </w:p>
    <w:p w14:paraId="5B828689"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19"/>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20"/>
      </w:r>
      <w:r>
        <w:t xml:space="preserve"> except in tax years beginning in 2018 through 2025.</w:t>
      </w:r>
      <w:r>
        <w:rPr>
          <w:rStyle w:val="FootnoteReference"/>
        </w:rPr>
        <w:footnoteReference w:id="621"/>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2"/>
      </w:r>
    </w:p>
    <w:p w14:paraId="39701C0C" w14:textId="77777777" w:rsidR="00494B49" w:rsidRDefault="00494B49">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1CF0CFE1" w14:textId="77777777" w:rsidR="00494B49" w:rsidRDefault="00494B49">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3"/>
      </w:r>
      <w:r>
        <w:t xml:space="preserve"> In addition, the taxpayer must make some attempt to </w:t>
      </w:r>
      <w:r>
        <w:lastRenderedPageBreak/>
        <w:t>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5D63A435" w14:textId="77777777" w:rsidR="00494B49" w:rsidRDefault="00494B49">
      <w:pPr>
        <w:pStyle w:val="BHead3"/>
      </w:pPr>
      <w:r>
        <w:t>g. Amortizable Bond Premium</w:t>
      </w:r>
    </w:p>
    <w:p w14:paraId="529F6B4E"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4"/>
      </w:r>
    </w:p>
    <w:p w14:paraId="48E4784F" w14:textId="77777777" w:rsidR="00494B49" w:rsidRDefault="00494B49">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5"/>
      </w:r>
      <w:r>
        <w:t xml:space="preserve"> In general, the amount of amortizable bond premium for a period offsets the interest income allocable to the period and the taxpayer includes the net amount of interest in taxable income. In certain circumstances, however, the taxpayer is entitled to deduct all or part of the bond premium under </w:t>
      </w:r>
      <w:smartTag w:uri="http://www.bna.com/sgml2word/cite" w:element="cite.usc">
        <w:smartTagPr>
          <w:attr w:name="ref" w:val="USC\26\171(a)(1)"/>
        </w:smartTagPr>
        <w:r>
          <w:t>§171(a)(1)</w:t>
        </w:r>
      </w:smartTag>
      <w:r>
        <w:t xml:space="preserve">. </w:t>
      </w:r>
    </w:p>
    <w:p w14:paraId="7FE85AE4" w14:textId="77777777" w:rsidR="00494B49" w:rsidRDefault="00494B49">
      <w:pPr>
        <w:pStyle w:val="BExamplepara"/>
      </w:pPr>
      <w:r>
        <w:rPr>
          <w:rStyle w:val="BExamplehead"/>
          <w:rFonts w:eastAsiaTheme="minorHAnsi"/>
          <w:i/>
        </w:rPr>
        <w:t xml:space="preserve">Example: </w:t>
      </w:r>
      <w:r>
        <w:t xml:space="preserve">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6"/>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0FF3E820" w14:textId="77777777" w:rsidR="00494B49" w:rsidRDefault="00494B49">
      <w:pPr>
        <w:pStyle w:val="BCommentpara"/>
      </w:pPr>
      <w:r>
        <w:rPr>
          <w:rStyle w:val="BCommenthead"/>
        </w:rPr>
        <w:t xml:space="preserve">Practice Point: </w:t>
      </w:r>
      <w:r>
        <w:t xml:space="preserve">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1B1CBA84" w14:textId="77777777" w:rsidR="00494B49" w:rsidRDefault="00494B49">
      <w:pPr>
        <w:pStyle w:val="BHead3"/>
      </w:pPr>
      <w:r>
        <w:t>h. Fiduciary Expenses</w:t>
      </w:r>
    </w:p>
    <w:p w14:paraId="382C17D8" w14:textId="77777777" w:rsidR="00494B49" w:rsidRDefault="00494B49">
      <w:pPr>
        <w:pStyle w:val="BCommentpara"/>
      </w:pPr>
      <w:r>
        <w:rPr>
          <w:rStyle w:val="BCommenthead"/>
        </w:rPr>
        <w:t xml:space="preserve">Comment: </w:t>
      </w:r>
      <w:r>
        <w:t xml:space="preserve">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w:t>
      </w:r>
      <w:proofErr w:type="spellStart"/>
      <w:r>
        <w:t>nongrantor</w:t>
      </w:r>
      <w:proofErr w:type="spellEnd"/>
      <w:r>
        <w:t xml:space="preserve">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w:t>
      </w:r>
      <w:r>
        <w:lastRenderedPageBreak/>
        <w:t xml:space="preserve">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w:t>
      </w:r>
      <w:proofErr w:type="spellStart"/>
      <w:r>
        <w:t>nongrantor</w:t>
      </w:r>
      <w:proofErr w:type="spellEnd"/>
      <w:r>
        <w:t xml:space="preserve">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w:t>
      </w:r>
      <w:proofErr w:type="spellStart"/>
      <w:r>
        <w:t>nongrantor</w:t>
      </w:r>
      <w:proofErr w:type="spellEnd"/>
      <w:r>
        <w:t xml:space="preserve">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0E9B94A9" w14:textId="77777777" w:rsidR="00494B49" w:rsidRDefault="00494B49">
      <w:pPr>
        <w:pStyle w:val="BNormal"/>
      </w:pPr>
      <w:r>
        <w:t>In the case of an estate or trust, “properly allocable deductions” include amounts described in Reg.</w:t>
      </w:r>
      <w:smartTag w:uri="http://www.bna.com/sgml2word/cite" w:element="cite.cfr">
        <w:smartTagPr>
          <w:attr w:name="ref" w:val="cfr\26\1.212-1(i)"/>
        </w:smartTagPr>
        <w:r>
          <w:t>§1.212-1(</w:t>
        </w:r>
        <w:proofErr w:type="spellStart"/>
        <w:r>
          <w:t>i</w:t>
        </w:r>
        <w:proofErr w:type="spellEnd"/>
        <w:r>
          <w:t>)</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w:t>
        </w:r>
        <w:proofErr w:type="spellStart"/>
        <w:r>
          <w:t>i</w:t>
        </w:r>
        <w:proofErr w:type="spellEnd"/>
        <w:r>
          <w:t>)</w:t>
        </w:r>
      </w:smartTag>
      <w:r>
        <w:t xml:space="preserve"> provides, in general, that reasonable amounts 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7"/>
      </w:r>
    </w:p>
    <w:p w14:paraId="01A2CD0C" w14:textId="77777777" w:rsidR="00494B49" w:rsidRDefault="00494B49">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DA0FAEE" w14:textId="77777777" w:rsidR="00494B49" w:rsidRDefault="00494B49">
      <w:pPr>
        <w:pStyle w:val="BHead2"/>
      </w:pPr>
      <w:r>
        <w:t>3. Section 165 — Loss Deductions</w:t>
      </w:r>
    </w:p>
    <w:p w14:paraId="03C777CC"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164B8B4D" w14:textId="77777777" w:rsidR="00494B49" w:rsidRDefault="00494B49">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6B2BD9AB" w14:textId="77777777" w:rsidR="00494B49" w:rsidRDefault="00494B49">
      <w:pPr>
        <w:pStyle w:val="BHead2"/>
      </w:pPr>
      <w:r>
        <w:t>4. Ordinary Loss Deductions on Contingent Payment Debt Instruments and Inflation-Indexed Debt Instruments</w:t>
      </w:r>
    </w:p>
    <w:p w14:paraId="0C4A6704"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8"/>
      </w:r>
      <w:r>
        <w:t xml:space="preserve">  </w:t>
      </w:r>
    </w:p>
    <w:p w14:paraId="1D5EBB87" w14:textId="77777777" w:rsidR="00494B49" w:rsidRDefault="00494B49">
      <w:pPr>
        <w:pStyle w:val="BNormal"/>
      </w:pPr>
      <w:r>
        <w:lastRenderedPageBreak/>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29"/>
      </w:r>
      <w:r>
        <w:t xml:space="preserve"> In general, a holder treats a negative adjustment as a reduction in interest income otherwise includible for the tax year and, if there is any excess, as an ordinary loss for the tax year to the extent of prior interest inclusions.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30"/>
      </w:r>
    </w:p>
    <w:p w14:paraId="564CF0ED" w14:textId="77777777" w:rsidR="00494B49" w:rsidRDefault="00494B49">
      <w:pPr>
        <w:pStyle w:val="BHead1"/>
      </w:pPr>
      <w:r>
        <w:t>C. Allocation Between Net Investment Income and Excluded Income</w:t>
      </w:r>
    </w:p>
    <w:p w14:paraId="60C3877E" w14:textId="77777777" w:rsidR="00494B49" w:rsidRDefault="00494B49">
      <w:pPr>
        <w:pStyle w:val="BNormal"/>
      </w:pPr>
      <w:r>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1"/>
      </w:r>
    </w:p>
    <w:p w14:paraId="4831CCFB" w14:textId="77777777" w:rsidR="00494B49" w:rsidRDefault="00494B49">
      <w:pPr>
        <w:pStyle w:val="BNormal"/>
      </w:pPr>
      <w:r>
        <w:t>The preamble to the 2013 Final Regulations acknowledges that examples of reasonable methods in the text of such regulations do not represent an exclusive list.</w:t>
      </w:r>
      <w:r>
        <w:rPr>
          <w:rStyle w:val="FootnoteReference"/>
        </w:rPr>
        <w:footnoteReference w:id="632"/>
      </w:r>
      <w:r>
        <w:t xml:space="preserve"> The Treasury Department and the IRS wanted to provide taxpayers with flexibility to determine a method of allocation that best applies to their specific facts.</w:t>
      </w:r>
    </w:p>
    <w:p w14:paraId="39919BB7" w14:textId="77777777" w:rsidR="00494B49" w:rsidRDefault="00494B49">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20F8FDA" w14:textId="77777777" w:rsidR="00494B49" w:rsidRDefault="00494B49">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xml:space="preserve">, any recovery of the deduction in a future year (such as a tax refund) may be included in net investment income in the recovery </w:t>
      </w:r>
      <w:r>
        <w:lastRenderedPageBreak/>
        <w:t>year.</w:t>
      </w:r>
      <w:r>
        <w:rPr>
          <w:rStyle w:val="FootnoteReference"/>
        </w:rPr>
        <w:footnoteReference w:id="633"/>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4A0E65E7" w14:textId="77777777" w:rsidR="00494B49" w:rsidRDefault="00494B49">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2568223D" w14:textId="77777777" w:rsidR="00494B49" w:rsidRDefault="00494B49">
      <w:pPr>
        <w:pStyle w:val="BHead2"/>
      </w:pPr>
      <w:r>
        <w:t>1. Reasonable Methods Specifically Listed in the Regulations</w:t>
      </w:r>
    </w:p>
    <w:p w14:paraId="26F65767" w14:textId="77777777" w:rsidR="00494B49" w:rsidRDefault="00494B49">
      <w:pPr>
        <w:pStyle w:val="BNormal"/>
      </w:pPr>
      <w:r>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4"/>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5"/>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6"/>
      </w:r>
      <w:r>
        <w:t xml:space="preserve"> would also be considered a reasonable method.</w:t>
      </w:r>
    </w:p>
    <w:p w14:paraId="5383CAB5" w14:textId="77777777" w:rsidR="00494B49" w:rsidRDefault="00494B49">
      <w:pPr>
        <w:pStyle w:val="BNormal"/>
      </w:pPr>
      <w:r>
        <w:t>If a taxpayer has more than one deduction subject to allocation,</w:t>
      </w:r>
      <w:r>
        <w:rPr>
          <w:rStyle w:val="FootnoteReference"/>
        </w:rPr>
        <w:footnoteReference w:id="637"/>
      </w:r>
      <w:r>
        <w:t xml:space="preserve"> the taxpayer may use a different method of allocation for each one, as long as each method is reasonable.</w:t>
      </w:r>
      <w:r>
        <w:rPr>
          <w:rStyle w:val="FootnoteReference"/>
        </w:rPr>
        <w:footnoteReference w:id="638"/>
      </w:r>
    </w:p>
    <w:p w14:paraId="020455C1" w14:textId="77777777" w:rsidR="00494B49" w:rsidRDefault="00494B49">
      <w:pPr>
        <w:pStyle w:val="BNormal"/>
      </w:pPr>
      <w:r>
        <w:lastRenderedPageBreak/>
        <w:t>The reasonable method of allocation may differ from year to year.</w:t>
      </w:r>
      <w:r>
        <w:rPr>
          <w:rStyle w:val="FootnoteReference"/>
        </w:rPr>
        <w:footnoteReference w:id="639"/>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40"/>
      </w:r>
      <w:r>
        <w:t xml:space="preserve"> and instead provide “taxpayers flexibility to determine a method of allocation that best applies to their specific facts.”</w:t>
      </w:r>
      <w:r>
        <w:rPr>
          <w:rStyle w:val="FootnoteReference"/>
        </w:rPr>
        <w:footnoteReference w:id="641"/>
      </w:r>
    </w:p>
    <w:p w14:paraId="7B5A71FA" w14:textId="77777777" w:rsidR="00494B49" w:rsidRDefault="00494B49">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57D36BBF" w14:textId="77777777" w:rsidR="00494B49" w:rsidRDefault="00494B49">
      <w:pPr>
        <w:pStyle w:val="BHead2"/>
      </w:pPr>
      <w:r>
        <w:t xml:space="preserve">2. Other Possible Reasonable Allocation Methods </w:t>
      </w:r>
    </w:p>
    <w:p w14:paraId="64D96CC1" w14:textId="77777777" w:rsidR="00494B49" w:rsidRDefault="00494B49">
      <w:pPr>
        <w:pStyle w:val="BHead3"/>
      </w:pPr>
      <w:r>
        <w:t>a. Specific Identification</w:t>
      </w:r>
    </w:p>
    <w:p w14:paraId="042E1750" w14:textId="77777777" w:rsidR="00494B49" w:rsidRDefault="00494B49">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7740FA74" w14:textId="77777777" w:rsidR="00494B49" w:rsidRDefault="00494B49">
      <w:pPr>
        <w:pStyle w:val="BHead3"/>
      </w:pPr>
      <w:r>
        <w:t>b. Specific Identification with Residual Apportionment</w:t>
      </w:r>
    </w:p>
    <w:p w14:paraId="12D51C4B" w14:textId="77777777" w:rsidR="00494B49" w:rsidRDefault="00494B49">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14AB2F4F" w14:textId="77777777" w:rsidR="00494B49" w:rsidRDefault="00494B49">
      <w:pPr>
        <w:pStyle w:val="BExamplepara"/>
      </w:pPr>
      <w:r>
        <w:rPr>
          <w:rStyle w:val="BExamplehead"/>
          <w:rFonts w:eastAsiaTheme="minorHAnsi"/>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w:t>
      </w:r>
      <w:r>
        <w:lastRenderedPageBreak/>
        <w:t>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64296CF" w14:textId="77777777" w:rsidR="00494B49" w:rsidRDefault="00494B49" w:rsidP="006951DA">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43A0440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4AAC3925" w14:textId="77777777">
        <w:tc>
          <w:tcPr>
            <w:tcW w:w="5040" w:type="dxa"/>
          </w:tcPr>
          <w:p w14:paraId="765E057F" w14:textId="77777777" w:rsidR="00494B49" w:rsidRDefault="00494B49">
            <w:r>
              <w:t>$150,000 income × 5%</w:t>
            </w:r>
          </w:p>
        </w:tc>
        <w:tc>
          <w:tcPr>
            <w:tcW w:w="5040" w:type="dxa"/>
          </w:tcPr>
          <w:p w14:paraId="1005D43F" w14:textId="77777777" w:rsidR="00494B49" w:rsidRDefault="00494B49">
            <w:r>
              <w:t>$7,500</w:t>
            </w:r>
          </w:p>
        </w:tc>
      </w:tr>
      <w:tr w:rsidR="00494B49" w14:paraId="4E7FDAD6" w14:textId="77777777">
        <w:tc>
          <w:tcPr>
            <w:tcW w:w="5040" w:type="dxa"/>
          </w:tcPr>
          <w:p w14:paraId="4C192C7D" w14:textId="77777777" w:rsidR="00494B49" w:rsidRDefault="00494B49">
            <w:r>
              <w:t>Credit for Taxes Paid on $40,000</w:t>
            </w:r>
          </w:p>
        </w:tc>
        <w:tc>
          <w:tcPr>
            <w:tcW w:w="5040" w:type="dxa"/>
          </w:tcPr>
          <w:p w14:paraId="7CCC8E66" w14:textId="77777777" w:rsidR="00494B49" w:rsidRDefault="00494B49">
            <w:r>
              <w:t>($1,600)</w:t>
            </w:r>
          </w:p>
        </w:tc>
      </w:tr>
      <w:tr w:rsidR="00494B49" w14:paraId="1DE7ABEE" w14:textId="77777777">
        <w:tc>
          <w:tcPr>
            <w:tcW w:w="5040" w:type="dxa"/>
          </w:tcPr>
          <w:p w14:paraId="19FB2048" w14:textId="77777777" w:rsidR="00494B49" w:rsidRDefault="00494B49">
            <w:r>
              <w:t>Resident State Liability</w:t>
            </w:r>
          </w:p>
        </w:tc>
        <w:tc>
          <w:tcPr>
            <w:tcW w:w="5040" w:type="dxa"/>
          </w:tcPr>
          <w:p w14:paraId="52122A25" w14:textId="77777777" w:rsidR="00494B49" w:rsidRDefault="00494B49">
            <w:r>
              <w:t>$5,900</w:t>
            </w:r>
          </w:p>
        </w:tc>
      </w:tr>
    </w:tbl>
    <w:p w14:paraId="5BBB7ECF" w14:textId="77777777" w:rsidR="00494B49" w:rsidRDefault="00494B49">
      <w:pPr>
        <w:pStyle w:val="BNormal"/>
      </w:pPr>
    </w:p>
    <w:p w14:paraId="42FCB1A0" w14:textId="77777777" w:rsidR="00494B49" w:rsidRDefault="00494B49" w:rsidP="006951DA">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73372C9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66CE47B9" w14:textId="77777777">
        <w:tc>
          <w:tcPr>
            <w:tcW w:w="5040" w:type="dxa"/>
          </w:tcPr>
          <w:p w14:paraId="26B6015C" w14:textId="77777777" w:rsidR="00494B49" w:rsidRDefault="00494B49">
            <w:r>
              <w:t>Net Investment Income</w:t>
            </w:r>
          </w:p>
        </w:tc>
        <w:tc>
          <w:tcPr>
            <w:tcW w:w="5040" w:type="dxa"/>
          </w:tcPr>
          <w:p w14:paraId="2F5EE6F0" w14:textId="77777777" w:rsidR="00494B49" w:rsidRDefault="00494B49">
            <w:r>
              <w:t>$ 50,000 × $5,900 = $1,967</w:t>
            </w:r>
          </w:p>
        </w:tc>
      </w:tr>
      <w:tr w:rsidR="00494B49" w14:paraId="37821FAD" w14:textId="77777777">
        <w:tc>
          <w:tcPr>
            <w:tcW w:w="5040" w:type="dxa"/>
          </w:tcPr>
          <w:p w14:paraId="12A26970" w14:textId="77777777" w:rsidR="00494B49" w:rsidRDefault="00494B49">
            <w:r>
              <w:t>AGI</w:t>
            </w:r>
          </w:p>
        </w:tc>
        <w:tc>
          <w:tcPr>
            <w:tcW w:w="5040" w:type="dxa"/>
          </w:tcPr>
          <w:p w14:paraId="7BB3B05F" w14:textId="77777777" w:rsidR="00494B49" w:rsidRDefault="00494B49">
            <w:r>
              <w:t>$150,000</w:t>
            </w:r>
          </w:p>
        </w:tc>
      </w:tr>
    </w:tbl>
    <w:p w14:paraId="160610BC" w14:textId="77777777" w:rsidR="00494B49" w:rsidRDefault="00494B49">
      <w:pPr>
        <w:pStyle w:val="BNormal"/>
      </w:pPr>
    </w:p>
    <w:p w14:paraId="01BCAA75" w14:textId="77777777" w:rsidR="00494B49" w:rsidRDefault="00494B49">
      <w:pPr>
        <w:pStyle w:val="BExamplepara"/>
      </w:pPr>
      <w:r>
        <w:t xml:space="preserve">However, it would likely be an unreasonable method to deduct $3,567 ($1,600 of nonresident state taxes and $1,967 of resident state taxes). </w:t>
      </w:r>
    </w:p>
    <w:p w14:paraId="3DE3F9C9" w14:textId="77777777" w:rsidR="00494B49" w:rsidRDefault="00494B49">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6DF25F19" w14:textId="77777777" w:rsidR="00494B49" w:rsidRDefault="00494B49">
      <w:pPr>
        <w:pStyle w:val="BExamplepara"/>
      </w:pPr>
      <w:r>
        <w:t xml:space="preserve">In this example, the outcome under the specific identification method with residual allocation does not yield a higher NIIT deduction than the allocation method in the regulations. </w:t>
      </w:r>
    </w:p>
    <w:p w14:paraId="06373314" w14:textId="77777777" w:rsidR="00494B49" w:rsidRDefault="00494B49" w:rsidP="006951DA">
      <w:pPr>
        <w:pStyle w:val="BExamplepara"/>
      </w:pPr>
      <w:r>
        <w:rPr>
          <w:rStyle w:val="BExamplehead"/>
          <w:rFonts w:eastAsiaTheme="minorHAnsi"/>
          <w:i/>
        </w:rPr>
        <w:lastRenderedPageBreak/>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0EAF367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73320376" w14:textId="77777777">
        <w:tc>
          <w:tcPr>
            <w:tcW w:w="5040" w:type="dxa"/>
          </w:tcPr>
          <w:p w14:paraId="72C88562" w14:textId="77777777" w:rsidR="00494B49" w:rsidRDefault="00494B49">
            <w:r>
              <w:t>$150,000 income × 5%</w:t>
            </w:r>
          </w:p>
        </w:tc>
        <w:tc>
          <w:tcPr>
            <w:tcW w:w="5040" w:type="dxa"/>
          </w:tcPr>
          <w:p w14:paraId="11B1F5DE" w14:textId="77777777" w:rsidR="00494B49" w:rsidRDefault="00494B49">
            <w:r>
              <w:t>$7,500</w:t>
            </w:r>
          </w:p>
        </w:tc>
      </w:tr>
      <w:tr w:rsidR="00494B49" w14:paraId="3D4B5535" w14:textId="77777777">
        <w:tc>
          <w:tcPr>
            <w:tcW w:w="5040" w:type="dxa"/>
          </w:tcPr>
          <w:p w14:paraId="60BBC073" w14:textId="77777777" w:rsidR="00494B49" w:rsidRDefault="00494B49">
            <w:r>
              <w:t>Credit for Taxes Paid on $40,000</w:t>
            </w:r>
          </w:p>
        </w:tc>
        <w:tc>
          <w:tcPr>
            <w:tcW w:w="5040" w:type="dxa"/>
          </w:tcPr>
          <w:p w14:paraId="1DD2DBEA" w14:textId="77777777" w:rsidR="00494B49" w:rsidRDefault="00494B49">
            <w:r>
              <w:t>($2,000) (capped at 5%)</w:t>
            </w:r>
          </w:p>
        </w:tc>
      </w:tr>
      <w:tr w:rsidR="00494B49" w14:paraId="4CEDF1AF" w14:textId="77777777">
        <w:tc>
          <w:tcPr>
            <w:tcW w:w="5040" w:type="dxa"/>
          </w:tcPr>
          <w:p w14:paraId="0E10AABF" w14:textId="77777777" w:rsidR="00494B49" w:rsidRDefault="00494B49">
            <w:r>
              <w:t>Resident State Liability</w:t>
            </w:r>
          </w:p>
        </w:tc>
        <w:tc>
          <w:tcPr>
            <w:tcW w:w="5040" w:type="dxa"/>
          </w:tcPr>
          <w:p w14:paraId="307328B8" w14:textId="77777777" w:rsidR="00494B49" w:rsidRDefault="00494B49">
            <w:r>
              <w:t>$5,500</w:t>
            </w:r>
          </w:p>
        </w:tc>
      </w:tr>
    </w:tbl>
    <w:p w14:paraId="5F5DB46B" w14:textId="77777777" w:rsidR="00494B49" w:rsidRDefault="00494B49">
      <w:pPr>
        <w:pStyle w:val="BNormal"/>
      </w:pPr>
    </w:p>
    <w:p w14:paraId="28DF51A7" w14:textId="77777777" w:rsidR="00494B49" w:rsidRDefault="00494B49" w:rsidP="007865AF">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1A4C32E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5D8B174E" w14:textId="77777777">
        <w:tc>
          <w:tcPr>
            <w:tcW w:w="5040" w:type="dxa"/>
          </w:tcPr>
          <w:p w14:paraId="7849D3CE" w14:textId="77777777" w:rsidR="00494B49" w:rsidRDefault="00494B49">
            <w:r>
              <w:t>Net Investment Income</w:t>
            </w:r>
          </w:p>
        </w:tc>
        <w:tc>
          <w:tcPr>
            <w:tcW w:w="5040" w:type="dxa"/>
          </w:tcPr>
          <w:p w14:paraId="434F8AC2" w14:textId="77777777" w:rsidR="00494B49" w:rsidRDefault="00494B49">
            <w:r>
              <w:t>$50,000 × ($3,000 + 5,500) = $2,833</w:t>
            </w:r>
          </w:p>
        </w:tc>
      </w:tr>
      <w:tr w:rsidR="00494B49" w14:paraId="719C6383" w14:textId="77777777">
        <w:tc>
          <w:tcPr>
            <w:tcW w:w="5040" w:type="dxa"/>
          </w:tcPr>
          <w:p w14:paraId="3C09FB94" w14:textId="77777777" w:rsidR="00494B49" w:rsidRDefault="00494B49">
            <w:r>
              <w:t>AGI</w:t>
            </w:r>
          </w:p>
        </w:tc>
        <w:tc>
          <w:tcPr>
            <w:tcW w:w="5040" w:type="dxa"/>
          </w:tcPr>
          <w:p w14:paraId="66053A59" w14:textId="77777777" w:rsidR="00494B49" w:rsidRDefault="00494B49">
            <w:r>
              <w:t>$150,000</w:t>
            </w:r>
          </w:p>
        </w:tc>
      </w:tr>
    </w:tbl>
    <w:p w14:paraId="17A28A1C" w14:textId="77777777" w:rsidR="00494B49" w:rsidRDefault="00494B49">
      <w:pPr>
        <w:pStyle w:val="BNormal"/>
      </w:pPr>
    </w:p>
    <w:p w14:paraId="51990ED7" w14:textId="77777777" w:rsidR="00494B49" w:rsidRDefault="00494B49">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77DB308F" w14:textId="77777777" w:rsidR="00494B49" w:rsidRDefault="00494B49">
      <w:pPr>
        <w:pStyle w:val="BHead3"/>
      </w:pPr>
      <w:r>
        <w:t>c. Simple Apportionment Using Different Bases</w:t>
      </w:r>
    </w:p>
    <w:p w14:paraId="2EE2D1B7" w14:textId="77777777" w:rsidR="00494B49" w:rsidRDefault="00494B49">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2"/>
      </w:r>
      <w:r>
        <w:t xml:space="preserve"> to AGI.</w:t>
      </w:r>
      <w:r>
        <w:rPr>
          <w:rStyle w:val="FootnoteReference"/>
        </w:rPr>
        <w:footnoteReference w:id="643"/>
      </w:r>
      <w:r>
        <w:t xml:space="preserve"> However, as explained above, that is not meant to be the exclusive reasonable method. Other examples of allocation methods based on apportionment may include the following: </w:t>
      </w:r>
    </w:p>
    <w:p w14:paraId="4E942562" w14:textId="77777777" w:rsidR="00494B49" w:rsidRDefault="00494B49">
      <w:pPr>
        <w:pStyle w:val="BListitembul"/>
      </w:pPr>
      <w:r>
        <w:t xml:space="preserve">In the case of an allocation of tax expenses under Reg. §1.1411-4(f)(3)(vi), a reasonable allocation may be based on the ratio of NIIT liability to total federal income taxes. </w:t>
      </w:r>
    </w:p>
    <w:p w14:paraId="246AFA84" w14:textId="77777777" w:rsidR="00494B49" w:rsidRDefault="00494B49">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37197298" w14:textId="77777777" w:rsidR="00494B49" w:rsidRDefault="00494B49">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4"/>
      </w:r>
    </w:p>
    <w:p w14:paraId="664E067C" w14:textId="77777777" w:rsidR="00494B49" w:rsidRDefault="00494B49">
      <w:pPr>
        <w:pStyle w:val="BListitembul"/>
      </w:pPr>
      <w:r>
        <w:lastRenderedPageBreak/>
        <w:t xml:space="preserve">For cash basis taxpayers, it is common for expenses paid in Year 2 to relate to items for the preceding tax year; it would seem reasonable to allocate a Year 2 deduction based on an apportionment between Year 1 amounts. </w:t>
      </w:r>
    </w:p>
    <w:p w14:paraId="5A5BB802" w14:textId="77777777" w:rsidR="00494B49" w:rsidRDefault="00494B49">
      <w:pPr>
        <w:pStyle w:val="BExamplepara"/>
      </w:pPr>
      <w:r>
        <w:rPr>
          <w:rStyle w:val="BExamplehead"/>
          <w:rFonts w:eastAsiaTheme="minorHAnsi"/>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0BAF1353" w14:textId="77777777" w:rsidR="00494B49" w:rsidRDefault="00494B49">
      <w:pPr>
        <w:pStyle w:val="BExamplepara"/>
      </w:pPr>
      <w:r>
        <w:rPr>
          <w:rStyle w:val="BExamplehead"/>
          <w:rFonts w:eastAsiaTheme="minorHAnsi"/>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the 2014 return and allocate the 2015 estimated tax payments based on an apportionment of items on the 2015 return. </w:t>
      </w:r>
    </w:p>
    <w:p w14:paraId="56850E86" w14:textId="77777777" w:rsidR="00494B49" w:rsidRDefault="00494B49">
      <w:pPr>
        <w:pStyle w:val="BHead3"/>
      </w:pPr>
      <w:r>
        <w:t xml:space="preserve">d. Accrual Method </w:t>
      </w:r>
    </w:p>
    <w:p w14:paraId="498B0D6F" w14:textId="77777777" w:rsidR="00494B49" w:rsidRDefault="00494B49">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5"/>
      </w:r>
    </w:p>
    <w:p w14:paraId="768F4498" w14:textId="77777777" w:rsidR="00494B49" w:rsidRDefault="00494B49">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1478349" w14:textId="77777777" w:rsidR="00494B49" w:rsidRDefault="00494B49">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5F848253" w14:textId="77777777" w:rsidR="00494B49" w:rsidRDefault="00494B49">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6"/>
      </w:r>
      <w:r>
        <w:t xml:space="preserve"> However, there is no mechanism within the NIIT system for a §481-type adjustment for a NIIT-only accounting method change.</w:t>
      </w:r>
    </w:p>
    <w:p w14:paraId="79889F43" w14:textId="77777777" w:rsidR="00494B49" w:rsidRDefault="00494B49">
      <w:pPr>
        <w:pStyle w:val="BListitembul"/>
      </w:pPr>
      <w:r>
        <w:lastRenderedPageBreak/>
        <w:t>Second, use of the accrual method may lead to unusual results in the case of the adjustment for recoveries, which may make the recovery rules unmanageable.</w:t>
      </w:r>
    </w:p>
    <w:p w14:paraId="0952C9E0" w14:textId="77777777" w:rsidR="00494B49" w:rsidRDefault="00494B49">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481745A8" w14:textId="77777777" w:rsidR="00494B49" w:rsidRDefault="00494B49">
      <w:pPr>
        <w:pStyle w:val="BHead2"/>
      </w:pPr>
      <w:r>
        <w:t>3. Unreasonable Allocation Methods</w:t>
      </w:r>
    </w:p>
    <w:p w14:paraId="3FD8091C" w14:textId="77777777" w:rsidR="00494B49" w:rsidRDefault="00494B49">
      <w:pPr>
        <w:pStyle w:val="BHead3"/>
      </w:pPr>
      <w:r>
        <w:t>a. Allocations of Deductions Pertaining to Pre-2013 Tax Years</w:t>
      </w:r>
    </w:p>
    <w:p w14:paraId="5DE25129" w14:textId="77777777" w:rsidR="00494B49" w:rsidRDefault="00494B49">
      <w:pPr>
        <w:pStyle w:val="BNormal"/>
      </w:pPr>
      <w:r>
        <w:t xml:space="preserve">Although not expressly stated in the regulations, it may be intuitive to conclude that an allocation of current year deductions against net investment income when the underlying deduction pertains 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4E507181" w14:textId="77777777" w:rsidR="00494B49" w:rsidRDefault="00494B49">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7"/>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7F1F3302" w14:textId="77777777" w:rsidR="00494B49" w:rsidRDefault="00494B49">
      <w:pPr>
        <w:pStyle w:val="BNormal"/>
      </w:pPr>
      <w:r>
        <w:t>Given that the regulations were not effective for the 2013 tax year,</w:t>
      </w:r>
      <w:r>
        <w:rPr>
          <w:rStyle w:val="FootnoteReference"/>
        </w:rPr>
        <w:footnoteReference w:id="648"/>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w:t>
      </w:r>
      <w:proofErr w:type="spellStart"/>
      <w:r>
        <w:t>nondeductibility</w:t>
      </w:r>
      <w:proofErr w:type="spellEnd"/>
      <w:r>
        <w:t xml:space="preserve">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hyperlink r:id="rId11" w:history="1">
        <w:r>
          <w:rPr>
            <w:rStyle w:val="Hyperlink"/>
            <w:i/>
          </w:rPr>
          <w:t>Instructions for Form 8960, Net Investment Income Tax Individuals, Estates, and Trusts</w:t>
        </w:r>
        <w:r>
          <w:rPr>
            <w:rStyle w:val="Hyperlink"/>
          </w:rPr>
          <w:t xml:space="preserve"> (2013)</w:t>
        </w:r>
      </w:hyperlink>
      <w:r>
        <w:t>.</w:t>
      </w:r>
      <w:r>
        <w:rPr>
          <w:rStyle w:val="FootnoteReference"/>
        </w:rPr>
        <w:footnoteReference w:id="649"/>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6AF4C910" w14:textId="77777777" w:rsidR="00494B49" w:rsidRDefault="00494B49">
      <w:pPr>
        <w:pStyle w:val="BHead3"/>
      </w:pPr>
      <w:r>
        <w:lastRenderedPageBreak/>
        <w:t xml:space="preserve">b. Unreasonable Reliance on Regulations </w:t>
      </w:r>
    </w:p>
    <w:p w14:paraId="4BD25609" w14:textId="77777777" w:rsidR="00494B49" w:rsidRDefault="00494B49">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5F3B6E69" w14:textId="77777777" w:rsidR="00494B49" w:rsidRDefault="00494B49" w:rsidP="007865AF">
      <w:pPr>
        <w:pStyle w:val="BNormal"/>
      </w:pPr>
      <w:r>
        <w:t>In some instances, a deviation from the regulations may be in the taxpayer’s favor and justified. For example, assume that the taxpayer has the following income for federal and state tax purposes:</w:t>
      </w:r>
    </w:p>
    <w:p w14:paraId="06079581" w14:textId="77777777" w:rsidR="00494B49" w:rsidRDefault="00494B49" w:rsidP="007865AF">
      <w:pPr>
        <w:pStyle w:val="BNormal"/>
      </w:pPr>
    </w:p>
    <w:tbl>
      <w:tblPr>
        <w:tblStyle w:val="TableGrid"/>
        <w:tblW w:w="0" w:type="auto"/>
        <w:tblLook w:val="04A0" w:firstRow="1" w:lastRow="0" w:firstColumn="1" w:lastColumn="0" w:noHBand="0" w:noVBand="1"/>
      </w:tblPr>
      <w:tblGrid>
        <w:gridCol w:w="2362"/>
        <w:gridCol w:w="2342"/>
        <w:gridCol w:w="2323"/>
        <w:gridCol w:w="2323"/>
      </w:tblGrid>
      <w:tr w:rsidR="00494B49" w14:paraId="0928CE6C" w14:textId="77777777">
        <w:tc>
          <w:tcPr>
            <w:tcW w:w="2520" w:type="dxa"/>
          </w:tcPr>
          <w:p w14:paraId="6BFF23CB" w14:textId="77777777" w:rsidR="00494B49" w:rsidRDefault="00494B49"/>
        </w:tc>
        <w:tc>
          <w:tcPr>
            <w:tcW w:w="2520" w:type="dxa"/>
          </w:tcPr>
          <w:p w14:paraId="360D09D9" w14:textId="77777777" w:rsidR="00494B49" w:rsidRDefault="00494B49">
            <w:r>
              <w:t>Federal Regular Tax</w:t>
            </w:r>
          </w:p>
        </w:tc>
        <w:tc>
          <w:tcPr>
            <w:tcW w:w="2520" w:type="dxa"/>
          </w:tcPr>
          <w:p w14:paraId="2D3FA146" w14:textId="77777777" w:rsidR="00494B49" w:rsidRDefault="00494B49">
            <w:r>
              <w:t>Federal NIIT</w:t>
            </w:r>
          </w:p>
        </w:tc>
        <w:tc>
          <w:tcPr>
            <w:tcW w:w="2520" w:type="dxa"/>
          </w:tcPr>
          <w:p w14:paraId="7D1AD34B" w14:textId="77777777" w:rsidR="00494B49" w:rsidRDefault="00494B49">
            <w:r>
              <w:t>State</w:t>
            </w:r>
          </w:p>
        </w:tc>
      </w:tr>
      <w:tr w:rsidR="00494B49" w14:paraId="3A55E858" w14:textId="77777777">
        <w:tc>
          <w:tcPr>
            <w:tcW w:w="2520" w:type="dxa"/>
          </w:tcPr>
          <w:p w14:paraId="7D83C78B" w14:textId="77777777" w:rsidR="00494B49" w:rsidRDefault="00494B49">
            <w:r>
              <w:t xml:space="preserve">Taxable Interest &amp; </w:t>
            </w:r>
            <w:r>
              <w:br/>
              <w:t xml:space="preserve">Dividends </w:t>
            </w:r>
          </w:p>
        </w:tc>
        <w:tc>
          <w:tcPr>
            <w:tcW w:w="2520" w:type="dxa"/>
          </w:tcPr>
          <w:p w14:paraId="438B162F" w14:textId="77777777" w:rsidR="00494B49" w:rsidRDefault="00494B49">
            <w:r>
              <w:t>$400,000</w:t>
            </w:r>
          </w:p>
        </w:tc>
        <w:tc>
          <w:tcPr>
            <w:tcW w:w="2520" w:type="dxa"/>
          </w:tcPr>
          <w:p w14:paraId="49DED820" w14:textId="77777777" w:rsidR="00494B49" w:rsidRDefault="00494B49">
            <w:r>
              <w:t>$400,000</w:t>
            </w:r>
          </w:p>
        </w:tc>
        <w:tc>
          <w:tcPr>
            <w:tcW w:w="2520" w:type="dxa"/>
          </w:tcPr>
          <w:p w14:paraId="05160F4E" w14:textId="77777777" w:rsidR="00494B49" w:rsidRDefault="00494B49">
            <w:r>
              <w:t>$400,000</w:t>
            </w:r>
          </w:p>
        </w:tc>
      </w:tr>
      <w:tr w:rsidR="00494B49" w14:paraId="676DBBAC" w14:textId="77777777">
        <w:tc>
          <w:tcPr>
            <w:tcW w:w="2520" w:type="dxa"/>
          </w:tcPr>
          <w:p w14:paraId="0CBF5CFA" w14:textId="77777777" w:rsidR="00494B49" w:rsidRDefault="00494B49">
            <w:r>
              <w:t>IRAs/Pension</w:t>
            </w:r>
          </w:p>
        </w:tc>
        <w:tc>
          <w:tcPr>
            <w:tcW w:w="2520" w:type="dxa"/>
          </w:tcPr>
          <w:p w14:paraId="245E909B" w14:textId="77777777" w:rsidR="00494B49" w:rsidRDefault="00494B49">
            <w:r>
              <w:t>$600,000</w:t>
            </w:r>
          </w:p>
        </w:tc>
        <w:tc>
          <w:tcPr>
            <w:tcW w:w="2520" w:type="dxa"/>
          </w:tcPr>
          <w:p w14:paraId="5ADE3D1C" w14:textId="77777777" w:rsidR="00494B49" w:rsidRDefault="00494B49">
            <w:r>
              <w:t>$0</w:t>
            </w:r>
          </w:p>
        </w:tc>
        <w:tc>
          <w:tcPr>
            <w:tcW w:w="2520" w:type="dxa"/>
          </w:tcPr>
          <w:p w14:paraId="1ADB3ADC" w14:textId="77777777" w:rsidR="00494B49" w:rsidRDefault="00494B49">
            <w:r>
              <w:t>$0</w:t>
            </w:r>
          </w:p>
        </w:tc>
      </w:tr>
      <w:tr w:rsidR="00494B49" w14:paraId="31BEE53D" w14:textId="77777777">
        <w:tc>
          <w:tcPr>
            <w:tcW w:w="2520" w:type="dxa"/>
          </w:tcPr>
          <w:p w14:paraId="77C5A6B3" w14:textId="77777777" w:rsidR="00494B49" w:rsidRDefault="00494B49">
            <w:r>
              <w:t xml:space="preserve">Tax Base </w:t>
            </w:r>
          </w:p>
        </w:tc>
        <w:tc>
          <w:tcPr>
            <w:tcW w:w="2520" w:type="dxa"/>
          </w:tcPr>
          <w:p w14:paraId="74990C79" w14:textId="77777777" w:rsidR="00494B49" w:rsidRDefault="00494B49">
            <w:r>
              <w:t>$1,000,000</w:t>
            </w:r>
          </w:p>
        </w:tc>
        <w:tc>
          <w:tcPr>
            <w:tcW w:w="2520" w:type="dxa"/>
          </w:tcPr>
          <w:p w14:paraId="2E806A14" w14:textId="77777777" w:rsidR="00494B49" w:rsidRDefault="00494B49">
            <w:r>
              <w:t>$400,000</w:t>
            </w:r>
          </w:p>
        </w:tc>
        <w:tc>
          <w:tcPr>
            <w:tcW w:w="2520" w:type="dxa"/>
          </w:tcPr>
          <w:p w14:paraId="0F725F4E" w14:textId="77777777" w:rsidR="00494B49" w:rsidRDefault="00494B49">
            <w:r>
              <w:t>$400,000</w:t>
            </w:r>
          </w:p>
        </w:tc>
      </w:tr>
    </w:tbl>
    <w:p w14:paraId="036D2DF4" w14:textId="77777777" w:rsidR="00494B49" w:rsidRDefault="00494B49">
      <w:pPr>
        <w:pStyle w:val="BNormal"/>
      </w:pPr>
    </w:p>
    <w:p w14:paraId="0E88A67C" w14:textId="77777777" w:rsidR="00494B49" w:rsidRDefault="00494B49">
      <w:pPr>
        <w:pStyle w:val="BNormal"/>
      </w:pPr>
      <w:r>
        <w:t>In this case, the state income tax base does not include pensions or IRAs.</w:t>
      </w:r>
      <w:r>
        <w:rPr>
          <w:rStyle w:val="FootnoteReference"/>
        </w:rPr>
        <w:footnoteReference w:id="650"/>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1"/>
      </w:r>
    </w:p>
    <w:p w14:paraId="2B67A968" w14:textId="77777777" w:rsidR="00494B49" w:rsidRDefault="00494B49" w:rsidP="007865AF">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2DAC3C3" w14:textId="77777777" w:rsidR="00494B49" w:rsidRDefault="00494B49" w:rsidP="007865AF">
      <w:pPr>
        <w:pStyle w:val="BNormal"/>
      </w:pPr>
    </w:p>
    <w:tbl>
      <w:tblPr>
        <w:tblStyle w:val="TableGrid"/>
        <w:tblW w:w="0" w:type="auto"/>
        <w:tblLook w:val="04A0" w:firstRow="1" w:lastRow="0" w:firstColumn="1" w:lastColumn="0" w:noHBand="0" w:noVBand="1"/>
      </w:tblPr>
      <w:tblGrid>
        <w:gridCol w:w="2337"/>
        <w:gridCol w:w="2332"/>
        <w:gridCol w:w="2332"/>
        <w:gridCol w:w="2349"/>
      </w:tblGrid>
      <w:tr w:rsidR="00494B49" w14:paraId="3748C241" w14:textId="77777777">
        <w:tc>
          <w:tcPr>
            <w:tcW w:w="2520" w:type="dxa"/>
          </w:tcPr>
          <w:p w14:paraId="5D94E688" w14:textId="77777777" w:rsidR="00494B49" w:rsidRDefault="00494B49"/>
        </w:tc>
        <w:tc>
          <w:tcPr>
            <w:tcW w:w="2520" w:type="dxa"/>
          </w:tcPr>
          <w:p w14:paraId="345CCF51" w14:textId="77777777" w:rsidR="00494B49" w:rsidRDefault="00494B49">
            <w:r>
              <w:t>Federal Regular Tax</w:t>
            </w:r>
          </w:p>
        </w:tc>
        <w:tc>
          <w:tcPr>
            <w:tcW w:w="2520" w:type="dxa"/>
          </w:tcPr>
          <w:p w14:paraId="678A1D15" w14:textId="77777777" w:rsidR="00494B49" w:rsidRDefault="00494B49">
            <w:r>
              <w:t>Federal NIIT</w:t>
            </w:r>
          </w:p>
        </w:tc>
        <w:tc>
          <w:tcPr>
            <w:tcW w:w="2520" w:type="dxa"/>
          </w:tcPr>
          <w:p w14:paraId="388A937C" w14:textId="77777777" w:rsidR="00494B49" w:rsidRDefault="00494B49">
            <w:r>
              <w:t>State</w:t>
            </w:r>
          </w:p>
        </w:tc>
      </w:tr>
      <w:tr w:rsidR="00494B49" w14:paraId="61C49C8F" w14:textId="77777777">
        <w:tc>
          <w:tcPr>
            <w:tcW w:w="2520" w:type="dxa"/>
          </w:tcPr>
          <w:p w14:paraId="7D511904" w14:textId="77777777" w:rsidR="00494B49" w:rsidRDefault="00494B49">
            <w:r>
              <w:t xml:space="preserve">Wages </w:t>
            </w:r>
          </w:p>
        </w:tc>
        <w:tc>
          <w:tcPr>
            <w:tcW w:w="2520" w:type="dxa"/>
          </w:tcPr>
          <w:p w14:paraId="2B39B3C1" w14:textId="77777777" w:rsidR="00494B49" w:rsidRDefault="00494B49">
            <w:r>
              <w:t>$500,000</w:t>
            </w:r>
          </w:p>
        </w:tc>
        <w:tc>
          <w:tcPr>
            <w:tcW w:w="2520" w:type="dxa"/>
          </w:tcPr>
          <w:p w14:paraId="5FB1ABFB" w14:textId="77777777" w:rsidR="00494B49" w:rsidRDefault="00494B49">
            <w:r>
              <w:t>$0</w:t>
            </w:r>
          </w:p>
        </w:tc>
        <w:tc>
          <w:tcPr>
            <w:tcW w:w="2520" w:type="dxa"/>
          </w:tcPr>
          <w:p w14:paraId="3E1FB737" w14:textId="77777777" w:rsidR="00494B49" w:rsidRDefault="00494B49">
            <w:r>
              <w:t>$500,000</w:t>
            </w:r>
          </w:p>
        </w:tc>
      </w:tr>
      <w:tr w:rsidR="00494B49" w14:paraId="1CD41342" w14:textId="77777777">
        <w:tc>
          <w:tcPr>
            <w:tcW w:w="2520" w:type="dxa"/>
          </w:tcPr>
          <w:p w14:paraId="4EB70326" w14:textId="77777777" w:rsidR="00494B49" w:rsidRDefault="00494B49">
            <w:r>
              <w:t>Municipal Bonds (Out of State)</w:t>
            </w:r>
          </w:p>
        </w:tc>
        <w:tc>
          <w:tcPr>
            <w:tcW w:w="2520" w:type="dxa"/>
          </w:tcPr>
          <w:p w14:paraId="5E00A38B" w14:textId="77777777" w:rsidR="00494B49" w:rsidRDefault="00494B49">
            <w:r>
              <w:t>$0</w:t>
            </w:r>
          </w:p>
        </w:tc>
        <w:tc>
          <w:tcPr>
            <w:tcW w:w="2520" w:type="dxa"/>
          </w:tcPr>
          <w:p w14:paraId="598EE40F" w14:textId="77777777" w:rsidR="00494B49" w:rsidRDefault="00494B49">
            <w:r>
              <w:t>$0</w:t>
            </w:r>
          </w:p>
        </w:tc>
        <w:tc>
          <w:tcPr>
            <w:tcW w:w="2520" w:type="dxa"/>
          </w:tcPr>
          <w:p w14:paraId="59D0081C" w14:textId="77777777" w:rsidR="00494B49" w:rsidRDefault="00494B49">
            <w:r>
              <w:t>$2,000,000</w:t>
            </w:r>
          </w:p>
        </w:tc>
      </w:tr>
      <w:tr w:rsidR="00494B49" w14:paraId="40640BC5" w14:textId="77777777">
        <w:tc>
          <w:tcPr>
            <w:tcW w:w="2520" w:type="dxa"/>
          </w:tcPr>
          <w:p w14:paraId="0EF392D6" w14:textId="77777777" w:rsidR="00494B49" w:rsidRDefault="00494B49">
            <w:r>
              <w:t>Taxable Interest &amp; Dividends</w:t>
            </w:r>
          </w:p>
        </w:tc>
        <w:tc>
          <w:tcPr>
            <w:tcW w:w="2520" w:type="dxa"/>
          </w:tcPr>
          <w:p w14:paraId="3154D6A3" w14:textId="77777777" w:rsidR="00494B49" w:rsidRDefault="00494B49">
            <w:r>
              <w:t>$100,000</w:t>
            </w:r>
          </w:p>
        </w:tc>
        <w:tc>
          <w:tcPr>
            <w:tcW w:w="2520" w:type="dxa"/>
          </w:tcPr>
          <w:p w14:paraId="1EBAFC37" w14:textId="77777777" w:rsidR="00494B49" w:rsidRDefault="00494B49">
            <w:r>
              <w:t>$100,000</w:t>
            </w:r>
          </w:p>
        </w:tc>
        <w:tc>
          <w:tcPr>
            <w:tcW w:w="2520" w:type="dxa"/>
          </w:tcPr>
          <w:p w14:paraId="066A8B06" w14:textId="77777777" w:rsidR="00494B49" w:rsidRDefault="00494B49">
            <w:r>
              <w:t>$100,000</w:t>
            </w:r>
          </w:p>
        </w:tc>
      </w:tr>
      <w:tr w:rsidR="00494B49" w14:paraId="419D34A1" w14:textId="77777777">
        <w:tc>
          <w:tcPr>
            <w:tcW w:w="2520" w:type="dxa"/>
          </w:tcPr>
          <w:p w14:paraId="59244CF2" w14:textId="77777777" w:rsidR="00494B49" w:rsidRDefault="00494B49">
            <w:r>
              <w:t>Tax Base</w:t>
            </w:r>
          </w:p>
        </w:tc>
        <w:tc>
          <w:tcPr>
            <w:tcW w:w="2520" w:type="dxa"/>
          </w:tcPr>
          <w:p w14:paraId="60A8CB96" w14:textId="77777777" w:rsidR="00494B49" w:rsidRDefault="00494B49">
            <w:r>
              <w:t>$600,000</w:t>
            </w:r>
          </w:p>
        </w:tc>
        <w:tc>
          <w:tcPr>
            <w:tcW w:w="2520" w:type="dxa"/>
          </w:tcPr>
          <w:p w14:paraId="46971401" w14:textId="77777777" w:rsidR="00494B49" w:rsidRDefault="00494B49">
            <w:r>
              <w:t>$100,000</w:t>
            </w:r>
          </w:p>
        </w:tc>
        <w:tc>
          <w:tcPr>
            <w:tcW w:w="2520" w:type="dxa"/>
          </w:tcPr>
          <w:p w14:paraId="2CE75463" w14:textId="77777777" w:rsidR="00494B49" w:rsidRDefault="00494B49">
            <w:r>
              <w:t>$2,600,000</w:t>
            </w:r>
          </w:p>
        </w:tc>
      </w:tr>
      <w:tr w:rsidR="00494B49" w14:paraId="2E5912D6" w14:textId="77777777">
        <w:tc>
          <w:tcPr>
            <w:tcW w:w="2520" w:type="dxa"/>
          </w:tcPr>
          <w:p w14:paraId="46F8D616" w14:textId="77777777" w:rsidR="00494B49" w:rsidRDefault="00494B49">
            <w:r>
              <w:t>State Tax @ 4%</w:t>
            </w:r>
          </w:p>
        </w:tc>
        <w:tc>
          <w:tcPr>
            <w:tcW w:w="2520" w:type="dxa"/>
          </w:tcPr>
          <w:p w14:paraId="5339DC6A" w14:textId="77777777" w:rsidR="00494B49" w:rsidRDefault="00494B49"/>
        </w:tc>
        <w:tc>
          <w:tcPr>
            <w:tcW w:w="2520" w:type="dxa"/>
          </w:tcPr>
          <w:p w14:paraId="6DC9A0DA" w14:textId="77777777" w:rsidR="00494B49" w:rsidRDefault="00494B49"/>
        </w:tc>
        <w:tc>
          <w:tcPr>
            <w:tcW w:w="2520" w:type="dxa"/>
          </w:tcPr>
          <w:p w14:paraId="6B2CBCEF" w14:textId="77777777" w:rsidR="00494B49" w:rsidRDefault="00494B49">
            <w:r>
              <w:t>$104,000</w:t>
            </w:r>
          </w:p>
        </w:tc>
      </w:tr>
    </w:tbl>
    <w:p w14:paraId="2A3478E1" w14:textId="77777777" w:rsidR="00494B49" w:rsidRDefault="00494B49">
      <w:pPr>
        <w:pStyle w:val="BNormal"/>
      </w:pPr>
    </w:p>
    <w:p w14:paraId="3A0E211C" w14:textId="77777777" w:rsidR="00494B49" w:rsidRDefault="00494B49">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w:t>
      </w:r>
      <w:r>
        <w:lastRenderedPageBreak/>
        <w:t>dividends is only $4,000. The IRS may rightfully challenge the $17,333 allocation by arguing that a 16.66% allocation of state taxes resulting from the NII-to-AGI ratio is not a reasonable method in this particular case.</w:t>
      </w:r>
    </w:p>
    <w:p w14:paraId="4B19130D" w14:textId="77777777" w:rsidR="00494B49" w:rsidRDefault="00494B49">
      <w:pPr>
        <w:pStyle w:val="BHead3"/>
      </w:pPr>
      <w:r>
        <w:t xml:space="preserve">c. Unreasonable Toggling Between Methods </w:t>
      </w:r>
    </w:p>
    <w:p w14:paraId="1BFCB86F" w14:textId="77777777" w:rsidR="00494B49" w:rsidRDefault="00494B49">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2"/>
      </w:r>
      <w:r>
        <w:t xml:space="preserve"> Just as toggling a trust between a grantor trust and a </w:t>
      </w:r>
      <w:proofErr w:type="spellStart"/>
      <w:r>
        <w:t>nongrantor</w:t>
      </w:r>
      <w:proofErr w:type="spellEnd"/>
      <w:r>
        <w:t xml:space="preserve"> trust is not abusive, excessive or nefarious toggling may be.</w:t>
      </w:r>
      <w:r>
        <w:rPr>
          <w:rStyle w:val="FootnoteReference"/>
        </w:rPr>
        <w:footnoteReference w:id="653"/>
      </w:r>
    </w:p>
    <w:p w14:paraId="493C4494" w14:textId="77777777" w:rsidR="00494B49" w:rsidRDefault="00494B49">
      <w:pPr>
        <w:pStyle w:val="BNormal"/>
      </w:pPr>
      <w:r>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281FBBD5" w14:textId="77777777" w:rsidR="00494B49" w:rsidRDefault="00494B49">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64759A97" w14:textId="77777777" w:rsidR="00494B49" w:rsidRDefault="00494B49">
      <w:pPr>
        <w:pStyle w:val="BExamplepara"/>
      </w:pPr>
      <w:r>
        <w:rPr>
          <w:rStyle w:val="BExamplehead"/>
          <w:rFonts w:eastAsiaTheme="minorHAnsi"/>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0EB88640" w14:textId="77777777" w:rsidR="00494B49" w:rsidRDefault="00494B49">
      <w:pPr>
        <w:pStyle w:val="BHead3"/>
      </w:pPr>
      <w:r>
        <w:t xml:space="preserve">d. Estates and Trusts </w:t>
      </w:r>
    </w:p>
    <w:p w14:paraId="5802EE3C" w14:textId="77777777" w:rsidR="00494B49" w:rsidRDefault="00494B49">
      <w:pPr>
        <w:pStyle w:val="BNormal"/>
      </w:pPr>
      <w:r>
        <w:t xml:space="preserve">During the development of the </w:t>
      </w:r>
      <w:hyperlink r:id="rId12" w:history="1">
        <w:r>
          <w:rPr>
            <w:rStyle w:val="Hyperlink"/>
          </w:rPr>
          <w:t>Instructions for Form 8960</w:t>
        </w:r>
      </w:hyperlink>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4"/>
      </w:r>
      <w:r>
        <w:t xml:space="preserve"> Under Reg. </w:t>
      </w:r>
      <w:smartTag w:uri="http://www.bna.com/sgml2word/cite" w:element="cite.cfr">
        <w:smartTagPr>
          <w:attr w:name="ref" w:val="cfr\26\1.652(b)-3(b)"/>
        </w:smartTagPr>
        <w:r>
          <w:t>§1.652(b)-3(b)</w:t>
        </w:r>
      </w:smartTag>
      <w:r>
        <w:t xml:space="preserve">, deductions that are not directly attributable to a specific class of income may be allocated to any item of income (including capital gains) included in computing distributable net income, but a portion must be allocated to nontaxable </w:t>
      </w:r>
      <w:r>
        <w:lastRenderedPageBreak/>
        <w:t>income.</w:t>
      </w:r>
      <w:r>
        <w:rPr>
          <w:rStyle w:val="FootnoteReference"/>
        </w:rPr>
        <w:footnoteReference w:id="655"/>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037A5B5A" w14:textId="77777777" w:rsidR="00494B49" w:rsidRDefault="00494B49">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hyperlink r:id="rId13" w:history="1">
        <w:r>
          <w:rPr>
            <w:rStyle w:val="Hyperlink"/>
          </w:rPr>
          <w:t>Instructions for Form 8960</w:t>
        </w:r>
      </w:hyperlink>
      <w:r>
        <w:t xml:space="preserve"> expressly state that “[</w:t>
      </w:r>
      <w:proofErr w:type="spellStart"/>
      <w:r>
        <w:t>i</w:t>
      </w:r>
      <w:proofErr w:type="spellEnd"/>
      <w:r>
        <w:t xml:space="preserve">]f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6"/>
      </w:r>
    </w:p>
    <w:p w14:paraId="080F4039" w14:textId="77777777" w:rsidR="00494B49" w:rsidRDefault="00494B49">
      <w:pPr>
        <w:pStyle w:val="BHead1"/>
      </w:pPr>
      <w:r>
        <w:t>D. Application of §67 and §68 Limitations</w:t>
      </w:r>
    </w:p>
    <w:p w14:paraId="4C1F8AD8" w14:textId="77777777" w:rsidR="00494B49" w:rsidRDefault="00494B49">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7"/>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8"/>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59"/>
      </w:r>
      <w:r>
        <w:t xml:space="preserve"> Some deductions allowable for tax years beginning before 2018, such as investment expenses</w:t>
      </w:r>
      <w:r>
        <w:rPr>
          <w:rStyle w:val="FootnoteReference"/>
        </w:rPr>
        <w:footnoteReference w:id="660"/>
      </w:r>
      <w:r>
        <w:t xml:space="preserve"> and tax-related expenses,</w:t>
      </w:r>
      <w:r>
        <w:rPr>
          <w:rStyle w:val="FootnoteReference"/>
        </w:rPr>
        <w:footnoteReference w:id="661"/>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2"/>
      </w:r>
      <w:r>
        <w:t xml:space="preserve"> are subject only to the limitation under </w:t>
      </w:r>
      <w:smartTag w:uri="http://www.bna.com/sgml2word/cite" w:element="cite.usc">
        <w:smartTagPr>
          <w:attr w:name="ref" w:val="USC\26\68"/>
        </w:smartTagPr>
        <w:r>
          <w:t>§68</w:t>
        </w:r>
      </w:smartTag>
      <w:r>
        <w:t>.</w:t>
      </w:r>
    </w:p>
    <w:p w14:paraId="711E6CE3" w14:textId="77777777" w:rsidR="00494B49" w:rsidRDefault="00494B49">
      <w:pPr>
        <w:pStyle w:val="BNormal"/>
      </w:pPr>
      <w:r>
        <w:lastRenderedPageBreak/>
        <w:t>For tax years beginning in 2018 through 2025, miscellaneous itemized deductions are disallowed,</w:t>
      </w:r>
      <w:r>
        <w:rPr>
          <w:rStyle w:val="FootnoteReference"/>
        </w:rPr>
        <w:footnoteReference w:id="663"/>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4"/>
      </w:r>
      <w:r>
        <w:t xml:space="preserve"> As a result, the mechanics contained in this portion of the 2013 Final Regulations should be suspended for tax years beginning in 2018 through 2025.</w:t>
      </w:r>
    </w:p>
    <w:p w14:paraId="37443A4D" w14:textId="77777777" w:rsidR="00494B49" w:rsidRDefault="00494B49">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4F7D5CEF" w14:textId="77777777" w:rsidR="00494B49" w:rsidRDefault="00494B49">
      <w:pPr>
        <w:pStyle w:val="BHead2"/>
      </w:pPr>
      <w:r>
        <w:t xml:space="preserve">1. Step 1 — Application of the §67 Limitation </w:t>
      </w:r>
    </w:p>
    <w:p w14:paraId="1763292C" w14:textId="77777777" w:rsidR="00494B49" w:rsidRDefault="00494B49">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they exceed 2% of the taxpayer’s adjusted gross income.</w:t>
      </w:r>
      <w:r>
        <w:rPr>
          <w:rStyle w:val="FootnoteReference"/>
        </w:rPr>
        <w:footnoteReference w:id="665"/>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6"/>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522F497C" w14:textId="77777777" w:rsidR="00494B49" w:rsidRDefault="00494B49">
      <w:pPr>
        <w:pStyle w:val="BHead2"/>
      </w:pPr>
      <w:r>
        <w:t>2. Step 2 — Application of the §68 Limitation</w:t>
      </w:r>
    </w:p>
    <w:p w14:paraId="7B230557" w14:textId="77777777" w:rsidR="00494B49" w:rsidRDefault="00494B49">
      <w:pPr>
        <w:pStyle w:val="BNormal"/>
      </w:pPr>
      <w:r>
        <w:t>For tax years beginning before 2018,</w:t>
      </w:r>
      <w:r>
        <w:rPr>
          <w:rStyle w:val="FootnoteReference"/>
        </w:rPr>
        <w:footnoteReference w:id="667"/>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8"/>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69"/>
      </w:r>
    </w:p>
    <w:p w14:paraId="0990DF02" w14:textId="77777777" w:rsidR="00494B49" w:rsidRDefault="00494B49">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w:t>
      </w:r>
      <w:proofErr w:type="spellStart"/>
      <w:r>
        <w:t>nonmiscellaneous</w:t>
      </w:r>
      <w:proofErr w:type="spellEnd"/>
      <w:r>
        <w:t xml:space="preserve">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70"/>
      </w:r>
      <w:r>
        <w:t xml:space="preserve"> In other words, the amount of itemized </w:t>
      </w:r>
      <w:r>
        <w:lastRenderedPageBreak/>
        <w:t xml:space="preserve">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15C801B5" w14:textId="77777777" w:rsidR="00494B49" w:rsidRDefault="00494B49">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34F63626" w14:textId="77777777" w:rsidR="00494B49" w:rsidRDefault="00494B49">
      <w:pPr>
        <w:pStyle w:val="BHead2"/>
      </w:pPr>
      <w:r>
        <w:t>3. Planning and Compliance</w:t>
      </w:r>
    </w:p>
    <w:p w14:paraId="64882EE3" w14:textId="77777777" w:rsidR="00494B49" w:rsidRDefault="00494B49">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1"/>
      </w:r>
      <w:r>
        <w:t xml:space="preserve"> to </w:t>
      </w:r>
      <w:smartTag w:uri="http://www.bna.com/sgml2word/cite" w:element="cite.usc">
        <w:smartTagPr>
          <w:attr w:name="ref" w:val="USC\26\1411(c)(1)(B)"/>
        </w:smartTagPr>
        <w:r>
          <w:t>§1411(c)(1)(B)</w:t>
        </w:r>
      </w:smartTag>
      <w:r>
        <w:t xml:space="preserve"> properly 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2"/>
      </w:r>
    </w:p>
    <w:p w14:paraId="577BA78F" w14:textId="77777777" w:rsidR="00494B49" w:rsidRDefault="00494B49">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3"/>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4"/>
      </w:r>
    </w:p>
    <w:p w14:paraId="3DD804C6" w14:textId="77777777" w:rsidR="00494B49" w:rsidRDefault="00494B49">
      <w:pPr>
        <w:pStyle w:val="BHead3"/>
      </w:pPr>
      <w:r>
        <w:t>a. Application of Form 8960 to Regulation Example</w:t>
      </w:r>
    </w:p>
    <w:p w14:paraId="233BE205" w14:textId="77777777" w:rsidR="00494B49" w:rsidRDefault="00494B49">
      <w:pPr>
        <w:pStyle w:val="BNormal"/>
      </w:pPr>
      <w:r>
        <w:t xml:space="preserve">The following table applies worksheet and allocation methodology from the </w:t>
      </w:r>
      <w:hyperlink r:id="rId14" w:history="1">
        <w:r>
          <w:rPr>
            <w:rStyle w:val="Hyperlink"/>
          </w:rPr>
          <w:t>Instructions for Form 8960</w:t>
        </w:r>
      </w:hyperlink>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5"/>
      </w:r>
    </w:p>
    <w:p w14:paraId="4B5A953C" w14:textId="77777777" w:rsidR="00494B49" w:rsidRDefault="00494B49">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6D1BFA35" w14:textId="77777777" w:rsidR="00494B49" w:rsidRDefault="00494B49">
      <w:pPr>
        <w:pStyle w:val="BListitembul"/>
      </w:pPr>
      <w:r>
        <w:t>Investment expenses of $70,000;</w:t>
      </w:r>
    </w:p>
    <w:p w14:paraId="655AB42B" w14:textId="77777777" w:rsidR="00494B49" w:rsidRDefault="00494B49">
      <w:pPr>
        <w:pStyle w:val="BListitembul"/>
      </w:pPr>
      <w:r>
        <w:t xml:space="preserve">Job-related expenses of $30,000; </w:t>
      </w:r>
    </w:p>
    <w:p w14:paraId="63BECBA2" w14:textId="77777777" w:rsidR="00494B49" w:rsidRDefault="00494B49">
      <w:pPr>
        <w:pStyle w:val="BListitembul"/>
      </w:pPr>
      <w:r>
        <w:t xml:space="preserve">Investment interest expense of $75,000; and </w:t>
      </w:r>
    </w:p>
    <w:p w14:paraId="2996E2EA" w14:textId="77777777" w:rsidR="00494B49" w:rsidRDefault="00494B49">
      <w:pPr>
        <w:pStyle w:val="BListitembul"/>
      </w:pPr>
      <w:r>
        <w:lastRenderedPageBreak/>
        <w:t xml:space="preserve">State income taxes of $120,000. </w:t>
      </w:r>
    </w:p>
    <w:p w14:paraId="1C8BF56A" w14:textId="77777777" w:rsidR="00494B49" w:rsidRDefault="00494B49" w:rsidP="007865AF">
      <w:pPr>
        <w:pStyle w:val="BNormal"/>
      </w:pPr>
      <w:r>
        <w:t xml:space="preserve">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 </w:t>
      </w:r>
    </w:p>
    <w:p w14:paraId="4052A525"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07"/>
        <w:gridCol w:w="1889"/>
      </w:tblGrid>
      <w:tr w:rsidR="004D5B60" w14:paraId="1F7A319F" w14:textId="25653527" w:rsidTr="004D5B60">
        <w:tc>
          <w:tcPr>
            <w:tcW w:w="4858" w:type="dxa"/>
          </w:tcPr>
          <w:p w14:paraId="3D965AC7" w14:textId="77777777" w:rsidR="00494B49" w:rsidRDefault="00494B49">
            <w:r>
              <w:t xml:space="preserve"> </w:t>
            </w:r>
            <w:r>
              <w:rPr>
                <w:b/>
                <w:i/>
              </w:rPr>
              <w:t>Form 8960, Lines 9-10 Worksheet</w:t>
            </w:r>
          </w:p>
          <w:p w14:paraId="4C255211" w14:textId="77777777" w:rsidR="00494B49" w:rsidRDefault="00494B49">
            <w:r>
              <w:t xml:space="preserve"> </w:t>
            </w:r>
            <w:r>
              <w:rPr>
                <w:b/>
                <w:i/>
              </w:rPr>
              <w:t>Part I</w:t>
            </w:r>
          </w:p>
          <w:p w14:paraId="4ECA44D8" w14:textId="77777777" w:rsidR="00494B49" w:rsidRDefault="00494B49">
            <w:r>
              <w:t xml:space="preserve"> </w:t>
            </w:r>
            <w:r>
              <w:rPr>
                <w:b/>
                <w:i/>
              </w:rPr>
              <w:t>Application of Section 67 to Deductions Properly Allocable to Investment Income</w:t>
            </w:r>
          </w:p>
          <w:p w14:paraId="40BFF72C" w14:textId="77777777" w:rsidR="00494B49" w:rsidRDefault="00494B49"/>
        </w:tc>
        <w:tc>
          <w:tcPr>
            <w:tcW w:w="2607" w:type="dxa"/>
            <w:shd w:val="clear" w:color="auto" w:fill="auto"/>
          </w:tcPr>
          <w:p w14:paraId="61861FCF" w14:textId="77777777" w:rsidR="004D5B60" w:rsidRDefault="004D5B60"/>
        </w:tc>
        <w:tc>
          <w:tcPr>
            <w:tcW w:w="1889" w:type="dxa"/>
            <w:shd w:val="clear" w:color="auto" w:fill="auto"/>
          </w:tcPr>
          <w:p w14:paraId="36B4E286" w14:textId="77777777" w:rsidR="004D5B60" w:rsidRDefault="004D5B60"/>
        </w:tc>
      </w:tr>
      <w:tr w:rsidR="00494B49" w14:paraId="6F31A393" w14:textId="77777777" w:rsidTr="004D5B60">
        <w:tc>
          <w:tcPr>
            <w:tcW w:w="4858" w:type="dxa"/>
          </w:tcPr>
          <w:p w14:paraId="2DCE640C"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07" w:type="dxa"/>
          </w:tcPr>
          <w:p w14:paraId="61E0FE8B" w14:textId="77777777" w:rsidR="00494B49" w:rsidRDefault="00494B49"/>
        </w:tc>
        <w:tc>
          <w:tcPr>
            <w:tcW w:w="1889" w:type="dxa"/>
          </w:tcPr>
          <w:p w14:paraId="0F9200B4" w14:textId="77777777" w:rsidR="00494B49" w:rsidRDefault="00494B49"/>
        </w:tc>
      </w:tr>
      <w:tr w:rsidR="004D5B60" w14:paraId="65D443F7" w14:textId="2F0D148B" w:rsidTr="004D5B60">
        <w:tc>
          <w:tcPr>
            <w:tcW w:w="4858" w:type="dxa"/>
          </w:tcPr>
          <w:p w14:paraId="5E5D225B" w14:textId="77777777" w:rsidR="00494B49" w:rsidRDefault="00494B49">
            <w:r>
              <w:t>(a) Investment Expenses     9c</w:t>
            </w:r>
          </w:p>
          <w:p w14:paraId="35FBE2E3" w14:textId="77777777" w:rsidR="00494B49" w:rsidRDefault="00494B49">
            <w:r>
              <w:t> Description        Line</w:t>
            </w:r>
          </w:p>
        </w:tc>
        <w:tc>
          <w:tcPr>
            <w:tcW w:w="2607" w:type="dxa"/>
          </w:tcPr>
          <w:p w14:paraId="1B3BF289" w14:textId="77777777" w:rsidR="00494B49" w:rsidRDefault="00494B49">
            <w:r>
              <w:t>$70,000</w:t>
            </w:r>
          </w:p>
        </w:tc>
        <w:tc>
          <w:tcPr>
            <w:tcW w:w="1889" w:type="dxa"/>
            <w:shd w:val="clear" w:color="auto" w:fill="auto"/>
          </w:tcPr>
          <w:p w14:paraId="23D9EDEB" w14:textId="77777777" w:rsidR="004D5B60" w:rsidRDefault="004D5B60"/>
        </w:tc>
      </w:tr>
      <w:tr w:rsidR="00494B49" w14:paraId="6A7BFD6B" w14:textId="77777777" w:rsidTr="004D5B60">
        <w:tc>
          <w:tcPr>
            <w:tcW w:w="4858" w:type="dxa"/>
          </w:tcPr>
          <w:p w14:paraId="1B403E8A" w14:textId="77777777" w:rsidR="00494B49" w:rsidRDefault="00494B49">
            <w:r>
              <w:t>Enter the total of all items listed in Line 1</w:t>
            </w:r>
          </w:p>
        </w:tc>
        <w:tc>
          <w:tcPr>
            <w:tcW w:w="2607" w:type="dxa"/>
          </w:tcPr>
          <w:p w14:paraId="0AABE584" w14:textId="77777777" w:rsidR="00494B49" w:rsidRDefault="00494B49"/>
        </w:tc>
        <w:tc>
          <w:tcPr>
            <w:tcW w:w="1889" w:type="dxa"/>
          </w:tcPr>
          <w:p w14:paraId="7F90A0F6" w14:textId="77777777" w:rsidR="00494B49" w:rsidRDefault="00494B49">
            <w:r>
              <w:t>$70,000</w:t>
            </w:r>
          </w:p>
        </w:tc>
      </w:tr>
      <w:tr w:rsidR="004D5B60" w14:paraId="07B708F1" w14:textId="7A89068A" w:rsidTr="004D5B60">
        <w:tc>
          <w:tcPr>
            <w:tcW w:w="4858" w:type="dxa"/>
          </w:tcPr>
          <w:p w14:paraId="31B5DC0C" w14:textId="77777777" w:rsidR="00494B49" w:rsidRDefault="00494B49">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07" w:type="dxa"/>
          </w:tcPr>
          <w:p w14:paraId="28C77A99" w14:textId="77777777" w:rsidR="00494B49" w:rsidRDefault="00494B49">
            <w:r>
              <w:t>$60,000</w:t>
            </w:r>
            <w:r>
              <w:rPr>
                <w:rStyle w:val="FootnoteReference"/>
              </w:rPr>
              <w:footnoteReference w:id="676"/>
            </w:r>
          </w:p>
        </w:tc>
        <w:tc>
          <w:tcPr>
            <w:tcW w:w="1889" w:type="dxa"/>
            <w:shd w:val="clear" w:color="auto" w:fill="auto"/>
          </w:tcPr>
          <w:p w14:paraId="75CCE8D8" w14:textId="77777777" w:rsidR="004D5B60" w:rsidRDefault="004D5B60"/>
        </w:tc>
      </w:tr>
      <w:tr w:rsidR="00494B49" w14:paraId="69516EB0" w14:textId="77777777" w:rsidTr="004D5B60">
        <w:tc>
          <w:tcPr>
            <w:tcW w:w="4858" w:type="dxa"/>
          </w:tcPr>
          <w:p w14:paraId="13DEB25C" w14:textId="77777777" w:rsidR="00494B49" w:rsidRDefault="00494B49">
            <w:r>
              <w:t xml:space="preserve">Enter the lesser of the total reported on Line 2 or Line 3. </w:t>
            </w:r>
          </w:p>
        </w:tc>
        <w:tc>
          <w:tcPr>
            <w:tcW w:w="2607" w:type="dxa"/>
          </w:tcPr>
          <w:p w14:paraId="616D3EB9" w14:textId="77777777" w:rsidR="00494B49" w:rsidRDefault="00494B49"/>
        </w:tc>
        <w:tc>
          <w:tcPr>
            <w:tcW w:w="1889" w:type="dxa"/>
          </w:tcPr>
          <w:p w14:paraId="370C2E1A" w14:textId="77777777" w:rsidR="00494B49" w:rsidRDefault="00494B49">
            <w:r>
              <w:t>$60,000</w:t>
            </w:r>
          </w:p>
        </w:tc>
      </w:tr>
    </w:tbl>
    <w:p w14:paraId="74104E92" w14:textId="77777777" w:rsidR="00494B49" w:rsidRDefault="00494B49">
      <w:pPr>
        <w:pStyle w:val="BNormal"/>
      </w:pPr>
      <w:r>
        <w:t xml:space="preserve"> </w:t>
      </w:r>
    </w:p>
    <w:p w14:paraId="30A321D0" w14:textId="77777777" w:rsidR="00494B49" w:rsidRDefault="00494B49" w:rsidP="007865AF">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xml:space="preserve">, Lines 9–10 Worksheet, Part II. </w:t>
      </w:r>
    </w:p>
    <w:p w14:paraId="7D54FC41" w14:textId="77777777" w:rsidR="00494B49" w:rsidRDefault="00494B49" w:rsidP="007865AF">
      <w:pPr>
        <w:pStyle w:val="BNormal"/>
      </w:pPr>
    </w:p>
    <w:tbl>
      <w:tblPr>
        <w:tblStyle w:val="TableGrid"/>
        <w:tblW w:w="9357" w:type="dxa"/>
        <w:tblLook w:val="04A0" w:firstRow="1" w:lastRow="0" w:firstColumn="1" w:lastColumn="0" w:noHBand="0" w:noVBand="1"/>
      </w:tblPr>
      <w:tblGrid>
        <w:gridCol w:w="4017"/>
        <w:gridCol w:w="1991"/>
        <w:gridCol w:w="1962"/>
        <w:gridCol w:w="7"/>
        <w:gridCol w:w="1373"/>
        <w:gridCol w:w="7"/>
      </w:tblGrid>
      <w:tr w:rsidR="004D5B60" w14:paraId="6B1923D9" w14:textId="0F1BCE64" w:rsidTr="004D5B60">
        <w:tc>
          <w:tcPr>
            <w:tcW w:w="4017" w:type="dxa"/>
          </w:tcPr>
          <w:p w14:paraId="405E45B2" w14:textId="77777777" w:rsidR="00494B49" w:rsidRDefault="00494B49">
            <w:r>
              <w:t xml:space="preserve"> </w:t>
            </w:r>
            <w:r>
              <w:rPr>
                <w:b/>
                <w:i/>
              </w:rPr>
              <w:t>Form 8960, Lines 9-10 Worksheet</w:t>
            </w:r>
          </w:p>
          <w:p w14:paraId="7BA48FB5" w14:textId="77777777" w:rsidR="00494B49" w:rsidRDefault="00494B49">
            <w:r>
              <w:t xml:space="preserve"> </w:t>
            </w:r>
            <w:r>
              <w:rPr>
                <w:b/>
                <w:i/>
              </w:rPr>
              <w:t>Part III</w:t>
            </w:r>
          </w:p>
          <w:p w14:paraId="732A0EFB" w14:textId="77777777" w:rsidR="00494B49" w:rsidRDefault="00494B49">
            <w:r>
              <w:t xml:space="preserve"> </w:t>
            </w:r>
            <w:r>
              <w:rPr>
                <w:b/>
                <w:i/>
              </w:rPr>
              <w:t>Application of Section 68 to deductions properly allocable to investment income</w:t>
            </w:r>
          </w:p>
          <w:p w14:paraId="2F8DB9AE" w14:textId="77777777" w:rsidR="00494B49" w:rsidRDefault="00494B49">
            <w:r>
              <w:t xml:space="preserve"> </w:t>
            </w:r>
            <w:r>
              <w:rPr>
                <w:b/>
                <w:i/>
              </w:rPr>
              <w:t>(Individuals Only)</w:t>
            </w:r>
          </w:p>
        </w:tc>
        <w:tc>
          <w:tcPr>
            <w:tcW w:w="1991" w:type="dxa"/>
            <w:shd w:val="clear" w:color="auto" w:fill="auto"/>
          </w:tcPr>
          <w:p w14:paraId="37A08843" w14:textId="77777777" w:rsidR="004D5B60" w:rsidRDefault="004D5B60"/>
        </w:tc>
        <w:tc>
          <w:tcPr>
            <w:tcW w:w="1969" w:type="dxa"/>
            <w:gridSpan w:val="2"/>
            <w:shd w:val="clear" w:color="auto" w:fill="auto"/>
          </w:tcPr>
          <w:p w14:paraId="7F482E0E" w14:textId="77777777" w:rsidR="004D5B60" w:rsidRDefault="004D5B60"/>
        </w:tc>
        <w:tc>
          <w:tcPr>
            <w:tcW w:w="1380" w:type="dxa"/>
            <w:gridSpan w:val="2"/>
            <w:shd w:val="clear" w:color="auto" w:fill="auto"/>
          </w:tcPr>
          <w:p w14:paraId="38C99D2F" w14:textId="77777777" w:rsidR="004D5B60" w:rsidRDefault="004D5B60"/>
        </w:tc>
      </w:tr>
      <w:tr w:rsidR="00494B49" w14:paraId="3AACACF1" w14:textId="77777777" w:rsidTr="004D5B60">
        <w:trPr>
          <w:gridAfter w:val="1"/>
          <w:wAfter w:w="7" w:type="dxa"/>
        </w:trPr>
        <w:tc>
          <w:tcPr>
            <w:tcW w:w="4017" w:type="dxa"/>
          </w:tcPr>
          <w:p w14:paraId="3E811B4B" w14:textId="77777777" w:rsidR="00494B49" w:rsidRDefault="00494B49">
            <w:r>
              <w:t>(1)</w:t>
            </w:r>
          </w:p>
        </w:tc>
        <w:tc>
          <w:tcPr>
            <w:tcW w:w="1991" w:type="dxa"/>
          </w:tcPr>
          <w:p w14:paraId="7A00CF9A" w14:textId="77777777" w:rsidR="00494B49" w:rsidRDefault="00494B49">
            <w:r>
              <w:t xml:space="preserve">Enter the amount of Miscellaneous Itemized Deductions properly allocable to investment income from column (C) of Part II. </w:t>
            </w:r>
          </w:p>
        </w:tc>
        <w:tc>
          <w:tcPr>
            <w:tcW w:w="1962" w:type="dxa"/>
          </w:tcPr>
          <w:p w14:paraId="0C295277" w14:textId="77777777" w:rsidR="00494B49" w:rsidRDefault="00494B49"/>
        </w:tc>
        <w:tc>
          <w:tcPr>
            <w:tcW w:w="1380" w:type="dxa"/>
            <w:gridSpan w:val="2"/>
          </w:tcPr>
          <w:p w14:paraId="284D5B1A" w14:textId="77777777" w:rsidR="00494B49" w:rsidRDefault="00494B49"/>
        </w:tc>
      </w:tr>
      <w:tr w:rsidR="00B5099F" w14:paraId="7BB03D38" w14:textId="3DD04D63" w:rsidTr="00B5099F">
        <w:trPr>
          <w:gridAfter w:val="1"/>
          <w:wAfter w:w="7" w:type="dxa"/>
        </w:trPr>
        <w:tc>
          <w:tcPr>
            <w:tcW w:w="4017" w:type="dxa"/>
          </w:tcPr>
          <w:p w14:paraId="0D7371BF" w14:textId="77777777" w:rsidR="00494B49" w:rsidRDefault="00494B49"/>
        </w:tc>
        <w:tc>
          <w:tcPr>
            <w:tcW w:w="1991" w:type="dxa"/>
          </w:tcPr>
          <w:p w14:paraId="20DF57D9" w14:textId="77777777" w:rsidR="00494B49" w:rsidRDefault="00494B49">
            <w:r>
              <w:t>(a) Investment Expenses     9c</w:t>
            </w:r>
          </w:p>
          <w:p w14:paraId="3339E0CC" w14:textId="77777777" w:rsidR="00494B49" w:rsidRDefault="00494B49">
            <w:r>
              <w:t> Description        Line</w:t>
            </w:r>
          </w:p>
        </w:tc>
        <w:tc>
          <w:tcPr>
            <w:tcW w:w="1962" w:type="dxa"/>
          </w:tcPr>
          <w:p w14:paraId="4E71B818" w14:textId="77777777" w:rsidR="00494B49" w:rsidRDefault="00494B49">
            <w:r>
              <w:t>$ 60,000</w:t>
            </w:r>
          </w:p>
        </w:tc>
        <w:tc>
          <w:tcPr>
            <w:tcW w:w="1380" w:type="dxa"/>
            <w:gridSpan w:val="2"/>
            <w:shd w:val="clear" w:color="auto" w:fill="auto"/>
          </w:tcPr>
          <w:p w14:paraId="7B35AB0C" w14:textId="77777777" w:rsidR="00B5099F" w:rsidRDefault="00B5099F"/>
        </w:tc>
      </w:tr>
      <w:tr w:rsidR="00494B49" w14:paraId="7B697A0B" w14:textId="77777777" w:rsidTr="004D5B60">
        <w:trPr>
          <w:gridAfter w:val="1"/>
          <w:wAfter w:w="7" w:type="dxa"/>
        </w:trPr>
        <w:tc>
          <w:tcPr>
            <w:tcW w:w="4017" w:type="dxa"/>
          </w:tcPr>
          <w:p w14:paraId="332978A4" w14:textId="77777777" w:rsidR="00494B49" w:rsidRDefault="00494B49">
            <w:r>
              <w:t>(2)</w:t>
            </w:r>
          </w:p>
        </w:tc>
        <w:tc>
          <w:tcPr>
            <w:tcW w:w="1991" w:type="dxa"/>
          </w:tcPr>
          <w:p w14:paraId="5906099D" w14:textId="77777777" w:rsidR="00494B49" w:rsidRDefault="00494B49">
            <w:r>
              <w:t xml:space="preserve">Enter the amount of state, local, and foreign income taxes that are properly allocable to investment income. </w:t>
            </w:r>
          </w:p>
        </w:tc>
        <w:tc>
          <w:tcPr>
            <w:tcW w:w="1962" w:type="dxa"/>
          </w:tcPr>
          <w:p w14:paraId="57ABA44D" w14:textId="77777777" w:rsidR="00494B49" w:rsidRDefault="00494B49">
            <w:r>
              <w:t>$ 20,000</w:t>
            </w:r>
            <w:r>
              <w:rPr>
                <w:rStyle w:val="FootnoteReference"/>
              </w:rPr>
              <w:footnoteReference w:id="677"/>
            </w:r>
          </w:p>
        </w:tc>
        <w:tc>
          <w:tcPr>
            <w:tcW w:w="1380" w:type="dxa"/>
            <w:gridSpan w:val="2"/>
          </w:tcPr>
          <w:p w14:paraId="6ECAF6C3" w14:textId="77777777" w:rsidR="00494B49" w:rsidRDefault="00494B49"/>
        </w:tc>
      </w:tr>
      <w:tr w:rsidR="00494B49" w14:paraId="2E38099A" w14:textId="77777777" w:rsidTr="004D5B60">
        <w:trPr>
          <w:gridAfter w:val="1"/>
          <w:wAfter w:w="7" w:type="dxa"/>
        </w:trPr>
        <w:tc>
          <w:tcPr>
            <w:tcW w:w="4017" w:type="dxa"/>
          </w:tcPr>
          <w:p w14:paraId="187BE4B8" w14:textId="77777777" w:rsidR="00494B49" w:rsidRDefault="00494B49">
            <w:r>
              <w:t>(3)</w:t>
            </w:r>
          </w:p>
        </w:tc>
        <w:tc>
          <w:tcPr>
            <w:tcW w:w="1991" w:type="dxa"/>
          </w:tcPr>
          <w:p w14:paraId="64022FE6"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42F46837" w14:textId="77777777" w:rsidR="00494B49" w:rsidRDefault="00494B49">
            <w:r>
              <w:t>None</w:t>
            </w:r>
          </w:p>
        </w:tc>
        <w:tc>
          <w:tcPr>
            <w:tcW w:w="1380" w:type="dxa"/>
            <w:gridSpan w:val="2"/>
          </w:tcPr>
          <w:p w14:paraId="354EE1C5" w14:textId="77777777" w:rsidR="00494B49" w:rsidRDefault="00494B49"/>
        </w:tc>
      </w:tr>
      <w:tr w:rsidR="00B5099F" w14:paraId="70DE2DFC" w14:textId="54EFF4A1" w:rsidTr="00B5099F">
        <w:trPr>
          <w:gridAfter w:val="1"/>
          <w:wAfter w:w="7" w:type="dxa"/>
        </w:trPr>
        <w:tc>
          <w:tcPr>
            <w:tcW w:w="4017" w:type="dxa"/>
          </w:tcPr>
          <w:p w14:paraId="36D513EA" w14:textId="77777777" w:rsidR="00494B49" w:rsidRDefault="00494B49">
            <w:r>
              <w:t>(4)</w:t>
            </w:r>
          </w:p>
        </w:tc>
        <w:tc>
          <w:tcPr>
            <w:tcW w:w="1991" w:type="dxa"/>
          </w:tcPr>
          <w:p w14:paraId="2769CFFA"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215C66BD" w14:textId="77777777" w:rsidR="00494B49" w:rsidRDefault="00494B49">
            <w:r>
              <w:t>$ 80,000</w:t>
            </w:r>
          </w:p>
        </w:tc>
        <w:tc>
          <w:tcPr>
            <w:tcW w:w="1380" w:type="dxa"/>
            <w:gridSpan w:val="2"/>
            <w:shd w:val="clear" w:color="auto" w:fill="auto"/>
          </w:tcPr>
          <w:p w14:paraId="14889557" w14:textId="77777777" w:rsidR="00B5099F" w:rsidRDefault="00B5099F"/>
        </w:tc>
      </w:tr>
      <w:tr w:rsidR="00494B49" w14:paraId="19A4C856" w14:textId="77777777" w:rsidTr="004D5B60">
        <w:trPr>
          <w:gridAfter w:val="1"/>
          <w:wAfter w:w="7" w:type="dxa"/>
        </w:trPr>
        <w:tc>
          <w:tcPr>
            <w:tcW w:w="4017" w:type="dxa"/>
          </w:tcPr>
          <w:p w14:paraId="169707C6" w14:textId="77777777" w:rsidR="00494B49" w:rsidRDefault="00494B49">
            <w:r>
              <w:t>(5)</w:t>
            </w:r>
          </w:p>
        </w:tc>
        <w:tc>
          <w:tcPr>
            <w:tcW w:w="1991" w:type="dxa"/>
          </w:tcPr>
          <w:p w14:paraId="3B11E7B5"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38F2EE1C" w14:textId="77777777" w:rsidR="00494B49" w:rsidRDefault="00494B49">
            <w:r>
              <w:t>$201,000</w:t>
            </w:r>
            <w:r>
              <w:rPr>
                <w:rStyle w:val="FootnoteReference"/>
              </w:rPr>
              <w:footnoteReference w:id="678"/>
            </w:r>
          </w:p>
        </w:tc>
        <w:tc>
          <w:tcPr>
            <w:tcW w:w="1380" w:type="dxa"/>
            <w:gridSpan w:val="2"/>
          </w:tcPr>
          <w:p w14:paraId="5AA57C77" w14:textId="77777777" w:rsidR="00494B49" w:rsidRDefault="00494B49"/>
        </w:tc>
      </w:tr>
      <w:tr w:rsidR="00494B49" w14:paraId="5B2E9F1B" w14:textId="77777777" w:rsidTr="004D5B60">
        <w:trPr>
          <w:gridAfter w:val="1"/>
          <w:wAfter w:w="7" w:type="dxa"/>
        </w:trPr>
        <w:tc>
          <w:tcPr>
            <w:tcW w:w="4017" w:type="dxa"/>
          </w:tcPr>
          <w:p w14:paraId="61A63C52" w14:textId="77777777" w:rsidR="00494B49" w:rsidRDefault="00494B49">
            <w:r>
              <w:t>(6)</w:t>
            </w:r>
          </w:p>
        </w:tc>
        <w:tc>
          <w:tcPr>
            <w:tcW w:w="1991" w:type="dxa"/>
          </w:tcPr>
          <w:p w14:paraId="4164EEA7"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582466D7" w14:textId="77777777" w:rsidR="00494B49" w:rsidRDefault="00494B49"/>
        </w:tc>
        <w:tc>
          <w:tcPr>
            <w:tcW w:w="1380" w:type="dxa"/>
            <w:gridSpan w:val="2"/>
          </w:tcPr>
          <w:p w14:paraId="078A2EB6" w14:textId="77777777" w:rsidR="00494B49" w:rsidRDefault="00494B49"/>
        </w:tc>
      </w:tr>
      <w:tr w:rsidR="00B5099F" w14:paraId="3D56428C" w14:textId="56D5DDB5" w:rsidTr="00B5099F">
        <w:trPr>
          <w:gridAfter w:val="1"/>
          <w:wAfter w:w="7" w:type="dxa"/>
        </w:trPr>
        <w:tc>
          <w:tcPr>
            <w:tcW w:w="4017" w:type="dxa"/>
          </w:tcPr>
          <w:p w14:paraId="269AC858" w14:textId="77777777" w:rsidR="00494B49" w:rsidRDefault="00494B49"/>
        </w:tc>
        <w:tc>
          <w:tcPr>
            <w:tcW w:w="1991" w:type="dxa"/>
          </w:tcPr>
          <w:p w14:paraId="1B04A346" w14:textId="77777777" w:rsidR="00494B49" w:rsidRDefault="00494B49">
            <w:r>
              <w:t>(a) Investment Interest Expense</w:t>
            </w:r>
          </w:p>
          <w:p w14:paraId="1BF87CF6" w14:textId="77777777" w:rsidR="00494B49" w:rsidRDefault="00494B49">
            <w:r>
              <w:t>(b) Casualty Losses</w:t>
            </w:r>
          </w:p>
          <w:p w14:paraId="26DEBC9D" w14:textId="77777777" w:rsidR="00494B49" w:rsidRDefault="00494B49">
            <w:r>
              <w:t>(c) Medical Expenses</w:t>
            </w:r>
          </w:p>
          <w:p w14:paraId="49F6A54E" w14:textId="77777777" w:rsidR="00494B49" w:rsidRDefault="00494B49">
            <w:r>
              <w:t>(d) Gambling</w:t>
            </w:r>
          </w:p>
          <w:p w14:paraId="16308C1D" w14:textId="77777777" w:rsidR="00494B49" w:rsidRDefault="00494B49">
            <w:r>
              <w:t>(e) Total</w:t>
            </w:r>
          </w:p>
        </w:tc>
        <w:tc>
          <w:tcPr>
            <w:tcW w:w="1962" w:type="dxa"/>
          </w:tcPr>
          <w:p w14:paraId="5F7BE1CA" w14:textId="77777777" w:rsidR="00494B49" w:rsidRDefault="00494B49">
            <w:r>
              <w:t>$ 75,000</w:t>
            </w:r>
          </w:p>
          <w:p w14:paraId="2E91F77F" w14:textId="77777777" w:rsidR="00494B49" w:rsidRDefault="00494B49">
            <w:r>
              <w:t>$____________</w:t>
            </w:r>
          </w:p>
          <w:p w14:paraId="30D0994E" w14:textId="77777777" w:rsidR="00494B49" w:rsidRDefault="00494B49">
            <w:r>
              <w:t>$____________</w:t>
            </w:r>
          </w:p>
          <w:p w14:paraId="4D961AD4" w14:textId="77777777" w:rsidR="00494B49" w:rsidRDefault="00494B49">
            <w:r>
              <w:t>$____________</w:t>
            </w:r>
          </w:p>
          <w:p w14:paraId="12901A86" w14:textId="77777777" w:rsidR="00494B49" w:rsidRDefault="00494B49">
            <w:r>
              <w:t>$ 75,000</w:t>
            </w:r>
          </w:p>
        </w:tc>
        <w:tc>
          <w:tcPr>
            <w:tcW w:w="1380" w:type="dxa"/>
            <w:gridSpan w:val="2"/>
            <w:shd w:val="clear" w:color="auto" w:fill="auto"/>
          </w:tcPr>
          <w:p w14:paraId="65A73DF2" w14:textId="77777777" w:rsidR="00B5099F" w:rsidRDefault="00B5099F"/>
        </w:tc>
      </w:tr>
      <w:tr w:rsidR="00494B49" w14:paraId="54D2718E" w14:textId="77777777" w:rsidTr="004D5B60">
        <w:trPr>
          <w:gridAfter w:val="1"/>
          <w:wAfter w:w="7" w:type="dxa"/>
        </w:trPr>
        <w:tc>
          <w:tcPr>
            <w:tcW w:w="4017" w:type="dxa"/>
          </w:tcPr>
          <w:p w14:paraId="3143D3B8" w14:textId="77777777" w:rsidR="00494B49" w:rsidRDefault="00494B49">
            <w:r>
              <w:t>(7)</w:t>
            </w:r>
          </w:p>
        </w:tc>
        <w:tc>
          <w:tcPr>
            <w:tcW w:w="1991" w:type="dxa"/>
          </w:tcPr>
          <w:p w14:paraId="121E120A" w14:textId="77777777" w:rsidR="00494B49" w:rsidRDefault="00494B49">
            <w:r>
              <w:t>Subtract all items in Line 6 from Line 5</w:t>
            </w:r>
          </w:p>
        </w:tc>
        <w:tc>
          <w:tcPr>
            <w:tcW w:w="1962" w:type="dxa"/>
          </w:tcPr>
          <w:p w14:paraId="26A6B518" w14:textId="77777777" w:rsidR="00494B49" w:rsidRDefault="00494B49"/>
        </w:tc>
        <w:tc>
          <w:tcPr>
            <w:tcW w:w="1380" w:type="dxa"/>
            <w:gridSpan w:val="2"/>
          </w:tcPr>
          <w:p w14:paraId="647E1AAE" w14:textId="77777777" w:rsidR="00494B49" w:rsidRDefault="00494B49">
            <w:r>
              <w:t>$ 126,000</w:t>
            </w:r>
          </w:p>
        </w:tc>
      </w:tr>
      <w:tr w:rsidR="00B5099F" w14:paraId="246C0E15" w14:textId="5C005AE8" w:rsidTr="00B5099F">
        <w:trPr>
          <w:gridAfter w:val="1"/>
          <w:wAfter w:w="7" w:type="dxa"/>
        </w:trPr>
        <w:tc>
          <w:tcPr>
            <w:tcW w:w="4017" w:type="dxa"/>
          </w:tcPr>
          <w:p w14:paraId="285B4774" w14:textId="77777777" w:rsidR="00494B49" w:rsidRDefault="00494B49">
            <w:r>
              <w:t>(8)</w:t>
            </w:r>
          </w:p>
        </w:tc>
        <w:tc>
          <w:tcPr>
            <w:tcW w:w="1991" w:type="dxa"/>
          </w:tcPr>
          <w:p w14:paraId="50D0F213" w14:textId="77777777" w:rsidR="00494B49" w:rsidRDefault="00494B49">
            <w:r>
              <w:t>Enter the lesser of Line 7 or Line 4.</w:t>
            </w:r>
          </w:p>
          <w:p w14:paraId="7AE3A0EF" w14:textId="77777777" w:rsidR="00494B49" w:rsidRDefault="00494B49">
            <w:r>
              <w:t xml:space="preserve">This is the amount of itemized deductions that are properly </w:t>
            </w:r>
            <w:r>
              <w:lastRenderedPageBreak/>
              <w:t xml:space="preserve">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09A1EF75" w14:textId="77777777" w:rsidR="00494B49" w:rsidRDefault="00494B49">
            <w:r>
              <w:lastRenderedPageBreak/>
              <w:t>$ 80,000</w:t>
            </w:r>
          </w:p>
        </w:tc>
        <w:tc>
          <w:tcPr>
            <w:tcW w:w="1380" w:type="dxa"/>
            <w:gridSpan w:val="2"/>
            <w:shd w:val="clear" w:color="auto" w:fill="auto"/>
          </w:tcPr>
          <w:p w14:paraId="14AC6900" w14:textId="77777777" w:rsidR="00B5099F" w:rsidRDefault="00B5099F"/>
        </w:tc>
      </w:tr>
    </w:tbl>
    <w:p w14:paraId="60650668" w14:textId="77777777" w:rsidR="00494B49" w:rsidRDefault="00494B49">
      <w:pPr>
        <w:pStyle w:val="BNormal"/>
      </w:pPr>
      <w:r>
        <w:t xml:space="preserve"> </w:t>
      </w:r>
    </w:p>
    <w:p w14:paraId="1EB3A843" w14:textId="77777777" w:rsidR="00494B49" w:rsidRDefault="00494B49">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w:t>
      </w:r>
      <w:proofErr w:type="spellStart"/>
      <w:r>
        <w:t>nonallocable</w:t>
      </w:r>
      <w:proofErr w:type="spellEnd"/>
      <w:r>
        <w:t xml:space="preserv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D4ADC11" w14:textId="77777777" w:rsidR="00494B49" w:rsidRDefault="00494B49">
      <w:pPr>
        <w:pStyle w:val="BHead3"/>
      </w:pPr>
      <w:r>
        <w:t xml:space="preserve">b. Example — Allocations Within Deduction Classes </w:t>
      </w:r>
    </w:p>
    <w:p w14:paraId="6BE96E2F" w14:textId="77777777" w:rsidR="00494B49" w:rsidRDefault="00494B49" w:rsidP="007865AF">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5350492" w14:textId="77777777" w:rsidR="00494B49" w:rsidRDefault="00494B49" w:rsidP="007865AF">
      <w:pPr>
        <w:pStyle w:val="BNormal"/>
      </w:pPr>
    </w:p>
    <w:tbl>
      <w:tblPr>
        <w:tblStyle w:val="TableGrid"/>
        <w:tblW w:w="9354" w:type="dxa"/>
        <w:tblLook w:val="04A0" w:firstRow="1" w:lastRow="0" w:firstColumn="1" w:lastColumn="0" w:noHBand="0" w:noVBand="1"/>
      </w:tblPr>
      <w:tblGrid>
        <w:gridCol w:w="4858"/>
        <w:gridCol w:w="2630"/>
        <w:gridCol w:w="6"/>
        <w:gridCol w:w="1860"/>
      </w:tblGrid>
      <w:tr w:rsidR="00B5099F" w14:paraId="2D20EF31" w14:textId="20A80787" w:rsidTr="00B5099F">
        <w:tc>
          <w:tcPr>
            <w:tcW w:w="4858" w:type="dxa"/>
          </w:tcPr>
          <w:p w14:paraId="0DFD4CDA" w14:textId="77777777" w:rsidR="00494B49" w:rsidRDefault="00494B49">
            <w:r>
              <w:t xml:space="preserve"> </w:t>
            </w:r>
            <w:r>
              <w:rPr>
                <w:b/>
                <w:i/>
              </w:rPr>
              <w:t>Form 8960, Lines 9-10 Worksheet</w:t>
            </w:r>
          </w:p>
          <w:p w14:paraId="497A0BC1" w14:textId="77777777" w:rsidR="00494B49" w:rsidRDefault="00494B49">
            <w:r>
              <w:t xml:space="preserve"> </w:t>
            </w:r>
            <w:r>
              <w:rPr>
                <w:b/>
                <w:i/>
              </w:rPr>
              <w:t>Part I</w:t>
            </w:r>
          </w:p>
          <w:p w14:paraId="6A21CCAB" w14:textId="77777777" w:rsidR="00494B49" w:rsidRDefault="00494B49">
            <w:r>
              <w:t xml:space="preserve"> </w:t>
            </w:r>
            <w:r>
              <w:rPr>
                <w:b/>
                <w:i/>
              </w:rPr>
              <w:t>Application of Section 67 to Deductions Properly Allocable to Investment Income</w:t>
            </w:r>
          </w:p>
          <w:p w14:paraId="2DB5A8FE" w14:textId="77777777" w:rsidR="00494B49" w:rsidRDefault="00494B49"/>
        </w:tc>
        <w:tc>
          <w:tcPr>
            <w:tcW w:w="2630" w:type="dxa"/>
            <w:shd w:val="clear" w:color="auto" w:fill="auto"/>
          </w:tcPr>
          <w:p w14:paraId="2DB8ABEA" w14:textId="77777777" w:rsidR="00B5099F" w:rsidRDefault="00B5099F"/>
        </w:tc>
        <w:tc>
          <w:tcPr>
            <w:tcW w:w="1866" w:type="dxa"/>
            <w:gridSpan w:val="2"/>
            <w:shd w:val="clear" w:color="auto" w:fill="auto"/>
          </w:tcPr>
          <w:p w14:paraId="69357F83" w14:textId="77777777" w:rsidR="00B5099F" w:rsidRDefault="00B5099F"/>
        </w:tc>
      </w:tr>
      <w:tr w:rsidR="00494B49" w14:paraId="4142D40F" w14:textId="77777777" w:rsidTr="00B5099F">
        <w:tc>
          <w:tcPr>
            <w:tcW w:w="4858" w:type="dxa"/>
          </w:tcPr>
          <w:p w14:paraId="6384F940"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36" w:type="dxa"/>
            <w:gridSpan w:val="2"/>
          </w:tcPr>
          <w:p w14:paraId="7F5AECE7" w14:textId="77777777" w:rsidR="00494B49" w:rsidRDefault="00494B49"/>
        </w:tc>
        <w:tc>
          <w:tcPr>
            <w:tcW w:w="1860" w:type="dxa"/>
          </w:tcPr>
          <w:p w14:paraId="5E3F6642" w14:textId="77777777" w:rsidR="00494B49" w:rsidRDefault="00494B49"/>
        </w:tc>
      </w:tr>
      <w:tr w:rsidR="00B5099F" w14:paraId="0AE4A105" w14:textId="4469AAA4" w:rsidTr="00B5099F">
        <w:tc>
          <w:tcPr>
            <w:tcW w:w="4858" w:type="dxa"/>
          </w:tcPr>
          <w:p w14:paraId="3BCE145F" w14:textId="77777777" w:rsidR="00494B49" w:rsidRDefault="00494B49">
            <w:r>
              <w:t>(a) Investment Expenses     9c</w:t>
            </w:r>
          </w:p>
          <w:p w14:paraId="6BF060F1" w14:textId="77777777" w:rsidR="00494B49" w:rsidRDefault="00494B49">
            <w:r>
              <w:t> Description        Line</w:t>
            </w:r>
          </w:p>
        </w:tc>
        <w:tc>
          <w:tcPr>
            <w:tcW w:w="2636" w:type="dxa"/>
            <w:gridSpan w:val="2"/>
          </w:tcPr>
          <w:p w14:paraId="7FC3F4FC" w14:textId="77777777" w:rsidR="00494B49" w:rsidRDefault="00494B49"/>
          <w:p w14:paraId="1B9A5612" w14:textId="77777777" w:rsidR="00494B49" w:rsidRDefault="00494B49">
            <w:r>
              <w:t>$65,000</w:t>
            </w:r>
          </w:p>
        </w:tc>
        <w:tc>
          <w:tcPr>
            <w:tcW w:w="1860" w:type="dxa"/>
            <w:shd w:val="clear" w:color="auto" w:fill="auto"/>
          </w:tcPr>
          <w:p w14:paraId="24C43E8E" w14:textId="77777777" w:rsidR="00B5099F" w:rsidRDefault="00B5099F"/>
        </w:tc>
      </w:tr>
      <w:tr w:rsidR="00494B49" w14:paraId="5D22CC3B" w14:textId="77777777" w:rsidTr="00B5099F">
        <w:tc>
          <w:tcPr>
            <w:tcW w:w="4858" w:type="dxa"/>
          </w:tcPr>
          <w:p w14:paraId="0002044D" w14:textId="77777777" w:rsidR="00494B49" w:rsidRDefault="00494B49">
            <w:r>
              <w:t>(b) Tax Prep Fees        10</w:t>
            </w:r>
          </w:p>
          <w:p w14:paraId="686BBC63" w14:textId="77777777" w:rsidR="00494B49" w:rsidRDefault="00494B49">
            <w:r>
              <w:t> Description        Line</w:t>
            </w:r>
          </w:p>
        </w:tc>
        <w:tc>
          <w:tcPr>
            <w:tcW w:w="2636" w:type="dxa"/>
            <w:gridSpan w:val="2"/>
          </w:tcPr>
          <w:p w14:paraId="08270793" w14:textId="77777777" w:rsidR="00494B49" w:rsidRDefault="00494B49"/>
          <w:p w14:paraId="5C5A3910" w14:textId="77777777" w:rsidR="00494B49" w:rsidRDefault="00494B49">
            <w:r>
              <w:t>$5,000</w:t>
            </w:r>
          </w:p>
        </w:tc>
        <w:tc>
          <w:tcPr>
            <w:tcW w:w="1860" w:type="dxa"/>
          </w:tcPr>
          <w:p w14:paraId="0C4C1087" w14:textId="77777777" w:rsidR="00494B49" w:rsidRDefault="00494B49"/>
        </w:tc>
      </w:tr>
      <w:tr w:rsidR="00494B49" w14:paraId="6C7350CE" w14:textId="77777777" w:rsidTr="00B5099F">
        <w:tc>
          <w:tcPr>
            <w:tcW w:w="4858" w:type="dxa"/>
          </w:tcPr>
          <w:p w14:paraId="1B01CE53" w14:textId="77777777" w:rsidR="00494B49" w:rsidRDefault="00494B49">
            <w:r>
              <w:t>Enter the total of all items listed in Line 1</w:t>
            </w:r>
          </w:p>
        </w:tc>
        <w:tc>
          <w:tcPr>
            <w:tcW w:w="2636" w:type="dxa"/>
            <w:gridSpan w:val="2"/>
          </w:tcPr>
          <w:p w14:paraId="2F55064B" w14:textId="77777777" w:rsidR="00494B49" w:rsidRDefault="00494B49"/>
        </w:tc>
        <w:tc>
          <w:tcPr>
            <w:tcW w:w="1860" w:type="dxa"/>
          </w:tcPr>
          <w:p w14:paraId="6BDF314D" w14:textId="77777777" w:rsidR="00494B49" w:rsidRDefault="00494B49">
            <w:r>
              <w:t>$70,000</w:t>
            </w:r>
          </w:p>
        </w:tc>
      </w:tr>
      <w:tr w:rsidR="00B5099F" w14:paraId="4AD929E5" w14:textId="17A0936C" w:rsidTr="00B5099F">
        <w:tc>
          <w:tcPr>
            <w:tcW w:w="4858" w:type="dxa"/>
          </w:tcPr>
          <w:p w14:paraId="1EEFD62A" w14:textId="77777777" w:rsidR="00494B49" w:rsidRDefault="00494B49">
            <w:r>
              <w:lastRenderedPageBreak/>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 xml:space="preserve">) </w:t>
            </w:r>
          </w:p>
        </w:tc>
        <w:tc>
          <w:tcPr>
            <w:tcW w:w="2636" w:type="dxa"/>
            <w:gridSpan w:val="2"/>
          </w:tcPr>
          <w:p w14:paraId="71F7CF50" w14:textId="77777777" w:rsidR="00494B49" w:rsidRDefault="00494B49">
            <w:r>
              <w:t>$60,000</w:t>
            </w:r>
            <w:r>
              <w:rPr>
                <w:rStyle w:val="FootnoteReference"/>
              </w:rPr>
              <w:footnoteReference w:id="679"/>
            </w:r>
          </w:p>
        </w:tc>
        <w:tc>
          <w:tcPr>
            <w:tcW w:w="1860" w:type="dxa"/>
            <w:shd w:val="clear" w:color="auto" w:fill="auto"/>
          </w:tcPr>
          <w:p w14:paraId="064454CE" w14:textId="77777777" w:rsidR="00B5099F" w:rsidRDefault="00B5099F"/>
        </w:tc>
      </w:tr>
      <w:tr w:rsidR="00494B49" w14:paraId="7BC13040" w14:textId="77777777" w:rsidTr="00B5099F">
        <w:tc>
          <w:tcPr>
            <w:tcW w:w="4858" w:type="dxa"/>
          </w:tcPr>
          <w:p w14:paraId="08291D85" w14:textId="77777777" w:rsidR="00494B49" w:rsidRDefault="00494B49">
            <w:r>
              <w:t xml:space="preserve">Enter the lesser of the total reported on Line 2 or Line 3. </w:t>
            </w:r>
          </w:p>
        </w:tc>
        <w:tc>
          <w:tcPr>
            <w:tcW w:w="2636" w:type="dxa"/>
            <w:gridSpan w:val="2"/>
          </w:tcPr>
          <w:p w14:paraId="2C5E3D4D" w14:textId="77777777" w:rsidR="00494B49" w:rsidRDefault="00494B49"/>
        </w:tc>
        <w:tc>
          <w:tcPr>
            <w:tcW w:w="1860" w:type="dxa"/>
          </w:tcPr>
          <w:p w14:paraId="36627F7A" w14:textId="77777777" w:rsidR="00494B49" w:rsidRDefault="00494B49">
            <w:r>
              <w:t>$60,000</w:t>
            </w:r>
          </w:p>
        </w:tc>
      </w:tr>
    </w:tbl>
    <w:p w14:paraId="3D650BA6" w14:textId="77777777" w:rsidR="00494B49" w:rsidRDefault="00494B49" w:rsidP="007865AF">
      <w:pPr>
        <w:pStyle w:val="BNormal"/>
      </w:pPr>
      <w:r>
        <w:t xml:space="preserve"> </w:t>
      </w:r>
    </w:p>
    <w:p w14:paraId="687CB7A5" w14:textId="77777777" w:rsidR="00494B49" w:rsidRDefault="00494B49" w:rsidP="007865AF">
      <w:pPr>
        <w:pStyle w:val="BNormal"/>
      </w:pPr>
    </w:p>
    <w:tbl>
      <w:tblPr>
        <w:tblStyle w:val="TableGrid"/>
        <w:tblW w:w="9354" w:type="dxa"/>
        <w:tblLook w:val="04A0" w:firstRow="1" w:lastRow="0" w:firstColumn="1" w:lastColumn="0" w:noHBand="0" w:noVBand="1"/>
      </w:tblPr>
      <w:tblGrid>
        <w:gridCol w:w="2863"/>
        <w:gridCol w:w="1359"/>
        <w:gridCol w:w="1429"/>
        <w:gridCol w:w="1903"/>
        <w:gridCol w:w="574"/>
        <w:gridCol w:w="1220"/>
        <w:gridCol w:w="6"/>
      </w:tblGrid>
      <w:tr w:rsidR="00B5099F" w14:paraId="44F34E21" w14:textId="2B4FA063" w:rsidTr="00B5099F">
        <w:tc>
          <w:tcPr>
            <w:tcW w:w="2863" w:type="dxa"/>
          </w:tcPr>
          <w:p w14:paraId="139E14B4" w14:textId="77777777" w:rsidR="00494B49" w:rsidRDefault="00494B49">
            <w:r>
              <w:t xml:space="preserve"> </w:t>
            </w:r>
            <w:r>
              <w:rPr>
                <w:b/>
                <w:i/>
              </w:rPr>
              <w:t xml:space="preserve">Form </w:t>
            </w:r>
            <w:smartTag w:uri="http://www.bna.com/sgml2word/cite" w:element="cite.fed.form">
              <w:smartTagPr>
                <w:attr w:name="ref" w:val="irs\form8960"/>
              </w:smartTagPr>
              <w:r>
                <w:rPr>
                  <w:b/>
                  <w:i/>
                </w:rPr>
                <w:t>8960</w:t>
              </w:r>
            </w:smartTag>
            <w:r>
              <w:rPr>
                <w:b/>
                <w:i/>
              </w:rPr>
              <w:t>, Lines 9-10 Worksheet</w:t>
            </w:r>
          </w:p>
          <w:p w14:paraId="328CF61D" w14:textId="77777777" w:rsidR="00494B49" w:rsidRDefault="00494B49">
            <w:r>
              <w:t xml:space="preserve"> </w:t>
            </w:r>
            <w:r>
              <w:rPr>
                <w:b/>
                <w:i/>
              </w:rPr>
              <w:t xml:space="preserve">Part II </w:t>
            </w:r>
          </w:p>
          <w:p w14:paraId="64CA7D44" w14:textId="77777777" w:rsidR="00494B49" w:rsidRDefault="00494B49">
            <w:r>
              <w:t xml:space="preserve"> </w:t>
            </w:r>
            <w:r>
              <w:rPr>
                <w:b/>
                <w:i/>
              </w:rPr>
              <w:t>Application of Section 67 Limitation to Specific Deductions</w:t>
            </w:r>
          </w:p>
          <w:p w14:paraId="47348586" w14:textId="77777777" w:rsidR="00494B49" w:rsidRDefault="00494B49"/>
        </w:tc>
        <w:tc>
          <w:tcPr>
            <w:tcW w:w="1359" w:type="dxa"/>
            <w:shd w:val="clear" w:color="auto" w:fill="auto"/>
          </w:tcPr>
          <w:p w14:paraId="795D0296" w14:textId="77777777" w:rsidR="00B5099F" w:rsidRDefault="00B5099F"/>
        </w:tc>
        <w:tc>
          <w:tcPr>
            <w:tcW w:w="1429" w:type="dxa"/>
            <w:shd w:val="clear" w:color="auto" w:fill="auto"/>
          </w:tcPr>
          <w:p w14:paraId="2E7938E6" w14:textId="77777777" w:rsidR="00B5099F" w:rsidRDefault="00B5099F"/>
        </w:tc>
        <w:tc>
          <w:tcPr>
            <w:tcW w:w="1903" w:type="dxa"/>
            <w:shd w:val="clear" w:color="auto" w:fill="auto"/>
          </w:tcPr>
          <w:p w14:paraId="263850E9" w14:textId="77777777" w:rsidR="00B5099F" w:rsidRDefault="00B5099F"/>
        </w:tc>
        <w:tc>
          <w:tcPr>
            <w:tcW w:w="574" w:type="dxa"/>
            <w:shd w:val="clear" w:color="auto" w:fill="auto"/>
          </w:tcPr>
          <w:p w14:paraId="527D4868" w14:textId="77777777" w:rsidR="00B5099F" w:rsidRDefault="00B5099F"/>
        </w:tc>
        <w:tc>
          <w:tcPr>
            <w:tcW w:w="1226" w:type="dxa"/>
            <w:gridSpan w:val="2"/>
            <w:shd w:val="clear" w:color="auto" w:fill="auto"/>
          </w:tcPr>
          <w:p w14:paraId="28C8D14E" w14:textId="77777777" w:rsidR="00B5099F" w:rsidRDefault="00B5099F"/>
        </w:tc>
      </w:tr>
      <w:tr w:rsidR="00B5099F" w14:paraId="011DBA3D" w14:textId="386C6CAD" w:rsidTr="00B5099F">
        <w:tc>
          <w:tcPr>
            <w:tcW w:w="2863" w:type="dxa"/>
          </w:tcPr>
          <w:p w14:paraId="450929C5" w14:textId="77777777" w:rsidR="00494B49" w:rsidRDefault="00494B49">
            <w:r>
              <w:t>(A)</w:t>
            </w:r>
          </w:p>
        </w:tc>
        <w:tc>
          <w:tcPr>
            <w:tcW w:w="1359" w:type="dxa"/>
          </w:tcPr>
          <w:p w14:paraId="0B9445FC" w14:textId="77777777" w:rsidR="00494B49" w:rsidRDefault="00494B49">
            <w:r>
              <w:t>(B)</w:t>
            </w:r>
          </w:p>
        </w:tc>
        <w:tc>
          <w:tcPr>
            <w:tcW w:w="1429" w:type="dxa"/>
          </w:tcPr>
          <w:p w14:paraId="524D78BD" w14:textId="77777777" w:rsidR="00494B49" w:rsidRDefault="00494B49">
            <w:r>
              <w:t>(C)</w:t>
            </w:r>
          </w:p>
        </w:tc>
        <w:tc>
          <w:tcPr>
            <w:tcW w:w="1903" w:type="dxa"/>
            <w:shd w:val="clear" w:color="auto" w:fill="auto"/>
          </w:tcPr>
          <w:p w14:paraId="40E738C6" w14:textId="77777777" w:rsidR="00B5099F" w:rsidRDefault="00B5099F"/>
        </w:tc>
        <w:tc>
          <w:tcPr>
            <w:tcW w:w="574" w:type="dxa"/>
            <w:shd w:val="clear" w:color="auto" w:fill="auto"/>
          </w:tcPr>
          <w:p w14:paraId="3B549F34" w14:textId="77777777" w:rsidR="00B5099F" w:rsidRDefault="00B5099F"/>
        </w:tc>
        <w:tc>
          <w:tcPr>
            <w:tcW w:w="1226" w:type="dxa"/>
            <w:gridSpan w:val="2"/>
            <w:shd w:val="clear" w:color="auto" w:fill="auto"/>
          </w:tcPr>
          <w:p w14:paraId="32920589" w14:textId="77777777" w:rsidR="00B5099F" w:rsidRDefault="00B5099F"/>
        </w:tc>
      </w:tr>
      <w:tr w:rsidR="00B5099F" w14:paraId="68DAC47B" w14:textId="5F429992" w:rsidTr="00B5099F">
        <w:tc>
          <w:tcPr>
            <w:tcW w:w="2863" w:type="dxa"/>
          </w:tcPr>
          <w:p w14:paraId="6C7E65E3" w14:textId="77777777" w:rsidR="00494B49" w:rsidRDefault="00494B49">
            <w:proofErr w:type="spellStart"/>
            <w:r>
              <w:t>Reenter</w:t>
            </w:r>
            <w:proofErr w:type="spellEnd"/>
            <w:r>
              <w:t xml:space="preserve"> the amounts and descriptions from Part I, Line 1</w:t>
            </w:r>
          </w:p>
        </w:tc>
        <w:tc>
          <w:tcPr>
            <w:tcW w:w="1359" w:type="dxa"/>
          </w:tcPr>
          <w:p w14:paraId="4817AA5B" w14:textId="77777777" w:rsidR="00494B49" w:rsidRDefault="00494B49">
            <w:r>
              <w:t xml:space="preserve">If Line 3 is less than Line 2, then divide Line 3 by Line 2 and enter the amount in the </w:t>
            </w:r>
            <w:proofErr w:type="spellStart"/>
            <w:r>
              <w:t>center</w:t>
            </w:r>
            <w:proofErr w:type="spellEnd"/>
            <w:r>
              <w:t xml:space="preserve"> column. </w:t>
            </w:r>
          </w:p>
          <w:p w14:paraId="4EEF31DC" w14:textId="77777777" w:rsidR="00494B49" w:rsidRDefault="00494B49">
            <w:r>
              <w:t>If total amount reported on Part I, Lines 2 and 4 are equal, then enter 1.00 in column (B).</w:t>
            </w:r>
          </w:p>
        </w:tc>
        <w:tc>
          <w:tcPr>
            <w:tcW w:w="1429" w:type="dxa"/>
          </w:tcPr>
          <w:p w14:paraId="4958A5BB" w14:textId="77777777" w:rsidR="00494B49" w:rsidRDefault="00494B49">
            <w:r>
              <w:t>Multiply the individual amounts in column (A) by the amount in column (B).</w:t>
            </w:r>
          </w:p>
        </w:tc>
        <w:tc>
          <w:tcPr>
            <w:tcW w:w="1903" w:type="dxa"/>
            <w:shd w:val="clear" w:color="auto" w:fill="auto"/>
          </w:tcPr>
          <w:p w14:paraId="50B28252" w14:textId="77777777" w:rsidR="00B5099F" w:rsidRDefault="00B5099F"/>
        </w:tc>
        <w:tc>
          <w:tcPr>
            <w:tcW w:w="574" w:type="dxa"/>
            <w:shd w:val="clear" w:color="auto" w:fill="auto"/>
          </w:tcPr>
          <w:p w14:paraId="564990BD" w14:textId="77777777" w:rsidR="00B5099F" w:rsidRDefault="00B5099F"/>
        </w:tc>
        <w:tc>
          <w:tcPr>
            <w:tcW w:w="1226" w:type="dxa"/>
            <w:gridSpan w:val="2"/>
            <w:shd w:val="clear" w:color="auto" w:fill="auto"/>
          </w:tcPr>
          <w:p w14:paraId="190A59FF" w14:textId="77777777" w:rsidR="00B5099F" w:rsidRDefault="00B5099F"/>
        </w:tc>
      </w:tr>
      <w:tr w:rsidR="00494B49" w14:paraId="07937840" w14:textId="77777777" w:rsidTr="00B5099F">
        <w:tc>
          <w:tcPr>
            <w:tcW w:w="2863" w:type="dxa"/>
          </w:tcPr>
          <w:p w14:paraId="2BB0A2D0" w14:textId="77777777" w:rsidR="00494B49" w:rsidRDefault="00494B49">
            <w:r>
              <w:t xml:space="preserve">(a) </w:t>
            </w:r>
            <w:proofErr w:type="spellStart"/>
            <w:r>
              <w:t>Inv</w:t>
            </w:r>
            <w:proofErr w:type="spellEnd"/>
            <w:r>
              <w:t xml:space="preserve"> Expense   9c</w:t>
            </w:r>
          </w:p>
          <w:p w14:paraId="3262D044" w14:textId="77777777" w:rsidR="00494B49" w:rsidRDefault="00494B49">
            <w:r>
              <w:t> Description  Line</w:t>
            </w:r>
          </w:p>
        </w:tc>
        <w:tc>
          <w:tcPr>
            <w:tcW w:w="1359" w:type="dxa"/>
          </w:tcPr>
          <w:p w14:paraId="13DC9E37" w14:textId="77777777" w:rsidR="00494B49" w:rsidRDefault="00494B49">
            <w:r>
              <w:t>$65,000</w:t>
            </w:r>
          </w:p>
          <w:p w14:paraId="11AE71D6" w14:textId="77777777" w:rsidR="00494B49" w:rsidRDefault="00494B49"/>
        </w:tc>
        <w:tc>
          <w:tcPr>
            <w:tcW w:w="1429" w:type="dxa"/>
          </w:tcPr>
          <w:p w14:paraId="6C51C7A7" w14:textId="77777777" w:rsidR="00494B49" w:rsidRDefault="00494B49">
            <w:r>
              <w:t>×</w:t>
            </w:r>
          </w:p>
          <w:p w14:paraId="18653241" w14:textId="77777777" w:rsidR="00494B49" w:rsidRDefault="00494B49"/>
        </w:tc>
        <w:tc>
          <w:tcPr>
            <w:tcW w:w="1903" w:type="dxa"/>
          </w:tcPr>
          <w:p w14:paraId="7D45A055" w14:textId="77777777" w:rsidR="00494B49" w:rsidRDefault="00494B49">
            <w:r>
              <w:t>0.8571428571428571</w:t>
            </w:r>
          </w:p>
          <w:p w14:paraId="7324C9F9" w14:textId="77777777" w:rsidR="00494B49" w:rsidRDefault="00494B49"/>
        </w:tc>
        <w:tc>
          <w:tcPr>
            <w:tcW w:w="574" w:type="dxa"/>
          </w:tcPr>
          <w:p w14:paraId="65654147" w14:textId="77777777" w:rsidR="00494B49" w:rsidRDefault="00494B49">
            <w:r>
              <w:t>=</w:t>
            </w:r>
          </w:p>
          <w:p w14:paraId="78862951" w14:textId="77777777" w:rsidR="00494B49" w:rsidRDefault="00494B49"/>
        </w:tc>
        <w:tc>
          <w:tcPr>
            <w:tcW w:w="1226" w:type="dxa"/>
            <w:gridSpan w:val="2"/>
          </w:tcPr>
          <w:p w14:paraId="4DEBF12D" w14:textId="77777777" w:rsidR="00494B49" w:rsidRDefault="00494B49">
            <w:r>
              <w:t>$55,714.29</w:t>
            </w:r>
          </w:p>
          <w:p w14:paraId="6F9022C9" w14:textId="77777777" w:rsidR="00494B49" w:rsidRDefault="00494B49"/>
        </w:tc>
      </w:tr>
      <w:tr w:rsidR="00494B49" w14:paraId="475C3177" w14:textId="77777777" w:rsidTr="00B5099F">
        <w:tc>
          <w:tcPr>
            <w:tcW w:w="2863" w:type="dxa"/>
          </w:tcPr>
          <w:p w14:paraId="3F78F336" w14:textId="77777777" w:rsidR="00494B49" w:rsidRDefault="00494B49">
            <w:r>
              <w:t>(b) Tax Prep Fee  10</w:t>
            </w:r>
          </w:p>
          <w:p w14:paraId="1E172ECB" w14:textId="77777777" w:rsidR="00494B49" w:rsidRDefault="00494B49">
            <w:r>
              <w:t> Description  Line</w:t>
            </w:r>
          </w:p>
        </w:tc>
        <w:tc>
          <w:tcPr>
            <w:tcW w:w="1359" w:type="dxa"/>
          </w:tcPr>
          <w:p w14:paraId="7A6AE2DB" w14:textId="77777777" w:rsidR="00494B49" w:rsidRDefault="00494B49">
            <w:r>
              <w:t>$ 5,000</w:t>
            </w:r>
          </w:p>
          <w:p w14:paraId="718DE5D7" w14:textId="77777777" w:rsidR="00494B49" w:rsidRDefault="00494B49"/>
        </w:tc>
        <w:tc>
          <w:tcPr>
            <w:tcW w:w="1429" w:type="dxa"/>
          </w:tcPr>
          <w:p w14:paraId="6BB753BA" w14:textId="77777777" w:rsidR="00494B49" w:rsidRDefault="00494B49">
            <w:r>
              <w:t>×</w:t>
            </w:r>
          </w:p>
          <w:p w14:paraId="7313F2B0" w14:textId="77777777" w:rsidR="00494B49" w:rsidRDefault="00494B49"/>
        </w:tc>
        <w:tc>
          <w:tcPr>
            <w:tcW w:w="1903" w:type="dxa"/>
          </w:tcPr>
          <w:p w14:paraId="5F524E56" w14:textId="77777777" w:rsidR="00494B49" w:rsidRDefault="00494B49">
            <w:r>
              <w:t>0.8571428571428571</w:t>
            </w:r>
          </w:p>
          <w:p w14:paraId="73941194" w14:textId="77777777" w:rsidR="00494B49" w:rsidRDefault="00494B49"/>
        </w:tc>
        <w:tc>
          <w:tcPr>
            <w:tcW w:w="574" w:type="dxa"/>
          </w:tcPr>
          <w:p w14:paraId="127360E4" w14:textId="77777777" w:rsidR="00494B49" w:rsidRDefault="00494B49">
            <w:r>
              <w:t>=</w:t>
            </w:r>
          </w:p>
          <w:p w14:paraId="6F58C3B2" w14:textId="77777777" w:rsidR="00494B49" w:rsidRDefault="00494B49"/>
        </w:tc>
        <w:tc>
          <w:tcPr>
            <w:tcW w:w="1226" w:type="dxa"/>
            <w:gridSpan w:val="2"/>
          </w:tcPr>
          <w:p w14:paraId="3B587EB2" w14:textId="77777777" w:rsidR="00494B49" w:rsidRDefault="00494B49">
            <w:r>
              <w:t>$4,285.71</w:t>
            </w:r>
          </w:p>
          <w:p w14:paraId="4D015665" w14:textId="77777777" w:rsidR="00494B49" w:rsidRDefault="00494B49"/>
        </w:tc>
      </w:tr>
      <w:tr w:rsidR="00B5099F" w14:paraId="28A4DCE3" w14:textId="36843707" w:rsidTr="00B5099F">
        <w:trPr>
          <w:gridAfter w:val="1"/>
          <w:wAfter w:w="6" w:type="dxa"/>
        </w:trPr>
        <w:tc>
          <w:tcPr>
            <w:tcW w:w="2863" w:type="dxa"/>
          </w:tcPr>
          <w:p w14:paraId="36E274BA" w14:textId="77777777" w:rsidR="00494B49" w:rsidRDefault="00494B49">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 </w:t>
            </w:r>
          </w:p>
        </w:tc>
        <w:tc>
          <w:tcPr>
            <w:tcW w:w="1359" w:type="dxa"/>
            <w:shd w:val="clear" w:color="auto" w:fill="auto"/>
          </w:tcPr>
          <w:p w14:paraId="4BE0D8D8" w14:textId="77777777" w:rsidR="00B5099F" w:rsidRDefault="00B5099F"/>
        </w:tc>
        <w:tc>
          <w:tcPr>
            <w:tcW w:w="1429" w:type="dxa"/>
            <w:shd w:val="clear" w:color="auto" w:fill="auto"/>
          </w:tcPr>
          <w:p w14:paraId="6CC90D81" w14:textId="77777777" w:rsidR="00B5099F" w:rsidRDefault="00B5099F"/>
        </w:tc>
        <w:tc>
          <w:tcPr>
            <w:tcW w:w="1903" w:type="dxa"/>
            <w:shd w:val="clear" w:color="auto" w:fill="auto"/>
          </w:tcPr>
          <w:p w14:paraId="4DACB640" w14:textId="77777777" w:rsidR="00B5099F" w:rsidRDefault="00B5099F"/>
        </w:tc>
        <w:tc>
          <w:tcPr>
            <w:tcW w:w="574" w:type="dxa"/>
            <w:shd w:val="clear" w:color="auto" w:fill="auto"/>
          </w:tcPr>
          <w:p w14:paraId="1091700C" w14:textId="77777777" w:rsidR="00B5099F" w:rsidRDefault="00B5099F"/>
        </w:tc>
        <w:tc>
          <w:tcPr>
            <w:tcW w:w="1220" w:type="dxa"/>
            <w:shd w:val="clear" w:color="auto" w:fill="auto"/>
          </w:tcPr>
          <w:p w14:paraId="093FEA01" w14:textId="77777777" w:rsidR="00B5099F" w:rsidRDefault="00B5099F"/>
        </w:tc>
      </w:tr>
    </w:tbl>
    <w:p w14:paraId="57BAB7B8" w14:textId="77777777" w:rsidR="00494B49" w:rsidRDefault="00494B49" w:rsidP="007865AF"/>
    <w:p w14:paraId="31270415" w14:textId="77777777" w:rsidR="00494B49" w:rsidRDefault="00494B49" w:rsidP="007865AF"/>
    <w:tbl>
      <w:tblPr>
        <w:tblStyle w:val="TableGrid"/>
        <w:tblW w:w="0" w:type="auto"/>
        <w:tblLook w:val="04A0" w:firstRow="1" w:lastRow="0" w:firstColumn="1" w:lastColumn="0" w:noHBand="0" w:noVBand="1"/>
      </w:tblPr>
      <w:tblGrid>
        <w:gridCol w:w="4017"/>
        <w:gridCol w:w="1991"/>
        <w:gridCol w:w="1962"/>
        <w:gridCol w:w="1380"/>
      </w:tblGrid>
      <w:tr w:rsidR="00494B49" w14:paraId="1E8152F4" w14:textId="77777777" w:rsidTr="00B5099F">
        <w:trPr>
          <w:gridAfter w:val="3"/>
          <w:wAfter w:w="5333" w:type="dxa"/>
        </w:trPr>
        <w:tc>
          <w:tcPr>
            <w:tcW w:w="4017" w:type="dxa"/>
          </w:tcPr>
          <w:p w14:paraId="40D4653B" w14:textId="77777777" w:rsidR="00494B49" w:rsidRDefault="00494B49">
            <w:r>
              <w:t xml:space="preserve"> </w:t>
            </w:r>
            <w:r>
              <w:rPr>
                <w:b/>
                <w:i/>
              </w:rPr>
              <w:t>Form 8960, Lines 9-10 Worksheet</w:t>
            </w:r>
          </w:p>
          <w:p w14:paraId="2F3C6CD7" w14:textId="77777777" w:rsidR="00494B49" w:rsidRDefault="00494B49">
            <w:r>
              <w:t xml:space="preserve"> </w:t>
            </w:r>
            <w:r>
              <w:rPr>
                <w:b/>
                <w:i/>
              </w:rPr>
              <w:t>Part III</w:t>
            </w:r>
          </w:p>
          <w:p w14:paraId="3C2836DE" w14:textId="77777777" w:rsidR="00494B49" w:rsidRDefault="00494B49">
            <w:r>
              <w:t xml:space="preserve"> </w:t>
            </w:r>
            <w:r>
              <w:rPr>
                <w:b/>
                <w:i/>
              </w:rPr>
              <w:t>Application of Section 68 to deductions properly allocable to investment income</w:t>
            </w:r>
          </w:p>
          <w:p w14:paraId="6DCDB66A" w14:textId="77777777" w:rsidR="00494B49" w:rsidRDefault="00494B49">
            <w:r>
              <w:t xml:space="preserve"> </w:t>
            </w:r>
            <w:r>
              <w:rPr>
                <w:b/>
                <w:i/>
              </w:rPr>
              <w:t>(Individuals Only)</w:t>
            </w:r>
          </w:p>
          <w:p w14:paraId="07DC0390" w14:textId="77777777" w:rsidR="00494B49" w:rsidRDefault="00494B49"/>
        </w:tc>
      </w:tr>
      <w:tr w:rsidR="00494B49" w14:paraId="24EBC2CC" w14:textId="77777777" w:rsidTr="00B5099F">
        <w:tc>
          <w:tcPr>
            <w:tcW w:w="4017" w:type="dxa"/>
          </w:tcPr>
          <w:p w14:paraId="6258117D" w14:textId="77777777" w:rsidR="00494B49" w:rsidRDefault="00494B49">
            <w:r>
              <w:lastRenderedPageBreak/>
              <w:t>(1)</w:t>
            </w:r>
          </w:p>
        </w:tc>
        <w:tc>
          <w:tcPr>
            <w:tcW w:w="1991" w:type="dxa"/>
          </w:tcPr>
          <w:p w14:paraId="67A3C0C0" w14:textId="77777777" w:rsidR="00494B49" w:rsidRDefault="00494B49">
            <w:r>
              <w:t xml:space="preserve">Enter the amount of Miscellaneous Itemized Deductions properly allocable to investment income from column (C) of Part II. </w:t>
            </w:r>
          </w:p>
        </w:tc>
        <w:tc>
          <w:tcPr>
            <w:tcW w:w="1962" w:type="dxa"/>
          </w:tcPr>
          <w:p w14:paraId="10266583" w14:textId="77777777" w:rsidR="00494B49" w:rsidRDefault="00494B49"/>
        </w:tc>
        <w:tc>
          <w:tcPr>
            <w:tcW w:w="1380" w:type="dxa"/>
          </w:tcPr>
          <w:p w14:paraId="2C110B50" w14:textId="77777777" w:rsidR="00494B49" w:rsidRDefault="00494B49"/>
        </w:tc>
      </w:tr>
      <w:tr w:rsidR="00B5099F" w14:paraId="28EBFAB8" w14:textId="7400CF66" w:rsidTr="00B5099F">
        <w:tc>
          <w:tcPr>
            <w:tcW w:w="4017" w:type="dxa"/>
          </w:tcPr>
          <w:p w14:paraId="039CD192" w14:textId="77777777" w:rsidR="00494B49" w:rsidRDefault="00494B49"/>
        </w:tc>
        <w:tc>
          <w:tcPr>
            <w:tcW w:w="1991" w:type="dxa"/>
          </w:tcPr>
          <w:p w14:paraId="32209021" w14:textId="77777777" w:rsidR="00494B49" w:rsidRDefault="00494B49">
            <w:r>
              <w:t xml:space="preserve">(a) </w:t>
            </w:r>
            <w:proofErr w:type="spellStart"/>
            <w:r>
              <w:t>Inv</w:t>
            </w:r>
            <w:proofErr w:type="spellEnd"/>
            <w:r>
              <w:t xml:space="preserve"> Expense        9c</w:t>
            </w:r>
          </w:p>
          <w:p w14:paraId="2645FD69" w14:textId="77777777" w:rsidR="00494B49" w:rsidRDefault="00494B49">
            <w:r>
              <w:t> Description        Line</w:t>
            </w:r>
          </w:p>
        </w:tc>
        <w:tc>
          <w:tcPr>
            <w:tcW w:w="1962" w:type="dxa"/>
          </w:tcPr>
          <w:p w14:paraId="66175A31" w14:textId="77777777" w:rsidR="00494B49" w:rsidRDefault="00494B49">
            <w:r>
              <w:t>$ 55,714.29</w:t>
            </w:r>
          </w:p>
        </w:tc>
        <w:tc>
          <w:tcPr>
            <w:tcW w:w="1380" w:type="dxa"/>
            <w:shd w:val="clear" w:color="auto" w:fill="auto"/>
          </w:tcPr>
          <w:p w14:paraId="5E216E3E" w14:textId="77777777" w:rsidR="00B5099F" w:rsidRDefault="00B5099F"/>
        </w:tc>
      </w:tr>
      <w:tr w:rsidR="00B5099F" w14:paraId="61B10CE8" w14:textId="438F39D5" w:rsidTr="00B5099F">
        <w:tc>
          <w:tcPr>
            <w:tcW w:w="4017" w:type="dxa"/>
          </w:tcPr>
          <w:p w14:paraId="7FFE346A" w14:textId="77777777" w:rsidR="00494B49" w:rsidRDefault="00494B49"/>
        </w:tc>
        <w:tc>
          <w:tcPr>
            <w:tcW w:w="1991" w:type="dxa"/>
          </w:tcPr>
          <w:p w14:paraId="562DC2F6" w14:textId="77777777" w:rsidR="00494B49" w:rsidRDefault="00494B49">
            <w:r>
              <w:t>(b) Tax Prep Fee        10</w:t>
            </w:r>
          </w:p>
          <w:p w14:paraId="349D4C55" w14:textId="77777777" w:rsidR="00494B49" w:rsidRDefault="00494B49">
            <w:r>
              <w:t> Description        Line</w:t>
            </w:r>
          </w:p>
        </w:tc>
        <w:tc>
          <w:tcPr>
            <w:tcW w:w="1962" w:type="dxa"/>
          </w:tcPr>
          <w:p w14:paraId="1186211D" w14:textId="77777777" w:rsidR="00494B49" w:rsidRDefault="00494B49">
            <w:r>
              <w:t>$ 4,285.71</w:t>
            </w:r>
          </w:p>
        </w:tc>
        <w:tc>
          <w:tcPr>
            <w:tcW w:w="1380" w:type="dxa"/>
            <w:shd w:val="clear" w:color="auto" w:fill="auto"/>
          </w:tcPr>
          <w:p w14:paraId="68AA7D23" w14:textId="77777777" w:rsidR="00B5099F" w:rsidRDefault="00B5099F"/>
        </w:tc>
      </w:tr>
      <w:tr w:rsidR="00494B49" w14:paraId="68AF17EA" w14:textId="77777777" w:rsidTr="00B5099F">
        <w:tc>
          <w:tcPr>
            <w:tcW w:w="4017" w:type="dxa"/>
          </w:tcPr>
          <w:p w14:paraId="60490309" w14:textId="77777777" w:rsidR="00494B49" w:rsidRDefault="00494B49">
            <w:r>
              <w:t>(2)</w:t>
            </w:r>
          </w:p>
        </w:tc>
        <w:tc>
          <w:tcPr>
            <w:tcW w:w="1991" w:type="dxa"/>
          </w:tcPr>
          <w:p w14:paraId="6C06598B" w14:textId="77777777" w:rsidR="00494B49" w:rsidRDefault="00494B49">
            <w:r>
              <w:t>Enter the amount of state, local, and foreign income taxes that are properly allocable to investment income.</w:t>
            </w:r>
          </w:p>
        </w:tc>
        <w:tc>
          <w:tcPr>
            <w:tcW w:w="1962" w:type="dxa"/>
          </w:tcPr>
          <w:p w14:paraId="4AA60B34" w14:textId="77777777" w:rsidR="00494B49" w:rsidRDefault="00494B49">
            <w:r>
              <w:t>$ 20,000</w:t>
            </w:r>
          </w:p>
        </w:tc>
        <w:tc>
          <w:tcPr>
            <w:tcW w:w="1380" w:type="dxa"/>
          </w:tcPr>
          <w:p w14:paraId="5F089E55" w14:textId="77777777" w:rsidR="00494B49" w:rsidRDefault="00494B49"/>
        </w:tc>
      </w:tr>
      <w:tr w:rsidR="00494B49" w14:paraId="6F03EA62" w14:textId="77777777" w:rsidTr="00B5099F">
        <w:tc>
          <w:tcPr>
            <w:tcW w:w="4017" w:type="dxa"/>
          </w:tcPr>
          <w:p w14:paraId="20356193" w14:textId="77777777" w:rsidR="00494B49" w:rsidRDefault="00494B49">
            <w:r>
              <w:t>(3)</w:t>
            </w:r>
          </w:p>
        </w:tc>
        <w:tc>
          <w:tcPr>
            <w:tcW w:w="1991" w:type="dxa"/>
          </w:tcPr>
          <w:p w14:paraId="3AECF7A7"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
          <w:p w14:paraId="2FE5A4CD" w14:textId="77777777" w:rsidR="00494B49" w:rsidRDefault="00494B49"/>
        </w:tc>
        <w:tc>
          <w:tcPr>
            <w:tcW w:w="1380" w:type="dxa"/>
          </w:tcPr>
          <w:p w14:paraId="17F00BDD" w14:textId="77777777" w:rsidR="00494B49" w:rsidRDefault="00494B49"/>
        </w:tc>
      </w:tr>
      <w:tr w:rsidR="00B5099F" w14:paraId="115ACF8A" w14:textId="6F8FA2F8" w:rsidTr="00B5099F">
        <w:tc>
          <w:tcPr>
            <w:tcW w:w="4017" w:type="dxa"/>
          </w:tcPr>
          <w:p w14:paraId="0443AE49" w14:textId="77777777" w:rsidR="00494B49" w:rsidRDefault="00494B49"/>
        </w:tc>
        <w:tc>
          <w:tcPr>
            <w:tcW w:w="1991" w:type="dxa"/>
          </w:tcPr>
          <w:p w14:paraId="3381E396" w14:textId="77777777" w:rsidR="00494B49" w:rsidRDefault="00494B49">
            <w:r>
              <w:t>(a) RE Taxes – Investment Expense   9c</w:t>
            </w:r>
          </w:p>
          <w:p w14:paraId="1904CCC2" w14:textId="77777777" w:rsidR="00494B49" w:rsidRDefault="00494B49">
            <w:r>
              <w:t> Description           Line</w:t>
            </w:r>
          </w:p>
        </w:tc>
        <w:tc>
          <w:tcPr>
            <w:tcW w:w="1962" w:type="dxa"/>
          </w:tcPr>
          <w:p w14:paraId="682FEB17" w14:textId="77777777" w:rsidR="00494B49" w:rsidRDefault="00494B49">
            <w:r>
              <w:t>$ 60,000</w:t>
            </w:r>
          </w:p>
        </w:tc>
        <w:tc>
          <w:tcPr>
            <w:tcW w:w="1380" w:type="dxa"/>
            <w:shd w:val="clear" w:color="auto" w:fill="auto"/>
          </w:tcPr>
          <w:p w14:paraId="746BFC93" w14:textId="77777777" w:rsidR="00B5099F" w:rsidRDefault="00B5099F"/>
        </w:tc>
      </w:tr>
      <w:tr w:rsidR="00B5099F" w14:paraId="0433367C" w14:textId="6DC59699" w:rsidTr="00B5099F">
        <w:tc>
          <w:tcPr>
            <w:tcW w:w="4017" w:type="dxa"/>
          </w:tcPr>
          <w:p w14:paraId="63D8901C" w14:textId="77777777" w:rsidR="00494B49" w:rsidRDefault="00494B49">
            <w:r>
              <w:t>(4)</w:t>
            </w:r>
          </w:p>
        </w:tc>
        <w:tc>
          <w:tcPr>
            <w:tcW w:w="1991" w:type="dxa"/>
          </w:tcPr>
          <w:p w14:paraId="061D7E1B"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
          <w:p w14:paraId="347B95EB" w14:textId="77777777" w:rsidR="00494B49" w:rsidRDefault="00494B49">
            <w:r>
              <w:t>$ 140,000</w:t>
            </w:r>
          </w:p>
        </w:tc>
        <w:tc>
          <w:tcPr>
            <w:tcW w:w="1380" w:type="dxa"/>
            <w:shd w:val="clear" w:color="auto" w:fill="auto"/>
          </w:tcPr>
          <w:p w14:paraId="502F6DE2" w14:textId="77777777" w:rsidR="00B5099F" w:rsidRDefault="00B5099F"/>
        </w:tc>
      </w:tr>
      <w:tr w:rsidR="00494B49" w14:paraId="4F1A0C52" w14:textId="77777777" w:rsidTr="00B5099F">
        <w:tc>
          <w:tcPr>
            <w:tcW w:w="4017" w:type="dxa"/>
          </w:tcPr>
          <w:p w14:paraId="3BBDEBEB" w14:textId="77777777" w:rsidR="00494B49" w:rsidRDefault="00494B49">
            <w:r>
              <w:t>(5)</w:t>
            </w:r>
          </w:p>
        </w:tc>
        <w:tc>
          <w:tcPr>
            <w:tcW w:w="1991" w:type="dxa"/>
          </w:tcPr>
          <w:p w14:paraId="00106B0B"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
          <w:p w14:paraId="10E74237" w14:textId="77777777" w:rsidR="00494B49" w:rsidRDefault="00494B49">
            <w:r>
              <w:t>$201,000</w:t>
            </w:r>
          </w:p>
        </w:tc>
        <w:tc>
          <w:tcPr>
            <w:tcW w:w="1380" w:type="dxa"/>
          </w:tcPr>
          <w:p w14:paraId="12E3FAD2" w14:textId="77777777" w:rsidR="00494B49" w:rsidRDefault="00494B49"/>
        </w:tc>
      </w:tr>
      <w:tr w:rsidR="00494B49" w14:paraId="7CC503FB" w14:textId="77777777" w:rsidTr="00B5099F">
        <w:tc>
          <w:tcPr>
            <w:tcW w:w="4017" w:type="dxa"/>
          </w:tcPr>
          <w:p w14:paraId="355778C1" w14:textId="77777777" w:rsidR="00494B49" w:rsidRDefault="00494B49">
            <w:r>
              <w:t>(6)</w:t>
            </w:r>
          </w:p>
        </w:tc>
        <w:tc>
          <w:tcPr>
            <w:tcW w:w="1991" w:type="dxa"/>
          </w:tcPr>
          <w:p w14:paraId="77C05901"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
          <w:p w14:paraId="292373DA" w14:textId="77777777" w:rsidR="00494B49" w:rsidRDefault="00494B49"/>
        </w:tc>
        <w:tc>
          <w:tcPr>
            <w:tcW w:w="1380" w:type="dxa"/>
          </w:tcPr>
          <w:p w14:paraId="502028AB" w14:textId="77777777" w:rsidR="00494B49" w:rsidRDefault="00494B49"/>
        </w:tc>
      </w:tr>
      <w:tr w:rsidR="00494B49" w14:paraId="5CAEC93F" w14:textId="77777777" w:rsidTr="00B5099F">
        <w:tc>
          <w:tcPr>
            <w:tcW w:w="4017" w:type="dxa"/>
          </w:tcPr>
          <w:p w14:paraId="2D36A88C" w14:textId="77777777" w:rsidR="00494B49" w:rsidRDefault="00494B49"/>
        </w:tc>
        <w:tc>
          <w:tcPr>
            <w:tcW w:w="1991" w:type="dxa"/>
          </w:tcPr>
          <w:p w14:paraId="24ECE026" w14:textId="77777777" w:rsidR="00494B49" w:rsidRDefault="00494B49">
            <w:r>
              <w:t>(a) Investment Interest Expense</w:t>
            </w:r>
          </w:p>
          <w:p w14:paraId="2E5FCAC0" w14:textId="77777777" w:rsidR="00494B49" w:rsidRDefault="00494B49">
            <w:r>
              <w:t>(b) Casualty Losses</w:t>
            </w:r>
          </w:p>
          <w:p w14:paraId="2BF20364" w14:textId="77777777" w:rsidR="00494B49" w:rsidRDefault="00494B49">
            <w:r>
              <w:t>(c) Medical Expenses</w:t>
            </w:r>
          </w:p>
          <w:p w14:paraId="7E78CC6C" w14:textId="77777777" w:rsidR="00494B49" w:rsidRDefault="00494B49">
            <w:r>
              <w:t>(d) Gambling</w:t>
            </w:r>
          </w:p>
          <w:p w14:paraId="7B4734CE" w14:textId="77777777" w:rsidR="00494B49" w:rsidRDefault="00494B49">
            <w:r>
              <w:t>(e) Total</w:t>
            </w:r>
          </w:p>
        </w:tc>
        <w:tc>
          <w:tcPr>
            <w:tcW w:w="1962" w:type="dxa"/>
          </w:tcPr>
          <w:p w14:paraId="75C1C07D" w14:textId="77777777" w:rsidR="00494B49" w:rsidRDefault="00494B49">
            <w:r>
              <w:t>$ 75,000</w:t>
            </w:r>
          </w:p>
          <w:p w14:paraId="25026CC7" w14:textId="77777777" w:rsidR="00494B49" w:rsidRDefault="00494B49">
            <w:r>
              <w:t>$____________</w:t>
            </w:r>
          </w:p>
          <w:p w14:paraId="6913E163" w14:textId="77777777" w:rsidR="00494B49" w:rsidRDefault="00494B49">
            <w:r>
              <w:t>$____________</w:t>
            </w:r>
          </w:p>
          <w:p w14:paraId="3ABA7DAA" w14:textId="77777777" w:rsidR="00494B49" w:rsidRDefault="00494B49">
            <w:r>
              <w:t>$____________</w:t>
            </w:r>
          </w:p>
          <w:p w14:paraId="1F73AF69" w14:textId="77777777" w:rsidR="00494B49" w:rsidRDefault="00494B49">
            <w:r>
              <w:t>$ 75,000</w:t>
            </w:r>
          </w:p>
        </w:tc>
        <w:tc>
          <w:tcPr>
            <w:tcW w:w="1380" w:type="dxa"/>
          </w:tcPr>
          <w:p w14:paraId="341D2204" w14:textId="77777777" w:rsidR="00494B49" w:rsidRDefault="00494B49"/>
        </w:tc>
      </w:tr>
      <w:tr w:rsidR="00494B49" w14:paraId="585AFA7D" w14:textId="77777777" w:rsidTr="00B5099F">
        <w:tc>
          <w:tcPr>
            <w:tcW w:w="4017" w:type="dxa"/>
          </w:tcPr>
          <w:p w14:paraId="386B4EE7" w14:textId="77777777" w:rsidR="00494B49" w:rsidRDefault="00494B49">
            <w:r>
              <w:lastRenderedPageBreak/>
              <w:t>(7)</w:t>
            </w:r>
          </w:p>
        </w:tc>
        <w:tc>
          <w:tcPr>
            <w:tcW w:w="1991" w:type="dxa"/>
          </w:tcPr>
          <w:p w14:paraId="07BEC5AB" w14:textId="77777777" w:rsidR="00494B49" w:rsidRDefault="00494B49">
            <w:r>
              <w:t>Subtract all items in Line 6 from Line 5</w:t>
            </w:r>
          </w:p>
        </w:tc>
        <w:tc>
          <w:tcPr>
            <w:tcW w:w="1962" w:type="dxa"/>
          </w:tcPr>
          <w:p w14:paraId="3CB1EB1E" w14:textId="77777777" w:rsidR="00494B49" w:rsidRDefault="00494B49"/>
        </w:tc>
        <w:tc>
          <w:tcPr>
            <w:tcW w:w="1380" w:type="dxa"/>
          </w:tcPr>
          <w:p w14:paraId="1095A801" w14:textId="77777777" w:rsidR="00494B49" w:rsidRDefault="00494B49">
            <w:r>
              <w:t>$ 126,000</w:t>
            </w:r>
          </w:p>
        </w:tc>
      </w:tr>
      <w:tr w:rsidR="00B5099F" w14:paraId="09E6E945" w14:textId="46974C25" w:rsidTr="00B5099F">
        <w:tc>
          <w:tcPr>
            <w:tcW w:w="4017" w:type="dxa"/>
          </w:tcPr>
          <w:p w14:paraId="35487C3B" w14:textId="77777777" w:rsidR="00494B49" w:rsidRDefault="00494B49">
            <w:r>
              <w:t>(8)</w:t>
            </w:r>
          </w:p>
        </w:tc>
        <w:tc>
          <w:tcPr>
            <w:tcW w:w="1991" w:type="dxa"/>
          </w:tcPr>
          <w:p w14:paraId="38D2AFB6" w14:textId="77777777" w:rsidR="00494B49" w:rsidRDefault="00494B49">
            <w:r>
              <w:t>Enter the lesser of Line 7 or Line 4.</w:t>
            </w:r>
          </w:p>
          <w:p w14:paraId="05ABAF83"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962" w:type="dxa"/>
          </w:tcPr>
          <w:p w14:paraId="2678F8A0" w14:textId="77777777" w:rsidR="00494B49" w:rsidRDefault="00494B49">
            <w:r>
              <w:t>$ 126,000</w:t>
            </w:r>
          </w:p>
        </w:tc>
        <w:tc>
          <w:tcPr>
            <w:tcW w:w="1380" w:type="dxa"/>
            <w:shd w:val="clear" w:color="auto" w:fill="auto"/>
          </w:tcPr>
          <w:p w14:paraId="35510780" w14:textId="77777777" w:rsidR="00B5099F" w:rsidRDefault="00B5099F"/>
        </w:tc>
      </w:tr>
    </w:tbl>
    <w:p w14:paraId="7A8FB90E" w14:textId="77777777" w:rsidR="00494B49" w:rsidRDefault="00494B49" w:rsidP="007865AF"/>
    <w:p w14:paraId="76BB48BE" w14:textId="77777777" w:rsidR="00494B49" w:rsidRDefault="00494B49" w:rsidP="007865AF"/>
    <w:tbl>
      <w:tblPr>
        <w:tblStyle w:val="TableGrid"/>
        <w:tblW w:w="9354" w:type="dxa"/>
        <w:tblLook w:val="04A0" w:firstRow="1" w:lastRow="0" w:firstColumn="1" w:lastColumn="0" w:noHBand="0" w:noVBand="1"/>
      </w:tblPr>
      <w:tblGrid>
        <w:gridCol w:w="3242"/>
        <w:gridCol w:w="1570"/>
        <w:gridCol w:w="6"/>
        <w:gridCol w:w="1596"/>
        <w:gridCol w:w="1174"/>
        <w:gridCol w:w="6"/>
        <w:gridCol w:w="604"/>
        <w:gridCol w:w="6"/>
        <w:gridCol w:w="1150"/>
      </w:tblGrid>
      <w:tr w:rsidR="00B5099F" w14:paraId="72EB9814" w14:textId="0783C56E" w:rsidTr="00B5099F">
        <w:tc>
          <w:tcPr>
            <w:tcW w:w="3242" w:type="dxa"/>
          </w:tcPr>
          <w:p w14:paraId="09E28834" w14:textId="77777777" w:rsidR="00494B49" w:rsidRDefault="00494B49">
            <w:r>
              <w:t xml:space="preserve"> </w:t>
            </w:r>
            <w:r>
              <w:rPr>
                <w:b/>
                <w:i/>
              </w:rPr>
              <w:t xml:space="preserve">Part IV </w:t>
            </w:r>
          </w:p>
          <w:p w14:paraId="528FEB03" w14:textId="77777777" w:rsidR="00494B49" w:rsidRDefault="00494B49">
            <w:r>
              <w:t xml:space="preserve"> </w:t>
            </w:r>
            <w:r>
              <w:rPr>
                <w:b/>
                <w:i/>
              </w:rPr>
              <w:t>Reconciliation of Schedule A Deductions to Form 8960, Lines 9 and 10</w:t>
            </w:r>
          </w:p>
          <w:p w14:paraId="7637ADCD" w14:textId="77777777" w:rsidR="00494B49" w:rsidRDefault="00494B49">
            <w:r>
              <w:t xml:space="preserve"> </w:t>
            </w:r>
            <w:r>
              <w:rPr>
                <w:b/>
                <w:i/>
              </w:rPr>
              <w:t>(Individuals Only)</w:t>
            </w:r>
          </w:p>
          <w:p w14:paraId="511377E6" w14:textId="77777777" w:rsidR="00494B49" w:rsidRDefault="00494B49"/>
        </w:tc>
        <w:tc>
          <w:tcPr>
            <w:tcW w:w="1576" w:type="dxa"/>
            <w:gridSpan w:val="2"/>
            <w:shd w:val="clear" w:color="auto" w:fill="auto"/>
          </w:tcPr>
          <w:p w14:paraId="1DED0B55" w14:textId="77777777" w:rsidR="00B5099F" w:rsidRDefault="00B5099F"/>
        </w:tc>
        <w:tc>
          <w:tcPr>
            <w:tcW w:w="1596" w:type="dxa"/>
            <w:shd w:val="clear" w:color="auto" w:fill="auto"/>
          </w:tcPr>
          <w:p w14:paraId="7220319B" w14:textId="77777777" w:rsidR="00B5099F" w:rsidRDefault="00B5099F"/>
        </w:tc>
        <w:tc>
          <w:tcPr>
            <w:tcW w:w="1180" w:type="dxa"/>
            <w:gridSpan w:val="2"/>
            <w:shd w:val="clear" w:color="auto" w:fill="auto"/>
          </w:tcPr>
          <w:p w14:paraId="6059DFE4" w14:textId="77777777" w:rsidR="00B5099F" w:rsidRDefault="00B5099F"/>
        </w:tc>
        <w:tc>
          <w:tcPr>
            <w:tcW w:w="610" w:type="dxa"/>
            <w:gridSpan w:val="2"/>
            <w:shd w:val="clear" w:color="auto" w:fill="auto"/>
          </w:tcPr>
          <w:p w14:paraId="5A47974A" w14:textId="77777777" w:rsidR="00B5099F" w:rsidRDefault="00B5099F"/>
        </w:tc>
        <w:tc>
          <w:tcPr>
            <w:tcW w:w="1150" w:type="dxa"/>
            <w:shd w:val="clear" w:color="auto" w:fill="auto"/>
          </w:tcPr>
          <w:p w14:paraId="6539D4BE" w14:textId="77777777" w:rsidR="00B5099F" w:rsidRDefault="00B5099F"/>
        </w:tc>
      </w:tr>
      <w:tr w:rsidR="00B5099F" w14:paraId="55CEA180" w14:textId="7E9FBC1E" w:rsidTr="00B5099F">
        <w:tc>
          <w:tcPr>
            <w:tcW w:w="3242" w:type="dxa"/>
          </w:tcPr>
          <w:p w14:paraId="53363C30" w14:textId="77777777" w:rsidR="00494B49" w:rsidRDefault="00494B49">
            <w:r>
              <w:t>(A)</w:t>
            </w:r>
          </w:p>
        </w:tc>
        <w:tc>
          <w:tcPr>
            <w:tcW w:w="1570" w:type="dxa"/>
          </w:tcPr>
          <w:p w14:paraId="62AFE044" w14:textId="77777777" w:rsidR="00494B49" w:rsidRDefault="00494B49">
            <w:r>
              <w:t>(B)</w:t>
            </w:r>
          </w:p>
        </w:tc>
        <w:tc>
          <w:tcPr>
            <w:tcW w:w="1602" w:type="dxa"/>
            <w:gridSpan w:val="2"/>
          </w:tcPr>
          <w:p w14:paraId="103B80F3" w14:textId="77777777" w:rsidR="00494B49" w:rsidRDefault="00494B49">
            <w:r>
              <w:t>(C)</w:t>
            </w:r>
          </w:p>
        </w:tc>
        <w:tc>
          <w:tcPr>
            <w:tcW w:w="1174" w:type="dxa"/>
            <w:shd w:val="clear" w:color="auto" w:fill="auto"/>
          </w:tcPr>
          <w:p w14:paraId="60350C02" w14:textId="77777777" w:rsidR="00B5099F" w:rsidRDefault="00B5099F"/>
        </w:tc>
        <w:tc>
          <w:tcPr>
            <w:tcW w:w="610" w:type="dxa"/>
            <w:gridSpan w:val="2"/>
            <w:shd w:val="clear" w:color="auto" w:fill="auto"/>
          </w:tcPr>
          <w:p w14:paraId="0A3DC448" w14:textId="77777777" w:rsidR="00B5099F" w:rsidRDefault="00B5099F"/>
        </w:tc>
        <w:tc>
          <w:tcPr>
            <w:tcW w:w="1154" w:type="dxa"/>
            <w:gridSpan w:val="2"/>
            <w:shd w:val="clear" w:color="auto" w:fill="auto"/>
          </w:tcPr>
          <w:p w14:paraId="5100D36B" w14:textId="77777777" w:rsidR="00B5099F" w:rsidRDefault="00B5099F"/>
        </w:tc>
      </w:tr>
      <w:tr w:rsidR="00B5099F" w14:paraId="55EB37E4" w14:textId="2A0D96CF" w:rsidTr="00B5099F">
        <w:tc>
          <w:tcPr>
            <w:tcW w:w="3242" w:type="dxa"/>
          </w:tcPr>
          <w:p w14:paraId="73168051" w14:textId="77777777" w:rsidR="00494B49" w:rsidRDefault="00494B49">
            <w:proofErr w:type="spellStart"/>
            <w:r>
              <w:t>Reenter</w:t>
            </w:r>
            <w:proofErr w:type="spellEnd"/>
            <w:r>
              <w:t xml:space="preserve"> the amounts and descriptions from Part III, Lines 1 – 3.</w:t>
            </w:r>
          </w:p>
        </w:tc>
        <w:tc>
          <w:tcPr>
            <w:tcW w:w="1570" w:type="dxa"/>
          </w:tcPr>
          <w:p w14:paraId="414594F1" w14:textId="77777777" w:rsidR="00494B49" w:rsidRDefault="00494B49">
            <w:r>
              <w:t xml:space="preserve">If Part III, Line 8 is less than Part III, Line 4, then divide Line 8 by on Line 4 and enter the amount in column (B). </w:t>
            </w:r>
          </w:p>
          <w:p w14:paraId="256FC296" w14:textId="77777777" w:rsidR="00494B49" w:rsidRDefault="00494B49">
            <w:r>
              <w:t>If the amounts reported on Part III, Lines 4 and 8 are equal, then enter 1.00 in column (B).</w:t>
            </w:r>
          </w:p>
        </w:tc>
        <w:tc>
          <w:tcPr>
            <w:tcW w:w="1602" w:type="dxa"/>
            <w:gridSpan w:val="2"/>
          </w:tcPr>
          <w:p w14:paraId="4B88B096" w14:textId="77777777" w:rsidR="00494B49" w:rsidRDefault="00494B49">
            <w:r>
              <w:t>Multiply the individual amounts in column (A) by the amount in column (B). Enter these amounts in the appropriate location on Lines 9 and 10.</w:t>
            </w:r>
          </w:p>
        </w:tc>
        <w:tc>
          <w:tcPr>
            <w:tcW w:w="1174" w:type="dxa"/>
            <w:shd w:val="clear" w:color="auto" w:fill="auto"/>
          </w:tcPr>
          <w:p w14:paraId="4321736D" w14:textId="77777777" w:rsidR="00B5099F" w:rsidRDefault="00B5099F"/>
        </w:tc>
        <w:tc>
          <w:tcPr>
            <w:tcW w:w="610" w:type="dxa"/>
            <w:gridSpan w:val="2"/>
            <w:shd w:val="clear" w:color="auto" w:fill="auto"/>
          </w:tcPr>
          <w:p w14:paraId="7E1295E6" w14:textId="77777777" w:rsidR="00B5099F" w:rsidRDefault="00B5099F"/>
        </w:tc>
        <w:tc>
          <w:tcPr>
            <w:tcW w:w="1154" w:type="dxa"/>
            <w:gridSpan w:val="2"/>
            <w:shd w:val="clear" w:color="auto" w:fill="auto"/>
          </w:tcPr>
          <w:p w14:paraId="665F5F95" w14:textId="77777777" w:rsidR="00B5099F" w:rsidRDefault="00B5099F"/>
        </w:tc>
      </w:tr>
      <w:tr w:rsidR="00494B49" w14:paraId="1F34F11A" w14:textId="77777777" w:rsidTr="00B5099F">
        <w:tc>
          <w:tcPr>
            <w:tcW w:w="3242" w:type="dxa"/>
          </w:tcPr>
          <w:p w14:paraId="3BCC1805" w14:textId="77777777" w:rsidR="00494B49" w:rsidRDefault="00494B49">
            <w:r>
              <w:t xml:space="preserve">(1) Miscellaneous Itemized Deductions properly allocable to investment income: </w:t>
            </w:r>
          </w:p>
        </w:tc>
        <w:tc>
          <w:tcPr>
            <w:tcW w:w="1570" w:type="dxa"/>
          </w:tcPr>
          <w:p w14:paraId="1FC24AC4" w14:textId="77777777" w:rsidR="00494B49" w:rsidRDefault="00494B49">
            <w:r>
              <w:t xml:space="preserve"> </w:t>
            </w:r>
          </w:p>
          <w:p w14:paraId="7BBAF799" w14:textId="77777777" w:rsidR="00494B49" w:rsidRDefault="00494B49"/>
        </w:tc>
        <w:tc>
          <w:tcPr>
            <w:tcW w:w="1602" w:type="dxa"/>
            <w:gridSpan w:val="2"/>
          </w:tcPr>
          <w:p w14:paraId="4EB9A3D7" w14:textId="77777777" w:rsidR="00494B49" w:rsidRDefault="00494B49">
            <w:r>
              <w:t xml:space="preserve"> </w:t>
            </w:r>
          </w:p>
          <w:p w14:paraId="42CF414D" w14:textId="77777777" w:rsidR="00494B49" w:rsidRDefault="00494B49"/>
        </w:tc>
        <w:tc>
          <w:tcPr>
            <w:tcW w:w="1174" w:type="dxa"/>
          </w:tcPr>
          <w:p w14:paraId="24090AC7" w14:textId="77777777" w:rsidR="00494B49" w:rsidRDefault="00494B49">
            <w:r>
              <w:t xml:space="preserve"> </w:t>
            </w:r>
          </w:p>
          <w:p w14:paraId="09EF4C0A" w14:textId="77777777" w:rsidR="00494B49" w:rsidRDefault="00494B49"/>
        </w:tc>
        <w:tc>
          <w:tcPr>
            <w:tcW w:w="610" w:type="dxa"/>
            <w:gridSpan w:val="2"/>
          </w:tcPr>
          <w:p w14:paraId="3C44C3A5" w14:textId="77777777" w:rsidR="00494B49" w:rsidRDefault="00494B49">
            <w:r>
              <w:t xml:space="preserve"> </w:t>
            </w:r>
          </w:p>
          <w:p w14:paraId="35126AA2" w14:textId="77777777" w:rsidR="00494B49" w:rsidRDefault="00494B49"/>
        </w:tc>
        <w:tc>
          <w:tcPr>
            <w:tcW w:w="1154" w:type="dxa"/>
            <w:gridSpan w:val="2"/>
          </w:tcPr>
          <w:p w14:paraId="1E918C97" w14:textId="77777777" w:rsidR="00494B49" w:rsidRDefault="00494B49">
            <w:r>
              <w:t xml:space="preserve"> </w:t>
            </w:r>
          </w:p>
          <w:p w14:paraId="50CB3820" w14:textId="77777777" w:rsidR="00494B49" w:rsidRDefault="00494B49"/>
        </w:tc>
      </w:tr>
      <w:tr w:rsidR="00494B49" w14:paraId="36AB7223" w14:textId="77777777" w:rsidTr="00B5099F">
        <w:tc>
          <w:tcPr>
            <w:tcW w:w="3242" w:type="dxa"/>
          </w:tcPr>
          <w:p w14:paraId="4D12453E" w14:textId="77777777" w:rsidR="00494B49" w:rsidRDefault="00494B49">
            <w:r>
              <w:t xml:space="preserve">(a) </w:t>
            </w:r>
            <w:proofErr w:type="spellStart"/>
            <w:r>
              <w:t>Inv</w:t>
            </w:r>
            <w:proofErr w:type="spellEnd"/>
            <w:r>
              <w:t xml:space="preserve"> Expense   9c</w:t>
            </w:r>
          </w:p>
          <w:p w14:paraId="50F72A59" w14:textId="77777777" w:rsidR="00494B49" w:rsidRDefault="00494B49">
            <w:r>
              <w:t> Description  Line</w:t>
            </w:r>
          </w:p>
        </w:tc>
        <w:tc>
          <w:tcPr>
            <w:tcW w:w="1570" w:type="dxa"/>
          </w:tcPr>
          <w:p w14:paraId="35207578" w14:textId="77777777" w:rsidR="00494B49" w:rsidRDefault="00494B49">
            <w:r>
              <w:t>$ 55,714.29</w:t>
            </w:r>
          </w:p>
          <w:p w14:paraId="39474DF7" w14:textId="77777777" w:rsidR="00494B49" w:rsidRDefault="00494B49"/>
        </w:tc>
        <w:tc>
          <w:tcPr>
            <w:tcW w:w="1602" w:type="dxa"/>
            <w:gridSpan w:val="2"/>
          </w:tcPr>
          <w:p w14:paraId="7F86E09B" w14:textId="77777777" w:rsidR="00494B49" w:rsidRDefault="00494B49">
            <w:r>
              <w:t>×</w:t>
            </w:r>
          </w:p>
          <w:p w14:paraId="74639F61" w14:textId="77777777" w:rsidR="00494B49" w:rsidRDefault="00494B49"/>
        </w:tc>
        <w:tc>
          <w:tcPr>
            <w:tcW w:w="1174" w:type="dxa"/>
          </w:tcPr>
          <w:p w14:paraId="2CE63CDB" w14:textId="77777777" w:rsidR="00494B49" w:rsidRDefault="00494B49">
            <w:r>
              <w:t>0.9000000</w:t>
            </w:r>
          </w:p>
          <w:p w14:paraId="17B977B3" w14:textId="77777777" w:rsidR="00494B49" w:rsidRDefault="00494B49"/>
        </w:tc>
        <w:tc>
          <w:tcPr>
            <w:tcW w:w="610" w:type="dxa"/>
            <w:gridSpan w:val="2"/>
          </w:tcPr>
          <w:p w14:paraId="4131D536" w14:textId="77777777" w:rsidR="00494B49" w:rsidRDefault="00494B49">
            <w:r>
              <w:t>=</w:t>
            </w:r>
          </w:p>
          <w:p w14:paraId="2FCD4186" w14:textId="77777777" w:rsidR="00494B49" w:rsidRDefault="00494B49"/>
        </w:tc>
        <w:tc>
          <w:tcPr>
            <w:tcW w:w="1154" w:type="dxa"/>
            <w:gridSpan w:val="2"/>
          </w:tcPr>
          <w:p w14:paraId="70578167" w14:textId="77777777" w:rsidR="00494B49" w:rsidRDefault="00494B49">
            <w:r>
              <w:t>$ 50,142.86</w:t>
            </w:r>
          </w:p>
          <w:p w14:paraId="680C3072" w14:textId="77777777" w:rsidR="00494B49" w:rsidRDefault="00494B49"/>
        </w:tc>
      </w:tr>
      <w:tr w:rsidR="00494B49" w14:paraId="7EFD3A8F" w14:textId="77777777" w:rsidTr="00B5099F">
        <w:tc>
          <w:tcPr>
            <w:tcW w:w="3242" w:type="dxa"/>
          </w:tcPr>
          <w:p w14:paraId="6A4671B1" w14:textId="77777777" w:rsidR="00494B49" w:rsidRDefault="00494B49">
            <w:r>
              <w:t>(b) RE Taxes    9c</w:t>
            </w:r>
          </w:p>
          <w:p w14:paraId="2B84905C" w14:textId="77777777" w:rsidR="00494B49" w:rsidRDefault="00494B49">
            <w:r>
              <w:t> Description  Line</w:t>
            </w:r>
          </w:p>
        </w:tc>
        <w:tc>
          <w:tcPr>
            <w:tcW w:w="1570" w:type="dxa"/>
          </w:tcPr>
          <w:p w14:paraId="17A2D2F8" w14:textId="77777777" w:rsidR="00494B49" w:rsidRDefault="00494B49">
            <w:r>
              <w:t>$60,000.00</w:t>
            </w:r>
          </w:p>
          <w:p w14:paraId="5C843AC0" w14:textId="77777777" w:rsidR="00494B49" w:rsidRDefault="00494B49"/>
        </w:tc>
        <w:tc>
          <w:tcPr>
            <w:tcW w:w="1602" w:type="dxa"/>
            <w:gridSpan w:val="2"/>
          </w:tcPr>
          <w:p w14:paraId="57CEBC9A" w14:textId="77777777" w:rsidR="00494B49" w:rsidRDefault="00494B49">
            <w:r>
              <w:t>×</w:t>
            </w:r>
          </w:p>
          <w:p w14:paraId="31264C85" w14:textId="77777777" w:rsidR="00494B49" w:rsidRDefault="00494B49"/>
        </w:tc>
        <w:tc>
          <w:tcPr>
            <w:tcW w:w="1174" w:type="dxa"/>
          </w:tcPr>
          <w:p w14:paraId="2552455D" w14:textId="77777777" w:rsidR="00494B49" w:rsidRDefault="00494B49">
            <w:r>
              <w:t>0.9000000</w:t>
            </w:r>
          </w:p>
          <w:p w14:paraId="603BB95B" w14:textId="77777777" w:rsidR="00494B49" w:rsidRDefault="00494B49"/>
        </w:tc>
        <w:tc>
          <w:tcPr>
            <w:tcW w:w="610" w:type="dxa"/>
            <w:gridSpan w:val="2"/>
          </w:tcPr>
          <w:p w14:paraId="6E42B737" w14:textId="77777777" w:rsidR="00494B49" w:rsidRDefault="00494B49">
            <w:r>
              <w:t>=</w:t>
            </w:r>
          </w:p>
          <w:p w14:paraId="107BAD0C" w14:textId="77777777" w:rsidR="00494B49" w:rsidRDefault="00494B49"/>
        </w:tc>
        <w:tc>
          <w:tcPr>
            <w:tcW w:w="1154" w:type="dxa"/>
            <w:gridSpan w:val="2"/>
          </w:tcPr>
          <w:p w14:paraId="73AA66C5" w14:textId="77777777" w:rsidR="00494B49" w:rsidRDefault="00494B49">
            <w:r>
              <w:t>$ 54,000</w:t>
            </w:r>
          </w:p>
          <w:p w14:paraId="6B35835B" w14:textId="77777777" w:rsidR="00494B49" w:rsidRDefault="00494B49"/>
        </w:tc>
      </w:tr>
      <w:tr w:rsidR="00494B49" w14:paraId="12E09ADE" w14:textId="77777777" w:rsidTr="00B5099F">
        <w:tc>
          <w:tcPr>
            <w:tcW w:w="3242" w:type="dxa"/>
          </w:tcPr>
          <w:p w14:paraId="53BC6D92" w14:textId="77777777" w:rsidR="00494B49" w:rsidRDefault="00494B49">
            <w:r>
              <w:t>(c) Tax Prep Fee  10</w:t>
            </w:r>
          </w:p>
          <w:p w14:paraId="7EC449FC" w14:textId="77777777" w:rsidR="00494B49" w:rsidRDefault="00494B49">
            <w:r>
              <w:t> Description  Line</w:t>
            </w:r>
          </w:p>
        </w:tc>
        <w:tc>
          <w:tcPr>
            <w:tcW w:w="1570" w:type="dxa"/>
          </w:tcPr>
          <w:p w14:paraId="4B57417B" w14:textId="77777777" w:rsidR="00494B49" w:rsidRDefault="00494B49">
            <w:r>
              <w:t>$ 4,285.71</w:t>
            </w:r>
          </w:p>
          <w:p w14:paraId="6D77EC1D" w14:textId="77777777" w:rsidR="00494B49" w:rsidRDefault="00494B49"/>
        </w:tc>
        <w:tc>
          <w:tcPr>
            <w:tcW w:w="1602" w:type="dxa"/>
            <w:gridSpan w:val="2"/>
          </w:tcPr>
          <w:p w14:paraId="2CAA0BF9" w14:textId="77777777" w:rsidR="00494B49" w:rsidRDefault="00494B49">
            <w:r>
              <w:t>×</w:t>
            </w:r>
          </w:p>
          <w:p w14:paraId="129A179E" w14:textId="77777777" w:rsidR="00494B49" w:rsidRDefault="00494B49"/>
        </w:tc>
        <w:tc>
          <w:tcPr>
            <w:tcW w:w="1174" w:type="dxa"/>
          </w:tcPr>
          <w:p w14:paraId="3C88B8CD" w14:textId="77777777" w:rsidR="00494B49" w:rsidRDefault="00494B49">
            <w:r>
              <w:t>0.9000000</w:t>
            </w:r>
          </w:p>
          <w:p w14:paraId="64267759" w14:textId="77777777" w:rsidR="00494B49" w:rsidRDefault="00494B49"/>
        </w:tc>
        <w:tc>
          <w:tcPr>
            <w:tcW w:w="610" w:type="dxa"/>
            <w:gridSpan w:val="2"/>
          </w:tcPr>
          <w:p w14:paraId="32BD7A3C" w14:textId="77777777" w:rsidR="00494B49" w:rsidRDefault="00494B49">
            <w:r>
              <w:t>=</w:t>
            </w:r>
          </w:p>
          <w:p w14:paraId="2A070EAA" w14:textId="77777777" w:rsidR="00494B49" w:rsidRDefault="00494B49"/>
        </w:tc>
        <w:tc>
          <w:tcPr>
            <w:tcW w:w="1154" w:type="dxa"/>
            <w:gridSpan w:val="2"/>
          </w:tcPr>
          <w:p w14:paraId="6BCA5271" w14:textId="77777777" w:rsidR="00494B49" w:rsidRDefault="00494B49">
            <w:r>
              <w:t>$ 3,857.14</w:t>
            </w:r>
          </w:p>
          <w:p w14:paraId="4BC9AC37" w14:textId="77777777" w:rsidR="00494B49" w:rsidRDefault="00494B49"/>
        </w:tc>
      </w:tr>
      <w:tr w:rsidR="00494B49" w14:paraId="4EBB9A67" w14:textId="77777777" w:rsidTr="00B5099F">
        <w:tc>
          <w:tcPr>
            <w:tcW w:w="3242" w:type="dxa"/>
          </w:tcPr>
          <w:p w14:paraId="4DA1E4CE" w14:textId="77777777" w:rsidR="00494B49" w:rsidRDefault="00494B49">
            <w:r>
              <w:t>(2) State, local, and foreign income taxes</w:t>
            </w:r>
          </w:p>
        </w:tc>
        <w:tc>
          <w:tcPr>
            <w:tcW w:w="1570" w:type="dxa"/>
          </w:tcPr>
          <w:p w14:paraId="56D3887A" w14:textId="77777777" w:rsidR="00494B49" w:rsidRDefault="00494B49">
            <w:r>
              <w:t>$20,000</w:t>
            </w:r>
          </w:p>
        </w:tc>
        <w:tc>
          <w:tcPr>
            <w:tcW w:w="1602" w:type="dxa"/>
            <w:gridSpan w:val="2"/>
          </w:tcPr>
          <w:p w14:paraId="0C27A1C4" w14:textId="77777777" w:rsidR="00494B49" w:rsidRDefault="00494B49">
            <w:r>
              <w:t>×</w:t>
            </w:r>
          </w:p>
        </w:tc>
        <w:tc>
          <w:tcPr>
            <w:tcW w:w="1174" w:type="dxa"/>
          </w:tcPr>
          <w:p w14:paraId="67758FD4" w14:textId="77777777" w:rsidR="00494B49" w:rsidRDefault="00494B49">
            <w:r>
              <w:t>0.9000000</w:t>
            </w:r>
          </w:p>
        </w:tc>
        <w:tc>
          <w:tcPr>
            <w:tcW w:w="610" w:type="dxa"/>
            <w:gridSpan w:val="2"/>
          </w:tcPr>
          <w:p w14:paraId="241B97A0" w14:textId="77777777" w:rsidR="00494B49" w:rsidRDefault="00494B49">
            <w:r>
              <w:t>=</w:t>
            </w:r>
          </w:p>
        </w:tc>
        <w:tc>
          <w:tcPr>
            <w:tcW w:w="1154" w:type="dxa"/>
            <w:gridSpan w:val="2"/>
          </w:tcPr>
          <w:p w14:paraId="5194A646" w14:textId="77777777" w:rsidR="00494B49" w:rsidRDefault="00494B49">
            <w:r>
              <w:t>$ 18,000</w:t>
            </w:r>
          </w:p>
        </w:tc>
      </w:tr>
      <w:tr w:rsidR="00494B49" w14:paraId="62F41537" w14:textId="77777777" w:rsidTr="00B5099F">
        <w:tc>
          <w:tcPr>
            <w:tcW w:w="3242" w:type="dxa"/>
          </w:tcPr>
          <w:p w14:paraId="0E1F4C7E" w14:textId="77777777" w:rsidR="00494B49" w:rsidRDefault="00494B49">
            <w:r>
              <w:t>Total</w:t>
            </w:r>
          </w:p>
        </w:tc>
        <w:tc>
          <w:tcPr>
            <w:tcW w:w="1570" w:type="dxa"/>
          </w:tcPr>
          <w:p w14:paraId="61C646E7" w14:textId="77777777" w:rsidR="00494B49" w:rsidRDefault="00494B49">
            <w:r>
              <w:t>$ 140,000</w:t>
            </w:r>
          </w:p>
        </w:tc>
        <w:tc>
          <w:tcPr>
            <w:tcW w:w="1602" w:type="dxa"/>
            <w:gridSpan w:val="2"/>
          </w:tcPr>
          <w:p w14:paraId="0E9AF08D" w14:textId="77777777" w:rsidR="00494B49" w:rsidRDefault="00494B49"/>
        </w:tc>
        <w:tc>
          <w:tcPr>
            <w:tcW w:w="1174" w:type="dxa"/>
          </w:tcPr>
          <w:p w14:paraId="690B0286" w14:textId="77777777" w:rsidR="00494B49" w:rsidRDefault="00494B49"/>
        </w:tc>
        <w:tc>
          <w:tcPr>
            <w:tcW w:w="610" w:type="dxa"/>
            <w:gridSpan w:val="2"/>
          </w:tcPr>
          <w:p w14:paraId="666CBC73" w14:textId="77777777" w:rsidR="00494B49" w:rsidRDefault="00494B49"/>
        </w:tc>
        <w:tc>
          <w:tcPr>
            <w:tcW w:w="1154" w:type="dxa"/>
            <w:gridSpan w:val="2"/>
          </w:tcPr>
          <w:p w14:paraId="74866596" w14:textId="77777777" w:rsidR="00494B49" w:rsidRDefault="00494B49">
            <w:r>
              <w:t>$ 126,000</w:t>
            </w:r>
          </w:p>
        </w:tc>
      </w:tr>
    </w:tbl>
    <w:p w14:paraId="48DEC435" w14:textId="77777777" w:rsidR="00494B49" w:rsidRDefault="00494B49">
      <w:pPr>
        <w:pStyle w:val="BNormal"/>
      </w:pPr>
    </w:p>
    <w:p w14:paraId="251A0E4E" w14:textId="77777777" w:rsidR="00494B49" w:rsidRDefault="00494B49">
      <w:pPr>
        <w:pStyle w:val="BHead3"/>
      </w:pPr>
      <w:r>
        <w:lastRenderedPageBreak/>
        <w:t>c. Example — Benefits of Stacking</w:t>
      </w:r>
    </w:p>
    <w:p w14:paraId="73A39322" w14:textId="77777777" w:rsidR="00494B49" w:rsidRDefault="00494B49" w:rsidP="007865AF">
      <w:pPr>
        <w:pStyle w:val="BNormal"/>
      </w:pPr>
      <w:r>
        <w:t xml:space="preserve">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 </w:t>
      </w:r>
    </w:p>
    <w:p w14:paraId="65508685" w14:textId="77777777" w:rsidR="00494B49" w:rsidRDefault="00494B49" w:rsidP="007865AF">
      <w:pPr>
        <w:pStyle w:val="BNormal"/>
      </w:pPr>
    </w:p>
    <w:tbl>
      <w:tblPr>
        <w:tblStyle w:val="TableGrid"/>
        <w:tblW w:w="9355" w:type="dxa"/>
        <w:tblLook w:val="04A0" w:firstRow="1" w:lastRow="0" w:firstColumn="1" w:lastColumn="0" w:noHBand="0" w:noVBand="1"/>
      </w:tblPr>
      <w:tblGrid>
        <w:gridCol w:w="3723"/>
        <w:gridCol w:w="2409"/>
        <w:gridCol w:w="1893"/>
        <w:gridCol w:w="1330"/>
      </w:tblGrid>
      <w:tr w:rsidR="00B5099F" w14:paraId="1BA2AB7B" w14:textId="2C77831C" w:rsidTr="00B5099F">
        <w:tc>
          <w:tcPr>
            <w:tcW w:w="3723" w:type="dxa"/>
          </w:tcPr>
          <w:p w14:paraId="5D45903B" w14:textId="77777777" w:rsidR="00494B49" w:rsidRDefault="00494B49">
            <w:r>
              <w:t xml:space="preserve"> </w:t>
            </w:r>
            <w:r>
              <w:rPr>
                <w:b/>
                <w:i/>
              </w:rPr>
              <w:t>Form 8960, Lines 9-10 Worksheet</w:t>
            </w:r>
          </w:p>
          <w:p w14:paraId="50BB0132" w14:textId="77777777" w:rsidR="00494B49" w:rsidRDefault="00494B49">
            <w:r>
              <w:t xml:space="preserve"> </w:t>
            </w:r>
            <w:r>
              <w:rPr>
                <w:b/>
                <w:i/>
              </w:rPr>
              <w:t>Part III</w:t>
            </w:r>
          </w:p>
          <w:p w14:paraId="3129CC3B" w14:textId="77777777" w:rsidR="00494B49" w:rsidRDefault="00494B49">
            <w:r>
              <w:t xml:space="preserve"> </w:t>
            </w:r>
            <w:r>
              <w:rPr>
                <w:b/>
                <w:i/>
              </w:rPr>
              <w:t>Application of Section 68 to deductions properly allocable to investment income</w:t>
            </w:r>
          </w:p>
          <w:p w14:paraId="2B8CD0F2" w14:textId="77777777" w:rsidR="00494B49" w:rsidRDefault="00494B49">
            <w:r>
              <w:t xml:space="preserve"> </w:t>
            </w:r>
            <w:r>
              <w:rPr>
                <w:b/>
                <w:i/>
              </w:rPr>
              <w:t>(Individuals Only)</w:t>
            </w:r>
          </w:p>
          <w:p w14:paraId="5438A1C3" w14:textId="77777777" w:rsidR="00494B49" w:rsidRDefault="00494B49"/>
        </w:tc>
        <w:tc>
          <w:tcPr>
            <w:tcW w:w="2409" w:type="dxa"/>
            <w:shd w:val="clear" w:color="auto" w:fill="auto"/>
          </w:tcPr>
          <w:p w14:paraId="73596D2E" w14:textId="77777777" w:rsidR="00B5099F" w:rsidRDefault="00B5099F"/>
        </w:tc>
        <w:tc>
          <w:tcPr>
            <w:tcW w:w="1893" w:type="dxa"/>
            <w:shd w:val="clear" w:color="auto" w:fill="auto"/>
          </w:tcPr>
          <w:p w14:paraId="19A36572" w14:textId="77777777" w:rsidR="00B5099F" w:rsidRDefault="00B5099F"/>
        </w:tc>
        <w:tc>
          <w:tcPr>
            <w:tcW w:w="1330" w:type="dxa"/>
            <w:shd w:val="clear" w:color="auto" w:fill="auto"/>
          </w:tcPr>
          <w:p w14:paraId="7FED8197" w14:textId="77777777" w:rsidR="00B5099F" w:rsidRDefault="00B5099F"/>
        </w:tc>
      </w:tr>
      <w:tr w:rsidR="00B5099F" w14:paraId="3C9C353A" w14:textId="5D891035" w:rsidTr="00B5099F">
        <w:tc>
          <w:tcPr>
            <w:tcW w:w="3723" w:type="dxa"/>
          </w:tcPr>
          <w:p w14:paraId="4A9947E7" w14:textId="77777777" w:rsidR="00494B49" w:rsidRDefault="00494B49">
            <w:r>
              <w:t>(1)</w:t>
            </w:r>
          </w:p>
        </w:tc>
        <w:tc>
          <w:tcPr>
            <w:tcW w:w="2409" w:type="dxa"/>
          </w:tcPr>
          <w:p w14:paraId="756847ED" w14:textId="77777777" w:rsidR="00494B49" w:rsidRDefault="00494B49">
            <w:r>
              <w:t xml:space="preserve">Enter the amount of Miscellaneous Itemized Deductions properly allocable to investment income from column (C) of Part II. </w:t>
            </w:r>
          </w:p>
        </w:tc>
        <w:tc>
          <w:tcPr>
            <w:tcW w:w="1893" w:type="dxa"/>
            <w:shd w:val="clear" w:color="auto" w:fill="auto"/>
          </w:tcPr>
          <w:p w14:paraId="4B2B7735" w14:textId="77777777" w:rsidR="00B5099F" w:rsidRDefault="00B5099F"/>
        </w:tc>
        <w:tc>
          <w:tcPr>
            <w:tcW w:w="1330" w:type="dxa"/>
            <w:shd w:val="clear" w:color="auto" w:fill="auto"/>
          </w:tcPr>
          <w:p w14:paraId="6E3FA6EE" w14:textId="77777777" w:rsidR="00B5099F" w:rsidRDefault="00B5099F"/>
        </w:tc>
      </w:tr>
      <w:tr w:rsidR="00494B49" w14:paraId="1EB763EC" w14:textId="77777777" w:rsidTr="00B5099F">
        <w:tc>
          <w:tcPr>
            <w:tcW w:w="3723" w:type="dxa"/>
          </w:tcPr>
          <w:p w14:paraId="4FB2BBB9" w14:textId="77777777" w:rsidR="00494B49" w:rsidRDefault="00494B49"/>
        </w:tc>
        <w:tc>
          <w:tcPr>
            <w:tcW w:w="2409" w:type="dxa"/>
          </w:tcPr>
          <w:p w14:paraId="16D89741" w14:textId="77777777" w:rsidR="00494B49" w:rsidRDefault="00494B49">
            <w:r>
              <w:t xml:space="preserve">(a) </w:t>
            </w:r>
            <w:proofErr w:type="spellStart"/>
            <w:r>
              <w:t>Inv</w:t>
            </w:r>
            <w:proofErr w:type="spellEnd"/>
            <w:r>
              <w:t xml:space="preserve"> Expense        9c</w:t>
            </w:r>
          </w:p>
          <w:p w14:paraId="0E2F536F" w14:textId="77777777" w:rsidR="00494B49" w:rsidRDefault="00494B49">
            <w:r>
              <w:t> Description        Line</w:t>
            </w:r>
          </w:p>
        </w:tc>
        <w:tc>
          <w:tcPr>
            <w:tcW w:w="1893" w:type="dxa"/>
          </w:tcPr>
          <w:p w14:paraId="48A0935A" w14:textId="77777777" w:rsidR="00494B49" w:rsidRDefault="00494B49">
            <w:r>
              <w:t>$ 55,714.29</w:t>
            </w:r>
          </w:p>
        </w:tc>
        <w:tc>
          <w:tcPr>
            <w:tcW w:w="1330" w:type="dxa"/>
          </w:tcPr>
          <w:p w14:paraId="5341CF37" w14:textId="77777777" w:rsidR="00494B49" w:rsidRDefault="00494B49"/>
        </w:tc>
      </w:tr>
      <w:tr w:rsidR="00494B49" w14:paraId="61801694" w14:textId="77777777" w:rsidTr="00B5099F">
        <w:tc>
          <w:tcPr>
            <w:tcW w:w="3723" w:type="dxa"/>
          </w:tcPr>
          <w:p w14:paraId="7C8120A2" w14:textId="77777777" w:rsidR="00494B49" w:rsidRDefault="00494B49"/>
        </w:tc>
        <w:tc>
          <w:tcPr>
            <w:tcW w:w="2409" w:type="dxa"/>
          </w:tcPr>
          <w:p w14:paraId="00CDE722" w14:textId="77777777" w:rsidR="00494B49" w:rsidRDefault="00494B49">
            <w:r>
              <w:t>(b) Tax Prep Fee        10</w:t>
            </w:r>
          </w:p>
          <w:p w14:paraId="7628B5A0" w14:textId="77777777" w:rsidR="00494B49" w:rsidRDefault="00494B49">
            <w:r>
              <w:t> Description        Line</w:t>
            </w:r>
          </w:p>
        </w:tc>
        <w:tc>
          <w:tcPr>
            <w:tcW w:w="1893" w:type="dxa"/>
          </w:tcPr>
          <w:p w14:paraId="12CCB6C3" w14:textId="77777777" w:rsidR="00494B49" w:rsidRDefault="00494B49">
            <w:r>
              <w:t>$ 4,285.71</w:t>
            </w:r>
          </w:p>
        </w:tc>
        <w:tc>
          <w:tcPr>
            <w:tcW w:w="1330" w:type="dxa"/>
          </w:tcPr>
          <w:p w14:paraId="528C0A9D" w14:textId="77777777" w:rsidR="00494B49" w:rsidRDefault="00494B49"/>
        </w:tc>
      </w:tr>
      <w:tr w:rsidR="00494B49" w14:paraId="5849DAC6" w14:textId="77777777" w:rsidTr="00B5099F">
        <w:tc>
          <w:tcPr>
            <w:tcW w:w="3723" w:type="dxa"/>
          </w:tcPr>
          <w:p w14:paraId="09EF1B0A" w14:textId="77777777" w:rsidR="00494B49" w:rsidRDefault="00494B49">
            <w:r>
              <w:t>(2)</w:t>
            </w:r>
          </w:p>
        </w:tc>
        <w:tc>
          <w:tcPr>
            <w:tcW w:w="2409" w:type="dxa"/>
          </w:tcPr>
          <w:p w14:paraId="34ECF7FF" w14:textId="77777777" w:rsidR="00494B49" w:rsidRDefault="00494B49">
            <w:r>
              <w:t>Enter the amount of state, local, and foreign income taxes that are properly allocable to investment income.</w:t>
            </w:r>
          </w:p>
        </w:tc>
        <w:tc>
          <w:tcPr>
            <w:tcW w:w="1893" w:type="dxa"/>
          </w:tcPr>
          <w:p w14:paraId="01F2AF4F" w14:textId="77777777" w:rsidR="00494B49" w:rsidRDefault="00494B49">
            <w:r>
              <w:t>$ 20,000</w:t>
            </w:r>
          </w:p>
        </w:tc>
        <w:tc>
          <w:tcPr>
            <w:tcW w:w="1330" w:type="dxa"/>
          </w:tcPr>
          <w:p w14:paraId="563C099E" w14:textId="77777777" w:rsidR="00494B49" w:rsidRDefault="00494B49"/>
        </w:tc>
      </w:tr>
      <w:tr w:rsidR="00494B49" w14:paraId="6A81CF9B" w14:textId="77777777" w:rsidTr="00B5099F">
        <w:tc>
          <w:tcPr>
            <w:tcW w:w="3723" w:type="dxa"/>
          </w:tcPr>
          <w:p w14:paraId="245ACFBF" w14:textId="77777777" w:rsidR="00494B49" w:rsidRDefault="00494B49">
            <w:r>
              <w:t>(3)</w:t>
            </w:r>
          </w:p>
        </w:tc>
        <w:tc>
          <w:tcPr>
            <w:tcW w:w="2409" w:type="dxa"/>
          </w:tcPr>
          <w:p w14:paraId="4AE0A8DB"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893" w:type="dxa"/>
          </w:tcPr>
          <w:p w14:paraId="27BAA490" w14:textId="77777777" w:rsidR="00494B49" w:rsidRDefault="00494B49"/>
        </w:tc>
        <w:tc>
          <w:tcPr>
            <w:tcW w:w="1330" w:type="dxa"/>
          </w:tcPr>
          <w:p w14:paraId="3E47FB55" w14:textId="77777777" w:rsidR="00494B49" w:rsidRDefault="00494B49"/>
        </w:tc>
      </w:tr>
      <w:tr w:rsidR="002637DE" w14:paraId="526FEB9A" w14:textId="0374BC2C" w:rsidTr="002637DE">
        <w:tc>
          <w:tcPr>
            <w:tcW w:w="3723" w:type="dxa"/>
          </w:tcPr>
          <w:p w14:paraId="11066473" w14:textId="77777777" w:rsidR="00494B49" w:rsidRDefault="00494B49"/>
        </w:tc>
        <w:tc>
          <w:tcPr>
            <w:tcW w:w="2409" w:type="dxa"/>
          </w:tcPr>
          <w:p w14:paraId="3D483BE9" w14:textId="77777777" w:rsidR="00494B49" w:rsidRDefault="00494B49">
            <w:r>
              <w:t>(a) RE Taxes – Investment Expense  9c</w:t>
            </w:r>
          </w:p>
          <w:p w14:paraId="172F32F6" w14:textId="77777777" w:rsidR="00494B49" w:rsidRDefault="00494B49">
            <w:r>
              <w:t> Description         Line</w:t>
            </w:r>
          </w:p>
        </w:tc>
        <w:tc>
          <w:tcPr>
            <w:tcW w:w="1893" w:type="dxa"/>
          </w:tcPr>
          <w:p w14:paraId="08C2CEA1" w14:textId="77777777" w:rsidR="00494B49" w:rsidRDefault="00494B49">
            <w:r>
              <w:t>$ 60,000</w:t>
            </w:r>
          </w:p>
          <w:p w14:paraId="347DA000" w14:textId="77777777" w:rsidR="00494B49" w:rsidRDefault="00494B49"/>
        </w:tc>
        <w:tc>
          <w:tcPr>
            <w:tcW w:w="1330" w:type="dxa"/>
            <w:shd w:val="clear" w:color="auto" w:fill="auto"/>
          </w:tcPr>
          <w:p w14:paraId="30638900" w14:textId="77777777" w:rsidR="002637DE" w:rsidRDefault="002637DE"/>
        </w:tc>
      </w:tr>
      <w:tr w:rsidR="002637DE" w14:paraId="5E44F044" w14:textId="758B947F" w:rsidTr="002637DE">
        <w:tc>
          <w:tcPr>
            <w:tcW w:w="3723" w:type="dxa"/>
          </w:tcPr>
          <w:p w14:paraId="2AAE575A" w14:textId="77777777" w:rsidR="00494B49" w:rsidRDefault="00494B49">
            <w:r>
              <w:t>(4)</w:t>
            </w:r>
          </w:p>
        </w:tc>
        <w:tc>
          <w:tcPr>
            <w:tcW w:w="2409" w:type="dxa"/>
          </w:tcPr>
          <w:p w14:paraId="7D59DA74"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893" w:type="dxa"/>
          </w:tcPr>
          <w:p w14:paraId="7B1E8E45" w14:textId="77777777" w:rsidR="00494B49" w:rsidRDefault="00494B49">
            <w:r>
              <w:t>$ 140,000</w:t>
            </w:r>
          </w:p>
        </w:tc>
        <w:tc>
          <w:tcPr>
            <w:tcW w:w="1330" w:type="dxa"/>
            <w:shd w:val="clear" w:color="auto" w:fill="auto"/>
          </w:tcPr>
          <w:p w14:paraId="06CCC1A1" w14:textId="77777777" w:rsidR="002637DE" w:rsidRDefault="002637DE"/>
        </w:tc>
      </w:tr>
      <w:tr w:rsidR="00494B49" w14:paraId="61EB9582" w14:textId="77777777" w:rsidTr="00B5099F">
        <w:tc>
          <w:tcPr>
            <w:tcW w:w="3723" w:type="dxa"/>
          </w:tcPr>
          <w:p w14:paraId="15C23CA5" w14:textId="77777777" w:rsidR="00494B49" w:rsidRDefault="00494B49">
            <w:r>
              <w:t>(5)</w:t>
            </w:r>
          </w:p>
        </w:tc>
        <w:tc>
          <w:tcPr>
            <w:tcW w:w="2409" w:type="dxa"/>
          </w:tcPr>
          <w:p w14:paraId="579D348C" w14:textId="77777777" w:rsidR="00494B49" w:rsidRDefault="00494B49">
            <w:r>
              <w:t xml:space="preserve">Enter the amount of total itemized deductions </w:t>
            </w:r>
            <w:r>
              <w:lastRenderedPageBreak/>
              <w:t xml:space="preserve">reported on Form </w:t>
            </w:r>
            <w:smartTag w:uri="http://www.bna.com/sgml2word/cite" w:element="cite.fed.form">
              <w:smartTagPr>
                <w:attr w:name="ref" w:val="irs\form1040"/>
              </w:smartTagPr>
              <w:r>
                <w:t>1040</w:t>
              </w:r>
            </w:smartTag>
            <w:r>
              <w:t xml:space="preserve">, Line 40. </w:t>
            </w:r>
          </w:p>
        </w:tc>
        <w:tc>
          <w:tcPr>
            <w:tcW w:w="1893" w:type="dxa"/>
          </w:tcPr>
          <w:p w14:paraId="44F5B7F3" w14:textId="77777777" w:rsidR="00494B49" w:rsidRDefault="00494B49">
            <w:r>
              <w:lastRenderedPageBreak/>
              <w:t>$216,000</w:t>
            </w:r>
            <w:r>
              <w:rPr>
                <w:rStyle w:val="FootnoteReference"/>
              </w:rPr>
              <w:footnoteReference w:id="680"/>
            </w:r>
          </w:p>
        </w:tc>
        <w:tc>
          <w:tcPr>
            <w:tcW w:w="1330" w:type="dxa"/>
          </w:tcPr>
          <w:p w14:paraId="219EBDFF" w14:textId="77777777" w:rsidR="00494B49" w:rsidRDefault="00494B49"/>
        </w:tc>
      </w:tr>
      <w:tr w:rsidR="002637DE" w14:paraId="5813002E" w14:textId="782CE9C5" w:rsidTr="002637DE">
        <w:tc>
          <w:tcPr>
            <w:tcW w:w="3723" w:type="dxa"/>
          </w:tcPr>
          <w:p w14:paraId="25D38D12" w14:textId="77777777" w:rsidR="00494B49" w:rsidRDefault="00494B49">
            <w:r>
              <w:t>(6)</w:t>
            </w:r>
          </w:p>
        </w:tc>
        <w:tc>
          <w:tcPr>
            <w:tcW w:w="2409" w:type="dxa"/>
          </w:tcPr>
          <w:p w14:paraId="3FD7B425"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893" w:type="dxa"/>
          </w:tcPr>
          <w:p w14:paraId="5126C9A8" w14:textId="77777777" w:rsidR="00494B49" w:rsidRDefault="00494B49"/>
        </w:tc>
        <w:tc>
          <w:tcPr>
            <w:tcW w:w="1330" w:type="dxa"/>
            <w:shd w:val="clear" w:color="auto" w:fill="auto"/>
          </w:tcPr>
          <w:p w14:paraId="6E1111D1" w14:textId="77777777" w:rsidR="002637DE" w:rsidRDefault="002637DE"/>
        </w:tc>
      </w:tr>
      <w:tr w:rsidR="00494B49" w14:paraId="2A9DC6F6" w14:textId="77777777" w:rsidTr="00B5099F">
        <w:tc>
          <w:tcPr>
            <w:tcW w:w="3723" w:type="dxa"/>
          </w:tcPr>
          <w:p w14:paraId="6BFACFDB" w14:textId="77777777" w:rsidR="00494B49" w:rsidRDefault="00494B49"/>
        </w:tc>
        <w:tc>
          <w:tcPr>
            <w:tcW w:w="2409" w:type="dxa"/>
          </w:tcPr>
          <w:p w14:paraId="1004FB06" w14:textId="77777777" w:rsidR="00494B49" w:rsidRDefault="00494B49">
            <w:r>
              <w:t>(a) Investment Interest Expense</w:t>
            </w:r>
          </w:p>
          <w:p w14:paraId="2A1ECF67" w14:textId="77777777" w:rsidR="00494B49" w:rsidRDefault="00494B49">
            <w:r>
              <w:t>(b) Casualty Losses</w:t>
            </w:r>
          </w:p>
          <w:p w14:paraId="7B075B0F" w14:textId="77777777" w:rsidR="00494B49" w:rsidRDefault="00494B49">
            <w:r>
              <w:t>(c) Medical Expenses</w:t>
            </w:r>
          </w:p>
          <w:p w14:paraId="643D5AF0" w14:textId="77777777" w:rsidR="00494B49" w:rsidRDefault="00494B49">
            <w:r>
              <w:t>(d) Gambling</w:t>
            </w:r>
          </w:p>
          <w:p w14:paraId="20D69935" w14:textId="77777777" w:rsidR="00494B49" w:rsidRDefault="00494B49">
            <w:r>
              <w:t>(e) Total</w:t>
            </w:r>
          </w:p>
        </w:tc>
        <w:tc>
          <w:tcPr>
            <w:tcW w:w="1893" w:type="dxa"/>
          </w:tcPr>
          <w:p w14:paraId="63C04EEF" w14:textId="77777777" w:rsidR="00494B49" w:rsidRDefault="00494B49">
            <w:r>
              <w:t>$ 75,000</w:t>
            </w:r>
          </w:p>
          <w:p w14:paraId="63A10801" w14:textId="77777777" w:rsidR="00494B49" w:rsidRDefault="00494B49">
            <w:r>
              <w:t>$____________</w:t>
            </w:r>
          </w:p>
          <w:p w14:paraId="33BCFEC2" w14:textId="77777777" w:rsidR="00494B49" w:rsidRDefault="00494B49">
            <w:r>
              <w:t>$____________</w:t>
            </w:r>
          </w:p>
          <w:p w14:paraId="74861DA2" w14:textId="77777777" w:rsidR="00494B49" w:rsidRDefault="00494B49">
            <w:r>
              <w:t>$____________</w:t>
            </w:r>
          </w:p>
          <w:p w14:paraId="582BC2CA" w14:textId="77777777" w:rsidR="00494B49" w:rsidRDefault="00494B49">
            <w:r>
              <w:t>$ 75,000</w:t>
            </w:r>
          </w:p>
        </w:tc>
        <w:tc>
          <w:tcPr>
            <w:tcW w:w="1330" w:type="dxa"/>
          </w:tcPr>
          <w:p w14:paraId="21DCB1CD" w14:textId="77777777" w:rsidR="00494B49" w:rsidRDefault="00494B49"/>
        </w:tc>
      </w:tr>
      <w:tr w:rsidR="00494B49" w14:paraId="73819DCB" w14:textId="77777777" w:rsidTr="00B5099F">
        <w:tc>
          <w:tcPr>
            <w:tcW w:w="3723" w:type="dxa"/>
          </w:tcPr>
          <w:p w14:paraId="01E69BC5" w14:textId="77777777" w:rsidR="00494B49" w:rsidRDefault="00494B49">
            <w:r>
              <w:t>(7)</w:t>
            </w:r>
          </w:p>
        </w:tc>
        <w:tc>
          <w:tcPr>
            <w:tcW w:w="2409" w:type="dxa"/>
          </w:tcPr>
          <w:p w14:paraId="06F2843A" w14:textId="77777777" w:rsidR="00494B49" w:rsidRDefault="00494B49">
            <w:r>
              <w:t>Subtract all items in Line 6 from Line 5</w:t>
            </w:r>
          </w:p>
        </w:tc>
        <w:tc>
          <w:tcPr>
            <w:tcW w:w="1893" w:type="dxa"/>
          </w:tcPr>
          <w:p w14:paraId="20C74645" w14:textId="77777777" w:rsidR="00494B49" w:rsidRDefault="00494B49"/>
        </w:tc>
        <w:tc>
          <w:tcPr>
            <w:tcW w:w="1330" w:type="dxa"/>
          </w:tcPr>
          <w:p w14:paraId="17DF7B15" w14:textId="77777777" w:rsidR="00494B49" w:rsidRDefault="00494B49">
            <w:r>
              <w:t>$ 141,000</w:t>
            </w:r>
          </w:p>
        </w:tc>
      </w:tr>
      <w:tr w:rsidR="002637DE" w14:paraId="6AE55B41" w14:textId="1FE56475" w:rsidTr="002637DE">
        <w:tc>
          <w:tcPr>
            <w:tcW w:w="3723" w:type="dxa"/>
          </w:tcPr>
          <w:p w14:paraId="4E8F700A" w14:textId="77777777" w:rsidR="00494B49" w:rsidRDefault="00494B49">
            <w:r>
              <w:t>(8)</w:t>
            </w:r>
          </w:p>
        </w:tc>
        <w:tc>
          <w:tcPr>
            <w:tcW w:w="2409" w:type="dxa"/>
          </w:tcPr>
          <w:p w14:paraId="6FCA1874" w14:textId="77777777" w:rsidR="00494B49" w:rsidRDefault="00494B49">
            <w:r>
              <w:t>Enter the lesser of Line 7 or Line 4.</w:t>
            </w:r>
          </w:p>
          <w:p w14:paraId="37191EC4"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 xml:space="preserve">. </w:t>
            </w:r>
          </w:p>
        </w:tc>
        <w:tc>
          <w:tcPr>
            <w:tcW w:w="1893" w:type="dxa"/>
          </w:tcPr>
          <w:p w14:paraId="59BE0C29" w14:textId="77777777" w:rsidR="00494B49" w:rsidRDefault="00494B49">
            <w:r>
              <w:t>$ 140,000</w:t>
            </w:r>
          </w:p>
        </w:tc>
        <w:tc>
          <w:tcPr>
            <w:tcW w:w="1330" w:type="dxa"/>
            <w:shd w:val="clear" w:color="auto" w:fill="auto"/>
          </w:tcPr>
          <w:p w14:paraId="3E4B94C7" w14:textId="77777777" w:rsidR="002637DE" w:rsidRDefault="002637DE"/>
        </w:tc>
      </w:tr>
    </w:tbl>
    <w:p w14:paraId="7BEACF0F" w14:textId="77777777" w:rsidR="00494B49" w:rsidRDefault="00494B49" w:rsidP="007865AF">
      <w:pPr>
        <w:pStyle w:val="BNormal"/>
      </w:pPr>
      <w:r>
        <w:t xml:space="preserve"> </w:t>
      </w:r>
    </w:p>
    <w:p w14:paraId="7A167BCA" w14:textId="77777777" w:rsidR="00494B49" w:rsidRDefault="00494B49" w:rsidP="007865AF">
      <w:pPr>
        <w:pStyle w:val="BNormal"/>
      </w:pPr>
    </w:p>
    <w:tbl>
      <w:tblPr>
        <w:tblStyle w:val="TableGrid"/>
        <w:tblW w:w="9352" w:type="dxa"/>
        <w:tblLook w:val="04A0" w:firstRow="1" w:lastRow="0" w:firstColumn="1" w:lastColumn="0" w:noHBand="0" w:noVBand="1"/>
      </w:tblPr>
      <w:tblGrid>
        <w:gridCol w:w="3204"/>
        <w:gridCol w:w="1563"/>
        <w:gridCol w:w="1592"/>
        <w:gridCol w:w="1171"/>
        <w:gridCol w:w="600"/>
        <w:gridCol w:w="1222"/>
      </w:tblGrid>
      <w:tr w:rsidR="002637DE" w14:paraId="70D997AC" w14:textId="30A3D524" w:rsidTr="002637DE">
        <w:tc>
          <w:tcPr>
            <w:tcW w:w="3204" w:type="dxa"/>
          </w:tcPr>
          <w:p w14:paraId="4B97F2A3" w14:textId="77777777" w:rsidR="00494B49" w:rsidRDefault="00494B49">
            <w:r>
              <w:t xml:space="preserve"> </w:t>
            </w:r>
            <w:r>
              <w:rPr>
                <w:b/>
                <w:i/>
              </w:rPr>
              <w:t xml:space="preserve">Form 8960, Lines 9-10 Worksheet </w:t>
            </w:r>
          </w:p>
          <w:p w14:paraId="1F44339B" w14:textId="77777777" w:rsidR="00494B49" w:rsidRDefault="00494B49">
            <w:r>
              <w:t xml:space="preserve"> </w:t>
            </w:r>
            <w:r>
              <w:rPr>
                <w:b/>
                <w:i/>
              </w:rPr>
              <w:t xml:space="preserve">Part IV </w:t>
            </w:r>
          </w:p>
          <w:p w14:paraId="167C735D" w14:textId="77777777" w:rsidR="00494B49" w:rsidRDefault="00494B49">
            <w:r>
              <w:t xml:space="preserve"> </w:t>
            </w:r>
            <w:r>
              <w:rPr>
                <w:b/>
                <w:i/>
              </w:rPr>
              <w:t>Reconciliation of Schedule A Deductions to Form 8960, Lines 9 and 10</w:t>
            </w:r>
          </w:p>
          <w:p w14:paraId="3F627726" w14:textId="77777777" w:rsidR="00494B49" w:rsidRDefault="00494B49">
            <w:r>
              <w:t xml:space="preserve"> </w:t>
            </w:r>
            <w:r>
              <w:rPr>
                <w:b/>
                <w:i/>
              </w:rPr>
              <w:t>(Individuals Only)</w:t>
            </w:r>
          </w:p>
          <w:p w14:paraId="3F81C7C5" w14:textId="77777777" w:rsidR="00494B49" w:rsidRDefault="00494B49"/>
        </w:tc>
        <w:tc>
          <w:tcPr>
            <w:tcW w:w="1563" w:type="dxa"/>
            <w:shd w:val="clear" w:color="auto" w:fill="auto"/>
          </w:tcPr>
          <w:p w14:paraId="6D5460F3" w14:textId="77777777" w:rsidR="002637DE" w:rsidRDefault="002637DE"/>
        </w:tc>
        <w:tc>
          <w:tcPr>
            <w:tcW w:w="1592" w:type="dxa"/>
            <w:shd w:val="clear" w:color="auto" w:fill="auto"/>
          </w:tcPr>
          <w:p w14:paraId="100B8F2E" w14:textId="77777777" w:rsidR="002637DE" w:rsidRDefault="002637DE"/>
        </w:tc>
        <w:tc>
          <w:tcPr>
            <w:tcW w:w="1171" w:type="dxa"/>
            <w:shd w:val="clear" w:color="auto" w:fill="auto"/>
          </w:tcPr>
          <w:p w14:paraId="73123B15" w14:textId="77777777" w:rsidR="002637DE" w:rsidRDefault="002637DE"/>
        </w:tc>
        <w:tc>
          <w:tcPr>
            <w:tcW w:w="600" w:type="dxa"/>
            <w:shd w:val="clear" w:color="auto" w:fill="auto"/>
          </w:tcPr>
          <w:p w14:paraId="264B4507" w14:textId="77777777" w:rsidR="002637DE" w:rsidRDefault="002637DE"/>
        </w:tc>
        <w:tc>
          <w:tcPr>
            <w:tcW w:w="1220" w:type="dxa"/>
            <w:shd w:val="clear" w:color="auto" w:fill="auto"/>
          </w:tcPr>
          <w:p w14:paraId="18349761" w14:textId="77777777" w:rsidR="002637DE" w:rsidRDefault="002637DE"/>
        </w:tc>
      </w:tr>
      <w:tr w:rsidR="002637DE" w14:paraId="1D85F35C" w14:textId="1DAE1797" w:rsidTr="002637DE">
        <w:tc>
          <w:tcPr>
            <w:tcW w:w="3204" w:type="dxa"/>
          </w:tcPr>
          <w:p w14:paraId="669C89C8" w14:textId="77777777" w:rsidR="00494B49" w:rsidRDefault="00494B49">
            <w:r>
              <w:t>(A)</w:t>
            </w:r>
          </w:p>
        </w:tc>
        <w:tc>
          <w:tcPr>
            <w:tcW w:w="1563" w:type="dxa"/>
          </w:tcPr>
          <w:p w14:paraId="1E5EB7DE" w14:textId="77777777" w:rsidR="00494B49" w:rsidRDefault="00494B49">
            <w:r>
              <w:t>(B)</w:t>
            </w:r>
          </w:p>
        </w:tc>
        <w:tc>
          <w:tcPr>
            <w:tcW w:w="1592" w:type="dxa"/>
          </w:tcPr>
          <w:p w14:paraId="32C07CF1" w14:textId="77777777" w:rsidR="00494B49" w:rsidRDefault="00494B49">
            <w:r>
              <w:t>(C)</w:t>
            </w:r>
          </w:p>
        </w:tc>
        <w:tc>
          <w:tcPr>
            <w:tcW w:w="1171" w:type="dxa"/>
            <w:shd w:val="clear" w:color="auto" w:fill="auto"/>
          </w:tcPr>
          <w:p w14:paraId="2F07440B" w14:textId="77777777" w:rsidR="002637DE" w:rsidRDefault="002637DE"/>
        </w:tc>
        <w:tc>
          <w:tcPr>
            <w:tcW w:w="600" w:type="dxa"/>
            <w:shd w:val="clear" w:color="auto" w:fill="auto"/>
          </w:tcPr>
          <w:p w14:paraId="181FF95D" w14:textId="77777777" w:rsidR="002637DE" w:rsidRDefault="002637DE"/>
        </w:tc>
        <w:tc>
          <w:tcPr>
            <w:tcW w:w="1222" w:type="dxa"/>
            <w:shd w:val="clear" w:color="auto" w:fill="auto"/>
          </w:tcPr>
          <w:p w14:paraId="3ACBB52D" w14:textId="77777777" w:rsidR="002637DE" w:rsidRDefault="002637DE"/>
        </w:tc>
      </w:tr>
      <w:tr w:rsidR="002637DE" w14:paraId="49669A9B" w14:textId="3FF7CBB9" w:rsidTr="002637DE">
        <w:tc>
          <w:tcPr>
            <w:tcW w:w="3204" w:type="dxa"/>
          </w:tcPr>
          <w:p w14:paraId="36D5C0AD" w14:textId="77777777" w:rsidR="00494B49" w:rsidRDefault="00494B49">
            <w:proofErr w:type="spellStart"/>
            <w:r>
              <w:t>Reenter</w:t>
            </w:r>
            <w:proofErr w:type="spellEnd"/>
            <w:r>
              <w:t xml:space="preserve"> the amounts and descriptions from Part III, Lines 1 – 3.</w:t>
            </w:r>
          </w:p>
        </w:tc>
        <w:tc>
          <w:tcPr>
            <w:tcW w:w="1563" w:type="dxa"/>
          </w:tcPr>
          <w:p w14:paraId="414D85CA" w14:textId="77777777" w:rsidR="00494B49" w:rsidRDefault="00494B49">
            <w:r>
              <w:t xml:space="preserve">If Part III, Line 8 is less than Part III, Line 4, then divide Line 8 by on Line 4 and enter the amount in column (B). </w:t>
            </w:r>
          </w:p>
          <w:p w14:paraId="56126129" w14:textId="77777777" w:rsidR="00494B49" w:rsidRDefault="00494B49">
            <w:r>
              <w:t>If total amount reported on Part III, Lines 4 and 8 are equal, then enter 1.00 in column (B).</w:t>
            </w:r>
          </w:p>
        </w:tc>
        <w:tc>
          <w:tcPr>
            <w:tcW w:w="1592" w:type="dxa"/>
          </w:tcPr>
          <w:p w14:paraId="1A264660" w14:textId="77777777" w:rsidR="00494B49" w:rsidRDefault="00494B49">
            <w:r>
              <w:t>Multiply the individual amounts in column (A) by the amount in column (B). Enter these amounts in the appropriate location on Lines 9 and 10.</w:t>
            </w:r>
          </w:p>
        </w:tc>
        <w:tc>
          <w:tcPr>
            <w:tcW w:w="1171" w:type="dxa"/>
            <w:shd w:val="clear" w:color="auto" w:fill="auto"/>
          </w:tcPr>
          <w:p w14:paraId="2E59CBBD" w14:textId="77777777" w:rsidR="002637DE" w:rsidRDefault="002637DE"/>
        </w:tc>
        <w:tc>
          <w:tcPr>
            <w:tcW w:w="600" w:type="dxa"/>
            <w:shd w:val="clear" w:color="auto" w:fill="auto"/>
          </w:tcPr>
          <w:p w14:paraId="368FA69E" w14:textId="77777777" w:rsidR="002637DE" w:rsidRDefault="002637DE"/>
        </w:tc>
        <w:tc>
          <w:tcPr>
            <w:tcW w:w="1222" w:type="dxa"/>
            <w:shd w:val="clear" w:color="auto" w:fill="auto"/>
          </w:tcPr>
          <w:p w14:paraId="204F4742" w14:textId="77777777" w:rsidR="002637DE" w:rsidRDefault="002637DE"/>
        </w:tc>
      </w:tr>
      <w:tr w:rsidR="00494B49" w14:paraId="680C54C5" w14:textId="77777777" w:rsidTr="002637DE">
        <w:tc>
          <w:tcPr>
            <w:tcW w:w="3204" w:type="dxa"/>
          </w:tcPr>
          <w:p w14:paraId="0045FBF6" w14:textId="77777777" w:rsidR="00494B49" w:rsidRDefault="00494B49">
            <w:r>
              <w:t xml:space="preserve">(1) Miscellaneous Itemized Deductions properly allocable to investment income: </w:t>
            </w:r>
          </w:p>
        </w:tc>
        <w:tc>
          <w:tcPr>
            <w:tcW w:w="1563" w:type="dxa"/>
          </w:tcPr>
          <w:p w14:paraId="17DFC311" w14:textId="77777777" w:rsidR="00494B49" w:rsidRDefault="00494B49">
            <w:r>
              <w:t xml:space="preserve"> </w:t>
            </w:r>
          </w:p>
          <w:p w14:paraId="7E4B2D94" w14:textId="77777777" w:rsidR="00494B49" w:rsidRDefault="00494B49"/>
        </w:tc>
        <w:tc>
          <w:tcPr>
            <w:tcW w:w="1592" w:type="dxa"/>
          </w:tcPr>
          <w:p w14:paraId="25207D23" w14:textId="77777777" w:rsidR="00494B49" w:rsidRDefault="00494B49">
            <w:r>
              <w:t xml:space="preserve"> </w:t>
            </w:r>
          </w:p>
          <w:p w14:paraId="6A6D62D5" w14:textId="77777777" w:rsidR="00494B49" w:rsidRDefault="00494B49"/>
        </w:tc>
        <w:tc>
          <w:tcPr>
            <w:tcW w:w="1171" w:type="dxa"/>
          </w:tcPr>
          <w:p w14:paraId="01756B49" w14:textId="77777777" w:rsidR="00494B49" w:rsidRDefault="00494B49">
            <w:r>
              <w:t xml:space="preserve"> </w:t>
            </w:r>
          </w:p>
          <w:p w14:paraId="10A18433" w14:textId="77777777" w:rsidR="00494B49" w:rsidRDefault="00494B49"/>
        </w:tc>
        <w:tc>
          <w:tcPr>
            <w:tcW w:w="600" w:type="dxa"/>
          </w:tcPr>
          <w:p w14:paraId="1F59403E" w14:textId="77777777" w:rsidR="00494B49" w:rsidRDefault="00494B49">
            <w:r>
              <w:t xml:space="preserve"> </w:t>
            </w:r>
          </w:p>
          <w:p w14:paraId="3E0253D7" w14:textId="77777777" w:rsidR="00494B49" w:rsidRDefault="00494B49"/>
        </w:tc>
        <w:tc>
          <w:tcPr>
            <w:tcW w:w="1222" w:type="dxa"/>
          </w:tcPr>
          <w:p w14:paraId="7A5741F8" w14:textId="77777777" w:rsidR="00494B49" w:rsidRDefault="00494B49">
            <w:r>
              <w:t xml:space="preserve"> </w:t>
            </w:r>
          </w:p>
          <w:p w14:paraId="008ACDF8" w14:textId="77777777" w:rsidR="00494B49" w:rsidRDefault="00494B49"/>
        </w:tc>
      </w:tr>
      <w:tr w:rsidR="00494B49" w14:paraId="6D0A5E91" w14:textId="77777777" w:rsidTr="002637DE">
        <w:tc>
          <w:tcPr>
            <w:tcW w:w="3204" w:type="dxa"/>
          </w:tcPr>
          <w:p w14:paraId="3C1CF3D1" w14:textId="77777777" w:rsidR="00494B49" w:rsidRDefault="00494B49">
            <w:r>
              <w:t xml:space="preserve">(a) </w:t>
            </w:r>
            <w:proofErr w:type="spellStart"/>
            <w:r>
              <w:t>Inv</w:t>
            </w:r>
            <w:proofErr w:type="spellEnd"/>
            <w:r>
              <w:t xml:space="preserve"> Expense   9c</w:t>
            </w:r>
          </w:p>
          <w:p w14:paraId="3DC26D98" w14:textId="77777777" w:rsidR="00494B49" w:rsidRDefault="00494B49">
            <w:r>
              <w:t> Description  Line</w:t>
            </w:r>
          </w:p>
        </w:tc>
        <w:tc>
          <w:tcPr>
            <w:tcW w:w="1563" w:type="dxa"/>
          </w:tcPr>
          <w:p w14:paraId="66F343CC" w14:textId="77777777" w:rsidR="00494B49" w:rsidRDefault="00494B49">
            <w:r>
              <w:t>$ 55,714.29</w:t>
            </w:r>
          </w:p>
          <w:p w14:paraId="1D7CD250" w14:textId="77777777" w:rsidR="00494B49" w:rsidRDefault="00494B49"/>
        </w:tc>
        <w:tc>
          <w:tcPr>
            <w:tcW w:w="1592" w:type="dxa"/>
          </w:tcPr>
          <w:p w14:paraId="589CFB70" w14:textId="77777777" w:rsidR="00494B49" w:rsidRDefault="00494B49">
            <w:r>
              <w:t>×</w:t>
            </w:r>
          </w:p>
          <w:p w14:paraId="1966D041" w14:textId="77777777" w:rsidR="00494B49" w:rsidRDefault="00494B49"/>
        </w:tc>
        <w:tc>
          <w:tcPr>
            <w:tcW w:w="1171" w:type="dxa"/>
          </w:tcPr>
          <w:p w14:paraId="18501BEB" w14:textId="77777777" w:rsidR="00494B49" w:rsidRDefault="00494B49">
            <w:r>
              <w:t>1.0000000</w:t>
            </w:r>
          </w:p>
          <w:p w14:paraId="544BB2BA" w14:textId="77777777" w:rsidR="00494B49" w:rsidRDefault="00494B49"/>
        </w:tc>
        <w:tc>
          <w:tcPr>
            <w:tcW w:w="600" w:type="dxa"/>
          </w:tcPr>
          <w:p w14:paraId="771477C9" w14:textId="77777777" w:rsidR="00494B49" w:rsidRDefault="00494B49">
            <w:r>
              <w:t>=</w:t>
            </w:r>
          </w:p>
          <w:p w14:paraId="674461A3" w14:textId="77777777" w:rsidR="00494B49" w:rsidRDefault="00494B49"/>
        </w:tc>
        <w:tc>
          <w:tcPr>
            <w:tcW w:w="1222" w:type="dxa"/>
          </w:tcPr>
          <w:p w14:paraId="4562A1BA" w14:textId="77777777" w:rsidR="00494B49" w:rsidRDefault="00494B49">
            <w:r>
              <w:t>$ 55,714.29</w:t>
            </w:r>
          </w:p>
          <w:p w14:paraId="73E32B8B" w14:textId="77777777" w:rsidR="00494B49" w:rsidRDefault="00494B49"/>
        </w:tc>
      </w:tr>
      <w:tr w:rsidR="00494B49" w14:paraId="395FA93C" w14:textId="77777777" w:rsidTr="002637DE">
        <w:tc>
          <w:tcPr>
            <w:tcW w:w="3204" w:type="dxa"/>
          </w:tcPr>
          <w:p w14:paraId="41DAD03F" w14:textId="77777777" w:rsidR="00494B49" w:rsidRDefault="00494B49">
            <w:r>
              <w:lastRenderedPageBreak/>
              <w:t>(b) RE Taxes    9c</w:t>
            </w:r>
          </w:p>
          <w:p w14:paraId="0273C633" w14:textId="77777777" w:rsidR="00494B49" w:rsidRDefault="00494B49">
            <w:r>
              <w:t> Description  Line</w:t>
            </w:r>
          </w:p>
        </w:tc>
        <w:tc>
          <w:tcPr>
            <w:tcW w:w="1563" w:type="dxa"/>
          </w:tcPr>
          <w:p w14:paraId="2E8746AE" w14:textId="77777777" w:rsidR="00494B49" w:rsidRDefault="00494B49">
            <w:r>
              <w:t>$60,000.00</w:t>
            </w:r>
          </w:p>
          <w:p w14:paraId="16AF44E0" w14:textId="77777777" w:rsidR="00494B49" w:rsidRDefault="00494B49"/>
        </w:tc>
        <w:tc>
          <w:tcPr>
            <w:tcW w:w="1592" w:type="dxa"/>
          </w:tcPr>
          <w:p w14:paraId="5CF210AD" w14:textId="77777777" w:rsidR="00494B49" w:rsidRDefault="00494B49">
            <w:r>
              <w:t>×</w:t>
            </w:r>
          </w:p>
          <w:p w14:paraId="4D76ABBE" w14:textId="77777777" w:rsidR="00494B49" w:rsidRDefault="00494B49"/>
        </w:tc>
        <w:tc>
          <w:tcPr>
            <w:tcW w:w="1171" w:type="dxa"/>
          </w:tcPr>
          <w:p w14:paraId="5CA76B44" w14:textId="77777777" w:rsidR="00494B49" w:rsidRDefault="00494B49">
            <w:r>
              <w:t>1.0000000</w:t>
            </w:r>
          </w:p>
          <w:p w14:paraId="1DCB0857" w14:textId="77777777" w:rsidR="00494B49" w:rsidRDefault="00494B49"/>
        </w:tc>
        <w:tc>
          <w:tcPr>
            <w:tcW w:w="600" w:type="dxa"/>
          </w:tcPr>
          <w:p w14:paraId="110BB605" w14:textId="77777777" w:rsidR="00494B49" w:rsidRDefault="00494B49">
            <w:r>
              <w:t>=</w:t>
            </w:r>
          </w:p>
          <w:p w14:paraId="09528B14" w14:textId="77777777" w:rsidR="00494B49" w:rsidRDefault="00494B49"/>
        </w:tc>
        <w:tc>
          <w:tcPr>
            <w:tcW w:w="1222" w:type="dxa"/>
          </w:tcPr>
          <w:p w14:paraId="3EAE26A7" w14:textId="77777777" w:rsidR="00494B49" w:rsidRDefault="00494B49">
            <w:r>
              <w:t>$60,000.00</w:t>
            </w:r>
          </w:p>
          <w:p w14:paraId="3A0DAAD6" w14:textId="77777777" w:rsidR="00494B49" w:rsidRDefault="00494B49"/>
        </w:tc>
      </w:tr>
      <w:tr w:rsidR="00494B49" w14:paraId="3EE6CF37" w14:textId="77777777" w:rsidTr="002637DE">
        <w:tc>
          <w:tcPr>
            <w:tcW w:w="3204" w:type="dxa"/>
          </w:tcPr>
          <w:p w14:paraId="25EC464E" w14:textId="77777777" w:rsidR="00494B49" w:rsidRDefault="00494B49">
            <w:r>
              <w:t>(c) Tax Prep Fee  10</w:t>
            </w:r>
          </w:p>
          <w:p w14:paraId="7451DA33" w14:textId="77777777" w:rsidR="00494B49" w:rsidRDefault="00494B49">
            <w:r>
              <w:t> Description  Line</w:t>
            </w:r>
          </w:p>
        </w:tc>
        <w:tc>
          <w:tcPr>
            <w:tcW w:w="1563" w:type="dxa"/>
          </w:tcPr>
          <w:p w14:paraId="032CDBC1" w14:textId="77777777" w:rsidR="00494B49" w:rsidRDefault="00494B49">
            <w:r>
              <w:t>$ 4,285.71</w:t>
            </w:r>
          </w:p>
          <w:p w14:paraId="6AF72D17" w14:textId="77777777" w:rsidR="00494B49" w:rsidRDefault="00494B49"/>
        </w:tc>
        <w:tc>
          <w:tcPr>
            <w:tcW w:w="1592" w:type="dxa"/>
          </w:tcPr>
          <w:p w14:paraId="2789AB1E" w14:textId="77777777" w:rsidR="00494B49" w:rsidRDefault="00494B49">
            <w:r>
              <w:t>×</w:t>
            </w:r>
          </w:p>
          <w:p w14:paraId="67766DB2" w14:textId="77777777" w:rsidR="00494B49" w:rsidRDefault="00494B49"/>
        </w:tc>
        <w:tc>
          <w:tcPr>
            <w:tcW w:w="1171" w:type="dxa"/>
          </w:tcPr>
          <w:p w14:paraId="455B30A9" w14:textId="77777777" w:rsidR="00494B49" w:rsidRDefault="00494B49">
            <w:r>
              <w:t>1.0000000</w:t>
            </w:r>
          </w:p>
          <w:p w14:paraId="5666ABEB" w14:textId="77777777" w:rsidR="00494B49" w:rsidRDefault="00494B49"/>
        </w:tc>
        <w:tc>
          <w:tcPr>
            <w:tcW w:w="600" w:type="dxa"/>
          </w:tcPr>
          <w:p w14:paraId="3BDE3F1F" w14:textId="77777777" w:rsidR="00494B49" w:rsidRDefault="00494B49">
            <w:r>
              <w:t>=</w:t>
            </w:r>
          </w:p>
          <w:p w14:paraId="58285F8D" w14:textId="77777777" w:rsidR="00494B49" w:rsidRDefault="00494B49"/>
        </w:tc>
        <w:tc>
          <w:tcPr>
            <w:tcW w:w="1222" w:type="dxa"/>
          </w:tcPr>
          <w:p w14:paraId="1FE69584" w14:textId="77777777" w:rsidR="00494B49" w:rsidRDefault="00494B49">
            <w:r>
              <w:t>$ 4,285.71</w:t>
            </w:r>
          </w:p>
          <w:p w14:paraId="6C02B501" w14:textId="77777777" w:rsidR="00494B49" w:rsidRDefault="00494B49"/>
        </w:tc>
      </w:tr>
      <w:tr w:rsidR="00494B49" w14:paraId="7119E399" w14:textId="77777777" w:rsidTr="002637DE">
        <w:tc>
          <w:tcPr>
            <w:tcW w:w="3204" w:type="dxa"/>
          </w:tcPr>
          <w:p w14:paraId="37A84187" w14:textId="77777777" w:rsidR="00494B49" w:rsidRDefault="00494B49">
            <w:r>
              <w:t>(2) State, local, and foreign income taxes</w:t>
            </w:r>
          </w:p>
        </w:tc>
        <w:tc>
          <w:tcPr>
            <w:tcW w:w="1563" w:type="dxa"/>
          </w:tcPr>
          <w:p w14:paraId="4CE6BBFF" w14:textId="77777777" w:rsidR="00494B49" w:rsidRDefault="00494B49">
            <w:r>
              <w:t>$20,000</w:t>
            </w:r>
          </w:p>
        </w:tc>
        <w:tc>
          <w:tcPr>
            <w:tcW w:w="1592" w:type="dxa"/>
          </w:tcPr>
          <w:p w14:paraId="4AC70B50" w14:textId="77777777" w:rsidR="00494B49" w:rsidRDefault="00494B49">
            <w:r>
              <w:t>×</w:t>
            </w:r>
          </w:p>
        </w:tc>
        <w:tc>
          <w:tcPr>
            <w:tcW w:w="1171" w:type="dxa"/>
          </w:tcPr>
          <w:p w14:paraId="5109E88F" w14:textId="77777777" w:rsidR="00494B49" w:rsidRDefault="00494B49">
            <w:r>
              <w:t>1.0000000</w:t>
            </w:r>
          </w:p>
        </w:tc>
        <w:tc>
          <w:tcPr>
            <w:tcW w:w="600" w:type="dxa"/>
          </w:tcPr>
          <w:p w14:paraId="042B9064" w14:textId="77777777" w:rsidR="00494B49" w:rsidRDefault="00494B49">
            <w:r>
              <w:t>=</w:t>
            </w:r>
          </w:p>
        </w:tc>
        <w:tc>
          <w:tcPr>
            <w:tcW w:w="1222" w:type="dxa"/>
          </w:tcPr>
          <w:p w14:paraId="164F0906" w14:textId="77777777" w:rsidR="00494B49" w:rsidRDefault="00494B49">
            <w:r>
              <w:t>$20,000</w:t>
            </w:r>
          </w:p>
        </w:tc>
      </w:tr>
      <w:tr w:rsidR="00494B49" w14:paraId="211927E0" w14:textId="77777777" w:rsidTr="002637DE">
        <w:tc>
          <w:tcPr>
            <w:tcW w:w="3204" w:type="dxa"/>
          </w:tcPr>
          <w:p w14:paraId="093D5C2C" w14:textId="77777777" w:rsidR="00494B49" w:rsidRDefault="00494B49">
            <w:r>
              <w:t>Total</w:t>
            </w:r>
          </w:p>
        </w:tc>
        <w:tc>
          <w:tcPr>
            <w:tcW w:w="1563" w:type="dxa"/>
          </w:tcPr>
          <w:p w14:paraId="1205B391" w14:textId="77777777" w:rsidR="00494B49" w:rsidRDefault="00494B49">
            <w:r>
              <w:t>$ 140,000</w:t>
            </w:r>
          </w:p>
        </w:tc>
        <w:tc>
          <w:tcPr>
            <w:tcW w:w="1592" w:type="dxa"/>
          </w:tcPr>
          <w:p w14:paraId="7FC68243" w14:textId="77777777" w:rsidR="00494B49" w:rsidRDefault="00494B49"/>
        </w:tc>
        <w:tc>
          <w:tcPr>
            <w:tcW w:w="1171" w:type="dxa"/>
          </w:tcPr>
          <w:p w14:paraId="7D803434" w14:textId="77777777" w:rsidR="00494B49" w:rsidRDefault="00494B49"/>
        </w:tc>
        <w:tc>
          <w:tcPr>
            <w:tcW w:w="600" w:type="dxa"/>
          </w:tcPr>
          <w:p w14:paraId="3A5FB670" w14:textId="77777777" w:rsidR="00494B49" w:rsidRDefault="00494B49"/>
        </w:tc>
        <w:tc>
          <w:tcPr>
            <w:tcW w:w="1222" w:type="dxa"/>
          </w:tcPr>
          <w:p w14:paraId="04E6B0CC" w14:textId="77777777" w:rsidR="00494B49" w:rsidRDefault="00494B49">
            <w:r>
              <w:t>$ 140,000</w:t>
            </w:r>
          </w:p>
        </w:tc>
      </w:tr>
    </w:tbl>
    <w:p w14:paraId="5D1B84D4" w14:textId="77777777" w:rsidR="00494B49" w:rsidRDefault="00494B49">
      <w:pPr>
        <w:pStyle w:val="BNormal"/>
      </w:pPr>
    </w:p>
    <w:p w14:paraId="03C3ABA9" w14:textId="77777777" w:rsidR="00494B49" w:rsidRDefault="00494B49">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049D226D" w14:textId="77777777" w:rsidR="00494B49" w:rsidRDefault="00494B49">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w:t>
      </w:r>
      <w:proofErr w:type="spellStart"/>
      <w:r>
        <w:t>nonallocable</w:t>
      </w:r>
      <w:proofErr w:type="spellEnd"/>
      <w:r>
        <w:t xml:space="preserv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1B3E73A3" w14:textId="77777777" w:rsidR="00494B49" w:rsidRDefault="00494B49">
      <w:pPr>
        <w:pStyle w:val="BHead1"/>
      </w:pPr>
      <w:r>
        <w:t>E. Unique Deductions for Decedents, Estates, and Trusts</w:t>
      </w:r>
    </w:p>
    <w:p w14:paraId="45E6E4FE" w14:textId="77777777" w:rsidR="00494B49" w:rsidRDefault="00494B49">
      <w:pPr>
        <w:pStyle w:val="BHead2"/>
      </w:pPr>
      <w:r>
        <w:t>1. Section 691(b) — Deductions in Respect of a Decedent</w:t>
      </w:r>
    </w:p>
    <w:p w14:paraId="45EBC7A1" w14:textId="77777777" w:rsidR="00494B49" w:rsidRDefault="00494B49">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1"/>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w:t>
        </w:r>
        <w:proofErr w:type="spellStart"/>
        <w:r>
          <w:t>i</w:t>
        </w:r>
        <w:proofErr w:type="spellEnd"/>
        <w:r>
          <w:t>)</w:t>
        </w:r>
      </w:smartTag>
      <w:r>
        <w:t xml:space="preserve"> allows those deductions as well.</w:t>
      </w:r>
      <w:r>
        <w:rPr>
          <w:rStyle w:val="FootnoteReference"/>
        </w:rPr>
        <w:footnoteReference w:id="682"/>
      </w:r>
    </w:p>
    <w:p w14:paraId="01563FC9" w14:textId="77777777" w:rsidR="00494B49" w:rsidRDefault="00494B49">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w:t>
      </w:r>
      <w:r>
        <w:lastRenderedPageBreak/>
        <w:t>death (these items are often referred to as Deductions in Respect of a Decedent, or DRD).</w:t>
      </w:r>
      <w:r>
        <w:rPr>
          <w:rStyle w:val="FootnoteReference"/>
        </w:rPr>
        <w:footnoteReference w:id="683"/>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64D9C2C1" w14:textId="77777777" w:rsidR="00494B49" w:rsidRDefault="00494B49">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111163EC" w14:textId="77777777" w:rsidR="00494B49" w:rsidRDefault="00494B49">
      <w:pPr>
        <w:pStyle w:val="BHead2"/>
      </w:pPr>
      <w:r>
        <w:t>2. Section 691(c) — Deductions for Estate Taxes</w:t>
      </w:r>
    </w:p>
    <w:p w14:paraId="633312B3"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4"/>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5"/>
      </w:r>
    </w:p>
    <w:p w14:paraId="39613F2F" w14:textId="77777777" w:rsidR="00494B49" w:rsidRDefault="00494B49">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2C1C5F7" w14:textId="77777777" w:rsidR="00494B49" w:rsidRDefault="00494B49">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floor on miscellaneous itemized deductions,</w:t>
      </w:r>
      <w:r>
        <w:rPr>
          <w:rStyle w:val="FootnoteReference"/>
        </w:rPr>
        <w:footnoteReference w:id="686"/>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7"/>
      </w:r>
    </w:p>
    <w:p w14:paraId="3ED4710B" w14:textId="77777777" w:rsidR="00494B49" w:rsidRDefault="00494B49">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w:t>
      </w:r>
      <w:r>
        <w:lastRenderedPageBreak/>
        <w:t>item.”</w:t>
      </w:r>
      <w:r>
        <w:rPr>
          <w:rStyle w:val="FootnoteReference"/>
        </w:rPr>
        <w:footnoteReference w:id="688"/>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89"/>
      </w:r>
      <w:r>
        <w:t xml:space="preserve"> and not under Reg. </w:t>
      </w:r>
      <w:smartTag w:uri="http://www.bna.com/sgml2word/cite" w:element="cite.cfr">
        <w:smartTagPr>
          <w:attr w:name="ref" w:val="cfr\26\1.1411-4(f)(3)(v)"/>
        </w:smartTagPr>
        <w:r>
          <w:t>§1.1411-4(f)(3)(v)</w:t>
        </w:r>
      </w:smartTag>
      <w:r>
        <w:t>.</w:t>
      </w:r>
      <w:r>
        <w:rPr>
          <w:rStyle w:val="FootnoteReference"/>
        </w:rPr>
        <w:footnoteReference w:id="690"/>
      </w:r>
    </w:p>
    <w:p w14:paraId="77018471" w14:textId="77777777" w:rsidR="00494B49" w:rsidRDefault="00494B49">
      <w:pPr>
        <w:pStyle w:val="BHead2"/>
      </w:pPr>
      <w:r>
        <w:t>3. Section 642(h) — Excess Deductions upon Termination</w:t>
      </w:r>
    </w:p>
    <w:p w14:paraId="1042CDE7" w14:textId="77777777" w:rsidR="00494B49" w:rsidRDefault="00494B49">
      <w:pPr>
        <w:pStyle w:val="BNormal"/>
      </w:pPr>
      <w:r>
        <w:t xml:space="preserve">In general, </w:t>
      </w:r>
      <w:smartTag w:uri="http://www.bna.com/sgml2word/cite" w:element="cite.usc">
        <w:smartTagPr>
          <w:attr w:name="ref" w:val="USC\26\642(h)"/>
        </w:smartTagPr>
        <w:r>
          <w:t>§642(h)</w:t>
        </w:r>
      </w:smartTag>
      <w:r>
        <w:t xml:space="preserve"> provides “[</w:t>
      </w:r>
      <w:proofErr w:type="spellStart"/>
      <w:r>
        <w:t>i</w:t>
      </w:r>
      <w:proofErr w:type="spellEnd"/>
      <w:r>
        <w:t xml:space="preserve">]f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1">
          <w:smartTag w:uri="http://www.bna.com/sgml2word/cite" w:element="sticky.note">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1">
          <w:smartTag w:uri="http://www.bna.com/sgml2word/cite" w:element="sticky.note">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1"/>
      </w:r>
    </w:p>
    <w:p w14:paraId="6DE1CB4A" w14:textId="77777777" w:rsidR="00494B49" w:rsidRDefault="00494B49">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0A40D4D1" w14:textId="77777777" w:rsidR="00494B49" w:rsidRDefault="00494B49">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2"/>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430FE02" w14:textId="77777777" w:rsidR="00494B49" w:rsidRDefault="00494B49">
      <w:pPr>
        <w:pStyle w:val="BHead3"/>
      </w:pPr>
      <w:r>
        <w:t>a. Treatment of Capital Losses</w:t>
      </w:r>
    </w:p>
    <w:p w14:paraId="168D99C0" w14:textId="77777777" w:rsidR="00494B49" w:rsidRDefault="00494B49">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3"/>
      </w:r>
    </w:p>
    <w:p w14:paraId="51501A83" w14:textId="77777777" w:rsidR="00494B49" w:rsidRDefault="00494B49">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xml:space="preserve">. In computing net gain in the year of the allocation (and future years, if </w:t>
      </w:r>
      <w:r>
        <w:lastRenderedPageBreak/>
        <w:t>applicable)</w:t>
      </w:r>
      <w:r>
        <w:rPr>
          <w:rStyle w:val="FootnoteReference"/>
        </w:rPr>
        <w:footnoteReference w:id="694"/>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5"/>
      </w:r>
    </w:p>
    <w:p w14:paraId="09160389" w14:textId="77777777" w:rsidR="00494B49" w:rsidRDefault="00494B49">
      <w:pPr>
        <w:pStyle w:val="BHead3"/>
      </w:pPr>
      <w:r>
        <w:t>b. Treatment of Net Operating Losses</w:t>
      </w:r>
    </w:p>
    <w:p w14:paraId="2C92607C" w14:textId="77777777" w:rsidR="00494B49" w:rsidRDefault="00494B49">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6"/>
      </w:r>
    </w:p>
    <w:p w14:paraId="068C33FE" w14:textId="77777777" w:rsidR="00494B49" w:rsidRDefault="00494B49">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7"/>
      </w:r>
    </w:p>
    <w:p w14:paraId="4BB33A90" w14:textId="77777777" w:rsidR="00494B49" w:rsidRDefault="00494B49">
      <w:pPr>
        <w:pStyle w:val="BHead3"/>
      </w:pPr>
      <w:r>
        <w:t>c. Treatment of Excess Properly Allocable Deductions</w:t>
      </w:r>
    </w:p>
    <w:p w14:paraId="35DA955B" w14:textId="77777777" w:rsidR="00494B49" w:rsidRDefault="00494B49">
      <w:pPr>
        <w:pStyle w:val="BHead4"/>
      </w:pPr>
      <w:r>
        <w:t>(1) Tax Years Beginning in 2013 Through 2017</w:t>
      </w:r>
    </w:p>
    <w:p w14:paraId="1DA0A53E" w14:textId="77777777" w:rsidR="00494B49" w:rsidRDefault="00494B49">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8"/>
      </w:r>
      <w:r>
        <w:t xml:space="preserve"> (after taking into account any modifications, adjustments, and special rules for calculating net investment income) of a terminating estate or trust.</w:t>
      </w:r>
      <w:r>
        <w:rPr>
          <w:rStyle w:val="FootnoteReference"/>
        </w:rPr>
        <w:footnoteReference w:id="699"/>
      </w:r>
    </w:p>
    <w:p w14:paraId="36F0058E" w14:textId="77777777" w:rsidR="00494B49" w:rsidRDefault="00494B49">
      <w:pPr>
        <w:pStyle w:val="BCommentpara"/>
      </w:pPr>
      <w:r>
        <w:rPr>
          <w:rStyle w:val="BCommenthead"/>
        </w:rPr>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lastRenderedPageBreak/>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700"/>
      </w:r>
    </w:p>
    <w:p w14:paraId="3111DDBF" w14:textId="77777777" w:rsidR="00494B49" w:rsidRDefault="00494B49">
      <w:pPr>
        <w:pStyle w:val="BHead4"/>
      </w:pPr>
      <w:r>
        <w:t>(2) Tax Years Beginning After 2017</w:t>
      </w:r>
    </w:p>
    <w:p w14:paraId="1574B4F7" w14:textId="77777777" w:rsidR="00494B49" w:rsidRDefault="00494B49">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1"/>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w:t>
      </w:r>
      <w:proofErr w:type="spellStart"/>
      <w:r>
        <w:t>nonmiscellaneous</w:t>
      </w:r>
      <w:proofErr w:type="spellEnd"/>
      <w:r>
        <w:t xml:space="preserve">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394F33A2" w14:textId="77777777" w:rsidR="00494B49" w:rsidRDefault="00494B49">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2E7CA7C4" w14:textId="77777777" w:rsidR="00494B49" w:rsidRDefault="00494B49">
      <w:pPr>
        <w:pStyle w:val="BHead1"/>
      </w:pPr>
      <w:r>
        <w:t>F. Suspended Deductions</w:t>
      </w:r>
    </w:p>
    <w:p w14:paraId="7F3CE2D7" w14:textId="77777777" w:rsidR="00494B49" w:rsidRDefault="00494B49">
      <w:pPr>
        <w:pStyle w:val="BNormal"/>
      </w:pPr>
      <w:r>
        <w:t xml:space="preserve">There are several deduction (or loss) suspension rules within the Code that determine a taxpayer’s regular income tax liability for any given year. The major loss deduction limitations </w:t>
      </w:r>
      <w:r>
        <w:lastRenderedPageBreak/>
        <w:t xml:space="preserve">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2"/>
      </w:r>
      <w:r>
        <w:t xml:space="preserve"> An analysis of these provisions is beyond the scope of this Portfolio. This section of the Portfolio addresses these loss suspension rules within the context of the annual calculation of net investment income.</w:t>
      </w:r>
    </w:p>
    <w:p w14:paraId="5DD74DBC" w14:textId="77777777" w:rsidR="00494B49" w:rsidRDefault="00494B49">
      <w:pPr>
        <w:pStyle w:val="BHead2"/>
      </w:pPr>
      <w:r>
        <w:t>1. Treatment of Suspended Losses Other Than Passive Losses</w:t>
      </w:r>
    </w:p>
    <w:p w14:paraId="27CE1A69" w14:textId="77777777" w:rsidR="00494B49" w:rsidRDefault="00494B49">
      <w:pPr>
        <w:pStyle w:val="BHead3"/>
      </w:pPr>
      <w:r>
        <w:t>a. Treatment of Losses Suspended Due to Tax Basis Limitation</w:t>
      </w:r>
    </w:p>
    <w:p w14:paraId="28D80450" w14:textId="77777777" w:rsidR="00494B49" w:rsidRDefault="00494B49">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3"/>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4"/>
      </w:r>
    </w:p>
    <w:p w14:paraId="022A468F" w14:textId="77777777" w:rsidR="00494B49" w:rsidRDefault="00494B49">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5"/>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AE19918" w14:textId="77777777" w:rsidR="00494B49" w:rsidRDefault="00494B49">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are eventually allowed. In these cases, the suspended losses are taken into account in computing net investment income in the year the losses are allowed. </w:t>
      </w:r>
    </w:p>
    <w:p w14:paraId="2BBAE997" w14:textId="77777777" w:rsidR="00494B49" w:rsidRDefault="00494B49">
      <w:pPr>
        <w:pStyle w:val="BHead3"/>
      </w:pPr>
      <w:r>
        <w:t>b. Treatment of Losses Suspended Under the At-Risk Rules</w:t>
      </w:r>
    </w:p>
    <w:p w14:paraId="3CA0155B" w14:textId="77777777" w:rsidR="00494B49" w:rsidRDefault="00494B49">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6"/>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6460132E" w14:textId="77777777" w:rsidR="00494B49" w:rsidRDefault="00494B49">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xml:space="preserve">) allocable to an activity to which the at-risk rules apply </w:t>
      </w:r>
      <w:r>
        <w:lastRenderedPageBreak/>
        <w:t>over the income the taxpayer received or accrued from that activity during the tax year.</w:t>
      </w:r>
      <w:r>
        <w:rPr>
          <w:rStyle w:val="FootnoteReference"/>
        </w:rPr>
        <w:footnoteReference w:id="707"/>
      </w:r>
      <w:r>
        <w:t xml:space="preserve"> The at-risk rules do not disallow any deductions during a tax year, to the extent that those losses are covered by income from the activity during that year.</w:t>
      </w:r>
      <w:r>
        <w:rPr>
          <w:rStyle w:val="FootnoteReference"/>
        </w:rPr>
        <w:footnoteReference w:id="708"/>
      </w:r>
    </w:p>
    <w:p w14:paraId="54CCC4B8" w14:textId="77777777" w:rsidR="00494B49" w:rsidRDefault="00494B49">
      <w:pPr>
        <w:pStyle w:val="BNormal"/>
      </w:pPr>
      <w:r>
        <w:t>Taxpayers may carry over losses disallowed under the at-risk rules to succeeding tax years and may deduct those losses once the taxpayer has a sufficient amount at-risk.</w:t>
      </w:r>
      <w:r>
        <w:rPr>
          <w:rStyle w:val="FootnoteReference"/>
        </w:rPr>
        <w:footnoteReference w:id="709"/>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10"/>
      </w:r>
    </w:p>
    <w:p w14:paraId="4EA3AE18" w14:textId="77777777" w:rsidR="00494B49" w:rsidRDefault="00494B49">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1"/>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AB418" w14:textId="77777777" w:rsidR="00494B49" w:rsidRDefault="00494B49">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4ABBF3B4" w14:textId="77777777" w:rsidR="00494B49" w:rsidRDefault="00494B49">
      <w:pPr>
        <w:pStyle w:val="BNormal"/>
      </w:pPr>
      <w:r>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2"/>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3"/>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w:t>
      </w:r>
      <w:r>
        <w:lastRenderedPageBreak/>
        <w:t xml:space="preserve">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27812B51" w14:textId="77777777" w:rsidR="00494B49" w:rsidRDefault="00494B49">
      <w:pPr>
        <w:pStyle w:val="BHead3"/>
      </w:pPr>
      <w:r>
        <w:t xml:space="preserve">c. Other Types of Suspended Losses </w:t>
      </w:r>
    </w:p>
    <w:p w14:paraId="21677D9F" w14:textId="77777777" w:rsidR="00494B49" w:rsidRDefault="00494B49">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1A4B0346" w14:textId="77777777" w:rsidR="00494B49" w:rsidRDefault="00494B49">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4AC944FC" w14:textId="77777777" w:rsidR="00494B49" w:rsidRDefault="00494B49">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26684600" w14:textId="77777777" w:rsidR="00494B49" w:rsidRDefault="00494B49">
      <w:pPr>
        <w:pStyle w:val="BHead2"/>
      </w:pPr>
      <w:r>
        <w:t>2. Treatment of Suspended Passive Losses</w:t>
      </w:r>
    </w:p>
    <w:p w14:paraId="0952284C" w14:textId="77777777" w:rsidR="00494B49" w:rsidRDefault="00494B49">
      <w:pPr>
        <w:pStyle w:val="BHead3"/>
      </w:pPr>
      <w:r>
        <w:t>a. In General</w:t>
      </w:r>
    </w:p>
    <w:p w14:paraId="2FE0AB3A" w14:textId="77777777" w:rsidR="00494B49" w:rsidRDefault="00494B49">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59158BB6" w14:textId="77777777" w:rsidR="00494B49" w:rsidRDefault="00494B49">
      <w:pPr>
        <w:pStyle w:val="BNormal"/>
      </w:pPr>
      <w:r>
        <w:t xml:space="preserve">Additionally, Reg. </w:t>
      </w:r>
      <w:smartTag w:uri="http://www.bna.com/sgml2word/cite" w:element="cite.cfr">
        <w:smartTagPr>
          <w:attr w:name="ref" w:val="cfr\26\1.469-1T(f)(2)(i)"/>
        </w:smartTagPr>
        <w:r>
          <w:t>§1.469-1T(f)(2)(</w:t>
        </w:r>
        <w:proofErr w:type="spellStart"/>
        <w:r>
          <w:t>i</w:t>
        </w:r>
        <w:proofErr w:type="spellEnd"/>
        <w:r>
          <w:t>)</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w:t>
      </w:r>
      <w:r>
        <w:lastRenderedPageBreak/>
        <w:t xml:space="preserve">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A9DB570" w14:textId="77777777" w:rsidR="00494B49" w:rsidRDefault="00494B49">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7F4647E0" w14:textId="77777777" w:rsidR="00494B49" w:rsidRDefault="00494B49">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4"/>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46405370" w14:textId="77777777" w:rsidR="00494B49" w:rsidRDefault="00494B49">
      <w:pPr>
        <w:pStyle w:val="BHead3"/>
      </w:pPr>
      <w:r>
        <w:t xml:space="preserve">b. General Treatment of Suspended Passive Losses for NIIT Purposes </w:t>
      </w:r>
    </w:p>
    <w:p w14:paraId="2CCDBB4B" w14:textId="77777777" w:rsidR="00494B49" w:rsidRDefault="00494B49">
      <w:pPr>
        <w:pStyle w:val="BHead4"/>
      </w:pPr>
      <w:r>
        <w:t>(1) Year of Suspension</w:t>
      </w:r>
    </w:p>
    <w:p w14:paraId="6B96EA49" w14:textId="77777777" w:rsidR="00494B49" w:rsidRDefault="00494B49">
      <w:pPr>
        <w:pStyle w:val="BNormal"/>
      </w:pPr>
      <w:r>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5"/>
      </w:r>
    </w:p>
    <w:p w14:paraId="17A6DBA6" w14:textId="77777777" w:rsidR="00494B49" w:rsidRDefault="00494B49">
      <w:pPr>
        <w:pStyle w:val="BHead4"/>
      </w:pPr>
      <w:r>
        <w:t>(2) Year of Allowance</w:t>
      </w:r>
    </w:p>
    <w:p w14:paraId="77451CC8" w14:textId="77777777" w:rsidR="00494B49" w:rsidRDefault="00494B49">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316E2EAD" w14:textId="77777777" w:rsidR="00494B49" w:rsidRDefault="00494B49" w:rsidP="007865AF">
      <w:pPr>
        <w:pStyle w:val="BHead4"/>
        <w:keepNext/>
        <w:keepLines/>
      </w:pPr>
      <w:r>
        <w:lastRenderedPageBreak/>
        <w:t>(3) Examples</w:t>
      </w:r>
    </w:p>
    <w:p w14:paraId="6B016CCD" w14:textId="77777777" w:rsidR="00494B49" w:rsidRDefault="00494B49" w:rsidP="007865AF">
      <w:pPr>
        <w:pStyle w:val="BNormal"/>
        <w:keepNext/>
        <w:keepLines/>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6"/>
      </w:r>
    </w:p>
    <w:p w14:paraId="30B7D907" w14:textId="77777777" w:rsidR="00494B49" w:rsidRDefault="00494B49">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180DB265" w14:textId="77777777" w:rsidR="00494B49" w:rsidRDefault="00494B49">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7"/>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60817FCA" w14:textId="77777777" w:rsidR="00494B49" w:rsidRDefault="00494B49" w:rsidP="007865AF">
      <w:pPr>
        <w:pStyle w:val="BQuotelong"/>
      </w:pPr>
      <w:r>
        <w:t xml:space="preserve">A, an individual, is a 40% shareholder in </w:t>
      </w:r>
      <w:proofErr w:type="spellStart"/>
      <w:r>
        <w:t>SCo</w:t>
      </w:r>
      <w:proofErr w:type="spellEnd"/>
      <w:r>
        <w:t xml:space="preserve">, an S corporation. </w:t>
      </w:r>
      <w:proofErr w:type="spellStart"/>
      <w:r>
        <w:t>SCo</w:t>
      </w:r>
      <w:proofErr w:type="spellEnd"/>
      <w:r>
        <w:t xml:space="preserve"> is engaged in a trade or business described in </w:t>
      </w:r>
      <w:smartTag w:uri="http://www.bna.com/sgml2word/cite" w:element="cite.usc">
        <w:smartTagPr>
          <w:attr w:name="ref" w:val="USC\26\1411(c)(2)(A)"/>
        </w:smartTagPr>
        <w:r>
          <w:t>section 1411(c)(2)(A)</w:t>
        </w:r>
      </w:smartTag>
      <w:r>
        <w:t xml:space="preserve">. </w:t>
      </w:r>
      <w:proofErr w:type="spellStart"/>
      <w:r>
        <w:t>SCo</w:t>
      </w:r>
      <w:proofErr w:type="spellEnd"/>
      <w:r>
        <w:t xml:space="preserve"> is the only passive activity owned by A. In Year 1, </w:t>
      </w:r>
      <w:proofErr w:type="spellStart"/>
      <w:r>
        <w:t>SCo</w:t>
      </w:r>
      <w:proofErr w:type="spellEnd"/>
      <w:r>
        <w:t xml:space="preserve"> reported a loss of $11,000 to A which was comprised of gross operating income of $29,000 and operating deductions of $40,000. A’s at-risk amount at the beginning of Year 1 is $7,000. There were no other events that affected A’s at-risk amount in Year 1. </w:t>
      </w:r>
    </w:p>
    <w:p w14:paraId="631063F0" w14:textId="77777777" w:rsidR="00494B49" w:rsidRDefault="00494B49" w:rsidP="007865AF">
      <w:pPr>
        <w:pStyle w:val="BQuotelong"/>
      </w:pPr>
      <w:r>
        <w:t xml:space="preserve">For purposes of calculating A’s net investment income, A’s $29,000 distributive share of </w:t>
      </w:r>
      <w:proofErr w:type="spellStart"/>
      <w:r>
        <w:t>SCo’s</w:t>
      </w:r>
      <w:proofErr w:type="spellEnd"/>
      <w:r>
        <w:t xml:space="preserve"> gross operating income is income within the meaning of </w:t>
      </w:r>
      <w:smartTag w:uri="http://www.bna.com/sgml2word/cite" w:element="cite.usc">
        <w:smartTagPr>
          <w:attr w:name="ref" w:val="USC\26\1411(c)(1)(A)(ii)"/>
        </w:smartTagPr>
        <w:r>
          <w:t>§1411(c)(1)(A)(ii)</w:t>
        </w:r>
      </w:smartTag>
      <w:r>
        <w:t xml:space="preserve">. </w:t>
      </w:r>
    </w:p>
    <w:p w14:paraId="06D6DC30" w14:textId="77777777" w:rsidR="00494B49" w:rsidRDefault="00494B49" w:rsidP="007865AF">
      <w:pPr>
        <w:pStyle w:val="BQuotelong"/>
      </w:pPr>
      <w:r>
        <w:t xml:space="preserve">As a result of A’s at-risk limitation, for Chapter 1 purposes, A may only deduct $7,000 of the operating deductions in excess of the gross operating income. The remaining $4,000 deductions are suspended because A’s amount at risk at the end of Year 1 is zero. </w:t>
      </w:r>
    </w:p>
    <w:p w14:paraId="7BC9C36C"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w:t>
      </w:r>
      <w:proofErr w:type="spellStart"/>
      <w:r>
        <w:t>SCo’s</w:t>
      </w:r>
      <w:proofErr w:type="spellEnd"/>
      <w:r>
        <w:t xml:space="preserve"> operating deductions and suspends the remaining $7,000. </w:t>
      </w:r>
    </w:p>
    <w:p w14:paraId="065B09F6" w14:textId="77777777" w:rsidR="00494B49" w:rsidRDefault="00494B49">
      <w:pPr>
        <w:pStyle w:val="BQuotelong"/>
      </w:pPr>
      <w:r>
        <w:lastRenderedPageBreak/>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D99E26E" w14:textId="77777777" w:rsidR="00494B49" w:rsidRDefault="00494B49">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xml:space="preserve">), is $29,000. For regular tax purposes, the taxpayer would have deductions completely offsetting income, and as a result, the taxpayer would have a zero net change to AGI due to the income and deductions from </w:t>
      </w:r>
      <w:proofErr w:type="spellStart"/>
      <w:r>
        <w:t>SCo</w:t>
      </w:r>
      <w:proofErr w:type="spellEnd"/>
      <w:r>
        <w:t xml:space="preserve">. This example shows that the same result occurs for NIIT purposes; the taxpayer will have a zero net change to net investment income due to the income and deductions from </w:t>
      </w:r>
      <w:proofErr w:type="spellStart"/>
      <w:r>
        <w:t>SCo</w:t>
      </w:r>
      <w:proofErr w:type="spellEnd"/>
      <w:r>
        <w:t>.</w:t>
      </w:r>
    </w:p>
    <w:p w14:paraId="43907B6A" w14:textId="77777777" w:rsidR="00494B49" w:rsidRDefault="00494B49">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18DB6940" w14:textId="77777777" w:rsidR="00494B49" w:rsidRDefault="00494B49" w:rsidP="007865A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34618AA0"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w:t>
      </w:r>
      <w:proofErr w:type="spellStart"/>
      <w:r>
        <w:t>SCo</w:t>
      </w:r>
      <w:proofErr w:type="spellEnd"/>
      <w:r>
        <w:t xml:space="preserve"> in Year 2 is $9,000 ($43,000 – $30,000 – $4,000) in Year 2. A’s amount at risk at the end of Year 2 is $9,000. </w:t>
      </w:r>
    </w:p>
    <w:p w14:paraId="1D0FF5D1"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085616AA" w14:textId="77777777" w:rsidR="00494B49" w:rsidRDefault="00494B49">
      <w:pPr>
        <w:pStyle w:val="BQuotelong"/>
      </w:pPr>
      <w:r>
        <w:t xml:space="preserve">Although A’s distributive share of Year 2 deductions allocable to </w:t>
      </w:r>
      <w:proofErr w:type="spellStart"/>
      <w:r>
        <w:t>SCo’s</w:t>
      </w:r>
      <w:proofErr w:type="spellEnd"/>
      <w:r>
        <w:t xml:space="preserve">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w:t>
      </w:r>
      <w:r>
        <w:lastRenderedPageBreak/>
        <w:t xml:space="preserve">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w:t>
      </w:r>
    </w:p>
    <w:p w14:paraId="69B03306" w14:textId="77777777" w:rsidR="00494B49" w:rsidRDefault="00494B49">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7A26105" w14:textId="77777777" w:rsidR="00494B49" w:rsidRDefault="00494B49">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8"/>
      </w:r>
      <w:r>
        <w:t xml:space="preserve"> </w:t>
      </w:r>
    </w:p>
    <w:p w14:paraId="1B70CF9D" w14:textId="77777777" w:rsidR="00494B49" w:rsidRDefault="00494B49" w:rsidP="007865A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1D988DC"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result, A’s net operating income from </w:t>
      </w:r>
      <w:proofErr w:type="spellStart"/>
      <w:r>
        <w:t>SCo</w:t>
      </w:r>
      <w:proofErr w:type="spellEnd"/>
      <w:r>
        <w:t xml:space="preserve"> in Year 2 is $13,000 ($43,000 – $30,000) [and A has a long-term capital loss of $4,000 in Year 2]. A’s amount at risk at the end of Year 2 is $9,000. </w:t>
      </w:r>
    </w:p>
    <w:p w14:paraId="21643D0F"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1D8739D3" w14:textId="77777777" w:rsidR="00494B49" w:rsidRDefault="00494B49">
      <w:pPr>
        <w:pStyle w:val="BQuotelong"/>
      </w:pPr>
      <w:r>
        <w:lastRenderedPageBreak/>
        <w:t xml:space="preserve">Although A’s distributive share of Year 2 deductions allocable to </w:t>
      </w:r>
      <w:proofErr w:type="spellStart"/>
      <w:r>
        <w:t>SCo’s</w:t>
      </w:r>
      <w:proofErr w:type="spellEnd"/>
      <w:r>
        <w:t xml:space="preserve">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taken into account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w:t>
      </w:r>
    </w:p>
    <w:p w14:paraId="67C2112B" w14:textId="77777777" w:rsidR="00494B49" w:rsidRDefault="00494B49">
      <w:pPr>
        <w:pStyle w:val="BHead3"/>
      </w:pPr>
      <w:r>
        <w:t>c. Special Rules for Losses Attributable to Former Passive Activities (FPAs)</w:t>
      </w:r>
    </w:p>
    <w:p w14:paraId="1B197D55" w14:textId="77777777" w:rsidR="00494B49" w:rsidRDefault="00494B49">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19"/>
      </w:r>
    </w:p>
    <w:p w14:paraId="3BE9F022" w14:textId="77777777" w:rsidR="00494B49" w:rsidRDefault="00494B49">
      <w:pPr>
        <w:pStyle w:val="BNormal"/>
      </w:pPr>
      <w:r>
        <w:t xml:space="preserve">Reg. </w:t>
      </w:r>
      <w:smartTag w:uri="http://www.bna.com/sgml2word/cite" w:element="cite.cfr">
        <w:smartTagPr>
          <w:attr w:name="ref" w:val="cfr\26\1.1411-4(g)(8)(i)"/>
        </w:smartTagPr>
        <w:r>
          <w:t>§1.1411-4(g)(8)(</w:t>
        </w:r>
        <w:proofErr w:type="spellStart"/>
        <w:r>
          <w:t>i</w:t>
        </w:r>
        <w:proofErr w:type="spellEnd"/>
        <w:r>
          <w:t>)</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20"/>
      </w:r>
      <w:r>
        <w:t xml:space="preserve"> Ultimately, this was the most precise way to allow suspended losses from former passive activities for net investment income purposes, but the mechanics of the rule are complicated. Consider the following examples: </w:t>
      </w:r>
    </w:p>
    <w:p w14:paraId="18AE226B" w14:textId="77777777" w:rsidR="00494B49" w:rsidRDefault="00494B49">
      <w:pPr>
        <w:pStyle w:val="BExamplepara"/>
      </w:pPr>
      <w:r>
        <w:rPr>
          <w:rStyle w:val="BExamplehead"/>
          <w:rFonts w:eastAsiaTheme="minorHAnsi"/>
          <w:i/>
        </w:rPr>
        <w:t>Example 1</w:t>
      </w:r>
      <w:r>
        <w:t xml:space="preserve"> — Assume a taxpayer has the following items of income and deduction: </w:t>
      </w:r>
    </w:p>
    <w:p w14:paraId="6B6B2315" w14:textId="77777777" w:rsidR="00494B49" w:rsidRDefault="00494B49">
      <w:pPr>
        <w:pStyle w:val="BListitembul"/>
      </w:pPr>
      <w:r>
        <w:t xml:space="preserve">Interest income $15,000, </w:t>
      </w:r>
    </w:p>
    <w:p w14:paraId="082DD006" w14:textId="77777777" w:rsidR="00494B49" w:rsidRDefault="00494B49">
      <w:pPr>
        <w:pStyle w:val="BListitembul"/>
      </w:pPr>
      <w:r>
        <w:t xml:space="preserve">Former passive activity </w:t>
      </w:r>
      <w:r>
        <w:rPr>
          <w:i/>
        </w:rPr>
        <w:t>net income</w:t>
      </w:r>
      <w:r>
        <w:t xml:space="preserve"> of $7,000 [nonpassive income], </w:t>
      </w:r>
    </w:p>
    <w:p w14:paraId="60921F2A" w14:textId="77777777" w:rsidR="00494B49" w:rsidRDefault="00494B49">
      <w:pPr>
        <w:pStyle w:val="BListitembul"/>
      </w:pPr>
      <w:r>
        <w:t xml:space="preserve">Passive rental real estate net income of $1,000, and </w:t>
      </w:r>
    </w:p>
    <w:p w14:paraId="60C275CF" w14:textId="77777777" w:rsidR="00494B49" w:rsidRDefault="00494B49">
      <w:pPr>
        <w:pStyle w:val="BListitembul"/>
      </w:pPr>
      <w:r>
        <w:t xml:space="preserve">Suspended passive losses from the former passive activity of $10,000. </w:t>
      </w:r>
    </w:p>
    <w:p w14:paraId="1F2E6117" w14:textId="77777777" w:rsidR="00494B49" w:rsidRDefault="00494B49" w:rsidP="007865AF"/>
    <w:tbl>
      <w:tblPr>
        <w:tblStyle w:val="TableGrid"/>
        <w:tblW w:w="0" w:type="auto"/>
        <w:tblLook w:val="04A0" w:firstRow="1" w:lastRow="0" w:firstColumn="1" w:lastColumn="0" w:noHBand="0" w:noVBand="1"/>
      </w:tblPr>
      <w:tblGrid>
        <w:gridCol w:w="3136"/>
        <w:gridCol w:w="3107"/>
        <w:gridCol w:w="3107"/>
      </w:tblGrid>
      <w:tr w:rsidR="00494B49" w14:paraId="10E0842E" w14:textId="77777777">
        <w:tc>
          <w:tcPr>
            <w:tcW w:w="3360" w:type="dxa"/>
          </w:tcPr>
          <w:p w14:paraId="514F6F7E" w14:textId="77777777" w:rsidR="00494B49" w:rsidRDefault="00494B49">
            <w:r>
              <w:t xml:space="preserve"> </w:t>
            </w:r>
            <w:r>
              <w:rPr>
                <w:b/>
              </w:rPr>
              <w:t>Income / Deduction</w:t>
            </w:r>
          </w:p>
        </w:tc>
        <w:tc>
          <w:tcPr>
            <w:tcW w:w="3360" w:type="dxa"/>
          </w:tcPr>
          <w:p w14:paraId="6F752131" w14:textId="77777777" w:rsidR="00494B49" w:rsidRDefault="00494B49">
            <w:r>
              <w:t xml:space="preserve"> </w:t>
            </w:r>
            <w:r>
              <w:rPr>
                <w:b/>
              </w:rPr>
              <w:t>Regular Tax</w:t>
            </w:r>
          </w:p>
        </w:tc>
        <w:tc>
          <w:tcPr>
            <w:tcW w:w="3360" w:type="dxa"/>
          </w:tcPr>
          <w:p w14:paraId="7B874EA2" w14:textId="77777777" w:rsidR="00494B49" w:rsidRDefault="00494B49">
            <w:r>
              <w:t xml:space="preserve"> </w:t>
            </w:r>
            <w:r>
              <w:rPr>
                <w:b/>
              </w:rPr>
              <w:t>NII</w:t>
            </w:r>
          </w:p>
        </w:tc>
      </w:tr>
      <w:tr w:rsidR="00494B49" w14:paraId="2A5A2AD3" w14:textId="77777777">
        <w:tc>
          <w:tcPr>
            <w:tcW w:w="3360" w:type="dxa"/>
          </w:tcPr>
          <w:p w14:paraId="103B9EC6" w14:textId="77777777" w:rsidR="00494B49" w:rsidRDefault="00494B49">
            <w:r>
              <w:t>Interest Income</w:t>
            </w:r>
          </w:p>
        </w:tc>
        <w:tc>
          <w:tcPr>
            <w:tcW w:w="3360" w:type="dxa"/>
          </w:tcPr>
          <w:p w14:paraId="5A46BF09" w14:textId="77777777" w:rsidR="00494B49" w:rsidRDefault="00494B49">
            <w:r>
              <w:t>$15,000</w:t>
            </w:r>
          </w:p>
        </w:tc>
        <w:tc>
          <w:tcPr>
            <w:tcW w:w="3360" w:type="dxa"/>
          </w:tcPr>
          <w:p w14:paraId="671BA372" w14:textId="77777777" w:rsidR="00494B49" w:rsidRDefault="00494B49">
            <w:r>
              <w:t>$15,000</w:t>
            </w:r>
          </w:p>
        </w:tc>
      </w:tr>
      <w:tr w:rsidR="00494B49" w14:paraId="0E450247" w14:textId="77777777">
        <w:tc>
          <w:tcPr>
            <w:tcW w:w="3360" w:type="dxa"/>
          </w:tcPr>
          <w:p w14:paraId="6029B565" w14:textId="77777777" w:rsidR="00494B49" w:rsidRDefault="00494B49">
            <w:r>
              <w:t>Nonpassive Net Income</w:t>
            </w:r>
          </w:p>
        </w:tc>
        <w:tc>
          <w:tcPr>
            <w:tcW w:w="3360" w:type="dxa"/>
          </w:tcPr>
          <w:p w14:paraId="3B20CE3D" w14:textId="77777777" w:rsidR="00494B49" w:rsidRDefault="00494B49">
            <w:r>
              <w:t>$7,000</w:t>
            </w:r>
          </w:p>
        </w:tc>
        <w:tc>
          <w:tcPr>
            <w:tcW w:w="3360" w:type="dxa"/>
          </w:tcPr>
          <w:p w14:paraId="7494DF3C" w14:textId="77777777" w:rsidR="00494B49" w:rsidRDefault="00494B49">
            <w:r>
              <w:t>$0</w:t>
            </w:r>
          </w:p>
        </w:tc>
      </w:tr>
      <w:tr w:rsidR="00494B49" w14:paraId="1ABF6CF9" w14:textId="77777777">
        <w:tc>
          <w:tcPr>
            <w:tcW w:w="3360" w:type="dxa"/>
          </w:tcPr>
          <w:p w14:paraId="08750C7A" w14:textId="77777777" w:rsidR="00494B49" w:rsidRDefault="00494B49">
            <w:smartTag w:uri="http://www.bna.com/sgml2word/cite" w:element="cite.usc">
              <w:smartTagPr>
                <w:attr w:name="ref" w:val="USC\26\469(f)(1)(A)"/>
              </w:smartTagPr>
              <w:r>
                <w:lastRenderedPageBreak/>
                <w:t>Section 469(f)(1)(A)</w:t>
              </w:r>
            </w:smartTag>
            <w:r>
              <w:t xml:space="preserve"> loss allowed</w:t>
            </w:r>
          </w:p>
        </w:tc>
        <w:tc>
          <w:tcPr>
            <w:tcW w:w="3360" w:type="dxa"/>
          </w:tcPr>
          <w:p w14:paraId="0D6C5E05" w14:textId="77777777" w:rsidR="00494B49" w:rsidRDefault="00494B49">
            <w:r>
              <w:t>–$7,000</w:t>
            </w:r>
          </w:p>
        </w:tc>
        <w:tc>
          <w:tcPr>
            <w:tcW w:w="3360" w:type="dxa"/>
          </w:tcPr>
          <w:p w14:paraId="115F940D" w14:textId="77777777" w:rsidR="00494B49" w:rsidRDefault="00494B49">
            <w:r>
              <w:t>$0</w:t>
            </w:r>
          </w:p>
        </w:tc>
      </w:tr>
      <w:tr w:rsidR="00494B49" w14:paraId="1773A7FD" w14:textId="77777777">
        <w:tc>
          <w:tcPr>
            <w:tcW w:w="3360" w:type="dxa"/>
          </w:tcPr>
          <w:p w14:paraId="3CC4536A" w14:textId="77777777" w:rsidR="00494B49" w:rsidRDefault="00494B49">
            <w:r>
              <w:t>Passive Rental Net Income</w:t>
            </w:r>
          </w:p>
        </w:tc>
        <w:tc>
          <w:tcPr>
            <w:tcW w:w="3360" w:type="dxa"/>
          </w:tcPr>
          <w:p w14:paraId="52C0E3DF" w14:textId="77777777" w:rsidR="00494B49" w:rsidRDefault="00494B49">
            <w:r>
              <w:t>$1,000</w:t>
            </w:r>
          </w:p>
        </w:tc>
        <w:tc>
          <w:tcPr>
            <w:tcW w:w="3360" w:type="dxa"/>
          </w:tcPr>
          <w:p w14:paraId="4CF2BE19" w14:textId="77777777" w:rsidR="00494B49" w:rsidRDefault="00494B49">
            <w:r>
              <w:t>$1,000</w:t>
            </w:r>
          </w:p>
        </w:tc>
      </w:tr>
      <w:tr w:rsidR="00494B49" w14:paraId="602FCD04" w14:textId="77777777">
        <w:tc>
          <w:tcPr>
            <w:tcW w:w="3360" w:type="dxa"/>
          </w:tcPr>
          <w:p w14:paraId="4B0065C2"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694C9CF0" w14:textId="77777777" w:rsidR="00494B49" w:rsidRDefault="00494B49">
            <w:r>
              <w:t>−$1,000</w:t>
            </w:r>
          </w:p>
        </w:tc>
        <w:tc>
          <w:tcPr>
            <w:tcW w:w="3360" w:type="dxa"/>
          </w:tcPr>
          <w:p w14:paraId="3B2D9EBF" w14:textId="77777777" w:rsidR="00494B49" w:rsidRDefault="00494B49">
            <w:r>
              <w:t>−$1,000</w:t>
            </w:r>
          </w:p>
        </w:tc>
      </w:tr>
      <w:tr w:rsidR="00494B49" w14:paraId="13CD7463" w14:textId="77777777">
        <w:tc>
          <w:tcPr>
            <w:tcW w:w="3360" w:type="dxa"/>
          </w:tcPr>
          <w:p w14:paraId="24D9052C" w14:textId="77777777" w:rsidR="00494B49" w:rsidRDefault="00494B49"/>
        </w:tc>
        <w:tc>
          <w:tcPr>
            <w:tcW w:w="3360" w:type="dxa"/>
          </w:tcPr>
          <w:p w14:paraId="34A81FFC" w14:textId="77777777" w:rsidR="00494B49" w:rsidRDefault="00494B49"/>
        </w:tc>
        <w:tc>
          <w:tcPr>
            <w:tcW w:w="3360" w:type="dxa"/>
          </w:tcPr>
          <w:p w14:paraId="30DFC676" w14:textId="77777777" w:rsidR="00494B49" w:rsidRDefault="00494B49"/>
        </w:tc>
      </w:tr>
      <w:tr w:rsidR="00494B49" w14:paraId="517AF707" w14:textId="77777777">
        <w:tc>
          <w:tcPr>
            <w:tcW w:w="3360" w:type="dxa"/>
          </w:tcPr>
          <w:p w14:paraId="4BF6B36F" w14:textId="77777777" w:rsidR="00494B49" w:rsidRDefault="00494B49">
            <w:r>
              <w:t>Total AGI / NII</w:t>
            </w:r>
          </w:p>
        </w:tc>
        <w:tc>
          <w:tcPr>
            <w:tcW w:w="3360" w:type="dxa"/>
          </w:tcPr>
          <w:p w14:paraId="524E8F60" w14:textId="77777777" w:rsidR="00494B49" w:rsidRDefault="00494B49">
            <w:r>
              <w:t>$15,000</w:t>
            </w:r>
          </w:p>
        </w:tc>
        <w:tc>
          <w:tcPr>
            <w:tcW w:w="3360" w:type="dxa"/>
          </w:tcPr>
          <w:p w14:paraId="2ADF3EDA" w14:textId="77777777" w:rsidR="00494B49" w:rsidRDefault="00494B49">
            <w:r>
              <w:t>$15,000</w:t>
            </w:r>
          </w:p>
        </w:tc>
      </w:tr>
      <w:tr w:rsidR="00494B49" w14:paraId="7B1E1043" w14:textId="77777777">
        <w:tc>
          <w:tcPr>
            <w:tcW w:w="3360" w:type="dxa"/>
          </w:tcPr>
          <w:p w14:paraId="7563AC78" w14:textId="77777777" w:rsidR="00494B49" w:rsidRDefault="00494B49"/>
        </w:tc>
        <w:tc>
          <w:tcPr>
            <w:tcW w:w="3360" w:type="dxa"/>
          </w:tcPr>
          <w:p w14:paraId="0BDC6B23" w14:textId="77777777" w:rsidR="00494B49" w:rsidRDefault="00494B49"/>
        </w:tc>
        <w:tc>
          <w:tcPr>
            <w:tcW w:w="3360" w:type="dxa"/>
          </w:tcPr>
          <w:p w14:paraId="2206D4CA" w14:textId="77777777" w:rsidR="00494B49" w:rsidRDefault="00494B49"/>
        </w:tc>
      </w:tr>
      <w:tr w:rsidR="00494B49" w14:paraId="010C90C6" w14:textId="77777777">
        <w:tc>
          <w:tcPr>
            <w:tcW w:w="3360" w:type="dxa"/>
          </w:tcPr>
          <w:p w14:paraId="4B62D419" w14:textId="77777777" w:rsidR="00494B49" w:rsidRDefault="00494B49">
            <w:r>
              <w:t>Ending Susp PAL</w:t>
            </w:r>
          </w:p>
        </w:tc>
        <w:tc>
          <w:tcPr>
            <w:tcW w:w="3360" w:type="dxa"/>
          </w:tcPr>
          <w:p w14:paraId="296FA35E" w14:textId="77777777" w:rsidR="00494B49" w:rsidRDefault="00494B49">
            <w:r>
              <w:t>$2,000</w:t>
            </w:r>
          </w:p>
        </w:tc>
        <w:tc>
          <w:tcPr>
            <w:tcW w:w="3360" w:type="dxa"/>
          </w:tcPr>
          <w:p w14:paraId="3ADB1049" w14:textId="77777777" w:rsidR="00494B49" w:rsidRDefault="00494B49">
            <w:r>
              <w:t>$2,000</w:t>
            </w:r>
          </w:p>
        </w:tc>
      </w:tr>
      <w:tr w:rsidR="00494B49" w14:paraId="588574CA" w14:textId="77777777">
        <w:tc>
          <w:tcPr>
            <w:tcW w:w="3360" w:type="dxa"/>
          </w:tcPr>
          <w:p w14:paraId="5A1A9DA5" w14:textId="77777777" w:rsidR="00494B49" w:rsidRDefault="00494B49">
            <w:r>
              <w:t>FPAL Used</w:t>
            </w:r>
          </w:p>
        </w:tc>
        <w:tc>
          <w:tcPr>
            <w:tcW w:w="3360" w:type="dxa"/>
          </w:tcPr>
          <w:p w14:paraId="4A1EB91B" w14:textId="77777777" w:rsidR="00494B49" w:rsidRDefault="00494B49">
            <w:r>
              <w:t>$8,000</w:t>
            </w:r>
          </w:p>
        </w:tc>
        <w:tc>
          <w:tcPr>
            <w:tcW w:w="3360" w:type="dxa"/>
          </w:tcPr>
          <w:p w14:paraId="17B010E9" w14:textId="77777777" w:rsidR="00494B49" w:rsidRDefault="00494B49">
            <w:r>
              <w:t>$1,000</w:t>
            </w:r>
          </w:p>
        </w:tc>
      </w:tr>
    </w:tbl>
    <w:p w14:paraId="12DE416D" w14:textId="77777777" w:rsidR="00494B49" w:rsidRDefault="00494B49">
      <w:pPr>
        <w:pStyle w:val="BNormal"/>
      </w:pPr>
    </w:p>
    <w:p w14:paraId="7380B67B" w14:textId="77777777" w:rsidR="00494B49" w:rsidRDefault="00494B49">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w:t>
      </w:r>
      <w:r>
        <w:rPr>
          <w:rStyle w:val="FootnoteReference"/>
        </w:rPr>
        <w:footnoteReference w:id="721"/>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2"/>
      </w:r>
    </w:p>
    <w:p w14:paraId="2BE57C41" w14:textId="77777777" w:rsidR="00494B49" w:rsidRDefault="00494B49">
      <w:pPr>
        <w:pStyle w:val="BExamplepara"/>
      </w:pPr>
      <w:r>
        <w:rPr>
          <w:rStyle w:val="BExamplehead"/>
          <w:rFonts w:eastAsiaTheme="minorHAnsi"/>
          <w:i/>
        </w:rPr>
        <w:t>Example 2</w:t>
      </w:r>
      <w:r>
        <w:t xml:space="preserve"> — Assume a taxpayer has the following items of income and deduction: </w:t>
      </w:r>
    </w:p>
    <w:p w14:paraId="1DDC8EED" w14:textId="77777777" w:rsidR="00494B49" w:rsidRDefault="00494B49">
      <w:pPr>
        <w:pStyle w:val="BListitembul"/>
      </w:pPr>
      <w:r>
        <w:t xml:space="preserve">Interest income $15,000, </w:t>
      </w:r>
    </w:p>
    <w:p w14:paraId="3163CE40" w14:textId="77777777" w:rsidR="00494B49" w:rsidRDefault="00494B49">
      <w:pPr>
        <w:pStyle w:val="BListitembul"/>
      </w:pPr>
      <w:r>
        <w:t xml:space="preserve">Former passive activity </w:t>
      </w:r>
      <w:r>
        <w:rPr>
          <w:i/>
        </w:rPr>
        <w:t>net income</w:t>
      </w:r>
      <w:r>
        <w:t xml:space="preserve"> of $7,000 [nonpassive income], </w:t>
      </w:r>
    </w:p>
    <w:p w14:paraId="5CEC30E9" w14:textId="77777777" w:rsidR="00494B49" w:rsidRDefault="00494B49">
      <w:pPr>
        <w:pStyle w:val="BListitembul"/>
      </w:pPr>
      <w:r>
        <w:t xml:space="preserve">Disposition of a former passive activity at a $2,000 gain [treated as nonpassive income] </w:t>
      </w:r>
    </w:p>
    <w:p w14:paraId="6C1D354E" w14:textId="77777777" w:rsidR="00494B49" w:rsidRDefault="00494B49">
      <w:pPr>
        <w:pStyle w:val="BListitemorig"/>
      </w:pPr>
      <w:r>
        <w:t xml:space="preserve">o The taxpayer is able to exclude $1,500 gain from net investment income by reason of §1411(c)(4) </w:t>
      </w:r>
    </w:p>
    <w:p w14:paraId="3792E94C" w14:textId="77777777" w:rsidR="00494B49" w:rsidRDefault="00494B49">
      <w:pPr>
        <w:pStyle w:val="BListitembul"/>
      </w:pPr>
      <w:r>
        <w:t xml:space="preserve">Passive rental real estate </w:t>
      </w:r>
      <w:r>
        <w:rPr>
          <w:i/>
        </w:rPr>
        <w:t>net income</w:t>
      </w:r>
      <w:r>
        <w:t xml:space="preserve"> of $1,000, and </w:t>
      </w:r>
    </w:p>
    <w:p w14:paraId="1A0CDB1C" w14:textId="77777777" w:rsidR="00494B49" w:rsidRDefault="00494B49">
      <w:pPr>
        <w:pStyle w:val="BListitembul"/>
      </w:pPr>
      <w:r>
        <w:t xml:space="preserve">Suspended passive losses from the former passive activity of $10,000 </w:t>
      </w:r>
    </w:p>
    <w:p w14:paraId="7A3E741F" w14:textId="77777777" w:rsidR="00494B49" w:rsidRDefault="00494B49" w:rsidP="007865AF"/>
    <w:tbl>
      <w:tblPr>
        <w:tblStyle w:val="TableGrid"/>
        <w:tblW w:w="0" w:type="auto"/>
        <w:tblLook w:val="04A0" w:firstRow="1" w:lastRow="0" w:firstColumn="1" w:lastColumn="0" w:noHBand="0" w:noVBand="1"/>
      </w:tblPr>
      <w:tblGrid>
        <w:gridCol w:w="3127"/>
        <w:gridCol w:w="3096"/>
        <w:gridCol w:w="3127"/>
      </w:tblGrid>
      <w:tr w:rsidR="00494B49" w14:paraId="45E0DA87" w14:textId="77777777">
        <w:tc>
          <w:tcPr>
            <w:tcW w:w="3360" w:type="dxa"/>
          </w:tcPr>
          <w:p w14:paraId="48F9B6E2" w14:textId="77777777" w:rsidR="00494B49" w:rsidRDefault="00494B49">
            <w:r>
              <w:t xml:space="preserve"> </w:t>
            </w:r>
            <w:r>
              <w:rPr>
                <w:b/>
              </w:rPr>
              <w:t>Income / Deduction</w:t>
            </w:r>
          </w:p>
        </w:tc>
        <w:tc>
          <w:tcPr>
            <w:tcW w:w="3360" w:type="dxa"/>
          </w:tcPr>
          <w:p w14:paraId="2EE9CC0D" w14:textId="77777777" w:rsidR="00494B49" w:rsidRDefault="00494B49">
            <w:r>
              <w:t xml:space="preserve"> </w:t>
            </w:r>
            <w:r>
              <w:rPr>
                <w:b/>
              </w:rPr>
              <w:t>Regular Tax</w:t>
            </w:r>
          </w:p>
        </w:tc>
        <w:tc>
          <w:tcPr>
            <w:tcW w:w="3360" w:type="dxa"/>
          </w:tcPr>
          <w:p w14:paraId="5A45E14B" w14:textId="77777777" w:rsidR="00494B49" w:rsidRDefault="00494B49">
            <w:r>
              <w:t xml:space="preserve"> </w:t>
            </w:r>
            <w:r>
              <w:rPr>
                <w:b/>
              </w:rPr>
              <w:t xml:space="preserve">net </w:t>
            </w:r>
            <w:r>
              <w:br/>
            </w:r>
            <w:r>
              <w:rPr>
                <w:b/>
              </w:rPr>
              <w:t>investment income — Option 3</w:t>
            </w:r>
          </w:p>
        </w:tc>
      </w:tr>
      <w:tr w:rsidR="00494B49" w14:paraId="79FEA864" w14:textId="77777777">
        <w:tc>
          <w:tcPr>
            <w:tcW w:w="3360" w:type="dxa"/>
          </w:tcPr>
          <w:p w14:paraId="5E2C568A" w14:textId="77777777" w:rsidR="00494B49" w:rsidRDefault="00494B49">
            <w:r>
              <w:t>Interest Income</w:t>
            </w:r>
          </w:p>
        </w:tc>
        <w:tc>
          <w:tcPr>
            <w:tcW w:w="3360" w:type="dxa"/>
          </w:tcPr>
          <w:p w14:paraId="6600E2BE" w14:textId="77777777" w:rsidR="00494B49" w:rsidRDefault="00494B49">
            <w:r>
              <w:t>$15,000</w:t>
            </w:r>
          </w:p>
        </w:tc>
        <w:tc>
          <w:tcPr>
            <w:tcW w:w="3360" w:type="dxa"/>
          </w:tcPr>
          <w:p w14:paraId="4B078178" w14:textId="77777777" w:rsidR="00494B49" w:rsidRDefault="00494B49">
            <w:r>
              <w:t>$15,000</w:t>
            </w:r>
          </w:p>
        </w:tc>
      </w:tr>
      <w:tr w:rsidR="00494B49" w14:paraId="283DE8E0" w14:textId="77777777">
        <w:tc>
          <w:tcPr>
            <w:tcW w:w="3360" w:type="dxa"/>
          </w:tcPr>
          <w:p w14:paraId="398EEF54" w14:textId="77777777" w:rsidR="00494B49" w:rsidRDefault="00494B49">
            <w:r>
              <w:t>Nonpassive Net Income</w:t>
            </w:r>
          </w:p>
        </w:tc>
        <w:tc>
          <w:tcPr>
            <w:tcW w:w="3360" w:type="dxa"/>
          </w:tcPr>
          <w:p w14:paraId="3B802BAE" w14:textId="77777777" w:rsidR="00494B49" w:rsidRDefault="00494B49">
            <w:r>
              <w:t>$7,000</w:t>
            </w:r>
          </w:p>
        </w:tc>
        <w:tc>
          <w:tcPr>
            <w:tcW w:w="3360" w:type="dxa"/>
          </w:tcPr>
          <w:p w14:paraId="3F187499" w14:textId="77777777" w:rsidR="00494B49" w:rsidRDefault="00494B49">
            <w:r>
              <w:t>$0</w:t>
            </w:r>
          </w:p>
        </w:tc>
      </w:tr>
      <w:tr w:rsidR="00494B49" w14:paraId="46BD5B53" w14:textId="77777777">
        <w:tc>
          <w:tcPr>
            <w:tcW w:w="3360" w:type="dxa"/>
          </w:tcPr>
          <w:p w14:paraId="6A1BA44D"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417B1063" w14:textId="77777777" w:rsidR="00494B49" w:rsidRDefault="00494B49">
            <w:r>
              <w:t>−$7,000</w:t>
            </w:r>
          </w:p>
        </w:tc>
        <w:tc>
          <w:tcPr>
            <w:tcW w:w="3360" w:type="dxa"/>
          </w:tcPr>
          <w:p w14:paraId="29308DD1" w14:textId="77777777" w:rsidR="00494B49" w:rsidRDefault="00494B49">
            <w:r>
              <w:t>$0</w:t>
            </w:r>
          </w:p>
        </w:tc>
      </w:tr>
      <w:tr w:rsidR="00494B49" w14:paraId="2BD46E5F" w14:textId="77777777">
        <w:tc>
          <w:tcPr>
            <w:tcW w:w="3360" w:type="dxa"/>
          </w:tcPr>
          <w:p w14:paraId="6965552B" w14:textId="77777777" w:rsidR="00494B49" w:rsidRDefault="00494B49"/>
        </w:tc>
        <w:tc>
          <w:tcPr>
            <w:tcW w:w="3360" w:type="dxa"/>
          </w:tcPr>
          <w:p w14:paraId="6F81408A" w14:textId="77777777" w:rsidR="00494B49" w:rsidRDefault="00494B49"/>
        </w:tc>
        <w:tc>
          <w:tcPr>
            <w:tcW w:w="3360" w:type="dxa"/>
          </w:tcPr>
          <w:p w14:paraId="4C95D9E1" w14:textId="77777777" w:rsidR="00494B49" w:rsidRDefault="00494B49"/>
        </w:tc>
      </w:tr>
      <w:tr w:rsidR="00494B49" w14:paraId="0BD917E8" w14:textId="77777777">
        <w:tc>
          <w:tcPr>
            <w:tcW w:w="3360" w:type="dxa"/>
          </w:tcPr>
          <w:p w14:paraId="0F9AFFFE" w14:textId="77777777" w:rsidR="00494B49" w:rsidRDefault="00494B49">
            <w:r>
              <w:t>Nonpassive Gain</w:t>
            </w:r>
          </w:p>
        </w:tc>
        <w:tc>
          <w:tcPr>
            <w:tcW w:w="3360" w:type="dxa"/>
          </w:tcPr>
          <w:p w14:paraId="485B5FB5" w14:textId="77777777" w:rsidR="00494B49" w:rsidRDefault="00494B49">
            <w:r>
              <w:t>$2,000</w:t>
            </w:r>
          </w:p>
        </w:tc>
        <w:tc>
          <w:tcPr>
            <w:tcW w:w="3360" w:type="dxa"/>
          </w:tcPr>
          <w:p w14:paraId="74737193" w14:textId="77777777" w:rsidR="00494B49" w:rsidRDefault="00494B49">
            <w:r>
              <w:t>$2,000</w:t>
            </w:r>
          </w:p>
        </w:tc>
      </w:tr>
      <w:tr w:rsidR="00494B49" w14:paraId="33A9D2AE" w14:textId="77777777">
        <w:tc>
          <w:tcPr>
            <w:tcW w:w="3360" w:type="dxa"/>
          </w:tcPr>
          <w:p w14:paraId="2276CA5E" w14:textId="77777777" w:rsidR="00494B49" w:rsidRDefault="00494B49">
            <w:r>
              <w:t xml:space="preserve"> — Less </w:t>
            </w:r>
            <w:smartTag w:uri="http://www.bna.com/sgml2word/cite" w:element="cite.usc">
              <w:smartTagPr>
                <w:attr w:name="ref" w:val="USC\26\1411(c)(4)"/>
              </w:smartTagPr>
              <w:r>
                <w:t>Section 1411(c)(4)</w:t>
              </w:r>
            </w:smartTag>
            <w:r>
              <w:t xml:space="preserve"> Excl.</w:t>
            </w:r>
          </w:p>
        </w:tc>
        <w:tc>
          <w:tcPr>
            <w:tcW w:w="3360" w:type="dxa"/>
          </w:tcPr>
          <w:p w14:paraId="423E3CA2" w14:textId="77777777" w:rsidR="00494B49" w:rsidRDefault="00494B49">
            <w:r>
              <w:t>N/A</w:t>
            </w:r>
          </w:p>
        </w:tc>
        <w:tc>
          <w:tcPr>
            <w:tcW w:w="3360" w:type="dxa"/>
          </w:tcPr>
          <w:p w14:paraId="68A8ED70" w14:textId="77777777" w:rsidR="00494B49" w:rsidRDefault="00494B49">
            <w:r>
              <w:t>–$1,500</w:t>
            </w:r>
          </w:p>
        </w:tc>
      </w:tr>
      <w:tr w:rsidR="00494B49" w14:paraId="74DDADEE" w14:textId="77777777">
        <w:tc>
          <w:tcPr>
            <w:tcW w:w="3360" w:type="dxa"/>
          </w:tcPr>
          <w:p w14:paraId="150433C2"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5D424515" w14:textId="77777777" w:rsidR="00494B49" w:rsidRDefault="00494B49">
            <w:r>
              <w:t>–$2,000</w:t>
            </w:r>
          </w:p>
        </w:tc>
        <w:tc>
          <w:tcPr>
            <w:tcW w:w="3360" w:type="dxa"/>
          </w:tcPr>
          <w:p w14:paraId="52612BE4" w14:textId="77777777" w:rsidR="00494B49" w:rsidRDefault="00494B49">
            <w:r>
              <w:t>–$500</w:t>
            </w:r>
          </w:p>
        </w:tc>
      </w:tr>
      <w:tr w:rsidR="00494B49" w14:paraId="035D459F" w14:textId="77777777">
        <w:tc>
          <w:tcPr>
            <w:tcW w:w="3360" w:type="dxa"/>
          </w:tcPr>
          <w:p w14:paraId="77667712" w14:textId="77777777" w:rsidR="00494B49" w:rsidRDefault="00494B49"/>
        </w:tc>
        <w:tc>
          <w:tcPr>
            <w:tcW w:w="3360" w:type="dxa"/>
          </w:tcPr>
          <w:p w14:paraId="30F2F83C" w14:textId="77777777" w:rsidR="00494B49" w:rsidRDefault="00494B49"/>
        </w:tc>
        <w:tc>
          <w:tcPr>
            <w:tcW w:w="3360" w:type="dxa"/>
          </w:tcPr>
          <w:p w14:paraId="7429D1A9" w14:textId="77777777" w:rsidR="00494B49" w:rsidRDefault="00494B49"/>
        </w:tc>
      </w:tr>
      <w:tr w:rsidR="00494B49" w14:paraId="5EC498BC" w14:textId="77777777">
        <w:tc>
          <w:tcPr>
            <w:tcW w:w="3360" w:type="dxa"/>
          </w:tcPr>
          <w:p w14:paraId="2C4496BE" w14:textId="77777777" w:rsidR="00494B49" w:rsidRDefault="00494B49">
            <w:r>
              <w:t>Passive income</w:t>
            </w:r>
          </w:p>
        </w:tc>
        <w:tc>
          <w:tcPr>
            <w:tcW w:w="3360" w:type="dxa"/>
          </w:tcPr>
          <w:p w14:paraId="5E57B06B" w14:textId="77777777" w:rsidR="00494B49" w:rsidRDefault="00494B49">
            <w:r>
              <w:t>$1,000</w:t>
            </w:r>
          </w:p>
        </w:tc>
        <w:tc>
          <w:tcPr>
            <w:tcW w:w="3360" w:type="dxa"/>
          </w:tcPr>
          <w:p w14:paraId="6517D7F4" w14:textId="77777777" w:rsidR="00494B49" w:rsidRDefault="00494B49">
            <w:r>
              <w:t>$1,000</w:t>
            </w:r>
          </w:p>
        </w:tc>
      </w:tr>
      <w:tr w:rsidR="00494B49" w14:paraId="2CD1FAF3" w14:textId="77777777">
        <w:tc>
          <w:tcPr>
            <w:tcW w:w="3360" w:type="dxa"/>
          </w:tcPr>
          <w:p w14:paraId="3724501F"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0722775A" w14:textId="77777777" w:rsidR="00494B49" w:rsidRDefault="00494B49">
            <w:r>
              <w:t>–$1,000</w:t>
            </w:r>
          </w:p>
        </w:tc>
        <w:tc>
          <w:tcPr>
            <w:tcW w:w="3360" w:type="dxa"/>
          </w:tcPr>
          <w:p w14:paraId="5049731D" w14:textId="77777777" w:rsidR="00494B49" w:rsidRDefault="00494B49">
            <w:r>
              <w:t>–$1,000</w:t>
            </w:r>
          </w:p>
        </w:tc>
      </w:tr>
      <w:tr w:rsidR="00494B49" w14:paraId="1A4830D3" w14:textId="77777777">
        <w:tc>
          <w:tcPr>
            <w:tcW w:w="3360" w:type="dxa"/>
          </w:tcPr>
          <w:p w14:paraId="0E9506D6" w14:textId="77777777" w:rsidR="00494B49" w:rsidRDefault="00494B49"/>
        </w:tc>
        <w:tc>
          <w:tcPr>
            <w:tcW w:w="3360" w:type="dxa"/>
          </w:tcPr>
          <w:p w14:paraId="0633E8F5" w14:textId="77777777" w:rsidR="00494B49" w:rsidRDefault="00494B49"/>
        </w:tc>
        <w:tc>
          <w:tcPr>
            <w:tcW w:w="3360" w:type="dxa"/>
          </w:tcPr>
          <w:p w14:paraId="107CAEBD" w14:textId="77777777" w:rsidR="00494B49" w:rsidRDefault="00494B49"/>
        </w:tc>
      </w:tr>
      <w:tr w:rsidR="00494B49" w14:paraId="1A80738E" w14:textId="77777777">
        <w:tc>
          <w:tcPr>
            <w:tcW w:w="3360" w:type="dxa"/>
          </w:tcPr>
          <w:p w14:paraId="5E85CFEA" w14:textId="77777777" w:rsidR="00494B49" w:rsidRDefault="00494B49">
            <w:r>
              <w:t>Total AGI / NII</w:t>
            </w:r>
          </w:p>
        </w:tc>
        <w:tc>
          <w:tcPr>
            <w:tcW w:w="3360" w:type="dxa"/>
          </w:tcPr>
          <w:p w14:paraId="4E8625DD" w14:textId="77777777" w:rsidR="00494B49" w:rsidRDefault="00494B49">
            <w:r>
              <w:t>$15,000</w:t>
            </w:r>
          </w:p>
        </w:tc>
        <w:tc>
          <w:tcPr>
            <w:tcW w:w="3360" w:type="dxa"/>
          </w:tcPr>
          <w:p w14:paraId="0B6771AB" w14:textId="77777777" w:rsidR="00494B49" w:rsidRDefault="00494B49">
            <w:r>
              <w:t>$15,000</w:t>
            </w:r>
          </w:p>
        </w:tc>
      </w:tr>
      <w:tr w:rsidR="00494B49" w14:paraId="2E95930A" w14:textId="77777777">
        <w:tc>
          <w:tcPr>
            <w:tcW w:w="3360" w:type="dxa"/>
          </w:tcPr>
          <w:p w14:paraId="4CDDDE89" w14:textId="77777777" w:rsidR="00494B49" w:rsidRDefault="00494B49"/>
        </w:tc>
        <w:tc>
          <w:tcPr>
            <w:tcW w:w="3360" w:type="dxa"/>
          </w:tcPr>
          <w:p w14:paraId="76AF0056" w14:textId="77777777" w:rsidR="00494B49" w:rsidRDefault="00494B49"/>
        </w:tc>
        <w:tc>
          <w:tcPr>
            <w:tcW w:w="3360" w:type="dxa"/>
          </w:tcPr>
          <w:p w14:paraId="32ACE9E4" w14:textId="77777777" w:rsidR="00494B49" w:rsidRDefault="00494B49"/>
        </w:tc>
      </w:tr>
      <w:tr w:rsidR="00494B49" w14:paraId="20E98EDE" w14:textId="77777777">
        <w:tc>
          <w:tcPr>
            <w:tcW w:w="3360" w:type="dxa"/>
          </w:tcPr>
          <w:p w14:paraId="3B36BDDA" w14:textId="77777777" w:rsidR="00494B49" w:rsidRDefault="00494B49">
            <w:r>
              <w:t>Ending Susp PAL</w:t>
            </w:r>
          </w:p>
        </w:tc>
        <w:tc>
          <w:tcPr>
            <w:tcW w:w="3360" w:type="dxa"/>
          </w:tcPr>
          <w:p w14:paraId="3E1E1828" w14:textId="77777777" w:rsidR="00494B49" w:rsidRDefault="00494B49">
            <w:r>
              <w:t>None</w:t>
            </w:r>
          </w:p>
        </w:tc>
        <w:tc>
          <w:tcPr>
            <w:tcW w:w="3360" w:type="dxa"/>
          </w:tcPr>
          <w:p w14:paraId="239186B5" w14:textId="77777777" w:rsidR="00494B49" w:rsidRDefault="00494B49">
            <w:r>
              <w:t>None</w:t>
            </w:r>
          </w:p>
        </w:tc>
      </w:tr>
      <w:tr w:rsidR="00494B49" w14:paraId="752EAA05" w14:textId="77777777">
        <w:tc>
          <w:tcPr>
            <w:tcW w:w="3360" w:type="dxa"/>
          </w:tcPr>
          <w:p w14:paraId="3B1AAE92" w14:textId="77777777" w:rsidR="00494B49" w:rsidRDefault="00494B49">
            <w:r>
              <w:t>FPAL Used</w:t>
            </w:r>
          </w:p>
        </w:tc>
        <w:tc>
          <w:tcPr>
            <w:tcW w:w="3360" w:type="dxa"/>
          </w:tcPr>
          <w:p w14:paraId="09A7DB4D" w14:textId="77777777" w:rsidR="00494B49" w:rsidRDefault="00494B49">
            <w:r>
              <w:t>$10,000</w:t>
            </w:r>
          </w:p>
        </w:tc>
        <w:tc>
          <w:tcPr>
            <w:tcW w:w="3360" w:type="dxa"/>
          </w:tcPr>
          <w:p w14:paraId="0794DEA9" w14:textId="77777777" w:rsidR="00494B49" w:rsidRDefault="00494B49">
            <w:r>
              <w:t>$1,500</w:t>
            </w:r>
          </w:p>
        </w:tc>
      </w:tr>
    </w:tbl>
    <w:p w14:paraId="1A3D7D9A" w14:textId="77777777" w:rsidR="00494B49" w:rsidRDefault="00494B49">
      <w:pPr>
        <w:pStyle w:val="BNormal"/>
      </w:pPr>
    </w:p>
    <w:p w14:paraId="4408331E" w14:textId="77777777" w:rsidR="00494B49" w:rsidRDefault="00494B49">
      <w:pPr>
        <w:pStyle w:val="BExamplepara"/>
      </w:pPr>
      <w:r>
        <w:lastRenderedPageBreak/>
        <w:t xml:space="preserve">In this example,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w:t>
        </w:r>
        <w:proofErr w:type="spellStart"/>
        <w:r>
          <w:t>i</w:t>
        </w:r>
        <w:proofErr w:type="spellEnd"/>
        <w:r>
          <w:t>)</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3"/>
      </w:r>
    </w:p>
    <w:p w14:paraId="099DEC41" w14:textId="77777777" w:rsidR="00494B49" w:rsidRDefault="00494B49">
      <w:pPr>
        <w:pStyle w:val="BNormal"/>
      </w:pPr>
      <w:r>
        <w:t xml:space="preserve">Although these two examples illustrate the concept of Reg. </w:t>
      </w:r>
      <w:smartTag w:uri="http://www.bna.com/sgml2word/cite" w:element="cite.cfr">
        <w:smartTagPr>
          <w:attr w:name="ref" w:val="cfr\26\1.1411-4(g)(8)(i)"/>
        </w:smartTagPr>
        <w:r>
          <w:t>§1.1411-4(g)(8)(</w:t>
        </w:r>
        <w:proofErr w:type="spellStart"/>
        <w:r>
          <w:t>i</w:t>
        </w:r>
        <w:proofErr w:type="spellEnd"/>
        <w:r>
          <w:t>)</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w:t>
        </w:r>
        <w:proofErr w:type="spellStart"/>
        <w:r>
          <w:t>i</w:t>
        </w:r>
        <w:proofErr w:type="spellEnd"/>
        <w:r>
          <w:t>)</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w:t>
        </w:r>
        <w:proofErr w:type="spellStart"/>
        <w:r>
          <w:t>i</w:t>
        </w:r>
        <w:proofErr w:type="spellEnd"/>
        <w:r>
          <w:t>)</w:t>
        </w:r>
      </w:smartTag>
      <w:r>
        <w:t xml:space="preserve"> will pick up from there. </w:t>
      </w:r>
    </w:p>
    <w:p w14:paraId="0A7D31BD" w14:textId="77777777" w:rsidR="00494B49" w:rsidRDefault="00494B49">
      <w:pPr>
        <w:pStyle w:val="BHead3"/>
      </w:pPr>
      <w:r>
        <w:t xml:space="preserve">d. Section 469(g) — Deductions on Final Disposition </w:t>
      </w:r>
    </w:p>
    <w:p w14:paraId="7FE9D501" w14:textId="77777777" w:rsidR="00494B49" w:rsidRDefault="00494B49">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489D9427" w14:textId="77777777" w:rsidR="00494B49" w:rsidRDefault="00494B49">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w:t>
        </w:r>
        <w:proofErr w:type="spellStart"/>
        <w:r>
          <w:t>i</w:t>
        </w:r>
        <w:proofErr w:type="spellEnd"/>
        <w:r>
          <w:t>)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4"/>
      </w:r>
      <w:r>
        <w:t xml:space="preserve"> The 2013 Final Regulations provide that </w:t>
      </w:r>
      <w:smartTag w:uri="http://www.bna.com/sgml2word/cite" w:element="cite.usc">
        <w:smartTagPr>
          <w:attr w:name="ref" w:val="USC\26\469(g)"/>
        </w:smartTagPr>
        <w:r>
          <w:t>§469(g)</w:t>
        </w:r>
      </w:smartTag>
      <w:r>
        <w:t xml:space="preserve"> losses, </w:t>
      </w:r>
      <w:r>
        <w:lastRenderedPageBreak/>
        <w:t>which are treated as losses from a nonpassive activity, are taken into account for net investment income purposes in the same manner in which they are taken into account for Chapter 1 purposes.</w:t>
      </w:r>
      <w:r>
        <w:rPr>
          <w:rStyle w:val="FootnoteReference"/>
        </w:rPr>
        <w:footnoteReference w:id="725"/>
      </w:r>
    </w:p>
    <w:p w14:paraId="604981B2" w14:textId="77777777" w:rsidR="00494B49" w:rsidRDefault="00494B49">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7F016838" w14:textId="77777777" w:rsidR="00494B49" w:rsidRDefault="00494B49">
      <w:pPr>
        <w:pStyle w:val="BHead2"/>
      </w:pPr>
      <w:r>
        <w:t>3. Excess Business Losses Disallowed by §461(l)</w:t>
      </w:r>
    </w:p>
    <w:p w14:paraId="74083562" w14:textId="77777777" w:rsidR="00494B49" w:rsidRDefault="00494B49">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6"/>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7"/>
      </w:r>
    </w:p>
    <w:p w14:paraId="79F4F958" w14:textId="77777777" w:rsidR="00494B49" w:rsidRDefault="00494B49">
      <w:pPr>
        <w:pStyle w:val="BNormal"/>
      </w:pPr>
      <w:r>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460E91D7" w14:textId="77777777" w:rsidR="00494B49" w:rsidRDefault="00494B49">
      <w:pPr>
        <w:pStyle w:val="BNormal"/>
      </w:pPr>
      <w:r>
        <w:t xml:space="preserve">Other than the </w:t>
      </w:r>
      <w:hyperlink r:id="rId15" w:history="1">
        <w:r>
          <w:rPr>
            <w:rStyle w:val="Hyperlink"/>
          </w:rPr>
          <w:t>Instructions for Form 461</w:t>
        </w:r>
      </w:hyperlink>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xml:space="preserve">. Fortunately, the 2013 Final Regulations contain some guideposts that taxpayers could </w:t>
      </w:r>
      <w:proofErr w:type="spellStart"/>
      <w:r>
        <w:t>mimick</w:t>
      </w:r>
      <w:proofErr w:type="spellEnd"/>
      <w:r>
        <w:t>.</w:t>
      </w:r>
    </w:p>
    <w:p w14:paraId="37FDBC19" w14:textId="77777777" w:rsidR="00494B49" w:rsidRDefault="00494B49">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8"/>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 xml:space="preserve">Net </w:t>
      </w:r>
      <w:r>
        <w:rPr>
          <w:i/>
        </w:rPr>
        <w:lastRenderedPageBreak/>
        <w:t>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1C25E081" w14:textId="77777777" w:rsidR="00494B49" w:rsidRDefault="00494B49">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74226B09" w14:textId="77777777" w:rsidR="00494B49" w:rsidRDefault="00494B49">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67711E9F" w14:textId="77777777" w:rsidR="00494B49" w:rsidRDefault="00494B49">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79B09865" w14:textId="77777777" w:rsidR="00494B49" w:rsidRDefault="00494B49">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w:t>
      </w:r>
      <w:r>
        <w:lastRenderedPageBreak/>
        <w:t xml:space="preserve">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6D34458" w14:textId="77777777" w:rsidR="00494B49" w:rsidRDefault="00494B49">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71F19BF0" w14:textId="77777777" w:rsidR="00494B49" w:rsidRDefault="00494B49">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29"/>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5CF83A53" w14:textId="77777777" w:rsidR="00494B49" w:rsidRDefault="00494B49">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30"/>
      </w:r>
    </w:p>
    <w:p w14:paraId="39E270F9" w14:textId="77777777" w:rsidR="00494B49" w:rsidRDefault="00494B49">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3F14CCBC" w14:textId="77777777" w:rsidR="00494B49" w:rsidRDefault="00494B49">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w:t>
      </w:r>
      <w:r>
        <w:lastRenderedPageBreak/>
        <w:t xml:space="preserve">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1"/>
      </w:r>
    </w:p>
    <w:p w14:paraId="1BFF1EB1" w14:textId="77777777" w:rsidR="00494B49" w:rsidRDefault="00494B49">
      <w:pPr>
        <w:pStyle w:val="BNormal"/>
      </w:pPr>
      <w:r>
        <w:rPr>
          <w:i/>
        </w:rPr>
        <w:t xml:space="preserve">Comment: </w:t>
      </w:r>
      <w:r>
        <w:t xml:space="preserve">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25493056" w14:textId="77777777" w:rsidR="00494B49" w:rsidRDefault="00494B49">
      <w:pPr>
        <w:pStyle w:val="BHead1"/>
      </w:pPr>
      <w:r>
        <w:t>G. Recoveries of Prior Year Deductions</w:t>
      </w:r>
    </w:p>
    <w:p w14:paraId="03D02A63" w14:textId="77777777" w:rsidR="00494B49" w:rsidRDefault="00494B49">
      <w:pPr>
        <w:pStyle w:val="BHead2"/>
      </w:pPr>
      <w:r>
        <w:t>1. General Rule on Recoveries</w:t>
      </w:r>
    </w:p>
    <w:p w14:paraId="63F6D4F4" w14:textId="77777777" w:rsidR="00494B49" w:rsidRDefault="00494B49">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2"/>
      </w:r>
    </w:p>
    <w:p w14:paraId="0F548F4D" w14:textId="77777777" w:rsidR="00494B49" w:rsidRDefault="00494B49">
      <w:pPr>
        <w:pStyle w:val="BExamplepara"/>
      </w:pPr>
      <w:r>
        <w:rPr>
          <w:rStyle w:val="BExamplehead"/>
          <w:rFonts w:eastAsiaTheme="minorHAnsi"/>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0A3DB6" w14:textId="77777777" w:rsidR="00494B49" w:rsidRDefault="00494B49">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3"/>
      </w:r>
    </w:p>
    <w:p w14:paraId="35EE468F" w14:textId="77777777" w:rsidR="00494B49" w:rsidRDefault="00494B49">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4"/>
      </w:r>
      <w:r>
        <w:t xml:space="preserve"> Therefore, properly allocable deductions that were deducted against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 the year of </w:t>
      </w:r>
      <w:r>
        <w:lastRenderedPageBreak/>
        <w:t xml:space="preserve">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1115B4D1" w14:textId="77777777" w:rsidR="00494B49" w:rsidRDefault="00494B49">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08C679BD" w14:textId="77777777" w:rsidR="00494B49" w:rsidRDefault="00494B49">
      <w:pPr>
        <w:pStyle w:val="BExamplepara"/>
      </w:pPr>
      <w:r>
        <w:rPr>
          <w:rStyle w:val="BExamplehead"/>
          <w:rFonts w:eastAsiaTheme="minorHAnsi"/>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w:t>
        </w:r>
        <w:proofErr w:type="spellStart"/>
        <w:r>
          <w:t>i</w:t>
        </w:r>
        <w:proofErr w:type="spellEnd"/>
        <w:r>
          <w:t>)</w:t>
        </w:r>
      </w:smartTag>
      <w:r>
        <w:t xml:space="preserve"> because it is not an amount “paid or to be paid principally for the use of (or the right to use) tangible property.”</w:t>
      </w:r>
      <w:r>
        <w:rPr>
          <w:rStyle w:val="FootnoteReference"/>
        </w:rPr>
        <w:footnoteReference w:id="735"/>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413909E6" w14:textId="77777777" w:rsidR="00494B49" w:rsidRDefault="00494B49">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443D85E9" w14:textId="77777777" w:rsidR="00494B49" w:rsidRDefault="00494B49">
      <w:pPr>
        <w:pStyle w:val="BExamplepara"/>
      </w:pPr>
      <w:r>
        <w:rPr>
          <w:rStyle w:val="BExamplehead"/>
          <w:rFonts w:eastAsiaTheme="minorHAnsi"/>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07470ED2" w14:textId="77777777" w:rsidR="00494B49" w:rsidRDefault="00494B49">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w:t>
      </w:r>
      <w:r>
        <w:lastRenderedPageBreak/>
        <w:t xml:space="preserve">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6"/>
      </w:r>
      <w:r>
        <w:t xml:space="preserve"> Such nuances and mechanical rules were beyond the scope of Reg. </w:t>
      </w:r>
      <w:smartTag w:uri="http://www.bna.com/sgml2word/cite" w:element="cite.cfr">
        <w:smartTagPr>
          <w:attr w:name="ref" w:val="cfr\26\1.1411-4(g)(2)"/>
        </w:smartTagPr>
        <w:r>
          <w:t>§1.1411-4(g)(2)</w:t>
        </w:r>
      </w:smartTag>
      <w:r>
        <w:t>.</w:t>
      </w:r>
    </w:p>
    <w:p w14:paraId="4C10333A" w14:textId="77777777" w:rsidR="00494B49" w:rsidRDefault="00494B49">
      <w:pPr>
        <w:pStyle w:val="BExamplepara"/>
      </w:pPr>
      <w:r>
        <w:rPr>
          <w:rStyle w:val="BExamplehead"/>
          <w:rFonts w:eastAsiaTheme="minorHAnsi"/>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248A26F7" w14:textId="77777777" w:rsidR="00494B49" w:rsidRDefault="00494B49">
      <w:pPr>
        <w:pStyle w:val="BHead2"/>
      </w:pPr>
      <w:r>
        <w:t>2. Overall Limitation on Amount of Recovery</w:t>
      </w:r>
    </w:p>
    <w:p w14:paraId="6305A4F9" w14:textId="77777777" w:rsidR="00494B49" w:rsidRDefault="00494B49">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7"/>
      </w:r>
      <w:r>
        <w:t xml:space="preserve"> In other words, the reductions in properly allocable deductions cannot cause a taxpayer’s properly allocable deductions to go below zero.</w:t>
      </w:r>
    </w:p>
    <w:p w14:paraId="6A96DD17" w14:textId="77777777" w:rsidR="00494B49" w:rsidRDefault="00494B49">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38ACA621" w14:textId="77777777" w:rsidR="00494B49" w:rsidRDefault="00494B49">
      <w:pPr>
        <w:pStyle w:val="BNormal"/>
      </w:pPr>
      <w:r>
        <w:t>Although this rule seems intuitive, the limitation is extremely difficult to administer. The administrative problem for both taxpayer compliance and IRS examination purposes is that many taxpayers (and IRS examiners) will have no knowledge of (or access to) the total (or gross) 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526E139C" w14:textId="77777777" w:rsidR="00494B49" w:rsidRDefault="00494B49">
      <w:pPr>
        <w:pStyle w:val="BListitembul"/>
      </w:pPr>
      <w:r>
        <w:t xml:space="preserve">$10,000 of rental income with $6,000 of properly allocable deductions, or </w:t>
      </w:r>
    </w:p>
    <w:p w14:paraId="63F3166B" w14:textId="77777777" w:rsidR="00494B49" w:rsidRDefault="00494B49">
      <w:pPr>
        <w:pStyle w:val="BListitembul"/>
      </w:pPr>
      <w:r>
        <w:t>$100,000 of rental income with $96,000 of properly allocable deductions.</w:t>
      </w:r>
    </w:p>
    <w:p w14:paraId="7FB00366" w14:textId="77777777" w:rsidR="00494B49" w:rsidRDefault="00494B49">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E7F5BEA" w14:textId="77777777" w:rsidR="00494B49" w:rsidRDefault="00494B49">
      <w:pPr>
        <w:pStyle w:val="BCommentpara"/>
      </w:pPr>
      <w:r>
        <w:rPr>
          <w:rStyle w:val="BCommenthead"/>
        </w:rPr>
        <w:t xml:space="preserve">Practice Point: </w:t>
      </w:r>
      <w:r>
        <w:t xml:space="preserve">Taxpayers must be sure not to apply this limitation only to deductions reported on </w:t>
      </w:r>
      <w:smartTag w:uri="http://www.bna.com/sgml2word/cite" w:element="cite.fed.form">
        <w:smartTagPr>
          <w:attr w:name="ref" w:val="irs\form8960"/>
        </w:smartTagPr>
        <w:r>
          <w:t>Form 8960</w:t>
        </w:r>
      </w:smartTag>
      <w:r>
        <w:t xml:space="preserve">, Part II (deductions reported on Lines 9-10). There are also properly allocable deductions embedded in Lines 4a (passthrough income), 5a (gains and </w:t>
      </w:r>
      <w:r>
        <w:lastRenderedPageBreak/>
        <w:t>losses), 6 (income from CFCs and PFICs), and 7 (other modifications to investment income).</w:t>
      </w:r>
    </w:p>
    <w:p w14:paraId="16F5DD3A" w14:textId="77777777" w:rsidR="00494B49" w:rsidRDefault="00494B49">
      <w:pPr>
        <w:pStyle w:val="BHead2"/>
      </w:pPr>
      <w:r>
        <w:t>3. Exceptions to Recovery Inclusions</w:t>
      </w:r>
    </w:p>
    <w:p w14:paraId="7134BCE7" w14:textId="77777777" w:rsidR="00494B49" w:rsidRDefault="00494B49">
      <w:pPr>
        <w:pStyle w:val="BHead3"/>
      </w:pPr>
      <w:r>
        <w:t xml:space="preserve">a. No §1411 Tax Benefit </w:t>
      </w:r>
    </w:p>
    <w:p w14:paraId="0F3FEB06" w14:textId="77777777" w:rsidR="00494B49" w:rsidRDefault="00494B49">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8"/>
      </w:r>
      <w:r>
        <w:t xml:space="preserve"> There are several situations in which this rule becomes applicable, but the regulations identify only </w:t>
      </w:r>
      <w:r>
        <w:rPr>
          <w:i/>
        </w:rPr>
        <w:t>two</w:t>
      </w:r>
      <w:r>
        <w:t xml:space="preserve"> of them: </w:t>
      </w:r>
    </w:p>
    <w:p w14:paraId="2227F775" w14:textId="77777777" w:rsidR="00494B49" w:rsidRDefault="00494B49">
      <w:pPr>
        <w:pStyle w:val="BListitembul"/>
      </w:pPr>
      <w:r>
        <w:t> </w:t>
      </w:r>
      <w:r>
        <w:rPr>
          <w:i/>
        </w:rPr>
        <w:t>Recovery of an amount deducted before 2013</w:t>
      </w:r>
      <w:r>
        <w:t>.</w:t>
      </w:r>
      <w:r>
        <w:rPr>
          <w:rStyle w:val="FootnoteReference"/>
        </w:rPr>
        <w:footnoteReference w:id="739"/>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724D18C5" w14:textId="77777777" w:rsidR="00494B49" w:rsidRDefault="00494B49">
      <w:pPr>
        <w:pStyle w:val="BListitembul"/>
      </w:pPr>
      <w:r>
        <w:t> </w:t>
      </w:r>
      <w:r>
        <w:rPr>
          <w:i/>
        </w:rPr>
        <w:t>Recovery of an amount deducted in a year when MAGI was less than the threshold amount.</w:t>
      </w:r>
      <w:r>
        <w:rPr>
          <w:rStyle w:val="FootnoteReference"/>
        </w:rPr>
        <w:footnoteReference w:id="740"/>
      </w:r>
      <w:r>
        <w:t xml:space="preserve"> For example, the receipt in 20x2 of a refund of income taxes paid in 20x1 would not reduce an unmarried taxpayer’s properly allocable deductions in 20x2 if the taxpayer’s modified adjusted gross income in 20x1 was only $195,000.</w:t>
      </w:r>
    </w:p>
    <w:p w14:paraId="12BC3288" w14:textId="77777777" w:rsidR="00494B49" w:rsidRDefault="00494B49">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58EB53B6" w14:textId="77777777" w:rsidR="00494B49" w:rsidRDefault="00494B49">
      <w:pPr>
        <w:pStyle w:val="BHead3"/>
      </w:pPr>
      <w:r>
        <w:t xml:space="preserve">b. Amounts Already Included in §1411(c)(1)(A) </w:t>
      </w:r>
    </w:p>
    <w:p w14:paraId="56F751D2" w14:textId="77777777" w:rsidR="00494B49" w:rsidRDefault="00494B49">
      <w:pPr>
        <w:pStyle w:val="BNormal"/>
      </w:pPr>
      <w:r>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1"/>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690AC3EC" w14:textId="77777777" w:rsidR="00494B49" w:rsidRDefault="00494B49">
      <w:pPr>
        <w:pStyle w:val="BExamplepara"/>
      </w:pPr>
      <w:r>
        <w:rPr>
          <w:rStyle w:val="BExamplehead"/>
          <w:rFonts w:eastAsiaTheme="minorHAnsi"/>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lastRenderedPageBreak/>
          <w:t>§1411(c)(1)(A)(ii)</w:t>
        </w:r>
      </w:smartTag>
      <w:r>
        <w:t xml:space="preserve"> in Year 2, A does not reduce any properly allocable deductions attributable to Year 2.</w:t>
      </w:r>
      <w:r>
        <w:rPr>
          <w:rStyle w:val="FootnoteReference"/>
        </w:rPr>
        <w:footnoteReference w:id="742"/>
      </w:r>
    </w:p>
    <w:p w14:paraId="5D0B1E62" w14:textId="77777777" w:rsidR="00494B49" w:rsidRDefault="00494B49">
      <w:pPr>
        <w:pStyle w:val="BHead2"/>
      </w:pPr>
      <w:r>
        <w:t>4. Recovery of Reasonably Allocated Deductions</w:t>
      </w:r>
    </w:p>
    <w:p w14:paraId="0E9973CA" w14:textId="77777777" w:rsidR="00494B49" w:rsidRDefault="00494B49">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3"/>
      </w:r>
    </w:p>
    <w:p w14:paraId="2FFBCC39" w14:textId="77777777" w:rsidR="00494B49" w:rsidRDefault="00494B49">
      <w:pPr>
        <w:pStyle w:val="BCommentpara"/>
      </w:pPr>
      <w:r>
        <w:rPr>
          <w:rStyle w:val="BCommenthead"/>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4"/>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69D67741" w14:textId="77777777" w:rsidR="00494B49" w:rsidRDefault="00494B49">
      <w:pPr>
        <w:pStyle w:val="BHead1"/>
      </w:pPr>
      <w:r>
        <w:t>H. Net Operating Losses</w:t>
      </w:r>
    </w:p>
    <w:p w14:paraId="63A9DC91"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067F8C5B" w14:textId="77777777" w:rsidR="00494B49" w:rsidRDefault="00494B49">
      <w:pPr>
        <w:pStyle w:val="BCommentpara"/>
      </w:pPr>
      <w:r>
        <w:rPr>
          <w:rStyle w:val="BCommenthead"/>
        </w:rPr>
        <w:t xml:space="preserve">Comment: </w:t>
      </w:r>
      <w:r>
        <w:t xml:space="preserve">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5"/>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66384531" w14:textId="77777777" w:rsidR="00494B49" w:rsidRDefault="00494B49">
      <w:pPr>
        <w:pStyle w:val="BNormal"/>
      </w:pPr>
      <w:r>
        <w:lastRenderedPageBreak/>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6"/>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7"/>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17C3433E" w14:textId="77777777" w:rsidR="00494B49" w:rsidRDefault="00494B49">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that the taxpayer would have incurred if only items of gross income and properly allocable deductions used in calculating net investment income are taken into account, or (2) the amount of the taxpayer’s regular tax NOL for the loss year. Once the taxpayer has determined the applicable portion of an NOL for a given loss year, the taxpayer then determines the Section 1411 NOL amount that is carried to and deducted in the current year (note that the “Section 1411 NOL” is different from the “Total Section 1411 NOL”).</w:t>
      </w:r>
    </w:p>
    <w:p w14:paraId="38F75E37" w14:textId="77777777" w:rsidR="00494B49" w:rsidRDefault="00494B49">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04E642C5" w14:textId="77777777" w:rsidR="00494B49" w:rsidRDefault="00494B49">
      <w:pPr>
        <w:pStyle w:val="BNormal"/>
      </w:pPr>
      <w:r>
        <w:rPr>
          <w:i/>
        </w:rPr>
        <w:lastRenderedPageBreak/>
        <w:t>Key Point 1</w:t>
      </w:r>
      <w:r>
        <w:t>: As written in the 2013 Final Regulations and explained in greater detail below, in order to include a portion of an NOL as a properly allocable deduction (and thus reduce net investment income), the taxpayer must:</w:t>
      </w:r>
    </w:p>
    <w:p w14:paraId="109C2A6E" w14:textId="77777777" w:rsidR="00494B49" w:rsidRDefault="00494B49">
      <w:pPr>
        <w:pStyle w:val="BListitembul"/>
      </w:pPr>
      <w:r>
        <w:t>generate a “Section 1411 NOL” in a tax year beginning after December 31, 2012; and</w:t>
      </w:r>
      <w:r>
        <w:rPr>
          <w:rStyle w:val="FootnoteReference"/>
        </w:rPr>
        <w:footnoteReference w:id="748"/>
      </w:r>
    </w:p>
    <w:p w14:paraId="52146D8A" w14:textId="77777777" w:rsidR="00494B49" w:rsidRDefault="00494B49">
      <w:pPr>
        <w:pStyle w:val="BListitembul"/>
      </w:pPr>
      <w:r>
        <w:t>deduct the corresponding regular tax NOL (by reference to which the Section 1411 NOL is measured) in a tax year beginning after December 31, 2012.</w:t>
      </w:r>
    </w:p>
    <w:p w14:paraId="74BB2E15" w14:textId="77777777" w:rsidR="00494B49" w:rsidRDefault="00494B49">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4BE3CB7F" w14:textId="77777777" w:rsidR="00494B49" w:rsidRDefault="00494B49">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7D02A851" w14:textId="77777777" w:rsidR="00494B49" w:rsidRDefault="00494B49">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49"/>
      </w:r>
    </w:p>
    <w:p w14:paraId="6A001BD1" w14:textId="77777777" w:rsidR="00494B49" w:rsidRDefault="00494B49">
      <w:pPr>
        <w:pStyle w:val="BHead2"/>
      </w:pPr>
      <w:r>
        <w:t>1. Step One — Calculation of Applicable Portion of NOL for Each Loss Year</w:t>
      </w:r>
    </w:p>
    <w:p w14:paraId="21380C73"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7E42645A" w14:textId="77777777" w:rsidR="00494B49" w:rsidRDefault="00494B49">
      <w:pPr>
        <w:pStyle w:val="BNormal"/>
      </w:pPr>
      <w:r>
        <w:t>In any tax year beginning in 2013 or later in which a taxpayer incurs a net operating loss for regular tax purposes, the applicable portion of the loss for that particular loss year is equal to the lesser of: (</w:t>
      </w:r>
      <w:proofErr w:type="spellStart"/>
      <w:r>
        <w:t>i</w:t>
      </w:r>
      <w:proofErr w:type="spellEnd"/>
      <w:r>
        <w:t xml:space="preserve">) the amount of the regular tax NOL for the loss year that the taxpayer would incur if only items of gross income that are used to determine net investment income and only properly 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50"/>
      </w:r>
    </w:p>
    <w:p w14:paraId="5410C2F6" w14:textId="77777777" w:rsidR="00494B49" w:rsidRDefault="00494B49">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1"/>
      </w:r>
    </w:p>
    <w:p w14:paraId="2214315C" w14:textId="77777777" w:rsidR="00494B49" w:rsidRDefault="00494B49">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w:t>
      </w:r>
      <w:r>
        <w:lastRenderedPageBreak/>
        <w:t xml:space="preserve">items are a net positive number (gross investment income is greater than properly allocable deductions), the amount calculated under Reg. </w:t>
      </w:r>
      <w:smartTag w:uri="http://www.bna.com/sgml2word/cite" w:element="cite.cfr">
        <w:smartTagPr>
          <w:attr w:name="ref" w:val="cfr\26\1.1411-4(h)(2)(i)"/>
        </w:smartTagPr>
        <w:r>
          <w:t>§1.1411-4(h)(2)(</w:t>
        </w:r>
        <w:proofErr w:type="spellStart"/>
        <w:r>
          <w:t>i</w:t>
        </w:r>
        <w:proofErr w:type="spellEnd"/>
        <w:r>
          <w:t>)</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7BB64FAA" w14:textId="77777777" w:rsidR="00494B49" w:rsidRDefault="00494B49">
      <w:pPr>
        <w:pStyle w:val="BNormal"/>
      </w:pPr>
      <w:r>
        <w:t xml:space="preserve">Reg. </w:t>
      </w:r>
      <w:smartTag w:uri="http://www.bna.com/sgml2word/cite" w:element="cite.cfr">
        <w:smartTagPr>
          <w:attr w:name="ref" w:val="cfr\26\1.1411-4(h)(2)(i)"/>
        </w:smartTagPr>
        <w:r>
          <w:t>§1.1411-4(h)(2)(</w:t>
        </w:r>
        <w:proofErr w:type="spellStart"/>
        <w:r>
          <w:t>i</w:t>
        </w:r>
        <w:proofErr w:type="spellEnd"/>
        <w:r>
          <w:t>)</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w:t>
        </w:r>
        <w:proofErr w:type="spellStart"/>
        <w:r>
          <w:t>i</w:t>
        </w:r>
        <w:proofErr w:type="spellEnd"/>
        <w:r>
          <w:t>)</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1C1B2445" w14:textId="77777777" w:rsidR="00494B49" w:rsidRDefault="00494B49">
      <w:pPr>
        <w:pStyle w:val="BNormal"/>
      </w:pPr>
      <w:r>
        <w:t xml:space="preserve">In addition, the amount of NOL calculated under Reg. </w:t>
      </w:r>
      <w:smartTag w:uri="http://www.bna.com/sgml2word/cite" w:element="cite.cfr">
        <w:smartTagPr>
          <w:attr w:name="ref" w:val="cfr\26\1.1411-4(h)(2)(i)"/>
        </w:smartTagPr>
        <w:r>
          <w:t>§1.1411-4(h)(2)(</w:t>
        </w:r>
        <w:proofErr w:type="spellStart"/>
        <w:r>
          <w:t>i</w:t>
        </w:r>
        <w:proofErr w:type="spellEnd"/>
        <w:r>
          <w:t>)</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84B3A1D" w14:textId="77777777" w:rsidR="00494B49" w:rsidRDefault="00494B49">
      <w:pPr>
        <w:pStyle w:val="BHead2"/>
      </w:pPr>
      <w:r>
        <w:t xml:space="preserve">2. Step Two — Calculation of Total §1411 NOL </w:t>
      </w:r>
    </w:p>
    <w:p w14:paraId="59015C93" w14:textId="77777777" w:rsidR="00494B49" w:rsidRDefault="00494B49">
      <w:pPr>
        <w:pStyle w:val="BHead3"/>
      </w:pPr>
      <w:r>
        <w:t>a. The §1411 NOL for Each Loss Year</w:t>
      </w:r>
    </w:p>
    <w:p w14:paraId="24495EC7" w14:textId="77777777" w:rsidR="00494B49" w:rsidRDefault="00494B49">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DC5B6EF" w14:textId="77777777" w:rsidR="00494B49" w:rsidRDefault="00494B49">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1507C2F9" w14:textId="77777777" w:rsidR="00494B49" w:rsidRDefault="00494B49">
      <w:pPr>
        <w:pStyle w:val="BNormal"/>
      </w:pPr>
      <w:r>
        <w:t>Total amount of the regular tax NOL for the same loss year.</w:t>
      </w:r>
    </w:p>
    <w:p w14:paraId="65CF7D42" w14:textId="77777777" w:rsidR="00494B49" w:rsidRDefault="00494B49">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64052CA8" w14:textId="77777777" w:rsidR="00494B49" w:rsidRDefault="00494B49">
      <w:pPr>
        <w:pStyle w:val="BHead3"/>
      </w:pPr>
      <w:r>
        <w:t xml:space="preserve">b. The Total §1411 NOL </w:t>
      </w:r>
    </w:p>
    <w:p w14:paraId="358F2783" w14:textId="77777777" w:rsidR="00494B49" w:rsidRDefault="00494B49">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FEB9771" w14:textId="77777777" w:rsidR="00494B49" w:rsidRDefault="00494B49">
      <w:pPr>
        <w:pStyle w:val="BNormal"/>
      </w:pPr>
      <w:r>
        <w:lastRenderedPageBreak/>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2"/>
      </w:r>
    </w:p>
    <w:p w14:paraId="1C1DB580" w14:textId="77777777" w:rsidR="00494B49" w:rsidRDefault="00494B49">
      <w:pPr>
        <w:pStyle w:val="BHead3"/>
      </w:pPr>
      <w:r>
        <w:t>c. Example</w:t>
      </w:r>
    </w:p>
    <w:p w14:paraId="3AC8B51C" w14:textId="77777777" w:rsidR="00494B49" w:rsidRDefault="00494B49">
      <w:pPr>
        <w:pStyle w:val="BNormal"/>
      </w:pPr>
      <w:r>
        <w:t xml:space="preserve">The following example, an excerpt from the </w:t>
      </w:r>
      <w:hyperlink r:id="rId16" w:history="1">
        <w:r>
          <w:rPr>
            <w:rStyle w:val="Hyperlink"/>
          </w:rPr>
          <w:t>Instructions for Form 8960</w:t>
        </w:r>
      </w:hyperlink>
      <w:r>
        <w:t xml:space="preserve"> illustrates the calculation and use of a </w:t>
      </w:r>
      <w:smartTag w:uri="http://www.bna.com/sgml2word/cite" w:element="cite.usc">
        <w:smartTagPr>
          <w:attr w:name="ref" w:val="USC\26\1411"/>
        </w:smartTagPr>
        <w:r>
          <w:t>Section 1411</w:t>
        </w:r>
      </w:smartTag>
      <w:r>
        <w:t xml:space="preserve"> NOL for NIIT purposes.</w:t>
      </w:r>
    </w:p>
    <w:p w14:paraId="40D8C332" w14:textId="77777777" w:rsidR="00494B49" w:rsidRDefault="00494B49" w:rsidP="007865AF">
      <w:pPr>
        <w:pStyle w:val="BExamplepara"/>
      </w:pPr>
      <w:r>
        <w:t>Assume an unmarried individual incurs the following NOLs:</w:t>
      </w:r>
    </w:p>
    <w:p w14:paraId="56C52EB4"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349"/>
        <w:gridCol w:w="2333"/>
        <w:gridCol w:w="2322"/>
        <w:gridCol w:w="2346"/>
      </w:tblGrid>
      <w:tr w:rsidR="00494B49" w14:paraId="0FAAAE44" w14:textId="77777777">
        <w:tc>
          <w:tcPr>
            <w:tcW w:w="2520" w:type="dxa"/>
          </w:tcPr>
          <w:p w14:paraId="659D8B8D" w14:textId="77777777" w:rsidR="00494B49" w:rsidRDefault="00494B49">
            <w:r>
              <w:t>NOL Origination Year</w:t>
            </w:r>
          </w:p>
        </w:tc>
        <w:tc>
          <w:tcPr>
            <w:tcW w:w="2520" w:type="dxa"/>
          </w:tcPr>
          <w:p w14:paraId="67FF8A18" w14:textId="77777777" w:rsidR="00494B49" w:rsidRDefault="00494B49">
            <w:r>
              <w:t>(A)</w:t>
            </w:r>
          </w:p>
          <w:p w14:paraId="5161ADCF" w14:textId="77777777" w:rsidR="00494B49" w:rsidRDefault="00494B49">
            <w:r>
              <w:t>Regular Tax NOL</w:t>
            </w:r>
          </w:p>
        </w:tc>
        <w:tc>
          <w:tcPr>
            <w:tcW w:w="2520" w:type="dxa"/>
          </w:tcPr>
          <w:p w14:paraId="2B55B80A" w14:textId="77777777" w:rsidR="00494B49" w:rsidRDefault="00494B49">
            <w:r>
              <w:t>(B)</w:t>
            </w:r>
          </w:p>
          <w:p w14:paraId="1282294F" w14:textId="77777777" w:rsidR="00494B49" w:rsidRDefault="00494B49">
            <w:smartTag w:uri="http://www.bna.com/sgml2word/cite" w:element="cite.usc">
              <w:smartTagPr>
                <w:attr w:name="ref" w:val="USC\26\1411"/>
              </w:smartTagPr>
              <w:r>
                <w:t>Section 1411</w:t>
              </w:r>
            </w:smartTag>
            <w:r>
              <w:t xml:space="preserve"> NOL</w:t>
            </w:r>
          </w:p>
        </w:tc>
        <w:tc>
          <w:tcPr>
            <w:tcW w:w="2520" w:type="dxa"/>
          </w:tcPr>
          <w:p w14:paraId="26776EBA" w14:textId="77777777" w:rsidR="00494B49" w:rsidRDefault="00494B49">
            <w:r>
              <w:t>(C)</w:t>
            </w:r>
          </w:p>
          <w:p w14:paraId="4EDFA3CB" w14:textId="77777777" w:rsidR="00494B49" w:rsidRDefault="00494B49">
            <w:r>
              <w:t>Applicable Portion of NOL</w:t>
            </w:r>
          </w:p>
          <w:p w14:paraId="749B94DC" w14:textId="77777777" w:rsidR="00494B49" w:rsidRDefault="00494B49">
            <w:r>
              <w:t>[Column B divided by Column A]</w:t>
            </w:r>
          </w:p>
        </w:tc>
      </w:tr>
      <w:tr w:rsidR="00494B49" w14:paraId="79B1D38B" w14:textId="77777777">
        <w:tc>
          <w:tcPr>
            <w:tcW w:w="2520" w:type="dxa"/>
          </w:tcPr>
          <w:p w14:paraId="21EC2160" w14:textId="77777777" w:rsidR="00494B49" w:rsidRDefault="00494B49">
            <w:r>
              <w:t>2015 Calendar Year</w:t>
            </w:r>
          </w:p>
        </w:tc>
        <w:tc>
          <w:tcPr>
            <w:tcW w:w="2520" w:type="dxa"/>
          </w:tcPr>
          <w:p w14:paraId="7AC91BF7" w14:textId="77777777" w:rsidR="00494B49" w:rsidRDefault="00494B49">
            <w:r>
              <w:t>$150,000</w:t>
            </w:r>
          </w:p>
        </w:tc>
        <w:tc>
          <w:tcPr>
            <w:tcW w:w="2520" w:type="dxa"/>
          </w:tcPr>
          <w:p w14:paraId="1042C67F" w14:textId="77777777" w:rsidR="00494B49" w:rsidRDefault="00494B49">
            <w:r>
              <w:t>None</w:t>
            </w:r>
          </w:p>
        </w:tc>
        <w:tc>
          <w:tcPr>
            <w:tcW w:w="2520" w:type="dxa"/>
          </w:tcPr>
          <w:p w14:paraId="6CC5C209" w14:textId="77777777" w:rsidR="00494B49" w:rsidRDefault="00494B49">
            <w:r>
              <w:t>0.00%</w:t>
            </w:r>
          </w:p>
        </w:tc>
      </w:tr>
      <w:tr w:rsidR="00494B49" w14:paraId="5F3A2B22" w14:textId="77777777">
        <w:tc>
          <w:tcPr>
            <w:tcW w:w="2520" w:type="dxa"/>
          </w:tcPr>
          <w:p w14:paraId="360D7A80" w14:textId="77777777" w:rsidR="00494B49" w:rsidRDefault="00494B49">
            <w:r>
              <w:t>2016 Calendar Year</w:t>
            </w:r>
          </w:p>
        </w:tc>
        <w:tc>
          <w:tcPr>
            <w:tcW w:w="2520" w:type="dxa"/>
          </w:tcPr>
          <w:p w14:paraId="3E2155D8" w14:textId="77777777" w:rsidR="00494B49" w:rsidRDefault="00494B49">
            <w:r>
              <w:t>$100,000</w:t>
            </w:r>
          </w:p>
        </w:tc>
        <w:tc>
          <w:tcPr>
            <w:tcW w:w="2520" w:type="dxa"/>
          </w:tcPr>
          <w:p w14:paraId="1FE7150A" w14:textId="77777777" w:rsidR="00494B49" w:rsidRDefault="00494B49">
            <w:r>
              <w:t>$30,000</w:t>
            </w:r>
          </w:p>
        </w:tc>
        <w:tc>
          <w:tcPr>
            <w:tcW w:w="2520" w:type="dxa"/>
          </w:tcPr>
          <w:p w14:paraId="7F1EE4BD" w14:textId="77777777" w:rsidR="00494B49" w:rsidRDefault="00494B49">
            <w:r>
              <w:t>30.0%</w:t>
            </w:r>
          </w:p>
        </w:tc>
      </w:tr>
      <w:tr w:rsidR="00494B49" w14:paraId="60B72145" w14:textId="77777777">
        <w:tc>
          <w:tcPr>
            <w:tcW w:w="2520" w:type="dxa"/>
          </w:tcPr>
          <w:p w14:paraId="55959696" w14:textId="77777777" w:rsidR="00494B49" w:rsidRDefault="00494B49">
            <w:r>
              <w:t>2017 Calendar Year</w:t>
            </w:r>
          </w:p>
        </w:tc>
        <w:tc>
          <w:tcPr>
            <w:tcW w:w="2520" w:type="dxa"/>
          </w:tcPr>
          <w:p w14:paraId="66BECD29" w14:textId="77777777" w:rsidR="00494B49" w:rsidRDefault="00494B49">
            <w:r>
              <w:t>$40,000</w:t>
            </w:r>
          </w:p>
        </w:tc>
        <w:tc>
          <w:tcPr>
            <w:tcW w:w="2520" w:type="dxa"/>
          </w:tcPr>
          <w:p w14:paraId="40D18179" w14:textId="77777777" w:rsidR="00494B49" w:rsidRDefault="00494B49">
            <w:r>
              <w:t>$40,000</w:t>
            </w:r>
          </w:p>
        </w:tc>
        <w:tc>
          <w:tcPr>
            <w:tcW w:w="2520" w:type="dxa"/>
          </w:tcPr>
          <w:p w14:paraId="4060E828" w14:textId="77777777" w:rsidR="00494B49" w:rsidRDefault="00494B49">
            <w:r>
              <w:t>100%</w:t>
            </w:r>
          </w:p>
        </w:tc>
      </w:tr>
      <w:tr w:rsidR="00494B49" w14:paraId="554E3DB9" w14:textId="77777777">
        <w:tc>
          <w:tcPr>
            <w:tcW w:w="2520" w:type="dxa"/>
          </w:tcPr>
          <w:p w14:paraId="6C842CA1" w14:textId="77777777" w:rsidR="00494B49" w:rsidRDefault="00494B49">
            <w:r>
              <w:t>2018 Calendar Year</w:t>
            </w:r>
          </w:p>
        </w:tc>
        <w:tc>
          <w:tcPr>
            <w:tcW w:w="2520" w:type="dxa"/>
          </w:tcPr>
          <w:p w14:paraId="25B11127" w14:textId="77777777" w:rsidR="00494B49" w:rsidRDefault="00494B49">
            <w:r>
              <w:t>$120,000</w:t>
            </w:r>
          </w:p>
        </w:tc>
        <w:tc>
          <w:tcPr>
            <w:tcW w:w="2520" w:type="dxa"/>
          </w:tcPr>
          <w:p w14:paraId="14EBD7F7" w14:textId="77777777" w:rsidR="00494B49" w:rsidRDefault="00494B49">
            <w:r>
              <w:t>$60,000</w:t>
            </w:r>
          </w:p>
        </w:tc>
        <w:tc>
          <w:tcPr>
            <w:tcW w:w="2520" w:type="dxa"/>
          </w:tcPr>
          <w:p w14:paraId="36C8ED8E" w14:textId="77777777" w:rsidR="00494B49" w:rsidRDefault="00494B49">
            <w:r>
              <w:t>50.0%</w:t>
            </w:r>
          </w:p>
        </w:tc>
      </w:tr>
    </w:tbl>
    <w:p w14:paraId="35A2B395" w14:textId="77777777" w:rsidR="00494B49" w:rsidRDefault="00494B49">
      <w:pPr>
        <w:pStyle w:val="BNormal"/>
      </w:pPr>
    </w:p>
    <w:p w14:paraId="3DD018A5" w14:textId="77777777" w:rsidR="00494B49" w:rsidRDefault="00494B49" w:rsidP="007865AF">
      <w:pPr>
        <w:pStyle w:val="BExamplepara"/>
      </w:pPr>
      <w:r>
        <w:t>Beginning in 2019, the unmarried individual begins to use the NOLs to offset his income:</w:t>
      </w:r>
    </w:p>
    <w:p w14:paraId="734E50A6" w14:textId="77777777" w:rsidR="00494B49" w:rsidRPr="007865AF" w:rsidRDefault="00494B49" w:rsidP="007865AF">
      <w:pPr>
        <w:pStyle w:val="BNormal"/>
        <w:rPr>
          <w:lang w:bidi="en-US"/>
        </w:rPr>
      </w:pPr>
    </w:p>
    <w:tbl>
      <w:tblPr>
        <w:tblStyle w:val="TableGrid"/>
        <w:tblW w:w="9355" w:type="dxa"/>
        <w:tblLook w:val="04A0" w:firstRow="1" w:lastRow="0" w:firstColumn="1" w:lastColumn="0" w:noHBand="0" w:noVBand="1"/>
      </w:tblPr>
      <w:tblGrid>
        <w:gridCol w:w="2585"/>
        <w:gridCol w:w="2580"/>
        <w:gridCol w:w="1414"/>
        <w:gridCol w:w="6"/>
        <w:gridCol w:w="1410"/>
        <w:gridCol w:w="1360"/>
      </w:tblGrid>
      <w:tr w:rsidR="00494B49" w14:paraId="11DB7022" w14:textId="77777777" w:rsidTr="002637DE">
        <w:tc>
          <w:tcPr>
            <w:tcW w:w="2585" w:type="dxa"/>
          </w:tcPr>
          <w:p w14:paraId="1E78E0ED" w14:textId="77777777" w:rsidR="00494B49" w:rsidRDefault="00494B49">
            <w:r>
              <w:t>Taxable Year</w:t>
            </w:r>
          </w:p>
        </w:tc>
        <w:tc>
          <w:tcPr>
            <w:tcW w:w="2580" w:type="dxa"/>
          </w:tcPr>
          <w:p w14:paraId="1E5997E0" w14:textId="77777777" w:rsidR="00494B49" w:rsidRDefault="00494B49">
            <w:r>
              <w:t>NOL Origination Yr</w:t>
            </w:r>
          </w:p>
        </w:tc>
        <w:tc>
          <w:tcPr>
            <w:tcW w:w="1414" w:type="dxa"/>
          </w:tcPr>
          <w:p w14:paraId="6E24338E" w14:textId="77777777" w:rsidR="00494B49" w:rsidRDefault="00494B49">
            <w:r>
              <w:t>Regular Income</w:t>
            </w:r>
          </w:p>
        </w:tc>
        <w:tc>
          <w:tcPr>
            <w:tcW w:w="1416" w:type="dxa"/>
            <w:gridSpan w:val="2"/>
          </w:tcPr>
          <w:p w14:paraId="7DDABDDA" w14:textId="77777777" w:rsidR="00494B49" w:rsidRDefault="00494B49">
            <w:r>
              <w:t>Applicable Portion</w:t>
            </w:r>
          </w:p>
        </w:tc>
        <w:tc>
          <w:tcPr>
            <w:tcW w:w="1360" w:type="dxa"/>
          </w:tcPr>
          <w:p w14:paraId="4BB24A5B" w14:textId="77777777" w:rsidR="00494B49" w:rsidRDefault="00494B49">
            <w:smartTag w:uri="http://www.bna.com/sgml2word/cite" w:element="cite.usc">
              <w:smartTagPr>
                <w:attr w:name="ref" w:val="USC\26\1411"/>
              </w:smartTagPr>
              <w:r>
                <w:t>Section 1411</w:t>
              </w:r>
            </w:smartTag>
            <w:r>
              <w:t xml:space="preserve"> NOL</w:t>
            </w:r>
          </w:p>
        </w:tc>
      </w:tr>
      <w:tr w:rsidR="00494B49" w14:paraId="517CD03B" w14:textId="77777777" w:rsidTr="002637DE">
        <w:tc>
          <w:tcPr>
            <w:tcW w:w="2585" w:type="dxa"/>
          </w:tcPr>
          <w:p w14:paraId="2A69917C" w14:textId="77777777" w:rsidR="00494B49" w:rsidRDefault="00494B49">
            <w:r>
              <w:t>2019 Taxable Yr</w:t>
            </w:r>
          </w:p>
        </w:tc>
        <w:tc>
          <w:tcPr>
            <w:tcW w:w="2580" w:type="dxa"/>
          </w:tcPr>
          <w:p w14:paraId="2EFF0050" w14:textId="77777777" w:rsidR="00494B49" w:rsidRDefault="00494B49"/>
        </w:tc>
        <w:tc>
          <w:tcPr>
            <w:tcW w:w="1414" w:type="dxa"/>
          </w:tcPr>
          <w:p w14:paraId="07BBD4BB" w14:textId="77777777" w:rsidR="00494B49" w:rsidRDefault="00494B49">
            <w:r>
              <w:t>$300,000</w:t>
            </w:r>
          </w:p>
        </w:tc>
        <w:tc>
          <w:tcPr>
            <w:tcW w:w="1416" w:type="dxa"/>
            <w:gridSpan w:val="2"/>
          </w:tcPr>
          <w:p w14:paraId="4BDCD157" w14:textId="77777777" w:rsidR="00494B49" w:rsidRDefault="00494B49"/>
        </w:tc>
        <w:tc>
          <w:tcPr>
            <w:tcW w:w="1360" w:type="dxa"/>
          </w:tcPr>
          <w:p w14:paraId="7157D46A" w14:textId="77777777" w:rsidR="00494B49" w:rsidRDefault="00494B49"/>
        </w:tc>
      </w:tr>
      <w:tr w:rsidR="00494B49" w14:paraId="7B62EE7A" w14:textId="77777777" w:rsidTr="002637DE">
        <w:tc>
          <w:tcPr>
            <w:tcW w:w="2585" w:type="dxa"/>
          </w:tcPr>
          <w:p w14:paraId="3C4D4CAA" w14:textId="77777777" w:rsidR="00494B49" w:rsidRDefault="00494B49"/>
        </w:tc>
        <w:tc>
          <w:tcPr>
            <w:tcW w:w="2580" w:type="dxa"/>
          </w:tcPr>
          <w:p w14:paraId="7C82D871" w14:textId="77777777" w:rsidR="00494B49" w:rsidRDefault="00494B49">
            <w:r>
              <w:t>2015 NOL</w:t>
            </w:r>
          </w:p>
        </w:tc>
        <w:tc>
          <w:tcPr>
            <w:tcW w:w="1414" w:type="dxa"/>
          </w:tcPr>
          <w:p w14:paraId="42B65A37" w14:textId="77777777" w:rsidR="00494B49" w:rsidRDefault="00494B49">
            <w:r>
              <w:t>($150,000)</w:t>
            </w:r>
          </w:p>
        </w:tc>
        <w:tc>
          <w:tcPr>
            <w:tcW w:w="1416" w:type="dxa"/>
            <w:gridSpan w:val="2"/>
          </w:tcPr>
          <w:p w14:paraId="68AFD0DC" w14:textId="77777777" w:rsidR="00494B49" w:rsidRDefault="00494B49">
            <w:r>
              <w:t>0.00%</w:t>
            </w:r>
          </w:p>
        </w:tc>
        <w:tc>
          <w:tcPr>
            <w:tcW w:w="1360" w:type="dxa"/>
          </w:tcPr>
          <w:p w14:paraId="3BEC82CE" w14:textId="77777777" w:rsidR="00494B49" w:rsidRDefault="00494B49">
            <w:r>
              <w:t>None</w:t>
            </w:r>
          </w:p>
        </w:tc>
      </w:tr>
      <w:tr w:rsidR="00494B49" w14:paraId="2E44D12D" w14:textId="77777777" w:rsidTr="002637DE">
        <w:tc>
          <w:tcPr>
            <w:tcW w:w="2585" w:type="dxa"/>
          </w:tcPr>
          <w:p w14:paraId="1D63AFC4" w14:textId="77777777" w:rsidR="00494B49" w:rsidRDefault="00494B49"/>
        </w:tc>
        <w:tc>
          <w:tcPr>
            <w:tcW w:w="2580" w:type="dxa"/>
          </w:tcPr>
          <w:p w14:paraId="145AA5FB" w14:textId="77777777" w:rsidR="00494B49" w:rsidRDefault="00494B49">
            <w:r>
              <w:t>2016 NOL</w:t>
            </w:r>
          </w:p>
        </w:tc>
        <w:tc>
          <w:tcPr>
            <w:tcW w:w="1414" w:type="dxa"/>
          </w:tcPr>
          <w:p w14:paraId="749E555D" w14:textId="77777777" w:rsidR="00494B49" w:rsidRDefault="00494B49">
            <w:r>
              <w:t>($100,000)</w:t>
            </w:r>
          </w:p>
        </w:tc>
        <w:tc>
          <w:tcPr>
            <w:tcW w:w="1416" w:type="dxa"/>
            <w:gridSpan w:val="2"/>
          </w:tcPr>
          <w:p w14:paraId="793DC00D" w14:textId="77777777" w:rsidR="00494B49" w:rsidRDefault="00494B49">
            <w:r>
              <w:t>30.0%</w:t>
            </w:r>
          </w:p>
        </w:tc>
        <w:tc>
          <w:tcPr>
            <w:tcW w:w="1360" w:type="dxa"/>
          </w:tcPr>
          <w:p w14:paraId="50FDA8E2" w14:textId="77777777" w:rsidR="00494B49" w:rsidRDefault="00494B49">
            <w:r>
              <w:t>($30,000)</w:t>
            </w:r>
          </w:p>
        </w:tc>
      </w:tr>
      <w:tr w:rsidR="00494B49" w14:paraId="65573A4E" w14:textId="77777777" w:rsidTr="002637DE">
        <w:tc>
          <w:tcPr>
            <w:tcW w:w="2585" w:type="dxa"/>
          </w:tcPr>
          <w:p w14:paraId="2119747B" w14:textId="77777777" w:rsidR="00494B49" w:rsidRDefault="00494B49"/>
        </w:tc>
        <w:tc>
          <w:tcPr>
            <w:tcW w:w="2580" w:type="dxa"/>
          </w:tcPr>
          <w:p w14:paraId="689650F2" w14:textId="77777777" w:rsidR="00494B49" w:rsidRDefault="00494B49">
            <w:r>
              <w:t>2017 NOL</w:t>
            </w:r>
          </w:p>
        </w:tc>
        <w:tc>
          <w:tcPr>
            <w:tcW w:w="1414" w:type="dxa"/>
          </w:tcPr>
          <w:p w14:paraId="69AC51F1" w14:textId="77777777" w:rsidR="00494B49" w:rsidRDefault="00494B49">
            <w:r>
              <w:t>($40,000)</w:t>
            </w:r>
          </w:p>
        </w:tc>
        <w:tc>
          <w:tcPr>
            <w:tcW w:w="1416" w:type="dxa"/>
            <w:gridSpan w:val="2"/>
          </w:tcPr>
          <w:p w14:paraId="12D07853" w14:textId="77777777" w:rsidR="00494B49" w:rsidRDefault="00494B49">
            <w:r>
              <w:t>100.0%</w:t>
            </w:r>
          </w:p>
        </w:tc>
        <w:tc>
          <w:tcPr>
            <w:tcW w:w="1360" w:type="dxa"/>
          </w:tcPr>
          <w:p w14:paraId="62A4BF99" w14:textId="77777777" w:rsidR="00494B49" w:rsidRDefault="00494B49">
            <w:r>
              <w:t>(40,000)</w:t>
            </w:r>
          </w:p>
        </w:tc>
      </w:tr>
      <w:tr w:rsidR="00494B49" w14:paraId="6B190D89" w14:textId="77777777" w:rsidTr="002637DE">
        <w:tc>
          <w:tcPr>
            <w:tcW w:w="2585" w:type="dxa"/>
          </w:tcPr>
          <w:p w14:paraId="5E64A77D" w14:textId="77777777" w:rsidR="00494B49" w:rsidRDefault="00494B49"/>
        </w:tc>
        <w:tc>
          <w:tcPr>
            <w:tcW w:w="2580" w:type="dxa"/>
          </w:tcPr>
          <w:p w14:paraId="567A487E" w14:textId="77777777" w:rsidR="00494B49" w:rsidRDefault="00494B49">
            <w:r>
              <w:t>2018 NOL</w:t>
            </w:r>
          </w:p>
        </w:tc>
        <w:tc>
          <w:tcPr>
            <w:tcW w:w="1414" w:type="dxa"/>
          </w:tcPr>
          <w:p w14:paraId="2C3BDAB3" w14:textId="77777777" w:rsidR="00494B49" w:rsidRDefault="00494B49">
            <w:r>
              <w:t>($10,000)</w:t>
            </w:r>
          </w:p>
        </w:tc>
        <w:tc>
          <w:tcPr>
            <w:tcW w:w="1416" w:type="dxa"/>
            <w:gridSpan w:val="2"/>
          </w:tcPr>
          <w:p w14:paraId="0F41BF1A" w14:textId="77777777" w:rsidR="00494B49" w:rsidRDefault="00494B49">
            <w:r>
              <w:t>50.0%</w:t>
            </w:r>
          </w:p>
        </w:tc>
        <w:tc>
          <w:tcPr>
            <w:tcW w:w="1360" w:type="dxa"/>
          </w:tcPr>
          <w:p w14:paraId="684CF327" w14:textId="77777777" w:rsidR="00494B49" w:rsidRDefault="00494B49">
            <w:r>
              <w:t>($5,000)</w:t>
            </w:r>
          </w:p>
        </w:tc>
      </w:tr>
      <w:tr w:rsidR="00494B49" w14:paraId="1DD4A3C4" w14:textId="77777777" w:rsidTr="002637DE">
        <w:tc>
          <w:tcPr>
            <w:tcW w:w="2585" w:type="dxa"/>
          </w:tcPr>
          <w:p w14:paraId="3B292FF7" w14:textId="77777777" w:rsidR="00494B49" w:rsidRDefault="00494B49"/>
        </w:tc>
        <w:tc>
          <w:tcPr>
            <w:tcW w:w="2580" w:type="dxa"/>
          </w:tcPr>
          <w:p w14:paraId="3621DF7D" w14:textId="77777777" w:rsidR="00494B49" w:rsidRDefault="00494B49"/>
        </w:tc>
        <w:tc>
          <w:tcPr>
            <w:tcW w:w="1414" w:type="dxa"/>
          </w:tcPr>
          <w:p w14:paraId="4C878032" w14:textId="77777777" w:rsidR="00494B49" w:rsidRDefault="00494B49"/>
        </w:tc>
        <w:tc>
          <w:tcPr>
            <w:tcW w:w="1416" w:type="dxa"/>
            <w:gridSpan w:val="2"/>
          </w:tcPr>
          <w:p w14:paraId="054DEA70" w14:textId="77777777" w:rsidR="00494B49" w:rsidRDefault="00494B49"/>
        </w:tc>
        <w:tc>
          <w:tcPr>
            <w:tcW w:w="1360" w:type="dxa"/>
          </w:tcPr>
          <w:p w14:paraId="19279039" w14:textId="77777777" w:rsidR="00494B49" w:rsidRDefault="00494B49"/>
        </w:tc>
      </w:tr>
      <w:tr w:rsidR="002637DE" w14:paraId="14FFF4EB" w14:textId="4A62055D" w:rsidTr="002637DE">
        <w:tc>
          <w:tcPr>
            <w:tcW w:w="2585" w:type="dxa"/>
          </w:tcPr>
          <w:p w14:paraId="019B4D81"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2580" w:type="dxa"/>
          </w:tcPr>
          <w:p w14:paraId="3DF9034A" w14:textId="77777777" w:rsidR="00494B49" w:rsidRDefault="00494B49">
            <w:r>
              <w:t xml:space="preserve"> </w:t>
            </w:r>
            <w:r>
              <w:rPr>
                <w:b/>
              </w:rPr>
              <w:t>($75,000)</w:t>
            </w:r>
          </w:p>
        </w:tc>
        <w:tc>
          <w:tcPr>
            <w:tcW w:w="1420" w:type="dxa"/>
            <w:gridSpan w:val="2"/>
            <w:shd w:val="clear" w:color="auto" w:fill="auto"/>
          </w:tcPr>
          <w:p w14:paraId="7D3073D9" w14:textId="77777777" w:rsidR="002637DE" w:rsidRDefault="002637DE"/>
        </w:tc>
        <w:tc>
          <w:tcPr>
            <w:tcW w:w="1410" w:type="dxa"/>
            <w:shd w:val="clear" w:color="auto" w:fill="auto"/>
          </w:tcPr>
          <w:p w14:paraId="5B8CFA0F" w14:textId="77777777" w:rsidR="002637DE" w:rsidRDefault="002637DE"/>
        </w:tc>
        <w:tc>
          <w:tcPr>
            <w:tcW w:w="1360" w:type="dxa"/>
            <w:shd w:val="clear" w:color="auto" w:fill="auto"/>
          </w:tcPr>
          <w:p w14:paraId="2D749A8D" w14:textId="77777777" w:rsidR="002637DE" w:rsidRDefault="002637DE"/>
        </w:tc>
      </w:tr>
      <w:tr w:rsidR="002637DE" w14:paraId="7AF39096" w14:textId="0436583A" w:rsidTr="002637DE">
        <w:tc>
          <w:tcPr>
            <w:tcW w:w="2585" w:type="dxa"/>
          </w:tcPr>
          <w:p w14:paraId="3A63A1CE" w14:textId="77777777" w:rsidR="00494B49" w:rsidRDefault="00494B49"/>
        </w:tc>
        <w:tc>
          <w:tcPr>
            <w:tcW w:w="2580" w:type="dxa"/>
          </w:tcPr>
          <w:p w14:paraId="1B432BC9" w14:textId="77777777" w:rsidR="00494B49" w:rsidRDefault="00494B49"/>
        </w:tc>
        <w:tc>
          <w:tcPr>
            <w:tcW w:w="1420" w:type="dxa"/>
            <w:gridSpan w:val="2"/>
            <w:shd w:val="clear" w:color="auto" w:fill="auto"/>
          </w:tcPr>
          <w:p w14:paraId="2BA3AA9C" w14:textId="77777777" w:rsidR="002637DE" w:rsidRDefault="002637DE"/>
        </w:tc>
        <w:tc>
          <w:tcPr>
            <w:tcW w:w="1410" w:type="dxa"/>
            <w:shd w:val="clear" w:color="auto" w:fill="auto"/>
          </w:tcPr>
          <w:p w14:paraId="441C13F4" w14:textId="77777777" w:rsidR="002637DE" w:rsidRDefault="002637DE"/>
        </w:tc>
        <w:tc>
          <w:tcPr>
            <w:tcW w:w="1360" w:type="dxa"/>
            <w:shd w:val="clear" w:color="auto" w:fill="auto"/>
          </w:tcPr>
          <w:p w14:paraId="33E361B8" w14:textId="77777777" w:rsidR="002637DE" w:rsidRDefault="002637DE"/>
        </w:tc>
      </w:tr>
      <w:tr w:rsidR="002637DE" w14:paraId="45FF8F2D" w14:textId="558A5B07" w:rsidTr="002637DE">
        <w:tc>
          <w:tcPr>
            <w:tcW w:w="2585" w:type="dxa"/>
          </w:tcPr>
          <w:p w14:paraId="6CFED123" w14:textId="77777777" w:rsidR="00494B49" w:rsidRDefault="00494B49">
            <w:r>
              <w:t>In 2019, the regular tax NOLs from 2015-2018 have caused the taxpayer’s adjusted gross income ($0) to fall below the statutory threshold. Therefore, the individual is not subject to the net investment income tax.</w:t>
            </w:r>
          </w:p>
        </w:tc>
        <w:tc>
          <w:tcPr>
            <w:tcW w:w="2580" w:type="dxa"/>
          </w:tcPr>
          <w:p w14:paraId="06AA154B" w14:textId="77777777" w:rsidR="00494B49" w:rsidRDefault="00494B49"/>
        </w:tc>
        <w:tc>
          <w:tcPr>
            <w:tcW w:w="1420" w:type="dxa"/>
            <w:gridSpan w:val="2"/>
            <w:shd w:val="clear" w:color="auto" w:fill="auto"/>
          </w:tcPr>
          <w:p w14:paraId="701A1D40" w14:textId="77777777" w:rsidR="002637DE" w:rsidRDefault="002637DE"/>
        </w:tc>
        <w:tc>
          <w:tcPr>
            <w:tcW w:w="1410" w:type="dxa"/>
            <w:shd w:val="clear" w:color="auto" w:fill="auto"/>
          </w:tcPr>
          <w:p w14:paraId="38093D88" w14:textId="77777777" w:rsidR="002637DE" w:rsidRDefault="002637DE"/>
        </w:tc>
        <w:tc>
          <w:tcPr>
            <w:tcW w:w="1360" w:type="dxa"/>
            <w:shd w:val="clear" w:color="auto" w:fill="auto"/>
          </w:tcPr>
          <w:p w14:paraId="37D30677" w14:textId="77777777" w:rsidR="002637DE" w:rsidRDefault="002637DE"/>
        </w:tc>
      </w:tr>
      <w:tr w:rsidR="00494B49" w14:paraId="73D65E43" w14:textId="77777777" w:rsidTr="002637DE">
        <w:tc>
          <w:tcPr>
            <w:tcW w:w="2585" w:type="dxa"/>
          </w:tcPr>
          <w:p w14:paraId="78247C46" w14:textId="77777777" w:rsidR="00494B49" w:rsidRDefault="00494B49"/>
        </w:tc>
        <w:tc>
          <w:tcPr>
            <w:tcW w:w="2580" w:type="dxa"/>
          </w:tcPr>
          <w:p w14:paraId="2AC07BD9" w14:textId="77777777" w:rsidR="00494B49" w:rsidRDefault="00494B49"/>
        </w:tc>
        <w:tc>
          <w:tcPr>
            <w:tcW w:w="1414" w:type="dxa"/>
          </w:tcPr>
          <w:p w14:paraId="355BF565" w14:textId="77777777" w:rsidR="00494B49" w:rsidRDefault="00494B49"/>
        </w:tc>
        <w:tc>
          <w:tcPr>
            <w:tcW w:w="1416" w:type="dxa"/>
            <w:gridSpan w:val="2"/>
          </w:tcPr>
          <w:p w14:paraId="23E1FB0F" w14:textId="77777777" w:rsidR="00494B49" w:rsidRDefault="00494B49"/>
        </w:tc>
        <w:tc>
          <w:tcPr>
            <w:tcW w:w="1360" w:type="dxa"/>
          </w:tcPr>
          <w:p w14:paraId="2F694059" w14:textId="77777777" w:rsidR="00494B49" w:rsidRDefault="00494B49"/>
        </w:tc>
      </w:tr>
      <w:tr w:rsidR="00494B49" w14:paraId="6A762B81" w14:textId="77777777" w:rsidTr="002637DE">
        <w:tc>
          <w:tcPr>
            <w:tcW w:w="2585" w:type="dxa"/>
          </w:tcPr>
          <w:p w14:paraId="01EB1892" w14:textId="77777777" w:rsidR="00494B49" w:rsidRDefault="00494B49">
            <w:r>
              <w:t>2020 Taxable Yr</w:t>
            </w:r>
          </w:p>
        </w:tc>
        <w:tc>
          <w:tcPr>
            <w:tcW w:w="2580" w:type="dxa"/>
          </w:tcPr>
          <w:p w14:paraId="331A3FA1" w14:textId="77777777" w:rsidR="00494B49" w:rsidRDefault="00494B49"/>
        </w:tc>
        <w:tc>
          <w:tcPr>
            <w:tcW w:w="1414" w:type="dxa"/>
          </w:tcPr>
          <w:p w14:paraId="1107CBE0" w14:textId="77777777" w:rsidR="00494B49" w:rsidRDefault="00494B49">
            <w:r>
              <w:t>$600,000</w:t>
            </w:r>
          </w:p>
        </w:tc>
        <w:tc>
          <w:tcPr>
            <w:tcW w:w="1416" w:type="dxa"/>
            <w:gridSpan w:val="2"/>
          </w:tcPr>
          <w:p w14:paraId="73250652" w14:textId="77777777" w:rsidR="00494B49" w:rsidRDefault="00494B49"/>
        </w:tc>
        <w:tc>
          <w:tcPr>
            <w:tcW w:w="1360" w:type="dxa"/>
          </w:tcPr>
          <w:p w14:paraId="6E706F99" w14:textId="77777777" w:rsidR="00494B49" w:rsidRDefault="00494B49"/>
        </w:tc>
      </w:tr>
      <w:tr w:rsidR="00494B49" w14:paraId="37D0C2EA" w14:textId="77777777" w:rsidTr="002637DE">
        <w:tc>
          <w:tcPr>
            <w:tcW w:w="2585" w:type="dxa"/>
          </w:tcPr>
          <w:p w14:paraId="526FD57E" w14:textId="77777777" w:rsidR="00494B49" w:rsidRDefault="00494B49"/>
        </w:tc>
        <w:tc>
          <w:tcPr>
            <w:tcW w:w="2580" w:type="dxa"/>
          </w:tcPr>
          <w:p w14:paraId="275E369D" w14:textId="77777777" w:rsidR="00494B49" w:rsidRDefault="00494B49">
            <w:r>
              <w:t>2018 NOL</w:t>
            </w:r>
          </w:p>
        </w:tc>
        <w:tc>
          <w:tcPr>
            <w:tcW w:w="1414" w:type="dxa"/>
          </w:tcPr>
          <w:p w14:paraId="6461F7D4" w14:textId="77777777" w:rsidR="00494B49" w:rsidRDefault="00494B49">
            <w:r>
              <w:t>($110,000)</w:t>
            </w:r>
          </w:p>
        </w:tc>
        <w:tc>
          <w:tcPr>
            <w:tcW w:w="1416" w:type="dxa"/>
            <w:gridSpan w:val="2"/>
          </w:tcPr>
          <w:p w14:paraId="1D6D7535" w14:textId="77777777" w:rsidR="00494B49" w:rsidRDefault="00494B49">
            <w:r>
              <w:t>50.0%</w:t>
            </w:r>
          </w:p>
        </w:tc>
        <w:tc>
          <w:tcPr>
            <w:tcW w:w="1360" w:type="dxa"/>
          </w:tcPr>
          <w:p w14:paraId="0B362908" w14:textId="77777777" w:rsidR="00494B49" w:rsidRDefault="00494B49">
            <w:r>
              <w:t>($55,000)</w:t>
            </w:r>
          </w:p>
        </w:tc>
      </w:tr>
      <w:tr w:rsidR="00494B49" w14:paraId="3237B35D" w14:textId="77777777" w:rsidTr="002637DE">
        <w:tc>
          <w:tcPr>
            <w:tcW w:w="2585" w:type="dxa"/>
          </w:tcPr>
          <w:p w14:paraId="5ED26EE3" w14:textId="77777777" w:rsidR="00494B49" w:rsidRDefault="00494B49"/>
        </w:tc>
        <w:tc>
          <w:tcPr>
            <w:tcW w:w="2580" w:type="dxa"/>
          </w:tcPr>
          <w:p w14:paraId="49F4D92D" w14:textId="77777777" w:rsidR="00494B49" w:rsidRDefault="00494B49"/>
        </w:tc>
        <w:tc>
          <w:tcPr>
            <w:tcW w:w="1414" w:type="dxa"/>
          </w:tcPr>
          <w:p w14:paraId="513C5D9A" w14:textId="77777777" w:rsidR="00494B49" w:rsidRDefault="00494B49"/>
        </w:tc>
        <w:tc>
          <w:tcPr>
            <w:tcW w:w="1416" w:type="dxa"/>
            <w:gridSpan w:val="2"/>
          </w:tcPr>
          <w:p w14:paraId="13DFB703" w14:textId="77777777" w:rsidR="00494B49" w:rsidRDefault="00494B49"/>
        </w:tc>
        <w:tc>
          <w:tcPr>
            <w:tcW w:w="1360" w:type="dxa"/>
          </w:tcPr>
          <w:p w14:paraId="087CAE4F" w14:textId="77777777" w:rsidR="00494B49" w:rsidRDefault="00494B49"/>
        </w:tc>
      </w:tr>
      <w:tr w:rsidR="002637DE" w14:paraId="2C8491CF" w14:textId="019131BD" w:rsidTr="002637DE">
        <w:tc>
          <w:tcPr>
            <w:tcW w:w="2585" w:type="dxa"/>
          </w:tcPr>
          <w:p w14:paraId="1DE8C623"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2580" w:type="dxa"/>
          </w:tcPr>
          <w:p w14:paraId="0605EDE8" w14:textId="77777777" w:rsidR="00494B49" w:rsidRDefault="00494B49">
            <w:r>
              <w:t xml:space="preserve"> </w:t>
            </w:r>
            <w:r>
              <w:rPr>
                <w:b/>
              </w:rPr>
              <w:t>($55,000)</w:t>
            </w:r>
          </w:p>
        </w:tc>
        <w:tc>
          <w:tcPr>
            <w:tcW w:w="1420" w:type="dxa"/>
            <w:gridSpan w:val="2"/>
            <w:shd w:val="clear" w:color="auto" w:fill="auto"/>
          </w:tcPr>
          <w:p w14:paraId="1E74DFE5" w14:textId="77777777" w:rsidR="002637DE" w:rsidRDefault="002637DE"/>
        </w:tc>
        <w:tc>
          <w:tcPr>
            <w:tcW w:w="1410" w:type="dxa"/>
            <w:shd w:val="clear" w:color="auto" w:fill="auto"/>
          </w:tcPr>
          <w:p w14:paraId="08C8E1D7" w14:textId="77777777" w:rsidR="002637DE" w:rsidRDefault="002637DE"/>
        </w:tc>
        <w:tc>
          <w:tcPr>
            <w:tcW w:w="1360" w:type="dxa"/>
            <w:shd w:val="clear" w:color="auto" w:fill="auto"/>
          </w:tcPr>
          <w:p w14:paraId="3A2DCCB1" w14:textId="77777777" w:rsidR="002637DE" w:rsidRDefault="002637DE"/>
        </w:tc>
      </w:tr>
      <w:tr w:rsidR="00A23CA4" w14:paraId="5BEE024D" w14:textId="641744C2" w:rsidTr="00A23CA4">
        <w:tc>
          <w:tcPr>
            <w:tcW w:w="2585" w:type="dxa"/>
          </w:tcPr>
          <w:p w14:paraId="74DA7256" w14:textId="77777777" w:rsidR="00494B49" w:rsidRDefault="00494B49">
            <w:r>
              <w:lastRenderedPageBreak/>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2580" w:type="dxa"/>
          </w:tcPr>
          <w:p w14:paraId="7B6139A9" w14:textId="77777777" w:rsidR="00494B49" w:rsidRDefault="00494B49"/>
        </w:tc>
        <w:tc>
          <w:tcPr>
            <w:tcW w:w="1420" w:type="dxa"/>
            <w:gridSpan w:val="2"/>
            <w:shd w:val="clear" w:color="auto" w:fill="auto"/>
          </w:tcPr>
          <w:p w14:paraId="354C8D4A" w14:textId="77777777" w:rsidR="00A23CA4" w:rsidRDefault="00A23CA4"/>
        </w:tc>
        <w:tc>
          <w:tcPr>
            <w:tcW w:w="1410" w:type="dxa"/>
            <w:shd w:val="clear" w:color="auto" w:fill="auto"/>
          </w:tcPr>
          <w:p w14:paraId="0E5B6AA7" w14:textId="77777777" w:rsidR="00A23CA4" w:rsidRDefault="00A23CA4"/>
        </w:tc>
        <w:tc>
          <w:tcPr>
            <w:tcW w:w="1360" w:type="dxa"/>
            <w:shd w:val="clear" w:color="auto" w:fill="auto"/>
          </w:tcPr>
          <w:p w14:paraId="6BB5BA3D" w14:textId="77777777" w:rsidR="00A23CA4" w:rsidRDefault="00A23CA4"/>
        </w:tc>
      </w:tr>
    </w:tbl>
    <w:p w14:paraId="54DB3231" w14:textId="77777777" w:rsidR="00494B49" w:rsidRDefault="00494B49">
      <w:pPr>
        <w:pStyle w:val="BNormal"/>
      </w:pPr>
    </w:p>
    <w:p w14:paraId="7821630E" w14:textId="77777777" w:rsidR="00494B49" w:rsidRDefault="00494B49">
      <w:pPr>
        <w:pStyle w:val="BNormal"/>
      </w:pPr>
      <w:r>
        <w:t xml:space="preserve">As shown in this example from the </w:t>
      </w:r>
      <w:hyperlink r:id="rId17" w:history="1">
        <w:r>
          <w:rPr>
            <w:rStyle w:val="Hyperlink"/>
          </w:rPr>
          <w:t>Instructions for Form 8960</w:t>
        </w:r>
      </w:hyperlink>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33E20773" w14:textId="77777777" w:rsidR="00494B49" w:rsidRDefault="00494B49">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3"/>
      </w:r>
      <w:r>
        <w:t xml:space="preserve"> the Section 1411 NOL embedded in the reduced NOL is also reduced.</w:t>
      </w:r>
    </w:p>
    <w:p w14:paraId="014487E5" w14:textId="77777777" w:rsidR="00494B49" w:rsidRDefault="00494B49">
      <w:pPr>
        <w:pStyle w:val="BChapterName"/>
      </w:pPr>
      <w:r>
        <w:t>VI. Dispositions of Interests in Partnerships and S Corporations</w:t>
      </w:r>
    </w:p>
    <w:p w14:paraId="3D1E09C0" w14:textId="77777777" w:rsidR="00494B49" w:rsidRDefault="00494B49">
      <w:pPr>
        <w:pStyle w:val="BHead1"/>
      </w:pPr>
      <w:r>
        <w:t xml:space="preserve">A. Introduction </w:t>
      </w:r>
    </w:p>
    <w:p w14:paraId="4468CF03" w14:textId="77777777" w:rsidR="00494B49" w:rsidRDefault="00494B49">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4"/>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03DA773E" w14:textId="77777777" w:rsidR="00494B49" w:rsidRDefault="00494B49">
      <w:pPr>
        <w:pStyle w:val="BNormal"/>
      </w:pPr>
      <w:r>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5"/>
      </w:r>
      <w:r>
        <w:t xml:space="preserve"> the 2010 bluebook stated: </w:t>
      </w:r>
    </w:p>
    <w:p w14:paraId="6F1D2E22" w14:textId="77777777" w:rsidR="00494B49" w:rsidRDefault="00494B49">
      <w:pPr>
        <w:pStyle w:val="BQuotelong"/>
      </w:pPr>
      <w:r>
        <w:lastRenderedPageBreak/>
        <w:t>In the case of the disposition of a partnership interest or stock in an S corporation, gain or loss is taken into account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taken into account.</w:t>
      </w:r>
      <w:r>
        <w:rPr>
          <w:rStyle w:val="FootnoteReference"/>
        </w:rPr>
        <w:footnoteReference w:id="756"/>
      </w:r>
      <w:r>
        <w:t xml:space="preserve"> For this purpose, a business of trading financial instruments or commodities is not treated as an active trade or business</w:t>
      </w:r>
      <w:r>
        <w:rPr>
          <w:i/>
        </w:rPr>
        <w:t>.</w:t>
      </w:r>
      <w:r>
        <w:rPr>
          <w:rStyle w:val="FootnoteReference"/>
        </w:rPr>
        <w:footnoteReference w:id="757"/>
      </w:r>
      <w:r>
        <w:t xml:space="preserve"> </w:t>
      </w:r>
    </w:p>
    <w:p w14:paraId="4D7FB96C" w14:textId="77777777" w:rsidR="00494B49" w:rsidRDefault="00494B49">
      <w:pPr>
        <w:pStyle w:val="BNormal"/>
      </w:pPr>
      <w:r>
        <w:t>The 2011 bluebook contains identical language.</w:t>
      </w:r>
      <w:r>
        <w:rPr>
          <w:rStyle w:val="FootnoteReference"/>
        </w:rPr>
        <w:footnoteReference w:id="758"/>
      </w:r>
    </w:p>
    <w:p w14:paraId="37F953CE" w14:textId="77777777" w:rsidR="00494B49" w:rsidRDefault="00494B49">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59"/>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60"/>
      </w:r>
    </w:p>
    <w:p w14:paraId="7310CB11" w14:textId="77777777" w:rsidR="00494B49" w:rsidRDefault="00494B49">
      <w:pPr>
        <w:pStyle w:val="BHead1"/>
      </w:pPr>
      <w:r>
        <w:t xml:space="preserve">B. 2013 Proposed Regulations </w:t>
      </w:r>
    </w:p>
    <w:p w14:paraId="664B4515" w14:textId="77777777" w:rsidR="00494B49" w:rsidRDefault="00494B49">
      <w:pPr>
        <w:pStyle w:val="BNormal"/>
      </w:pPr>
      <w:r>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1"/>
      </w:r>
      <w:r>
        <w:t xml:space="preserve"> Taxpayers uniformly criticized the conceptual and computational approach taken in the 2012 Proposed Regulations, </w:t>
      </w:r>
      <w:r>
        <w:lastRenderedPageBreak/>
        <w:t>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2"/>
      </w:r>
      <w:r>
        <w:t xml:space="preserve"> The 2013 Proposed Regulations differed in several material respects from the 2012 Proposed Regulations. Most notably, the deemed sale on a property-by-property basis was abandoned.</w:t>
      </w:r>
      <w:r>
        <w:rPr>
          <w:rStyle w:val="FootnoteReference"/>
        </w:rPr>
        <w:footnoteReference w:id="763"/>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4"/>
      </w:r>
    </w:p>
    <w:p w14:paraId="70A624D9" w14:textId="77777777" w:rsidR="00494B49" w:rsidRDefault="00494B49">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30E07A17" w14:textId="77777777" w:rsidR="00494B49" w:rsidRDefault="00494B49">
      <w:pPr>
        <w:pStyle w:val="BHead2"/>
      </w:pPr>
      <w:r>
        <w:t>1. Interests Subject to §1411(c)(4)</w:t>
      </w:r>
    </w:p>
    <w:p w14:paraId="2EB89581" w14:textId="77777777" w:rsidR="00494B49" w:rsidRDefault="00494B49">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7A4C44D6" w14:textId="77777777" w:rsidR="00494B49" w:rsidRDefault="00494B49">
      <w:pPr>
        <w:pStyle w:val="BHead3"/>
      </w:pPr>
      <w:r>
        <w:t>a. Definition of Passthrough Entity</w:t>
      </w:r>
    </w:p>
    <w:p w14:paraId="5AF9B0D0" w14:textId="77777777" w:rsidR="00494B49" w:rsidRDefault="00494B49">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5"/>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6"/>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7"/>
      </w:r>
      <w:r>
        <w:t xml:space="preserve"> Trusts, REMICs, and common trust funds are not considered Passthrough Entities under these rules.</w:t>
      </w:r>
      <w:r>
        <w:rPr>
          <w:rStyle w:val="FootnoteReference"/>
        </w:rPr>
        <w:footnoteReference w:id="768"/>
      </w:r>
    </w:p>
    <w:p w14:paraId="38010B22" w14:textId="77777777" w:rsidR="00494B49" w:rsidRDefault="00494B49">
      <w:pPr>
        <w:pStyle w:val="BNormal"/>
      </w:pPr>
      <w:r>
        <w:lastRenderedPageBreak/>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69"/>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70"/>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1B14DC96" w14:textId="77777777" w:rsidR="00494B49" w:rsidRDefault="00494B49">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0A5F3A0A" w14:textId="77777777" w:rsidR="00494B49" w:rsidRDefault="00494B49">
      <w:pPr>
        <w:pStyle w:val="BHead3"/>
      </w:pPr>
      <w:r>
        <w:t>b. Definition of Subsidiary Passthrough Entity</w:t>
      </w:r>
    </w:p>
    <w:p w14:paraId="0242596B" w14:textId="77777777" w:rsidR="00494B49" w:rsidRDefault="00494B49">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466D11CC" w14:textId="77777777" w:rsidR="00494B49" w:rsidRDefault="00494B49">
      <w:pPr>
        <w:pStyle w:val="BHead3"/>
      </w:pPr>
      <w:r>
        <w:t>c. Definition of ‘Section 1411(c)(4) Disposition’</w:t>
      </w:r>
    </w:p>
    <w:p w14:paraId="6150943B" w14:textId="77777777" w:rsidR="00494B49" w:rsidRDefault="00494B49">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w:t>
      </w:r>
      <w:r>
        <w:lastRenderedPageBreak/>
        <w:t xml:space="preserve">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1"/>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6B537319" w14:textId="77777777" w:rsidR="00494B49" w:rsidRDefault="00494B49">
      <w:pPr>
        <w:pStyle w:val="BHead4"/>
      </w:pPr>
      <w:r>
        <w:t xml:space="preserve">(1) Passive and Nonpassive Activities </w:t>
      </w:r>
    </w:p>
    <w:p w14:paraId="7B7373D9" w14:textId="77777777" w:rsidR="00494B49" w:rsidRDefault="00494B49">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17305015" w14:textId="77777777" w:rsidR="00494B49" w:rsidRDefault="00494B49">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2"/>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337D0009" w14:textId="77777777" w:rsidR="00494B49" w:rsidRDefault="00494B49">
      <w:pPr>
        <w:pStyle w:val="BHead4"/>
      </w:pPr>
      <w:r>
        <w:t xml:space="preserve">(2) Dispositions </w:t>
      </w:r>
    </w:p>
    <w:p w14:paraId="5D771AE8" w14:textId="77777777" w:rsidR="00494B49" w:rsidRDefault="00494B49">
      <w:pPr>
        <w:pStyle w:val="BNormal"/>
      </w:pPr>
      <w:r>
        <w:t>There are several unstated nuances within the Section 1411(c)(4) Disposition definition. Although not specifically stated, a nonrecognition transaction is not a Section 1411(c)(4) Disposition.</w:t>
      </w:r>
      <w:r>
        <w:rPr>
          <w:rStyle w:val="FootnoteReference"/>
        </w:rPr>
        <w:footnoteReference w:id="773"/>
      </w:r>
      <w:r>
        <w:t xml:space="preserve"> Even though the definition of a </w:t>
      </w:r>
      <w:smartTag w:uri="http://www.bna.com/sgml2word/cite" w:element="cite.usc">
        <w:smartTagPr>
          <w:attr w:name="ref" w:val="USC\26\1411(c)(4)"/>
        </w:smartTagPr>
        <w:r>
          <w:t>Section 1411(c)(4)</w:t>
        </w:r>
      </w:smartTag>
      <w:r>
        <w:t xml:space="preserve"> Disposition does not </w:t>
      </w:r>
      <w:r>
        <w:lastRenderedPageBreak/>
        <w:t xml:space="preserve">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3D50149E" w14:textId="77777777" w:rsidR="00494B49" w:rsidRDefault="00494B49">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4"/>
      </w:r>
    </w:p>
    <w:p w14:paraId="4433BF2D" w14:textId="77777777" w:rsidR="00494B49" w:rsidRDefault="00494B49">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5"/>
      </w:r>
    </w:p>
    <w:p w14:paraId="1039E9A8" w14:textId="77777777" w:rsidR="00494B49" w:rsidRDefault="00494B49">
      <w:pPr>
        <w:pStyle w:val="BNormal"/>
      </w:pPr>
      <w:r>
        <w:t>It is also important to note that Section 1411 Dispositions also include deemed dispositions that are treated as realization events for regular income tax purposes. For example, a Section 1411 Disposition would occur in (</w:t>
      </w:r>
      <w:proofErr w:type="spellStart"/>
      <w:r>
        <w:t>i</w:t>
      </w:r>
      <w:proofErr w:type="spellEnd"/>
      <w:r>
        <w:t xml:space="preserve">)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18C59060" w14:textId="77777777" w:rsidR="00494B49" w:rsidRDefault="00494B49">
      <w:pPr>
        <w:pStyle w:val="BNormal"/>
      </w:pPr>
      <w:r>
        <w:t xml:space="preserve">Consider the following scenarios involving a sale of an interest in an entity that are considered a sale of a Passthrough Entity: </w:t>
      </w:r>
    </w:p>
    <w:p w14:paraId="6E406B25" w14:textId="77777777" w:rsidR="00494B49" w:rsidRDefault="00494B49">
      <w:pPr>
        <w:pStyle w:val="BListitembul"/>
      </w:pPr>
      <w:r>
        <w:t>Sale of a partnership interest in a transaction described in Rev. Rul. 99-6.</w:t>
      </w:r>
      <w:r>
        <w:rPr>
          <w:rStyle w:val="FootnoteReference"/>
        </w:rPr>
        <w:footnoteReference w:id="776"/>
      </w:r>
    </w:p>
    <w:p w14:paraId="385B5417" w14:textId="77777777" w:rsidR="00494B49" w:rsidRDefault="00494B49">
      <w:pPr>
        <w:pStyle w:val="BListitembul"/>
      </w:pPr>
      <w:r>
        <w:lastRenderedPageBreak/>
        <w:t>Distributions in excess of basis that are considered a sale of an interest in an S corporation</w:t>
      </w:r>
      <w:r>
        <w:rPr>
          <w:rStyle w:val="FootnoteReference"/>
        </w:rPr>
        <w:footnoteReference w:id="777"/>
      </w:r>
      <w:r>
        <w:t xml:space="preserve"> or partnership.</w:t>
      </w:r>
      <w:r>
        <w:rPr>
          <w:rStyle w:val="FootnoteReference"/>
        </w:rPr>
        <w:footnoteReference w:id="778"/>
      </w:r>
    </w:p>
    <w:p w14:paraId="22B5D4B1" w14:textId="77777777" w:rsidR="00494B49" w:rsidRDefault="00494B49">
      <w:pPr>
        <w:pStyle w:val="BListitembul"/>
      </w:pPr>
      <w:r>
        <w:t>Transfers of a partnership interest by gift that are treated as taxable sales of the interest attributable to liability relief.</w:t>
      </w:r>
      <w:r>
        <w:rPr>
          <w:rStyle w:val="FootnoteReference"/>
        </w:rPr>
        <w:footnoteReference w:id="779"/>
      </w:r>
    </w:p>
    <w:p w14:paraId="34AD5814" w14:textId="77777777" w:rsidR="00494B49" w:rsidRDefault="00494B49">
      <w:pPr>
        <w:pStyle w:val="BNormal"/>
      </w:pPr>
      <w:r>
        <w:t>Consider the following scenarios involving a sale of an interest in an entity that are not considered a sale of a Passthrough Entity:</w:t>
      </w:r>
    </w:p>
    <w:p w14:paraId="7918BF91" w14:textId="77777777" w:rsidR="00494B49" w:rsidRDefault="00494B49">
      <w:pPr>
        <w:pStyle w:val="BListitembul"/>
      </w:pPr>
      <w:r>
        <w:t>Sale of an interest in a single-member entity in a transaction described in Rev. Rul. 99-5.</w:t>
      </w:r>
      <w:r>
        <w:rPr>
          <w:rStyle w:val="FootnoteReference"/>
        </w:rPr>
        <w:footnoteReference w:id="780"/>
      </w:r>
    </w:p>
    <w:p w14:paraId="457A28BE" w14:textId="77777777" w:rsidR="00494B49" w:rsidRDefault="00494B49">
      <w:pPr>
        <w:pStyle w:val="BListitembul"/>
      </w:pPr>
      <w:r>
        <w:t>Distribution from an S corporation with accumulated C corporation earnings and profits in which the distribution constitutes a dividend under §301(c)(1) and §1368(c)(2).</w:t>
      </w:r>
      <w:r>
        <w:rPr>
          <w:rStyle w:val="FootnoteReference"/>
        </w:rPr>
        <w:footnoteReference w:id="781"/>
      </w:r>
    </w:p>
    <w:p w14:paraId="7A79DFA8" w14:textId="77777777" w:rsidR="00494B49" w:rsidRDefault="00494B49">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308619AE" w14:textId="77777777" w:rsidR="00494B49" w:rsidRDefault="00494B49">
      <w:pPr>
        <w:pStyle w:val="BHead3"/>
      </w:pPr>
      <w:r>
        <w:t>d. Definition of ‘Section 1411 Property’</w:t>
      </w:r>
    </w:p>
    <w:p w14:paraId="2394068C" w14:textId="77777777" w:rsidR="00494B49" w:rsidRDefault="00494B49">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2"/>
      </w:r>
      <w:r>
        <w:t xml:space="preserve"> This category of property includes property held in a trade or business that is either passive as to the transferor or is a trading business.</w:t>
      </w:r>
    </w:p>
    <w:p w14:paraId="00CBF6A4" w14:textId="77777777" w:rsidR="00494B49" w:rsidRDefault="00494B49">
      <w:pPr>
        <w:pStyle w:val="BNormal"/>
      </w:pPr>
      <w:r>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w:t>
      </w:r>
      <w:r>
        <w:lastRenderedPageBreak/>
        <w:t xml:space="preserve">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2BC19386" w14:textId="77777777" w:rsidR="00494B49" w:rsidRDefault="00494B49">
      <w:pPr>
        <w:pStyle w:val="BHead2"/>
      </w:pPr>
      <w:r>
        <w:t>2. Calculation of Gain or Loss Taken into Account in Computing Net Investment Income</w:t>
      </w:r>
    </w:p>
    <w:p w14:paraId="3C453A06" w14:textId="77777777" w:rsidR="00494B49" w:rsidRDefault="00494B49">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3"/>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46CFBBF4" w14:textId="77777777" w:rsidR="00494B49" w:rsidRDefault="00494B49">
      <w:pPr>
        <w:pStyle w:val="BHead3"/>
      </w:pPr>
      <w:r>
        <w:t xml:space="preserve">a. Primary Method </w:t>
      </w:r>
    </w:p>
    <w:p w14:paraId="2A6A519D" w14:textId="77777777" w:rsidR="00494B49" w:rsidRDefault="00494B49">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4BC9C2EF" w14:textId="77777777" w:rsidR="00494B49" w:rsidRDefault="00494B49">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4"/>
      </w:r>
      <w:r>
        <w:t xml:space="preserve"> and separate rules that apply if the transferor recognizes loss on the disposition.</w:t>
      </w:r>
      <w:r>
        <w:rPr>
          <w:rStyle w:val="FootnoteReference"/>
        </w:rPr>
        <w:footnoteReference w:id="785"/>
      </w:r>
      <w:r>
        <w:t xml:space="preserve"> If the transferor recognizes gain in a Section 1411(c)(4) Disposition, the 2013 Proposed Regulations provide that the amount of net gain that the transferor includes in the computation of net investment income is equal to the lesser of: (</w:t>
      </w:r>
      <w:proofErr w:type="spellStart"/>
      <w:r>
        <w:t>i</w:t>
      </w:r>
      <w:proofErr w:type="spellEnd"/>
      <w:r>
        <w:t>) the amount of gain that the transferor recognizes for Chapter 1 purposes, or (ii) the transferor’s allocable share of the Chapter 1 net gain from a deemed sale of the Passthrough Entity’s Section 1411 Property.</w:t>
      </w:r>
      <w:r>
        <w:rPr>
          <w:rStyle w:val="FootnoteReference"/>
        </w:rPr>
        <w:footnoteReference w:id="786"/>
      </w:r>
      <w:r>
        <w:t xml:space="preserve"> The 2013 Proposed Regulations further provide that the transferor’s “allocable share” of the net gain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w:t>
      </w:r>
      <w:r>
        <w:lastRenderedPageBreak/>
        <w:t>transferor recognizes gain in a Section 1411(c)(4) Disposition, the amount of net gain included in the computation of net investment income cannot be less than zero.</w:t>
      </w:r>
      <w:r>
        <w:rPr>
          <w:rStyle w:val="FootnoteReference"/>
        </w:rPr>
        <w:footnoteReference w:id="787"/>
      </w:r>
    </w:p>
    <w:p w14:paraId="16482EEE" w14:textId="77777777" w:rsidR="00494B49" w:rsidRDefault="00494B49">
      <w:pPr>
        <w:pStyle w:val="BNormal"/>
      </w:pPr>
      <w:r>
        <w:t>If the transferor recognizes loss in a Section 1411(c)(4) Disposition, the 2013 Proposed Regulations provide that the amount of net loss included the computation of net investment income is equal to the lesser of (</w:t>
      </w:r>
      <w:proofErr w:type="spellStart"/>
      <w:r>
        <w:t>i</w:t>
      </w:r>
      <w:proofErr w:type="spellEnd"/>
      <w:r>
        <w:t>)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8"/>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6A3D2DB6" w14:textId="77777777" w:rsidR="00494B49" w:rsidRDefault="00494B49">
      <w:pPr>
        <w:pStyle w:val="BHead4"/>
      </w:pPr>
      <w:r>
        <w:t>(1) Transferor’s Allocable Share of Net Gain or Loss</w:t>
      </w:r>
    </w:p>
    <w:p w14:paraId="480F835F" w14:textId="77777777" w:rsidR="00494B49" w:rsidRDefault="00494B49">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89"/>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90"/>
      </w:r>
    </w:p>
    <w:p w14:paraId="162FAEB4" w14:textId="77777777" w:rsidR="00494B49" w:rsidRDefault="00494B49">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1"/>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2"/>
      </w:r>
      <w:r>
        <w:t xml:space="preserve"> the rental property 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3E4DE50A" w14:textId="77777777" w:rsidR="00494B49" w:rsidRDefault="00494B49">
      <w:pPr>
        <w:pStyle w:val="BNormal"/>
      </w:pPr>
      <w:r>
        <w:lastRenderedPageBreak/>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w:t>
        </w:r>
        <w:proofErr w:type="spellStart"/>
        <w:r>
          <w:t>i</w:t>
        </w:r>
        <w:proofErr w:type="spellEnd"/>
        <w:r>
          <w:t>)</w:t>
        </w:r>
      </w:smartTag>
      <w:r>
        <w:t>).</w:t>
      </w:r>
    </w:p>
    <w:p w14:paraId="4D588C92" w14:textId="77777777" w:rsidR="00494B49" w:rsidRDefault="00494B49">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w:t>
        </w:r>
        <w:proofErr w:type="spellStart"/>
        <w:r>
          <w:t>i</w:t>
        </w:r>
        <w:proofErr w:type="spellEnd"/>
        <w:r>
          <w:t>)</w:t>
        </w:r>
      </w:smartTag>
      <w:r>
        <w:t xml:space="preserve"> and </w:t>
      </w:r>
      <w:smartTag w:uri="http://www.bna.com/sgml2word/cite" w:element="cite.cfr">
        <w:smartTagPr>
          <w:attr w:name="ref" w:val="cfr\26\1.469-2T(e)(3)(ii)(B)(2)(i)"/>
        </w:smartTagPr>
        <w:r>
          <w:t>§1.469-2T(e)(3)(ii)(B)(2)(</w:t>
        </w:r>
        <w:proofErr w:type="spellStart"/>
        <w:r>
          <w:t>i</w:t>
        </w:r>
        <w:proofErr w:type="spellEnd"/>
        <w:r>
          <w:t>)</w:t>
        </w:r>
      </w:smartTag>
      <w:r>
        <w:t>.</w:t>
      </w:r>
      <w:r>
        <w:rPr>
          <w:rStyle w:val="FootnoteReference"/>
        </w:rPr>
        <w:footnoteReference w:id="793"/>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4"/>
      </w:r>
    </w:p>
    <w:p w14:paraId="59159202" w14:textId="77777777" w:rsidR="00494B49" w:rsidRDefault="00494B49">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w:t>
        </w:r>
        <w:proofErr w:type="spellStart"/>
        <w:r>
          <w:t>i</w:t>
        </w:r>
        <w:proofErr w:type="spellEnd"/>
        <w:r>
          <w:t>)(B)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B8F2FD1" w14:textId="77777777" w:rsidR="00494B49" w:rsidRDefault="00494B49">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2F2A3DA4" w14:textId="77777777" w:rsidR="00494B49" w:rsidRDefault="00494B49">
      <w:pPr>
        <w:pStyle w:val="BHead4"/>
      </w:pPr>
      <w:r>
        <w:t>(2) Timing of Calculation</w:t>
      </w:r>
    </w:p>
    <w:p w14:paraId="028B98D2" w14:textId="77777777" w:rsidR="00494B49" w:rsidRDefault="00494B49">
      <w:pPr>
        <w:pStyle w:val="BNormal"/>
      </w:pPr>
      <w:r>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5"/>
      </w:r>
      <w:r>
        <w:t xml:space="preserve"> For Reg. </w:t>
      </w:r>
      <w:smartTag w:uri="http://www.bna.com/sgml2word/cite" w:element="cite.cfr">
        <w:smartTagPr>
          <w:attr w:name="ref" w:val="cfr\26\1.469-2T(e)(3)"/>
        </w:smartTagPr>
        <w:r>
          <w:t>§1.469-2T(e)(3)</w:t>
        </w:r>
      </w:smartTag>
      <w:r>
        <w:t xml:space="preserve"> </w:t>
      </w:r>
      <w:r>
        <w:lastRenderedPageBreak/>
        <w:t xml:space="preserve">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w:t>
        </w:r>
        <w:proofErr w:type="spellStart"/>
        <w:r>
          <w:t>i</w:t>
        </w:r>
        <w:proofErr w:type="spellEnd"/>
        <w:r>
          <w:t>)</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6"/>
      </w:r>
      <w:r>
        <w:t xml:space="preserve"> or (b) the date on which the disposition occurs.</w:t>
      </w:r>
      <w:r>
        <w:rPr>
          <w:rStyle w:val="FootnoteReference"/>
        </w:rPr>
        <w:footnoteReference w:id="797"/>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40725468" w14:textId="77777777" w:rsidR="00494B49" w:rsidRDefault="00494B49">
      <w:pPr>
        <w:pStyle w:val="BListitembul"/>
      </w:pPr>
      <w:r>
        <w:t>The Passthrough Entity disposes of more than 10% of its interest (by value as of the beginning of the tax year) in any activity;</w:t>
      </w:r>
      <w:r>
        <w:rPr>
          <w:rStyle w:val="FootnoteReference"/>
        </w:rPr>
        <w:footnoteReference w:id="798"/>
      </w:r>
    </w:p>
    <w:p w14:paraId="7D1CE263" w14:textId="77777777" w:rsidR="00494B49" w:rsidRDefault="00494B49">
      <w:pPr>
        <w:pStyle w:val="BListitembul"/>
      </w:pPr>
      <w:r>
        <w:t>The Passthrough Entity disposes of more than 10% of the property (by value as of the beginning of the tax year) used in any of its activities;</w:t>
      </w:r>
      <w:r>
        <w:rPr>
          <w:rStyle w:val="FootnoteReference"/>
        </w:rPr>
        <w:footnoteReference w:id="799"/>
      </w:r>
      <w:r>
        <w:t xml:space="preserve"> or</w:t>
      </w:r>
    </w:p>
    <w:p w14:paraId="5825E12E" w14:textId="77777777" w:rsidR="00494B49" w:rsidRDefault="00494B49">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800"/>
      </w:r>
    </w:p>
    <w:p w14:paraId="403C8D3C" w14:textId="77777777" w:rsidR="00494B49" w:rsidRDefault="00494B49">
      <w:pPr>
        <w:pStyle w:val="BHead4"/>
      </w:pPr>
      <w:r>
        <w:t>(3) Treatment of Losses Suspended by §704(d)(1) and §1366(d)</w:t>
      </w:r>
    </w:p>
    <w:p w14:paraId="6E03035F" w14:textId="77777777" w:rsidR="00494B49" w:rsidRDefault="00494B49">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1"/>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04A545C8" w14:textId="77777777" w:rsidR="00494B49" w:rsidRDefault="00494B49">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5372BD48" w14:textId="77777777" w:rsidR="00494B49" w:rsidRDefault="00494B49">
      <w:pPr>
        <w:pStyle w:val="BNormal"/>
      </w:pPr>
      <w:r>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w:t>
      </w:r>
      <w:r>
        <w:lastRenderedPageBreak/>
        <w:t xml:space="preserve">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73D452C3" w14:textId="77777777" w:rsidR="00494B49" w:rsidRDefault="00494B49">
      <w:pPr>
        <w:pStyle w:val="BHead4"/>
      </w:pPr>
      <w:r>
        <w:t>(4) Examples</w:t>
      </w:r>
    </w:p>
    <w:p w14:paraId="3377FA5A" w14:textId="77777777" w:rsidR="00494B49" w:rsidRDefault="00494B49">
      <w:pPr>
        <w:pStyle w:val="BNormal"/>
      </w:pPr>
      <w:r>
        <w:t>The 2013 Proposed Regulations provide two examples of the application of the Primary Method, discussed below.</w:t>
      </w:r>
    </w:p>
    <w:p w14:paraId="1CCC1DBF" w14:textId="77777777" w:rsidR="00494B49" w:rsidRDefault="00494B49">
      <w:pPr>
        <w:pStyle w:val="BExamplepara"/>
      </w:pPr>
      <w:r>
        <w:rPr>
          <w:rStyle w:val="BExamplehead"/>
          <w:rFonts w:eastAsiaTheme="minorHAnsi"/>
          <w:i/>
        </w:rPr>
        <w:t>Example 1:</w:t>
      </w:r>
      <w:r>
        <w:rPr>
          <w:rStyle w:val="FootnoteReference"/>
        </w:rPr>
        <w:footnoteReference w:id="802"/>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5D9DF410" w14:textId="77777777" w:rsidR="00494B49" w:rsidRDefault="00494B49">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0FA8F530" w14:textId="77777777" w:rsidR="00494B49" w:rsidRDefault="00494B49">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5FD2F113" w14:textId="77777777" w:rsidR="00494B49" w:rsidRDefault="00494B49" w:rsidP="007865AF">
      <w:pPr>
        <w:pStyle w:val="BExamplepara"/>
      </w:pPr>
      <w:r>
        <w:t>Based on information P provided to A,</w:t>
      </w:r>
      <w:r>
        <w:rPr>
          <w:rStyle w:val="FootnoteReference"/>
        </w:rPr>
        <w:footnoteReference w:id="803"/>
      </w:r>
      <w:r>
        <w:t xml:space="preserve"> the fair market value and adjusted basis of the gross assets used in P’s activities are as follows: </w:t>
      </w:r>
    </w:p>
    <w:p w14:paraId="3A77606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896"/>
        <w:gridCol w:w="1861"/>
        <w:gridCol w:w="1861"/>
        <w:gridCol w:w="1870"/>
        <w:gridCol w:w="1862"/>
      </w:tblGrid>
      <w:tr w:rsidR="00494B49" w14:paraId="6A4FE524" w14:textId="77777777">
        <w:tc>
          <w:tcPr>
            <w:tcW w:w="2016" w:type="dxa"/>
          </w:tcPr>
          <w:p w14:paraId="10BA7550" w14:textId="77777777" w:rsidR="00494B49" w:rsidRDefault="00494B49"/>
        </w:tc>
        <w:tc>
          <w:tcPr>
            <w:tcW w:w="2016" w:type="dxa"/>
          </w:tcPr>
          <w:p w14:paraId="5C333762" w14:textId="77777777" w:rsidR="00494B49" w:rsidRDefault="00494B49">
            <w:r>
              <w:t>Adjusted basis</w:t>
            </w:r>
          </w:p>
        </w:tc>
        <w:tc>
          <w:tcPr>
            <w:tcW w:w="2016" w:type="dxa"/>
          </w:tcPr>
          <w:p w14:paraId="33E082B8" w14:textId="77777777" w:rsidR="00494B49" w:rsidRDefault="00494B49">
            <w:r>
              <w:t>FMV</w:t>
            </w:r>
          </w:p>
        </w:tc>
        <w:tc>
          <w:tcPr>
            <w:tcW w:w="2016" w:type="dxa"/>
          </w:tcPr>
          <w:p w14:paraId="470397B2" w14:textId="77777777" w:rsidR="00494B49" w:rsidRDefault="00494B49">
            <w:r>
              <w:t>Gain/Loss</w:t>
            </w:r>
          </w:p>
        </w:tc>
        <w:tc>
          <w:tcPr>
            <w:tcW w:w="2016" w:type="dxa"/>
          </w:tcPr>
          <w:p w14:paraId="6FDF731C" w14:textId="77777777" w:rsidR="00494B49" w:rsidRDefault="00494B49">
            <w:r>
              <w:t>A’s share gain/loss</w:t>
            </w:r>
          </w:p>
        </w:tc>
      </w:tr>
      <w:tr w:rsidR="00494B49" w14:paraId="7DEA65DC" w14:textId="77777777">
        <w:tc>
          <w:tcPr>
            <w:tcW w:w="2016" w:type="dxa"/>
          </w:tcPr>
          <w:p w14:paraId="16168C8B" w14:textId="77777777" w:rsidR="00494B49" w:rsidRDefault="00494B49">
            <w:r>
              <w:t>X (Passive as to A)</w:t>
            </w:r>
          </w:p>
        </w:tc>
        <w:tc>
          <w:tcPr>
            <w:tcW w:w="2016" w:type="dxa"/>
          </w:tcPr>
          <w:p w14:paraId="7A1A6AA3" w14:textId="77777777" w:rsidR="00494B49" w:rsidRDefault="00494B49">
            <w:r>
              <w:t>$136,000</w:t>
            </w:r>
          </w:p>
        </w:tc>
        <w:tc>
          <w:tcPr>
            <w:tcW w:w="2016" w:type="dxa"/>
          </w:tcPr>
          <w:p w14:paraId="6279ED9E" w14:textId="77777777" w:rsidR="00494B49" w:rsidRDefault="00494B49">
            <w:r>
              <w:t>$96,000</w:t>
            </w:r>
          </w:p>
        </w:tc>
        <w:tc>
          <w:tcPr>
            <w:tcW w:w="2016" w:type="dxa"/>
          </w:tcPr>
          <w:p w14:paraId="7A9DB0B8" w14:textId="77777777" w:rsidR="00494B49" w:rsidRDefault="00494B49">
            <w:r>
              <w:t>($40,000)</w:t>
            </w:r>
          </w:p>
        </w:tc>
        <w:tc>
          <w:tcPr>
            <w:tcW w:w="2016" w:type="dxa"/>
          </w:tcPr>
          <w:p w14:paraId="0E917962" w14:textId="77777777" w:rsidR="00494B49" w:rsidRDefault="00494B49">
            <w:r>
              <w:t>($20,000)</w:t>
            </w:r>
          </w:p>
        </w:tc>
      </w:tr>
      <w:tr w:rsidR="00494B49" w14:paraId="15D5AD5C" w14:textId="77777777">
        <w:tc>
          <w:tcPr>
            <w:tcW w:w="2016" w:type="dxa"/>
          </w:tcPr>
          <w:p w14:paraId="2452B125" w14:textId="77777777" w:rsidR="00494B49" w:rsidRDefault="00494B49">
            <w:r>
              <w:t>Y (Passive as to A)</w:t>
            </w:r>
          </w:p>
        </w:tc>
        <w:tc>
          <w:tcPr>
            <w:tcW w:w="2016" w:type="dxa"/>
          </w:tcPr>
          <w:p w14:paraId="1362949D" w14:textId="77777777" w:rsidR="00494B49" w:rsidRDefault="00494B49">
            <w:r>
              <w:t>60,000</w:t>
            </w:r>
          </w:p>
        </w:tc>
        <w:tc>
          <w:tcPr>
            <w:tcW w:w="2016" w:type="dxa"/>
          </w:tcPr>
          <w:p w14:paraId="47EBF90A" w14:textId="77777777" w:rsidR="00494B49" w:rsidRDefault="00494B49">
            <w:r>
              <w:t>124,000</w:t>
            </w:r>
          </w:p>
        </w:tc>
        <w:tc>
          <w:tcPr>
            <w:tcW w:w="2016" w:type="dxa"/>
          </w:tcPr>
          <w:p w14:paraId="42BDE2B4" w14:textId="77777777" w:rsidR="00494B49" w:rsidRDefault="00494B49">
            <w:r>
              <w:t>64,000</w:t>
            </w:r>
          </w:p>
        </w:tc>
        <w:tc>
          <w:tcPr>
            <w:tcW w:w="2016" w:type="dxa"/>
          </w:tcPr>
          <w:p w14:paraId="09AEE6B7" w14:textId="77777777" w:rsidR="00494B49" w:rsidRDefault="00494B49">
            <w:r>
              <w:t>32,000</w:t>
            </w:r>
          </w:p>
        </w:tc>
      </w:tr>
      <w:tr w:rsidR="00494B49" w14:paraId="2EADF3CF" w14:textId="77777777">
        <w:tc>
          <w:tcPr>
            <w:tcW w:w="2016" w:type="dxa"/>
          </w:tcPr>
          <w:p w14:paraId="416862B6" w14:textId="77777777" w:rsidR="00494B49" w:rsidRDefault="00494B49">
            <w:r>
              <w:t>Z (Nonpassive as to A)</w:t>
            </w:r>
          </w:p>
        </w:tc>
        <w:tc>
          <w:tcPr>
            <w:tcW w:w="2016" w:type="dxa"/>
          </w:tcPr>
          <w:p w14:paraId="5C9FB41C" w14:textId="77777777" w:rsidR="00494B49" w:rsidRDefault="00494B49">
            <w:r>
              <w:t>40,000</w:t>
            </w:r>
          </w:p>
        </w:tc>
        <w:tc>
          <w:tcPr>
            <w:tcW w:w="2016" w:type="dxa"/>
          </w:tcPr>
          <w:p w14:paraId="75CD87C3" w14:textId="77777777" w:rsidR="00494B49" w:rsidRDefault="00494B49">
            <w:r>
              <w:t>160,000</w:t>
            </w:r>
          </w:p>
        </w:tc>
        <w:tc>
          <w:tcPr>
            <w:tcW w:w="2016" w:type="dxa"/>
          </w:tcPr>
          <w:p w14:paraId="68DE2BC3" w14:textId="77777777" w:rsidR="00494B49" w:rsidRDefault="00494B49">
            <w:r>
              <w:t>120,000</w:t>
            </w:r>
          </w:p>
        </w:tc>
        <w:tc>
          <w:tcPr>
            <w:tcW w:w="2016" w:type="dxa"/>
          </w:tcPr>
          <w:p w14:paraId="2E41D5A5" w14:textId="77777777" w:rsidR="00494B49" w:rsidRDefault="00494B49">
            <w:r>
              <w:t>60,000</w:t>
            </w:r>
          </w:p>
        </w:tc>
      </w:tr>
      <w:tr w:rsidR="00494B49" w14:paraId="5D8CADC4" w14:textId="77777777">
        <w:tc>
          <w:tcPr>
            <w:tcW w:w="2016" w:type="dxa"/>
          </w:tcPr>
          <w:p w14:paraId="626F1002" w14:textId="77777777" w:rsidR="00494B49" w:rsidRDefault="00494B49">
            <w:r>
              <w:t>Marketable securities</w:t>
            </w:r>
          </w:p>
        </w:tc>
        <w:tc>
          <w:tcPr>
            <w:tcW w:w="2016" w:type="dxa"/>
          </w:tcPr>
          <w:p w14:paraId="59C60553" w14:textId="77777777" w:rsidR="00494B49" w:rsidRDefault="00494B49">
            <w:r>
              <w:t>4,000</w:t>
            </w:r>
          </w:p>
        </w:tc>
        <w:tc>
          <w:tcPr>
            <w:tcW w:w="2016" w:type="dxa"/>
          </w:tcPr>
          <w:p w14:paraId="1CC730DF" w14:textId="77777777" w:rsidR="00494B49" w:rsidRDefault="00494B49">
            <w:r>
              <w:t>20,000</w:t>
            </w:r>
          </w:p>
        </w:tc>
        <w:tc>
          <w:tcPr>
            <w:tcW w:w="2016" w:type="dxa"/>
          </w:tcPr>
          <w:p w14:paraId="20AAAE2F" w14:textId="77777777" w:rsidR="00494B49" w:rsidRDefault="00494B49">
            <w:r>
              <w:t>16,000</w:t>
            </w:r>
          </w:p>
        </w:tc>
        <w:tc>
          <w:tcPr>
            <w:tcW w:w="2016" w:type="dxa"/>
          </w:tcPr>
          <w:p w14:paraId="4EE90C60" w14:textId="77777777" w:rsidR="00494B49" w:rsidRDefault="00494B49">
            <w:r>
              <w:t>8,000</w:t>
            </w:r>
          </w:p>
        </w:tc>
      </w:tr>
      <w:tr w:rsidR="00494B49" w14:paraId="56152E00" w14:textId="77777777">
        <w:tc>
          <w:tcPr>
            <w:tcW w:w="2016" w:type="dxa"/>
          </w:tcPr>
          <w:p w14:paraId="78F331CF" w14:textId="77777777" w:rsidR="00494B49" w:rsidRDefault="00494B49">
            <w:r>
              <w:t>Total</w:t>
            </w:r>
          </w:p>
        </w:tc>
        <w:tc>
          <w:tcPr>
            <w:tcW w:w="2016" w:type="dxa"/>
          </w:tcPr>
          <w:p w14:paraId="24CACAD6" w14:textId="77777777" w:rsidR="00494B49" w:rsidRDefault="00494B49">
            <w:r>
              <w:t>$240,000</w:t>
            </w:r>
          </w:p>
        </w:tc>
        <w:tc>
          <w:tcPr>
            <w:tcW w:w="2016" w:type="dxa"/>
          </w:tcPr>
          <w:p w14:paraId="12D4384E" w14:textId="77777777" w:rsidR="00494B49" w:rsidRDefault="00494B49">
            <w:r>
              <w:t>$400,000</w:t>
            </w:r>
          </w:p>
        </w:tc>
        <w:tc>
          <w:tcPr>
            <w:tcW w:w="2016" w:type="dxa"/>
          </w:tcPr>
          <w:p w14:paraId="7280C387" w14:textId="77777777" w:rsidR="00494B49" w:rsidRDefault="00494B49">
            <w:r>
              <w:t>$160,000</w:t>
            </w:r>
          </w:p>
        </w:tc>
        <w:tc>
          <w:tcPr>
            <w:tcW w:w="2016" w:type="dxa"/>
          </w:tcPr>
          <w:p w14:paraId="50D9FEEA" w14:textId="77777777" w:rsidR="00494B49" w:rsidRDefault="00494B49">
            <w:r>
              <w:t>$80,000</w:t>
            </w:r>
          </w:p>
        </w:tc>
      </w:tr>
    </w:tbl>
    <w:p w14:paraId="05928B6C" w14:textId="77777777" w:rsidR="00494B49" w:rsidRDefault="00494B49">
      <w:pPr>
        <w:pStyle w:val="BNormal"/>
      </w:pPr>
    </w:p>
    <w:p w14:paraId="61FB6468" w14:textId="77777777" w:rsidR="00494B49" w:rsidRDefault="00494B49">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w:t>
        </w:r>
        <w:proofErr w:type="spellStart"/>
        <w:r>
          <w:t>i</w:t>
        </w:r>
        <w:proofErr w:type="spellEnd"/>
        <w:r>
          <w:t>)</w:t>
        </w:r>
      </w:smartTag>
      <w:r>
        <w:t xml:space="preserve"> apply. Pursuant to the rules in Reg. </w:t>
      </w:r>
      <w:smartTag w:uri="http://www.bna.com/sgml2word/cite" w:element="cite.cfr">
        <w:smartTagPr>
          <w:attr w:name="ref" w:val="cfr\26\1.469-2T(e)(3)"/>
        </w:smartTagPr>
        <w:r>
          <w:t>§1.469-</w:t>
        </w:r>
        <w:r>
          <w:lastRenderedPageBreak/>
          <w:t>2T(e)(3)</w:t>
        </w:r>
      </w:smartTag>
      <w:r>
        <w:t>, A’s allocable share of the Chapter 1 net gain from a deemed sale of P’s Section 1411 Property is $20,000, computed as follows:</w:t>
      </w:r>
    </w:p>
    <w:p w14:paraId="0447D023" w14:textId="77777777" w:rsidR="00494B49" w:rsidRDefault="00494B49">
      <w:pPr>
        <w:pStyle w:val="BExamplepara"/>
      </w:pPr>
      <w:r>
        <w:t>($20,000) allocable loss from activity X</w:t>
      </w:r>
    </w:p>
    <w:p w14:paraId="520886D6" w14:textId="77777777" w:rsidR="00494B49" w:rsidRDefault="00494B49">
      <w:pPr>
        <w:pStyle w:val="BExamplepara"/>
      </w:pPr>
      <w:r>
        <w:t>+ $32,000 allocable gain from activity Y</w:t>
      </w:r>
    </w:p>
    <w:p w14:paraId="2C299B75" w14:textId="77777777" w:rsidR="00494B49" w:rsidRDefault="00494B49">
      <w:pPr>
        <w:pStyle w:val="BExamplepara"/>
      </w:pPr>
      <w:r>
        <w:t>+  $8,000 allocable gain from the marketable securities.</w:t>
      </w:r>
    </w:p>
    <w:p w14:paraId="533D9791" w14:textId="77777777" w:rsidR="00494B49" w:rsidRDefault="00494B49">
      <w:pPr>
        <w:pStyle w:val="BExamplepara"/>
      </w:pPr>
      <w:r>
        <w:t>+ $20,000</w:t>
      </w:r>
    </w:p>
    <w:p w14:paraId="7CEC7B20" w14:textId="77777777" w:rsidR="00494B49" w:rsidRDefault="00494B49">
      <w:pPr>
        <w:pStyle w:val="BExamplepara"/>
      </w:pPr>
      <w:r>
        <w:t>Because the $20,000 net gain allocable to A from a deemed sale of P’s Section 1411 Property is less than A’s $80,000 Chapter 1 gain, A will include $20,000 in net investment income.</w:t>
      </w:r>
    </w:p>
    <w:p w14:paraId="173C7895"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4"/>
      </w:r>
    </w:p>
    <w:p w14:paraId="05EAACA5" w14:textId="77777777" w:rsidR="00494B49" w:rsidRDefault="00494B49">
      <w:pPr>
        <w:pStyle w:val="BExamplepara"/>
      </w:pPr>
      <w:r>
        <w:rPr>
          <w:rStyle w:val="BExamplehead"/>
          <w:rFonts w:eastAsiaTheme="minorHAnsi"/>
          <w:i/>
        </w:rPr>
        <w:t>Example 2:</w:t>
      </w:r>
      <w:r>
        <w:rPr>
          <w:rStyle w:val="FootnoteReference"/>
        </w:rPr>
        <w:footnoteReference w:id="805"/>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16EDF87B" w14:textId="77777777" w:rsidR="00494B49" w:rsidRDefault="00494B49">
      <w:pPr>
        <w:pStyle w:val="BExamplepara"/>
      </w:pPr>
      <w:r>
        <w:t>($20,000) allocable loss from activity X</w:t>
      </w:r>
    </w:p>
    <w:p w14:paraId="4262458C" w14:textId="77777777" w:rsidR="00494B49" w:rsidRDefault="00494B49">
      <w:pPr>
        <w:pStyle w:val="BExamplepara"/>
      </w:pPr>
      <w:r>
        <w:t>+ $8,000 allocable gain from the marketable securities.</w:t>
      </w:r>
    </w:p>
    <w:p w14:paraId="4F12F4E9" w14:textId="77777777" w:rsidR="00494B49" w:rsidRDefault="00494B49">
      <w:pPr>
        <w:pStyle w:val="BExamplepara"/>
      </w:pPr>
      <w:r>
        <w:t>($12,000)</w:t>
      </w:r>
    </w:p>
    <w:p w14:paraId="254A5B73" w14:textId="77777777" w:rsidR="00494B49" w:rsidRDefault="00494B49">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30A30539"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790C2941" w14:textId="77777777" w:rsidR="00494B49" w:rsidRDefault="00494B49">
      <w:pPr>
        <w:pStyle w:val="BHead3"/>
      </w:pPr>
      <w:r>
        <w:t>b. Optional Simplified Method</w:t>
      </w:r>
    </w:p>
    <w:p w14:paraId="6297A2BD" w14:textId="77777777" w:rsidR="00494B49" w:rsidRDefault="00494B49">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6E4B1DE0" w14:textId="77777777" w:rsidR="00494B49" w:rsidRDefault="00494B49">
      <w:pPr>
        <w:pStyle w:val="BNormal"/>
      </w:pPr>
      <w:r>
        <w:lastRenderedPageBreak/>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52C605D2" w14:textId="77777777" w:rsidR="00494B49" w:rsidRDefault="00494B49">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6"/>
      </w:r>
      <w:r>
        <w:t xml:space="preserve"> In addition, because the net investment income tax on $250,000 would be only $9,500, it may be that the administrative costs of auditing returns for such amounts are cost-prohibitive.</w:t>
      </w:r>
    </w:p>
    <w:p w14:paraId="11DA356A" w14:textId="77777777" w:rsidR="00494B49" w:rsidRDefault="00494B49">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B3FDB1A" w14:textId="77777777" w:rsidR="00494B49" w:rsidRDefault="00494B49">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5BC56C1B" w14:textId="77777777" w:rsidR="00494B49" w:rsidRDefault="00494B49">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3FD124CC" w14:textId="77777777" w:rsidR="00494B49" w:rsidRDefault="00494B49">
      <w:pPr>
        <w:pStyle w:val="BHead4"/>
      </w:pPr>
      <w:r>
        <w:t xml:space="preserve">(1) Section 1411 Holding Period </w:t>
      </w:r>
    </w:p>
    <w:p w14:paraId="557D698B" w14:textId="77777777" w:rsidR="00494B49" w:rsidRDefault="00494B49">
      <w:pPr>
        <w:pStyle w:val="BNormal"/>
      </w:pPr>
      <w:r>
        <w:t xml:space="preserve">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w:t>
      </w:r>
      <w:r>
        <w:lastRenderedPageBreak/>
        <w:t>income.</w:t>
      </w:r>
      <w:r>
        <w:rPr>
          <w:rStyle w:val="FootnoteReference"/>
        </w:rPr>
        <w:footnoteReference w:id="807"/>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8"/>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4746E59E" w14:textId="77777777" w:rsidR="00494B49" w:rsidRDefault="00494B49">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09"/>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05E3BC5D" w14:textId="77777777" w:rsidR="00494B49" w:rsidRDefault="00494B49">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0CBDE6B9" w14:textId="77777777" w:rsidR="00494B49" w:rsidRDefault="00494B49">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10"/>
      </w:r>
      <w:r>
        <w:t xml:space="preserve"> The purpose of this rule is to prevent taxpayers from purging unfavorable tax attributes that would be included in the multiplier in preceding years.</w:t>
      </w:r>
      <w:r>
        <w:rPr>
          <w:rStyle w:val="FootnoteReference"/>
        </w:rPr>
        <w:footnoteReference w:id="811"/>
      </w:r>
      <w:r>
        <w:t xml:space="preserve"> However, it is important to note that this rule can also be taxpayer favorable when the tacked holding period is beneficial to the overall multiplier. Although this would most commonly occur in a tiered partnership structure in which a lower-tier </w:t>
      </w:r>
      <w:r>
        <w:lastRenderedPageBreak/>
        <w:t xml:space="preserve">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6C48FDC1" w14:textId="77777777" w:rsidR="00494B49" w:rsidRDefault="00494B49">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2"/>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73BB7F2" w14:textId="77777777" w:rsidR="00494B49" w:rsidRDefault="00494B49">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590C88DE" w14:textId="77777777" w:rsidR="00494B49" w:rsidRDefault="00494B49">
      <w:pPr>
        <w:pStyle w:val="BHead4"/>
      </w:pPr>
      <w:r>
        <w:t>(2) Dispositions Eligible for the Optional Simplified Method</w:t>
      </w:r>
    </w:p>
    <w:p w14:paraId="50EB9134" w14:textId="77777777" w:rsidR="00494B49" w:rsidRDefault="00494B49">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782E4896" w14:textId="77777777" w:rsidR="00494B49" w:rsidRDefault="00494B49">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3"/>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4"/>
      </w:r>
    </w:p>
    <w:p w14:paraId="22A39463" w14:textId="77777777" w:rsidR="00494B49" w:rsidRDefault="00494B49">
      <w:pPr>
        <w:pStyle w:val="BNormal"/>
      </w:pPr>
      <w:r>
        <w:t xml:space="preserve">The second type of sale eligible for the Optional Simplified Method occurs when: </w:t>
      </w:r>
    </w:p>
    <w:p w14:paraId="78805109" w14:textId="77777777" w:rsidR="00494B49" w:rsidRDefault="00494B49">
      <w:pPr>
        <w:pStyle w:val="BListitembul"/>
      </w:pPr>
      <w:r>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6DB1B383" w14:textId="77777777" w:rsidR="00494B49" w:rsidRDefault="00494B49">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5"/>
      </w:r>
    </w:p>
    <w:p w14:paraId="5540A27F" w14:textId="77777777" w:rsidR="00494B49" w:rsidRDefault="00494B49">
      <w:pPr>
        <w:pStyle w:val="BHead4"/>
      </w:pPr>
      <w:r>
        <w:lastRenderedPageBreak/>
        <w:t xml:space="preserve">(3) Dispositions Not Eligible for the Optional </w:t>
      </w:r>
      <w:r>
        <w:br/>
        <w:t>Simplified Method</w:t>
      </w:r>
    </w:p>
    <w:p w14:paraId="2BA6D05C" w14:textId="77777777" w:rsidR="00494B49" w:rsidRDefault="00494B49">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w:t>
        </w:r>
        <w:proofErr w:type="spellStart"/>
        <w:r>
          <w:t>i</w:t>
        </w:r>
        <w:proofErr w:type="spellEnd"/>
        <w:r>
          <w:t>)</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39941451" w14:textId="77777777" w:rsidR="00494B49" w:rsidRDefault="00494B49">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6"/>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7"/>
      </w:r>
      <w:r>
        <w:t xml:space="preserve"> option exercises, and compensatory grants.</w:t>
      </w:r>
    </w:p>
    <w:p w14:paraId="00DC386D" w14:textId="77777777" w:rsidR="00494B49" w:rsidRDefault="00494B49">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8"/>
      </w:r>
      <w:r>
        <w:t xml:space="preserve"> A transferor who contributes, directly or indirectly, Section 1411 Property (other than cash or cash equivalents) within 120 days of the disposition of the interest in the Passthrough Entity is presumed to have made the contribution as part of a plan that includes the transfer of the interest in the Passthrough Entity.</w:t>
      </w:r>
      <w:r>
        <w:rPr>
          <w:rStyle w:val="FootnoteReference"/>
        </w:rPr>
        <w:footnoteReference w:id="819"/>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1B6D6EA3" w14:textId="77777777" w:rsidR="00494B49" w:rsidRDefault="00494B49">
      <w:pPr>
        <w:pStyle w:val="BNormal"/>
      </w:pPr>
      <w:r>
        <w:lastRenderedPageBreak/>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20"/>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w:t>
      </w:r>
      <w:proofErr w:type="spellStart"/>
      <w:r>
        <w:t>QSub</w:t>
      </w:r>
      <w:proofErr w:type="spellEnd"/>
      <w:r>
        <w:t xml:space="preserve"> election of a corporation wholly owned by the S corporation.</w:t>
      </w:r>
      <w:r>
        <w:rPr>
          <w:rStyle w:val="FootnoteReference"/>
        </w:rPr>
        <w:footnoteReference w:id="821"/>
      </w:r>
      <w:r>
        <w:t xml:space="preserve"> It is likely, although not free from doubt, that if an entity’s balance sheet changes by more than 25% during the Section 1411 Holding Period, owners will likely know about it.</w:t>
      </w:r>
      <w:r>
        <w:rPr>
          <w:rStyle w:val="FootnoteReference"/>
        </w:rPr>
        <w:footnoteReference w:id="822"/>
      </w:r>
    </w:p>
    <w:p w14:paraId="503A302B" w14:textId="77777777" w:rsidR="00494B49" w:rsidRDefault="00494B49">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3"/>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the two days of historical Schedules K-1 are not representative of the S corporation’s assets of the S corporation. Because the Treasury Department and IRS presumably were unable to bar this type of pre-sale planning, the government eliminated the simplifying conventions for the shareholders.</w:t>
      </w:r>
    </w:p>
    <w:p w14:paraId="6356B580" w14:textId="77777777" w:rsidR="00494B49" w:rsidRDefault="00494B49">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4"/>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w:t>
      </w:r>
      <w:r>
        <w:lastRenderedPageBreak/>
        <w:t xml:space="preserve">Therefore, it would be too difficult for the partner to deconstruct a unified Schedule K-1 into component parts when only a nonvertical slice of the partnership is sold. </w:t>
      </w:r>
    </w:p>
    <w:p w14:paraId="107DE9C9" w14:textId="77777777" w:rsidR="00494B49" w:rsidRDefault="00494B49">
      <w:pPr>
        <w:pStyle w:val="BHead4"/>
      </w:pPr>
      <w:r>
        <w:t>(4) Calculation of §1411(c)(4) Adjustment Under the Optional Simplified Method</w:t>
      </w:r>
    </w:p>
    <w:p w14:paraId="497E8847"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163EF7D8" w14:textId="77777777" w:rsidR="00494B49" w:rsidRDefault="00494B49">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08B6CA1A"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5"/>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6"/>
      </w:r>
      <w:r>
        <w:t xml:space="preserve"> Following the same logic, if the seller has a tacked holding period because the transferor transferred an interest in a Subsidiary Passthrough Entity to the Passthrough Entity,</w:t>
      </w:r>
      <w:r>
        <w:rPr>
          <w:rStyle w:val="FootnoteReference"/>
        </w:rPr>
        <w:footnoteReference w:id="827"/>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8"/>
      </w:r>
    </w:p>
    <w:p w14:paraId="6773F680" w14:textId="77777777" w:rsidR="00494B49" w:rsidRDefault="00494B49" w:rsidP="007865AF">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 </w:t>
      </w:r>
    </w:p>
    <w:p w14:paraId="66C46909" w14:textId="77777777" w:rsidR="00494B49" w:rsidRDefault="00494B49" w:rsidP="007865AF">
      <w:pPr>
        <w:pStyle w:val="BNormal"/>
      </w:pPr>
    </w:p>
    <w:tbl>
      <w:tblPr>
        <w:tblStyle w:val="TableGrid"/>
        <w:tblW w:w="0" w:type="auto"/>
        <w:tblLook w:val="04A0" w:firstRow="1" w:lastRow="0" w:firstColumn="1" w:lastColumn="0" w:noHBand="0" w:noVBand="1"/>
      </w:tblPr>
      <w:tblGrid>
        <w:gridCol w:w="5435"/>
        <w:gridCol w:w="1809"/>
        <w:gridCol w:w="2106"/>
      </w:tblGrid>
      <w:tr w:rsidR="00494B49" w14:paraId="18D72603" w14:textId="77777777">
        <w:tc>
          <w:tcPr>
            <w:tcW w:w="3360" w:type="dxa"/>
          </w:tcPr>
          <w:p w14:paraId="17FE64A0" w14:textId="77777777" w:rsidR="00494B49" w:rsidRDefault="00494B49">
            <w:r>
              <w:t>Multiplier</w:t>
            </w:r>
          </w:p>
        </w:tc>
        <w:tc>
          <w:tcPr>
            <w:tcW w:w="3360" w:type="dxa"/>
          </w:tcPr>
          <w:p w14:paraId="15670640" w14:textId="77777777" w:rsidR="00494B49" w:rsidRDefault="00494B49">
            <w:r>
              <w:t>=</w:t>
            </w:r>
          </w:p>
        </w:tc>
        <w:tc>
          <w:tcPr>
            <w:tcW w:w="3360" w:type="dxa"/>
          </w:tcPr>
          <w:p w14:paraId="2C677A9A" w14:textId="77777777" w:rsidR="00494B49" w:rsidRDefault="00494B49">
            <w:r>
              <w:t xml:space="preserve">Total “net NII” over </w:t>
            </w:r>
            <w:r>
              <w:br/>
              <w:t>the Section 1411 Holding Period</w:t>
            </w:r>
            <w:r>
              <w:rPr>
                <w:rStyle w:val="FootnoteReference"/>
              </w:rPr>
              <w:footnoteReference w:id="829"/>
            </w:r>
          </w:p>
        </w:tc>
      </w:tr>
      <w:tr w:rsidR="00494B49" w14:paraId="1645BC4E" w14:textId="77777777">
        <w:trPr>
          <w:gridAfter w:val="2"/>
          <w:wAfter w:w="6720" w:type="dxa"/>
        </w:trPr>
        <w:tc>
          <w:tcPr>
            <w:tcW w:w="10080" w:type="dxa"/>
          </w:tcPr>
          <w:p w14:paraId="10DA002F" w14:textId="77777777" w:rsidR="00494B49" w:rsidRDefault="00494B49">
            <w:r>
              <w:lastRenderedPageBreak/>
              <w:t xml:space="preserve">Total “net income” over </w:t>
            </w:r>
            <w:r>
              <w:br/>
              <w:t>the Section 1411 Holding Period</w:t>
            </w:r>
            <w:r>
              <w:rPr>
                <w:rStyle w:val="FootnoteReference"/>
              </w:rPr>
              <w:footnoteReference w:id="830"/>
            </w:r>
          </w:p>
        </w:tc>
      </w:tr>
    </w:tbl>
    <w:p w14:paraId="0C55BCC7" w14:textId="77777777" w:rsidR="00494B49" w:rsidRDefault="00494B49">
      <w:pPr>
        <w:pStyle w:val="BNormal"/>
      </w:pPr>
      <w:r>
        <w:t xml:space="preserve"> </w:t>
      </w:r>
    </w:p>
    <w:p w14:paraId="5037D9DC" w14:textId="77777777" w:rsidR="00494B49" w:rsidRDefault="00494B49">
      <w:pPr>
        <w:pStyle w:val="BNormal"/>
      </w:pPr>
      <w:r>
        <w:t xml:space="preserve">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w:t>
      </w:r>
      <w:proofErr w:type="spellStart"/>
      <w:r>
        <w:t>net</w:t>
      </w:r>
      <w:proofErr w:type="spellEnd"/>
      <w:r>
        <w:t xml:space="preserve"> investment income loses are greater than total net loss). To account for these possibilities, the regulation provides that “[</w:t>
      </w:r>
      <w:proofErr w:type="spellStart"/>
      <w:r>
        <w:t>i</w:t>
      </w:r>
      <w:proofErr w:type="spellEnd"/>
      <w:r>
        <w:t>]f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1"/>
      </w:r>
    </w:p>
    <w:p w14:paraId="09ADB646" w14:textId="77777777" w:rsidR="00494B49" w:rsidRDefault="00494B49">
      <w:pPr>
        <w:pStyle w:val="BHead4"/>
      </w:pPr>
      <w:r>
        <w:t>(5) Examples of the Optional Simplified Method</w:t>
      </w:r>
    </w:p>
    <w:p w14:paraId="68365DBD" w14:textId="77777777" w:rsidR="00494B49" w:rsidRDefault="00494B49">
      <w:pPr>
        <w:pStyle w:val="BExamplepara"/>
      </w:pPr>
      <w:r>
        <w:t xml:space="preserve"> </w:t>
      </w:r>
      <w:r>
        <w:rPr>
          <w:i/>
        </w:rPr>
        <w:t xml:space="preserve">Example 1: </w:t>
      </w:r>
    </w:p>
    <w:p w14:paraId="08B7125A" w14:textId="77777777" w:rsidR="00494B49" w:rsidRDefault="00494B49">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7247AF61" w14:textId="77777777" w:rsidR="00494B49" w:rsidRDefault="00494B49" w:rsidP="007865AF">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43200E47"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0"/>
        <w:gridCol w:w="4670"/>
      </w:tblGrid>
      <w:tr w:rsidR="00494B49" w14:paraId="665EAF43" w14:textId="77777777">
        <w:tc>
          <w:tcPr>
            <w:tcW w:w="5040" w:type="dxa"/>
          </w:tcPr>
          <w:p w14:paraId="3FD0A551" w14:textId="77777777" w:rsidR="00494B49" w:rsidRDefault="00494B49"/>
        </w:tc>
        <w:tc>
          <w:tcPr>
            <w:tcW w:w="5040" w:type="dxa"/>
          </w:tcPr>
          <w:p w14:paraId="4262E101" w14:textId="77777777" w:rsidR="00494B49" w:rsidRDefault="00494B49">
            <w:r>
              <w:t>Aggregate income / (loss)</w:t>
            </w:r>
          </w:p>
        </w:tc>
      </w:tr>
      <w:tr w:rsidR="00494B49" w14:paraId="564147E6" w14:textId="77777777">
        <w:tc>
          <w:tcPr>
            <w:tcW w:w="5040" w:type="dxa"/>
          </w:tcPr>
          <w:p w14:paraId="59769D9E" w14:textId="77777777" w:rsidR="00494B49" w:rsidRDefault="00494B49">
            <w:r>
              <w:t>X (Nonpassive activity of A)</w:t>
            </w:r>
          </w:p>
        </w:tc>
        <w:tc>
          <w:tcPr>
            <w:tcW w:w="5040" w:type="dxa"/>
          </w:tcPr>
          <w:p w14:paraId="36898F0A" w14:textId="77777777" w:rsidR="00494B49" w:rsidRDefault="00494B49">
            <w:r>
              <w:t>$1,800,000</w:t>
            </w:r>
          </w:p>
        </w:tc>
      </w:tr>
      <w:tr w:rsidR="00494B49" w14:paraId="73BE2598" w14:textId="77777777">
        <w:tc>
          <w:tcPr>
            <w:tcW w:w="5040" w:type="dxa"/>
          </w:tcPr>
          <w:p w14:paraId="21703785" w14:textId="77777777" w:rsidR="00494B49" w:rsidRDefault="00494B49">
            <w:r>
              <w:t>Y (Passive activity of A)</w:t>
            </w:r>
          </w:p>
        </w:tc>
        <w:tc>
          <w:tcPr>
            <w:tcW w:w="5040" w:type="dxa"/>
          </w:tcPr>
          <w:p w14:paraId="690EB18C" w14:textId="77777777" w:rsidR="00494B49" w:rsidRDefault="00494B49">
            <w:r>
              <w:t>($10,000)</w:t>
            </w:r>
          </w:p>
        </w:tc>
      </w:tr>
      <w:tr w:rsidR="00494B49" w14:paraId="7946C661" w14:textId="77777777">
        <w:tc>
          <w:tcPr>
            <w:tcW w:w="5040" w:type="dxa"/>
          </w:tcPr>
          <w:p w14:paraId="60B51AF9" w14:textId="77777777" w:rsidR="00494B49" w:rsidRDefault="00494B49">
            <w:r>
              <w:t xml:space="preserve">Marketable securities </w:t>
            </w:r>
          </w:p>
        </w:tc>
        <w:tc>
          <w:tcPr>
            <w:tcW w:w="5040" w:type="dxa"/>
          </w:tcPr>
          <w:p w14:paraId="1ED8ABE2" w14:textId="77777777" w:rsidR="00494B49" w:rsidRDefault="00494B49">
            <w:r>
              <w:t>$20,000</w:t>
            </w:r>
          </w:p>
        </w:tc>
      </w:tr>
    </w:tbl>
    <w:p w14:paraId="2B3569CE" w14:textId="77777777" w:rsidR="00494B49" w:rsidRDefault="00494B49">
      <w:pPr>
        <w:pStyle w:val="BNormal"/>
      </w:pPr>
    </w:p>
    <w:p w14:paraId="3B28D356" w14:textId="77777777" w:rsidR="00494B49" w:rsidRDefault="00494B49">
      <w:pPr>
        <w:pStyle w:val="BExamplepara"/>
      </w:pPr>
      <w:r>
        <w:rPr>
          <w:rStyle w:val="BExamplehead"/>
          <w:rFonts w:eastAsiaTheme="minorHAnsi"/>
          <w:i/>
        </w:rPr>
        <w:t>Determination of Optional Simplified Method eligibility</w:t>
      </w:r>
      <w:r>
        <w:t>:</w:t>
      </w:r>
    </w:p>
    <w:p w14:paraId="2840595E" w14:textId="77777777" w:rsidR="00494B49" w:rsidRDefault="00494B49">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2"/>
      </w:r>
      <w:r>
        <w:t xml:space="preserve"> The total amount of A’s </w:t>
      </w:r>
      <w:r>
        <w:lastRenderedPageBreak/>
        <w:t xml:space="preserve">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47B13DCB" w14:textId="77777777" w:rsidR="00494B49" w:rsidRDefault="00494B49">
      <w:pPr>
        <w:pStyle w:val="BExamplepara"/>
      </w:pPr>
      <w:r>
        <w:rPr>
          <w:rStyle w:val="BExamplehead"/>
          <w:rFonts w:eastAsiaTheme="minorHAnsi"/>
          <w:i/>
        </w:rPr>
        <w:t>Calculation of net gain included in computation of net investment income</w:t>
      </w:r>
      <w:r>
        <w:t>:</w:t>
      </w:r>
    </w:p>
    <w:p w14:paraId="759C7BFF"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F4DCB05" w14:textId="77777777" w:rsidR="00494B49" w:rsidRDefault="00494B49">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w:t>
      </w:r>
      <w:proofErr w:type="spellStart"/>
      <w:r>
        <w:t>i</w:t>
      </w:r>
      <w:proofErr w:type="spellEnd"/>
      <w:r>
        <w:t>)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3"/>
      </w:r>
    </w:p>
    <w:p w14:paraId="36722927" w14:textId="77777777" w:rsidR="00494B49" w:rsidRDefault="00494B49">
      <w:pPr>
        <w:pStyle w:val="BExamplepara"/>
      </w:pPr>
      <w:r>
        <w:t xml:space="preserve"> </w:t>
      </w:r>
      <w:r>
        <w:rPr>
          <w:i/>
        </w:rPr>
        <w:t xml:space="preserve">Example 2: </w:t>
      </w:r>
    </w:p>
    <w:p w14:paraId="54A188B2" w14:textId="77777777" w:rsidR="00494B49" w:rsidRDefault="00494B49">
      <w:pPr>
        <w:pStyle w:val="BExamplepara"/>
      </w:pPr>
      <w:r>
        <w:t xml:space="preserve">Assume the same facts as Example 1 above, but assume that A sells the interest in PRS for $900,000, which generates a $200,000 loss for regular income tax purposes. </w:t>
      </w:r>
    </w:p>
    <w:p w14:paraId="5405F219" w14:textId="77777777" w:rsidR="00494B49" w:rsidRDefault="00494B49">
      <w:pPr>
        <w:pStyle w:val="BExamplepara"/>
      </w:pPr>
      <w:r>
        <w:t xml:space="preserve"> </w:t>
      </w:r>
      <w:r>
        <w:rPr>
          <w:i/>
        </w:rPr>
        <w:t xml:space="preserve">Calculation of loss included in net investment income: </w:t>
      </w:r>
    </w:p>
    <w:p w14:paraId="03259655"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5404E7E9" w14:textId="77777777" w:rsidR="00494B49" w:rsidRDefault="00494B49">
      <w:pPr>
        <w:pStyle w:val="BExamplepara"/>
      </w:pPr>
      <w:r>
        <w:t xml:space="preserve">Because A’s allocable share, during the Section 1411 Holding Period, of income and loss of a type that is taken into account in calculating net investment income was a positive </w:t>
      </w:r>
      <w:r>
        <w:lastRenderedPageBreak/>
        <w:t xml:space="preserve">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5B41B5DA" w14:textId="77777777" w:rsidR="00494B49" w:rsidRDefault="00494B49">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02EA65BC" w14:textId="77777777" w:rsidR="00494B49" w:rsidRDefault="00494B49">
      <w:pPr>
        <w:pStyle w:val="BHead2"/>
      </w:pPr>
      <w:r>
        <w:t>3. Information Reporting</w:t>
      </w:r>
    </w:p>
    <w:p w14:paraId="754D823C" w14:textId="77777777" w:rsidR="00494B49" w:rsidRDefault="00494B49">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398A26B2" w14:textId="77777777" w:rsidR="00494B49" w:rsidRDefault="00494B49">
      <w:pPr>
        <w:pStyle w:val="BHead3"/>
      </w:pPr>
      <w:r>
        <w:t>a. Information Reporting by the Passthrough Entity to the Transferor</w:t>
      </w:r>
    </w:p>
    <w:p w14:paraId="03FB3EA1" w14:textId="77777777" w:rsidR="00494B49" w:rsidRDefault="00494B49">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4"/>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 a sample letter to a transferor when there is no Section 1411 Property.</w:t>
      </w:r>
    </w:p>
    <w:p w14:paraId="589E504C" w14:textId="77777777" w:rsidR="00494B49" w:rsidRDefault="00494B49">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use the Optional Simplified Method but prefers to determine net gain or loss under the Primary Method, the transferor must negotiate with the Passthrough Entity the terms under which the information will be supplied.</w:t>
      </w:r>
    </w:p>
    <w:p w14:paraId="4C7B5B16" w14:textId="77777777" w:rsidR="00494B49" w:rsidRDefault="00494B49">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w:t>
      </w:r>
      <w:r>
        <w:lastRenderedPageBreak/>
        <w:t xml:space="preserve">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33622EEA" w14:textId="77777777" w:rsidR="00494B49" w:rsidRDefault="00494B49">
      <w:pPr>
        <w:pStyle w:val="BHead3"/>
      </w:pPr>
      <w:r>
        <w:t xml:space="preserve">b. Information Reporting by the Transferor </w:t>
      </w:r>
    </w:p>
    <w:p w14:paraId="58AE8B44" w14:textId="77777777" w:rsidR="00494B49" w:rsidRDefault="00494B49">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5"/>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3B219BC0" w14:textId="77777777" w:rsidR="00494B49" w:rsidRDefault="00494B49">
      <w:pPr>
        <w:pStyle w:val="BHead2"/>
      </w:pPr>
      <w:r>
        <w:t>4. Special Operating Rules</w:t>
      </w:r>
    </w:p>
    <w:p w14:paraId="1360EBBF" w14:textId="77777777" w:rsidR="00494B49" w:rsidRDefault="00494B49">
      <w:pPr>
        <w:pStyle w:val="BHead3"/>
      </w:pPr>
      <w:r>
        <w:t>a. Certain Liquidations</w:t>
      </w:r>
    </w:p>
    <w:p w14:paraId="0840AD72" w14:textId="77777777" w:rsidR="00494B49" w:rsidRDefault="00494B49">
      <w:pPr>
        <w:pStyle w:val="BNormal"/>
      </w:pPr>
      <w:r>
        <w:t xml:space="preserve">2013 Prop. Reg. </w:t>
      </w:r>
      <w:smartTag w:uri="http://www.bna.com/sgml2word/cite" w:element="cite.cfr">
        <w:smartTagPr>
          <w:attr w:name="ref" w:val="prule\cfr\26\1.1411-7(a)(4)(i)"/>
        </w:smartTagPr>
        <w:r>
          <w:t>§1.1411-7(a)(4)(</w:t>
        </w:r>
        <w:proofErr w:type="spellStart"/>
        <w:r>
          <w:t>i</w:t>
        </w:r>
        <w:proofErr w:type="spellEnd"/>
        <w:r>
          <w:t>)</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t>§1.1411-7(a)(4)(</w:t>
        </w:r>
        <w:proofErr w:type="spellStart"/>
        <w:r>
          <w:t>i</w:t>
        </w:r>
        <w:proofErr w:type="spellEnd"/>
        <w:r>
          <w:t>)</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6"/>
      </w:r>
      <w:r>
        <w:t xml:space="preserve"> or disregarded entity.</w:t>
      </w:r>
      <w:r>
        <w:rPr>
          <w:rStyle w:val="FootnoteReference"/>
        </w:rPr>
        <w:footnoteReference w:id="837"/>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344AA497" w14:textId="77777777" w:rsidR="00494B49" w:rsidRDefault="00494B49" w:rsidP="007865AF">
      <w:pPr>
        <w:pStyle w:val="BHead3"/>
        <w:keepNext/>
        <w:keepLines/>
      </w:pPr>
      <w:r>
        <w:lastRenderedPageBreak/>
        <w:t>b. Coordinating Rules for S Corporations</w:t>
      </w:r>
    </w:p>
    <w:p w14:paraId="2E98F4D8" w14:textId="77777777" w:rsidR="00494B49" w:rsidRDefault="00494B49" w:rsidP="007865AF">
      <w:pPr>
        <w:pStyle w:val="BHead4"/>
        <w:keepNext/>
        <w:keepLines/>
      </w:pPr>
      <w:r>
        <w:t>(1) Sales That Terminate the Passthrough Entity’s S Corporation Election</w:t>
      </w:r>
    </w:p>
    <w:p w14:paraId="3CF5E0F4" w14:textId="77777777" w:rsidR="00494B49" w:rsidRDefault="00494B49">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3FC3CC5A" w14:textId="77777777" w:rsidR="00494B49" w:rsidRDefault="00494B49">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38"/>
      </w:r>
    </w:p>
    <w:p w14:paraId="55837F1F" w14:textId="77777777" w:rsidR="00494B49" w:rsidRDefault="00494B49">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30B0ADB7" w14:textId="77777777" w:rsidR="00494B49" w:rsidRDefault="00494B49">
      <w:pPr>
        <w:pStyle w:val="BExamplepara"/>
      </w:pPr>
      <w:r>
        <w:t xml:space="preserve"> </w:t>
      </w:r>
      <w:r>
        <w:rPr>
          <w:i/>
        </w:rPr>
        <w:t>Example 1:</w:t>
      </w:r>
    </w:p>
    <w:p w14:paraId="05051D13" w14:textId="77777777" w:rsidR="00494B49" w:rsidRDefault="00494B49">
      <w:pPr>
        <w:pStyle w:val="BExamplepara"/>
      </w:pPr>
      <w:proofErr w:type="spellStart"/>
      <w:r>
        <w:t>SCo</w:t>
      </w:r>
      <w:proofErr w:type="spellEnd"/>
      <w:r>
        <w:t xml:space="preserve">, an S corporation, is owned 100% by A. A agrees to sell 40% of </w:t>
      </w:r>
      <w:proofErr w:type="spellStart"/>
      <w:r>
        <w:t>SCo</w:t>
      </w:r>
      <w:proofErr w:type="spellEnd"/>
      <w:r>
        <w:t xml:space="preserve"> to PEP, a private equity partnership, in a transaction consummated on September 30. However, the terms of the transaction require </w:t>
      </w:r>
      <w:proofErr w:type="spellStart"/>
      <w:r>
        <w:t>SCo</w:t>
      </w:r>
      <w:proofErr w:type="spellEnd"/>
      <w:r>
        <w:t xml:space="preserve"> to recapitalize in a nontaxable transaction (described in </w:t>
      </w:r>
      <w:smartTag w:uri="http://www.bna.com/sgml2word/cite" w:element="cite.usc">
        <w:smartTagPr>
          <w:attr w:name="ref" w:val="USC\26\368(a)(1)(E)"/>
        </w:smartTagPr>
        <w:r>
          <w:t>§368(a)(1)(E)</w:t>
        </w:r>
      </w:smartTag>
      <w:r>
        <w:t xml:space="preserve">) where the single class of </w:t>
      </w:r>
      <w:proofErr w:type="spellStart"/>
      <w:r>
        <w:t>SCo</w:t>
      </w:r>
      <w:proofErr w:type="spellEnd"/>
      <w:r>
        <w:t xml:space="preserve"> stock will be split into common shares and preferred shares with special distribution and voting rights. The recapitalization occurs at 12:01pm on September 30, and the sale of 100% of preferred stock to PEP occurs at 12:02pm on September 30. On the morning of September 30, </w:t>
      </w:r>
      <w:proofErr w:type="spellStart"/>
      <w:r>
        <w:t>SCo</w:t>
      </w:r>
      <w:proofErr w:type="spellEnd"/>
      <w:r>
        <w:t xml:space="preserve">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w:t>
      </w:r>
      <w:proofErr w:type="spellStart"/>
      <w:r>
        <w:t>SCo’s</w:t>
      </w:r>
      <w:proofErr w:type="spellEnd"/>
      <w:r>
        <w:t xml:space="preserve">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30392258" w14:textId="77777777" w:rsidR="00494B49" w:rsidRDefault="00494B49">
      <w:pPr>
        <w:pStyle w:val="BExamplepara"/>
      </w:pPr>
      <w:r>
        <w:t xml:space="preserve"> </w:t>
      </w:r>
      <w:r>
        <w:rPr>
          <w:i/>
        </w:rPr>
        <w:t xml:space="preserve">Example 2: </w:t>
      </w:r>
    </w:p>
    <w:p w14:paraId="1AE7458A" w14:textId="77777777" w:rsidR="00494B49" w:rsidRDefault="00494B49">
      <w:pPr>
        <w:pStyle w:val="BExamplepara"/>
      </w:pPr>
      <w:proofErr w:type="spellStart"/>
      <w:r>
        <w:t>SCo</w:t>
      </w:r>
      <w:proofErr w:type="spellEnd"/>
      <w:r>
        <w:t xml:space="preserve">, an S corporation, is owned 10% by B and 90% by C. B is an employee of </w:t>
      </w:r>
      <w:proofErr w:type="spellStart"/>
      <w:r>
        <w:t>SCo</w:t>
      </w:r>
      <w:proofErr w:type="spellEnd"/>
      <w:r>
        <w:t xml:space="preserve">. C agrees to sell his 90% interest in </w:t>
      </w:r>
      <w:proofErr w:type="spellStart"/>
      <w:r>
        <w:t>SCo</w:t>
      </w:r>
      <w:proofErr w:type="spellEnd"/>
      <w:r>
        <w:t xml:space="preserve"> to a publicly traded corporation on September 30. B </w:t>
      </w:r>
      <w:r>
        <w:lastRenderedPageBreak/>
        <w:t xml:space="preserve">agrees to remain an employee, but on the day of the sale, B transfers his stock to a charitable remainder trust. Although both transactions occurred on the same day, B’s transfer of 10% of </w:t>
      </w:r>
      <w:proofErr w:type="spellStart"/>
      <w:r>
        <w:t>SCo</w:t>
      </w:r>
      <w:proofErr w:type="spellEnd"/>
      <w:r>
        <w:t xml:space="preserve"> stock to a charitable reminder trust, an ineligible shareholder, terminated the S election. But which happened first? </w:t>
      </w:r>
    </w:p>
    <w:p w14:paraId="3563821F" w14:textId="77777777" w:rsidR="00494B49" w:rsidRDefault="00494B49">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w:t>
      </w:r>
      <w:proofErr w:type="spellStart"/>
      <w:r>
        <w:t>SCo’s</w:t>
      </w:r>
      <w:proofErr w:type="spellEnd"/>
      <w:r>
        <w:t xml:space="preserve">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4583A193" w14:textId="77777777" w:rsidR="00494B49" w:rsidRDefault="00494B49">
      <w:pPr>
        <w:pStyle w:val="BHead4"/>
      </w:pPr>
      <w:r>
        <w:t xml:space="preserve">(2) Treatment of Hypothetical §1374 Built-In Gain Taxes </w:t>
      </w:r>
    </w:p>
    <w:p w14:paraId="65DA54B9" w14:textId="77777777" w:rsidR="00494B49" w:rsidRDefault="00494B49">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39"/>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03F132A0" w14:textId="77777777" w:rsidR="00494B49" w:rsidRDefault="00494B49">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572FC970" w14:textId="77777777" w:rsidR="00494B49" w:rsidRDefault="00494B49">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40"/>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5F4FB90F" w14:textId="77777777" w:rsidR="00494B49" w:rsidRDefault="00494B49">
      <w:pPr>
        <w:pStyle w:val="BNormal"/>
      </w:pPr>
      <w:r>
        <w:lastRenderedPageBreak/>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1"/>
      </w:r>
    </w:p>
    <w:p w14:paraId="107B5975" w14:textId="77777777" w:rsidR="00494B49" w:rsidRDefault="00494B49">
      <w:pPr>
        <w:pStyle w:val="BHead4"/>
      </w:pPr>
      <w:r>
        <w:t>(3) Treatment of Section 1411 Dispositions by Qualified</w:t>
      </w:r>
      <w:r>
        <w:br/>
        <w:t>Subchapter S Trusts (QSSTs)</w:t>
      </w:r>
    </w:p>
    <w:p w14:paraId="67238B48" w14:textId="77777777" w:rsidR="00494B49" w:rsidRDefault="00494B49">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2"/>
      </w:r>
    </w:p>
    <w:p w14:paraId="59A348AF" w14:textId="77777777" w:rsidR="00494B49" w:rsidRDefault="00494B49">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3"/>
      </w:r>
      <w:r>
        <w:t xml:space="preserve"> In essence, the </w:t>
      </w:r>
      <w:smartTag w:uri="http://www.bna.com/sgml2word/cite" w:element="cite.usc">
        <w:smartTagPr>
          <w:attr w:name="ref" w:val="USC\26\1411(c)(4)"/>
        </w:smartTagPr>
        <w:r>
          <w:t>§1411(c)(4)</w:t>
        </w:r>
      </w:smartTag>
      <w:r>
        <w:t xml:space="preserve"> rules follow the treatment of the QSST and beneficiary for Chapter 1 income tax purposes.</w:t>
      </w:r>
    </w:p>
    <w:p w14:paraId="68284141" w14:textId="77777777" w:rsidR="00494B49" w:rsidRDefault="00494B49">
      <w:pPr>
        <w:pStyle w:val="BHead3"/>
      </w:pPr>
      <w:r>
        <w:t xml:space="preserve">c. Sales Involving Installment Sales and Private </w:t>
      </w:r>
      <w:r>
        <w:br/>
        <w:t xml:space="preserve">Annuities </w:t>
      </w:r>
    </w:p>
    <w:p w14:paraId="6B5C5917" w14:textId="77777777" w:rsidR="00494B49" w:rsidRDefault="00494B49">
      <w:pPr>
        <w:pStyle w:val="BHead4"/>
      </w:pPr>
      <w:r>
        <w:t xml:space="preserve">(1) General Rule </w:t>
      </w:r>
    </w:p>
    <w:p w14:paraId="50D2B892" w14:textId="77777777" w:rsidR="00494B49" w:rsidRDefault="00494B49">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w:t>
      </w:r>
      <w:proofErr w:type="spellStart"/>
      <w:r>
        <w:t>Rregulations</w:t>
      </w:r>
      <w:proofErr w:type="spellEnd"/>
      <w:r>
        <w:t xml:space="preserve"> provide that certain calculations are performed in the year of disposition as though the entire gain was recognized and taken into account in that year.</w:t>
      </w:r>
      <w:r>
        <w:rPr>
          <w:rStyle w:val="FootnoteReference"/>
        </w:rPr>
        <w:footnoteReference w:id="844"/>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5"/>
      </w:r>
      <w:r>
        <w:t xml:space="preserve"> testing for eligibility for the Optional Simplified Method,</w:t>
      </w:r>
      <w:r>
        <w:rPr>
          <w:rStyle w:val="FootnoteReference"/>
        </w:rPr>
        <w:footnoteReference w:id="846"/>
      </w:r>
      <w:r>
        <w:t xml:space="preserve"> and the amount of gain includible in the computation of net investment income under the Optional Simplified Method.</w:t>
      </w:r>
      <w:r>
        <w:rPr>
          <w:rStyle w:val="FootnoteReference"/>
        </w:rPr>
        <w:footnoteReference w:id="847"/>
      </w:r>
    </w:p>
    <w:p w14:paraId="3EFFA490" w14:textId="77777777" w:rsidR="00494B49" w:rsidRDefault="00494B49">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w:t>
      </w:r>
      <w:r>
        <w:lastRenderedPageBreak/>
        <w:t xml:space="preserve">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7058F4E3" w14:textId="77777777" w:rsidR="00494B49" w:rsidRDefault="00494B49">
      <w:pPr>
        <w:pStyle w:val="BExamplepara"/>
      </w:pPr>
      <w:r>
        <w:rPr>
          <w:rStyle w:val="BExamplehead"/>
          <w:rFonts w:eastAsiaTheme="minorHAnsi"/>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1FB79ABC" w14:textId="77777777" w:rsidR="00494B49" w:rsidRDefault="00494B49">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61B7D1EC" w14:textId="77777777" w:rsidR="00494B49" w:rsidRDefault="00494B49">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63FD2A57" w14:textId="77777777" w:rsidR="00494B49" w:rsidRDefault="00494B49">
      <w:pPr>
        <w:pStyle w:val="BHead4"/>
      </w:pPr>
      <w:r>
        <w:t>(2) Treatment of Contingent Payment Installment Sales and Private Annuities Based on Life Expectancy</w:t>
      </w:r>
    </w:p>
    <w:p w14:paraId="024E431F" w14:textId="77777777" w:rsidR="00494B49" w:rsidRDefault="00494B49">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48"/>
      </w:r>
    </w:p>
    <w:p w14:paraId="0F71A4E0" w14:textId="77777777" w:rsidR="00494B49" w:rsidRDefault="00494B49">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w:t>
      </w:r>
      <w:r>
        <w:lastRenderedPageBreak/>
        <w:t xml:space="preserve">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15CEEA17" w14:textId="77777777" w:rsidR="00494B49" w:rsidRDefault="00494B49">
      <w:pPr>
        <w:pStyle w:val="BNormal"/>
      </w:pPr>
      <w:r>
        <w:t>In the case of contingent installment sales,</w:t>
      </w:r>
      <w:r>
        <w:rPr>
          <w:rStyle w:val="FootnoteReference"/>
        </w:rPr>
        <w:footnoteReference w:id="849"/>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50"/>
      </w:r>
      <w:r>
        <w:t xml:space="preserve"> 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3DF72E20" w14:textId="77777777" w:rsidR="00494B49" w:rsidRDefault="00494B49">
      <w:pPr>
        <w:pStyle w:val="BHead2"/>
      </w:pPr>
      <w:r>
        <w:t>5. Tiered Passthrough Dispositions</w:t>
      </w:r>
    </w:p>
    <w:p w14:paraId="4EB15D30" w14:textId="77777777" w:rsidR="00494B49" w:rsidRDefault="00494B49">
      <w:pPr>
        <w:pStyle w:val="BNormal"/>
      </w:pPr>
      <w:r>
        <w:t>The 2013 Proposed Regulations partially address the sale of a lower-tier partnership interest by an upper-tier Passthrough Entity but fall short of providing a comprehensive solution.</w:t>
      </w:r>
    </w:p>
    <w:p w14:paraId="0550D2EF" w14:textId="77777777" w:rsidR="00494B49" w:rsidRDefault="00494B49">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1"/>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2"/>
      </w:r>
    </w:p>
    <w:p w14:paraId="08B8BBCC" w14:textId="77777777" w:rsidR="00494B49" w:rsidRDefault="00494B49">
      <w:pPr>
        <w:pStyle w:val="BHead3"/>
      </w:pPr>
      <w:r>
        <w:t>a. Computational Issues</w:t>
      </w:r>
    </w:p>
    <w:p w14:paraId="32093197" w14:textId="77777777" w:rsidR="00494B49" w:rsidRDefault="00494B49">
      <w:pPr>
        <w:pStyle w:val="BNormal"/>
      </w:pPr>
      <w:r>
        <w:lastRenderedPageBreak/>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3"/>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4"/>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5"/>
      </w:r>
    </w:p>
    <w:p w14:paraId="25C03557" w14:textId="77777777" w:rsidR="00494B49" w:rsidRDefault="00494B49">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6"/>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59CB0905" w14:textId="77777777" w:rsidR="00494B49" w:rsidRDefault="00494B49">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7"/>
      </w:r>
      <w:r>
        <w:t xml:space="preserve"> To put it differently, the preamble contained a riddle and asked commentators to solve it and show their work. The riddle in the preamble is: </w:t>
      </w:r>
    </w:p>
    <w:p w14:paraId="5D25EA6B" w14:textId="77777777" w:rsidR="00494B49" w:rsidRDefault="00494B49">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58"/>
      </w:r>
      <w:r>
        <w:t xml:space="preserve"> </w:t>
      </w:r>
    </w:p>
    <w:p w14:paraId="129EF067" w14:textId="77777777" w:rsidR="00494B49" w:rsidRDefault="00494B49">
      <w:pPr>
        <w:pStyle w:val="BNormal"/>
      </w:pPr>
      <w:r>
        <w:lastRenderedPageBreak/>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7679579C" w14:textId="77777777" w:rsidR="00494B49" w:rsidRDefault="00494B49">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282304B8" w14:textId="77777777" w:rsidR="00494B49" w:rsidRDefault="00494B49">
      <w:pPr>
        <w:pStyle w:val="BHead3"/>
      </w:pPr>
      <w:r>
        <w:t>b. Reporting in Tiered Structures</w:t>
      </w:r>
    </w:p>
    <w:p w14:paraId="6278C2DC" w14:textId="77777777" w:rsidR="00494B49" w:rsidRDefault="00494B49">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DD85EB8" w14:textId="77777777" w:rsidR="00494B49" w:rsidRDefault="00494B49">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00B688CC" w14:textId="77777777" w:rsidR="00494B49" w:rsidRDefault="00494B49">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5AAA650" w14:textId="77777777" w:rsidR="00494B49" w:rsidRDefault="00494B49">
      <w:pPr>
        <w:pStyle w:val="BHead2"/>
      </w:pPr>
      <w:r>
        <w:t>6. Short Year Sales: A Trap for the Unwary</w:t>
      </w:r>
    </w:p>
    <w:p w14:paraId="2EBB51B6" w14:textId="77777777" w:rsidR="00494B49" w:rsidRDefault="00494B49">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w:t>
      </w:r>
      <w:r>
        <w:lastRenderedPageBreak/>
        <w:t xml:space="preserve">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59"/>
      </w:r>
      <w:r>
        <w:t xml:space="preserve"> or on the Significant Participation Passive Activities rule (SPPA rule).</w:t>
      </w:r>
      <w:r>
        <w:rPr>
          <w:rStyle w:val="FootnoteReference"/>
        </w:rPr>
        <w:footnoteReference w:id="860"/>
      </w:r>
      <w:r>
        <w:t xml:space="preserve"> To the extent that an individual sells a business on, say, January 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1"/>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2"/>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633A81DD" w14:textId="77777777" w:rsidR="00494B49" w:rsidRDefault="00494B49">
      <w:pPr>
        <w:pStyle w:val="BHead1"/>
      </w:pPr>
      <w:r>
        <w:t>C. 2012 Proposed Regulations</w:t>
      </w:r>
    </w:p>
    <w:p w14:paraId="5694F7D1" w14:textId="77777777" w:rsidR="00494B49" w:rsidRDefault="00494B49">
      <w:pPr>
        <w:pStyle w:val="BHead2"/>
      </w:pPr>
      <w:r>
        <w:t>1. Deemed Sale Approach</w:t>
      </w:r>
    </w:p>
    <w:p w14:paraId="2BF3E26C" w14:textId="77777777" w:rsidR="00494B49" w:rsidRDefault="00494B49">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w:t>
      </w:r>
      <w:r>
        <w:lastRenderedPageBreak/>
        <w:t>be criticized; in explaining the government’s reasoning behind the Deemed Sale approach,</w:t>
      </w:r>
      <w:r>
        <w:rPr>
          <w:rStyle w:val="FootnoteReference"/>
        </w:rPr>
        <w:footnoteReference w:id="863"/>
      </w:r>
      <w:r>
        <w:t xml:space="preserve"> the preamble acknowledged the approach was administratively burdensome.</w:t>
      </w:r>
      <w:r>
        <w:rPr>
          <w:rStyle w:val="FootnoteReference"/>
        </w:rPr>
        <w:footnoteReference w:id="864"/>
      </w:r>
    </w:p>
    <w:p w14:paraId="46420660" w14:textId="77777777" w:rsidR="00494B49" w:rsidRDefault="00494B49">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6DFB731A" w14:textId="77777777" w:rsidR="00494B49" w:rsidRDefault="00494B49">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5"/>
      </w:r>
    </w:p>
    <w:p w14:paraId="627BB1AB" w14:textId="77777777" w:rsidR="00494B49" w:rsidRDefault="00494B49">
      <w:pPr>
        <w:pStyle w:val="BNormal"/>
      </w:pPr>
      <w:r>
        <w:t>The second step of the Deemed Sale was to compute the gain or loss on each of the entity’s properties (including goodwill) separately,</w:t>
      </w:r>
      <w:r>
        <w:rPr>
          <w:rStyle w:val="FootnoteReference"/>
        </w:rPr>
        <w:footnoteReference w:id="866"/>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7"/>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68"/>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69"/>
      </w:r>
    </w:p>
    <w:p w14:paraId="3E5BC576" w14:textId="77777777" w:rsidR="00494B49" w:rsidRDefault="00494B49">
      <w:pPr>
        <w:pStyle w:val="BNormal"/>
      </w:pPr>
      <w:r>
        <w:lastRenderedPageBreak/>
        <w:t>The third step of the Deemed Sale was to allocate the gain or loss from each property determined in the second step to the transferor.</w:t>
      </w:r>
      <w:r>
        <w:rPr>
          <w:rStyle w:val="FootnoteReference"/>
        </w:rPr>
        <w:footnoteReference w:id="870"/>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1"/>
      </w:r>
    </w:p>
    <w:p w14:paraId="61B31FA0" w14:textId="77777777" w:rsidR="00494B49" w:rsidRDefault="00494B49">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2"/>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2FD11C36" w14:textId="77777777" w:rsidR="00494B49" w:rsidRDefault="00494B49">
      <w:pPr>
        <w:pStyle w:val="BNormal"/>
      </w:pPr>
      <w:r>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3"/>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04340A5A" w14:textId="77777777" w:rsidR="00494B49" w:rsidRDefault="00494B49">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4"/>
      </w:r>
    </w:p>
    <w:p w14:paraId="5B7DE427" w14:textId="77777777" w:rsidR="00494B49" w:rsidRDefault="00494B49" w:rsidP="007865AF">
      <w:pPr>
        <w:pStyle w:val="BHead2"/>
        <w:keepNext/>
        <w:keepLines/>
        <w:ind w:left="720"/>
      </w:pPr>
      <w:r>
        <w:lastRenderedPageBreak/>
        <w:t>2. Taxpayer Reliance on 2012 Proposed Regulations — 2013 Tax Year</w:t>
      </w:r>
    </w:p>
    <w:p w14:paraId="07A6949F" w14:textId="77777777" w:rsidR="00494B49" w:rsidRDefault="00494B49" w:rsidP="007865AF">
      <w:pPr>
        <w:pStyle w:val="BNormal"/>
        <w:keepNext/>
        <w:keepLines/>
        <w:spacing w:before="240" w:after="120"/>
        <w:ind w:left="720"/>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5"/>
      </w:r>
      <w:r>
        <w:t xml:space="preserve"> Although the text of the 2012 Proposed Regulations did not contain such language, the 2013 Final Regulations included the operative text.</w:t>
      </w:r>
      <w:r>
        <w:rPr>
          <w:rStyle w:val="FootnoteReference"/>
        </w:rPr>
        <w:footnoteReference w:id="876"/>
      </w:r>
    </w:p>
    <w:p w14:paraId="1CA0532F" w14:textId="77777777" w:rsidR="00494B49" w:rsidRDefault="00494B49">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4DA3E71F" w14:textId="77777777" w:rsidR="00494B49" w:rsidRDefault="00494B49">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7"/>
      </w:r>
    </w:p>
    <w:p w14:paraId="23E6812E" w14:textId="77777777" w:rsidR="00494B49" w:rsidRDefault="00494B49">
      <w:pPr>
        <w:pStyle w:val="BNormal"/>
      </w:pPr>
      <w:r>
        <w:t xml:space="preserve">For the 2013 tax year, </w:t>
      </w:r>
      <w:hyperlink r:id="rId18" w:history="1">
        <w:r>
          <w:rPr>
            <w:rStyle w:val="Hyperlink"/>
            <w:i/>
          </w:rPr>
          <w:t>Instructions for Form 8960, Net Investment Income Tax Individuals, Estates, and Trusts</w:t>
        </w:r>
        <w:r>
          <w:rPr>
            <w:rStyle w:val="Hyperlink"/>
          </w:rPr>
          <w:t xml:space="preserve"> (2013)</w:t>
        </w:r>
      </w:hyperlink>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these references to the 2012 Proposed Regulations were dropped from </w:t>
      </w:r>
      <w:hyperlink r:id="rId19" w:history="1">
        <w:r>
          <w:rPr>
            <w:rStyle w:val="Hyperlink"/>
            <w:i/>
          </w:rPr>
          <w:t>Instructions for Form 8960, Net Investment Income Tax Individuals, Estates, and Trusts</w:t>
        </w:r>
        <w:r>
          <w:rPr>
            <w:rStyle w:val="Hyperlink"/>
          </w:rPr>
          <w:t xml:space="preserve"> (2014)</w:t>
        </w:r>
      </w:hyperlink>
      <w:r>
        <w:t>.</w:t>
      </w:r>
    </w:p>
    <w:p w14:paraId="5CF69149" w14:textId="77777777" w:rsidR="00494B49" w:rsidRDefault="00494B49">
      <w:pPr>
        <w:pStyle w:val="BChapterName"/>
      </w:pPr>
      <w:r>
        <w:t xml:space="preserve">VII. Income from Controlled Foreign Corporations and Passive Foreign Investment Companies </w:t>
      </w:r>
    </w:p>
    <w:p w14:paraId="7A30739C" w14:textId="77777777" w:rsidR="00494B49" w:rsidRDefault="00494B49">
      <w:pPr>
        <w:pStyle w:val="BHead1"/>
      </w:pPr>
      <w:r>
        <w:t>A. Overview of Regular Income Taxation of Controlled Foreign Corporations and Passive Foreign Investment Companies</w:t>
      </w:r>
    </w:p>
    <w:p w14:paraId="2FD01C90" w14:textId="77777777" w:rsidR="00494B49" w:rsidRDefault="00494B49">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taken into account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78"/>
      </w:r>
      <w:r>
        <w:t xml:space="preserve"> or a PFIC</w:t>
      </w:r>
      <w:r>
        <w:rPr>
          <w:rStyle w:val="FootnoteReference"/>
        </w:rPr>
        <w:footnoteReference w:id="879"/>
      </w:r>
      <w:r>
        <w:t xml:space="preserve"> are taken into account in computing net investment income. In other words, if a distribution from a CFC or PFIC is a dividend for regular income tax purpose (that is, not subject to any special rule </w:t>
      </w:r>
      <w:r>
        <w:lastRenderedPageBreak/>
        <w:t>of inclusion or exclusion), it is a dividend for NIIT purposes.</w:t>
      </w:r>
      <w:r>
        <w:rPr>
          <w:rStyle w:val="FootnoteReference"/>
        </w:rPr>
        <w:footnoteReference w:id="880"/>
      </w:r>
      <w:r>
        <w:t xml:space="preserve"> But that is where the simplicity ends. This section of the Portfolio provides a detailed discussion of the application of the NIIT in the context of CFCs and PFICs.</w:t>
      </w:r>
    </w:p>
    <w:p w14:paraId="5DE48193" w14:textId="77777777" w:rsidR="00494B49" w:rsidRDefault="00494B49">
      <w:pPr>
        <w:pStyle w:val="BHead2"/>
      </w:pPr>
      <w:r>
        <w:t xml:space="preserve">1. Controlled Foreign Corporations (CFCs) </w:t>
      </w:r>
    </w:p>
    <w:p w14:paraId="224BC643" w14:textId="77777777" w:rsidR="00494B49" w:rsidRDefault="00494B49">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1"/>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2"/>
      </w:r>
    </w:p>
    <w:p w14:paraId="5001B45B" w14:textId="77777777" w:rsidR="00494B49" w:rsidRDefault="00494B49">
      <w:pPr>
        <w:pStyle w:val="BNormal"/>
      </w:pPr>
      <w:r>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3"/>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4"/>
      </w:r>
    </w:p>
    <w:p w14:paraId="6C70F3DA" w14:textId="77777777" w:rsidR="00494B49" w:rsidRDefault="00494B49">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5"/>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4447E882" w14:textId="77777777" w:rsidR="00494B49" w:rsidRDefault="00494B49">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w:t>
      </w:r>
      <w:r>
        <w:lastRenderedPageBreak/>
        <w:t xml:space="preserve">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6"/>
      </w:r>
    </w:p>
    <w:p w14:paraId="15AF95E0" w14:textId="77777777" w:rsidR="00494B49" w:rsidRDefault="00494B49">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0C157344"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7"/>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2DF3B6B8" w14:textId="77777777" w:rsidR="00494B49" w:rsidRDefault="00494B49">
      <w:pPr>
        <w:pStyle w:val="BHead2"/>
      </w:pPr>
      <w:r>
        <w:t xml:space="preserve">2. Passive Foreign Investment Companies (PFICs) </w:t>
      </w:r>
    </w:p>
    <w:p w14:paraId="79B58177" w14:textId="77777777" w:rsidR="00494B49" w:rsidRDefault="00494B49">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provide shareholders with an alternative method to include income currently with respect to their interest in a PFIC by allowing them to elect to mark to market their PFIC stock, provided the stock is marketable.</w:t>
      </w:r>
    </w:p>
    <w:p w14:paraId="43349D27" w14:textId="77777777" w:rsidR="00494B49" w:rsidRDefault="00494B49">
      <w:pPr>
        <w:pStyle w:val="BNormal"/>
      </w:pPr>
      <w:r>
        <w:t>Very generally, a foreign corporation is a PFIC if (1) 75% or more of its gross income is passive income</w:t>
      </w:r>
      <w:r>
        <w:rPr>
          <w:rStyle w:val="FootnoteReference"/>
        </w:rPr>
        <w:footnoteReference w:id="888"/>
      </w:r>
      <w:r>
        <w:t xml:space="preserve"> or (2) 50% or more of the average value of its assets consists of assets that produce, or that are held for the production of, passive income.</w:t>
      </w:r>
      <w:r>
        <w:rPr>
          <w:rStyle w:val="FootnoteReference"/>
        </w:rPr>
        <w:footnoteReference w:id="889"/>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547DC2CC" w14:textId="77777777" w:rsidR="00494B49" w:rsidRDefault="00494B49">
      <w:pPr>
        <w:pStyle w:val="BHead3"/>
      </w:pPr>
      <w:r>
        <w:t>a. Section 1291 Funds</w:t>
      </w:r>
    </w:p>
    <w:p w14:paraId="77A6FFF2" w14:textId="77777777" w:rsidR="00494B49" w:rsidRDefault="00494B49">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5CB5E012" w14:textId="77777777" w:rsidR="00494B49" w:rsidRDefault="00494B49">
      <w:pPr>
        <w:pStyle w:val="BNormal"/>
      </w:pPr>
      <w:r>
        <w:t>For PFICs taxed under this regime, gain from a disposition</w:t>
      </w:r>
      <w:r>
        <w:rPr>
          <w:rStyle w:val="FootnoteReference"/>
        </w:rPr>
        <w:footnoteReference w:id="890"/>
      </w:r>
      <w:r>
        <w:t xml:space="preserve"> or the portion of any distribution that is an excess distribution is treated as ordinary income</w:t>
      </w:r>
      <w:r>
        <w:rPr>
          <w:rStyle w:val="FootnoteReference"/>
        </w:rPr>
        <w:footnoteReference w:id="891"/>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2"/>
      </w:r>
    </w:p>
    <w:p w14:paraId="486207CD" w14:textId="77777777" w:rsidR="00494B49" w:rsidRDefault="00494B49">
      <w:pPr>
        <w:pStyle w:val="BNormal"/>
      </w:pPr>
      <w:r>
        <w:lastRenderedPageBreak/>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3"/>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73D22793" w14:textId="77777777" w:rsidR="00494B49" w:rsidRDefault="00494B49">
      <w:pPr>
        <w:pStyle w:val="BNormal"/>
      </w:pPr>
      <w:r>
        <w:t>The total excess distribution is the amount by which the total distribution for the current shareholder year, with certain adjustments, exceeds the “non-excess distribution.”</w:t>
      </w:r>
      <w:r>
        <w:rPr>
          <w:rStyle w:val="FootnoteReference"/>
        </w:rPr>
        <w:footnoteReference w:id="894"/>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5"/>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6"/>
      </w:r>
    </w:p>
    <w:p w14:paraId="60452604" w14:textId="77777777" w:rsidR="00494B49" w:rsidRDefault="00494B49">
      <w:pPr>
        <w:pStyle w:val="BNormal"/>
      </w:pPr>
      <w:r>
        <w:t>The portion of the distribution (1) allocated to the current year and (2) allocable to years when the corporation was not a PFIC are included in the shareholder’s gross income for the year of the distribution.</w:t>
      </w:r>
      <w:r>
        <w:rPr>
          <w:rStyle w:val="FootnoteReference"/>
        </w:rPr>
        <w:footnoteReference w:id="897"/>
      </w:r>
      <w:r>
        <w:t xml:space="preserve"> The remainder of the distribution is not included in gross income, but the shareholder must pay a deferred tax amount with respect to that portion.</w:t>
      </w:r>
      <w:r>
        <w:rPr>
          <w:rStyle w:val="FootnoteReference"/>
        </w:rPr>
        <w:footnoteReference w:id="898"/>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57D04BC8" w14:textId="77777777" w:rsidR="00494B49" w:rsidRDefault="00494B49">
      <w:pPr>
        <w:pStyle w:val="BHead3"/>
      </w:pPr>
      <w:r>
        <w:t>b. QEFs</w:t>
      </w:r>
    </w:p>
    <w:p w14:paraId="6CF819CF" w14:textId="77777777" w:rsidR="00494B49" w:rsidRDefault="00494B49">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899"/>
      </w:r>
    </w:p>
    <w:p w14:paraId="05031875" w14:textId="77777777" w:rsidR="00494B49" w:rsidRDefault="00494B49">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900"/>
      </w:r>
      <w:r>
        <w:t xml:space="preserve"> and </w:t>
      </w:r>
      <w:r>
        <w:lastRenderedPageBreak/>
        <w:t>net capital gain,</w:t>
      </w:r>
      <w:r>
        <w:rPr>
          <w:rStyle w:val="FootnoteReference"/>
        </w:rPr>
        <w:footnoteReference w:id="901"/>
      </w:r>
      <w:r>
        <w:t xml:space="preserve"> depending upon the underlying income of the PFIC.</w:t>
      </w:r>
      <w:r>
        <w:rPr>
          <w:rStyle w:val="FootnoteReference"/>
        </w:rPr>
        <w:footnoteReference w:id="902"/>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3"/>
      </w:r>
      <w:r>
        <w:t xml:space="preserve"> The basis of the shareholder’s QEF stock is decreased by any amount distributed with respect to that stock that is excludible as previously taxed E&amp;P.</w:t>
      </w:r>
      <w:r>
        <w:rPr>
          <w:rStyle w:val="FootnoteReference"/>
        </w:rPr>
        <w:footnoteReference w:id="904"/>
      </w:r>
    </w:p>
    <w:p w14:paraId="62CDF687" w14:textId="77777777" w:rsidR="00494B49" w:rsidRDefault="00494B49">
      <w:pPr>
        <w:pStyle w:val="BHead3"/>
      </w:pPr>
      <w:r>
        <w:t>c. Mark-to-Market Funds</w:t>
      </w:r>
    </w:p>
    <w:p w14:paraId="12777176" w14:textId="77777777" w:rsidR="00494B49" w:rsidRDefault="00494B49">
      <w:pPr>
        <w:pStyle w:val="BNormal"/>
      </w:pPr>
      <w:r>
        <w:t>United States persons who own marketable stock</w:t>
      </w:r>
      <w:r>
        <w:rPr>
          <w:rStyle w:val="FootnoteReference"/>
        </w:rPr>
        <w:footnoteReference w:id="905"/>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Election applies to the year for which it is made and to each succeeding year unless the election is terminated</w:t>
      </w:r>
      <w:r>
        <w:rPr>
          <w:rStyle w:val="FootnoteReference"/>
        </w:rPr>
        <w:footnoteReference w:id="906"/>
      </w:r>
      <w:r>
        <w:t xml:space="preserve"> or revoked.</w:t>
      </w:r>
      <w:r>
        <w:rPr>
          <w:rStyle w:val="FootnoteReference"/>
        </w:rPr>
        <w:footnoteReference w:id="907"/>
      </w:r>
    </w:p>
    <w:p w14:paraId="0B487C3C" w14:textId="77777777" w:rsidR="00494B49" w:rsidRDefault="00494B49">
      <w:pPr>
        <w:pStyle w:val="BNormal"/>
      </w:pPr>
      <w:r>
        <w:t>The mark-to-market regime operates as if the PFIC stock is sold at the end of each year, with any gain treated as ordinary income.</w:t>
      </w:r>
      <w:r>
        <w:rPr>
          <w:rStyle w:val="FootnoteReference"/>
        </w:rPr>
        <w:footnoteReference w:id="908"/>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09"/>
      </w:r>
      <w:r>
        <w:t xml:space="preserve"> Conversely, if the fair market value is less than the stock’s adjusted basis, the taxpayer is entitled to an ordinary loss, but only up to the amount of prior year gain inclusions.</w:t>
      </w:r>
      <w:r>
        <w:rPr>
          <w:rStyle w:val="FootnoteReference"/>
        </w:rPr>
        <w:footnoteReference w:id="910"/>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1"/>
      </w:r>
    </w:p>
    <w:p w14:paraId="76D2BE65" w14:textId="77777777" w:rsidR="00494B49" w:rsidRDefault="00494B49">
      <w:pPr>
        <w:pStyle w:val="BHead1"/>
      </w:pPr>
      <w:r>
        <w:t>B. Application of NIIT to §1296 Mark-to-Market Funds</w:t>
      </w:r>
    </w:p>
    <w:p w14:paraId="0DDF162A" w14:textId="77777777" w:rsidR="00494B49" w:rsidRDefault="00494B49">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2"/>
      </w:r>
    </w:p>
    <w:p w14:paraId="42620B45" w14:textId="77777777" w:rsidR="00494B49" w:rsidRDefault="00494B49">
      <w:pPr>
        <w:pStyle w:val="BNormal"/>
      </w:pPr>
      <w:r>
        <w:rPr>
          <w:i/>
        </w:rPr>
        <w:lastRenderedPageBreak/>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65730E1" w14:textId="77777777" w:rsidR="00494B49" w:rsidRDefault="00494B49">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19FB0746" w14:textId="77777777" w:rsidR="00494B49" w:rsidRDefault="00494B49">
      <w:pPr>
        <w:pStyle w:val="BHead1"/>
      </w:pPr>
      <w:r>
        <w:t>C. Application of NIIT to §1291 Funds</w:t>
      </w:r>
    </w:p>
    <w:p w14:paraId="4E52D29C" w14:textId="77777777" w:rsidR="00494B49" w:rsidRDefault="00494B49">
      <w:pPr>
        <w:pStyle w:val="BHead2"/>
      </w:pPr>
      <w:r>
        <w:t>1. Net Investment Income Inclusion</w:t>
      </w:r>
    </w:p>
    <w:p w14:paraId="5A667DC4" w14:textId="77777777" w:rsidR="00494B49" w:rsidRDefault="00494B49">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w:t>
        </w:r>
        <w:proofErr w:type="spellStart"/>
        <w:r>
          <w:t>i</w:t>
        </w:r>
        <w:proofErr w:type="spellEnd"/>
        <w:r>
          <w:t>)</w:t>
        </w:r>
      </w:smartTag>
      <w:r>
        <w:t xml:space="preserve"> as a dividend. Additionally, Reg. </w:t>
      </w:r>
      <w:smartTag w:uri="http://www.bna.com/sgml2word/cite" w:element="cite.cfr">
        <w:smartTagPr>
          <w:attr w:name="ref" w:val="cfr\26\1.1411-10(c)(2)(i)"/>
        </w:smartTagPr>
        <w:r>
          <w:t>§1.1411-10(c)(2)(</w:t>
        </w:r>
        <w:proofErr w:type="spellStart"/>
        <w:r>
          <w:t>i</w:t>
        </w:r>
        <w:proofErr w:type="spellEnd"/>
        <w:r>
          <w:t>)</w:t>
        </w:r>
      </w:smartTag>
      <w:r>
        <w:t xml:space="preserve"> provides that gain from a disposition of 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28F3B2E7" w14:textId="77777777" w:rsidR="00494B49" w:rsidRDefault="00494B49">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28231492" w14:textId="77777777" w:rsidR="00494B49" w:rsidRDefault="00494B49">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3"/>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64D8F7E8" w14:textId="77777777" w:rsidR="00494B49" w:rsidRDefault="00494B49">
      <w:pPr>
        <w:pStyle w:val="BHead2"/>
      </w:pPr>
      <w:r>
        <w:t xml:space="preserve">2. Required Adjustment to MAGI </w:t>
      </w:r>
    </w:p>
    <w:p w14:paraId="72AB7B6F" w14:textId="77777777" w:rsidR="00494B49" w:rsidRDefault="00494B49">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4"/>
      </w:r>
      <w:r>
        <w:t xml:space="preserve"> More precisely, Reg. </w:t>
      </w:r>
      <w:smartTag w:uri="http://www.bna.com/sgml2word/cite" w:element="cite.cfr">
        <w:smartTagPr>
          <w:attr w:name="ref" w:val="cfr\26\1.1411-10(e)(1)(i)"/>
        </w:smartTagPr>
        <w:r>
          <w:t>§1.1411-10(e)(1)(</w:t>
        </w:r>
        <w:proofErr w:type="spellStart"/>
        <w:r>
          <w:t>i</w:t>
        </w:r>
        <w:proofErr w:type="spellEnd"/>
        <w:r>
          <w:t>)</w:t>
        </w:r>
      </w:smartTag>
      <w:r>
        <w:t xml:space="preserve"> and </w:t>
      </w:r>
      <w:smartTag w:uri="http://www.bna.com/sgml2word/cite" w:element="cite.cfr">
        <w:smartTagPr>
          <w:attr w:name="ref" w:val="cfr\26\1.1411-10(e)(2)(i)"/>
        </w:smartTagPr>
        <w:r>
          <w:t>§1.1411-10(e)(2)(</w:t>
        </w:r>
        <w:proofErr w:type="spellStart"/>
        <w:r>
          <w:t>i</w:t>
        </w:r>
        <w:proofErr w:type="spellEnd"/>
        <w:r>
          <w:t>)</w:t>
        </w:r>
      </w:smartTag>
      <w:r>
        <w:t xml:space="preserve"> provide that MAGI for NIIT purposes is increased by the amount of any excess distribution</w:t>
      </w:r>
      <w:r>
        <w:rPr>
          <w:rStyle w:val="FootnoteReference"/>
        </w:rPr>
        <w:footnoteReference w:id="915"/>
      </w:r>
      <w:r>
        <w:t xml:space="preserve"> to the extent the distribution is not included in income from Chapter 1 rules </w:t>
      </w:r>
      <w:r>
        <w:lastRenderedPageBreak/>
        <w:t xml:space="preserve">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6"/>
      </w:r>
    </w:p>
    <w:p w14:paraId="37AB50B4" w14:textId="77777777" w:rsidR="00494B49" w:rsidRDefault="00494B49">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4243DB23" w14:textId="77777777" w:rsidR="00494B49" w:rsidRDefault="00494B49">
      <w:pPr>
        <w:pStyle w:val="BHead2"/>
      </w:pPr>
      <w:r>
        <w:t>3. Compliance Considerations for §1291 Funds</w:t>
      </w:r>
    </w:p>
    <w:p w14:paraId="403AAE13" w14:textId="77777777" w:rsidR="00494B49" w:rsidRDefault="00494B49">
      <w:pPr>
        <w:pStyle w:val="BNormal"/>
      </w:pPr>
      <w:r>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7"/>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2634D902" w14:textId="77777777" w:rsidR="00494B49" w:rsidRDefault="00494B49">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18"/>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19"/>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5475EDDA" w14:textId="77777777" w:rsidR="00494B49" w:rsidRDefault="00494B49">
      <w:pPr>
        <w:pStyle w:val="BHead1"/>
      </w:pPr>
      <w:r>
        <w:t>D. Application of NIIT to CFCs and QEFs Without a Reg. §1.1411-10(g) Election</w:t>
      </w:r>
    </w:p>
    <w:p w14:paraId="4B32B304" w14:textId="77777777" w:rsidR="00494B49" w:rsidRDefault="00494B49">
      <w:pPr>
        <w:pStyle w:val="BHead2"/>
      </w:pPr>
      <w:r>
        <w:t>1. Overview and Reasoning for Rules</w:t>
      </w:r>
    </w:p>
    <w:p w14:paraId="730A6CBA" w14:textId="77777777" w:rsidR="00494B49" w:rsidRDefault="00494B49">
      <w:pPr>
        <w:pStyle w:val="BNormal"/>
      </w:pPr>
      <w:r>
        <w:t>In the case of a CFC, under Subpart F of the Code, a United States shareholder</w:t>
      </w:r>
      <w:r>
        <w:rPr>
          <w:rStyle w:val="FootnoteReference"/>
        </w:rPr>
        <w:footnoteReference w:id="920"/>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1"/>
      </w:r>
      <w:r>
        <w:t xml:space="preserve"> and </w:t>
      </w:r>
      <w:r>
        <w:lastRenderedPageBreak/>
        <w:t xml:space="preserve">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2"/>
      </w:r>
    </w:p>
    <w:p w14:paraId="71FA1853" w14:textId="77777777" w:rsidR="00494B49" w:rsidRDefault="00494B49">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228412A1" w14:textId="77777777" w:rsidR="00494B49" w:rsidRDefault="00494B49">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23"/>
      </w:r>
    </w:p>
    <w:p w14:paraId="3FCB624F" w14:textId="77777777" w:rsidR="00494B49" w:rsidRDefault="00494B49">
      <w:pPr>
        <w:pStyle w:val="BHead2"/>
      </w:pPr>
      <w:r>
        <w:t>2. Timing of Net Investment Income Inclusion</w:t>
      </w:r>
    </w:p>
    <w:p w14:paraId="788756E6" w14:textId="77777777" w:rsidR="00494B49" w:rsidRDefault="00494B49">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B1DAC76" w14:textId="77777777" w:rsidR="00494B49" w:rsidRDefault="00494B49">
      <w:pPr>
        <w:pStyle w:val="BListitembul"/>
      </w:pPr>
      <w:r>
        <w:t>Net investment income includes cash distributed from the CFC or QEF to the extent it represents E&amp;P of the CFC or QEF earned after December 31, 2012.</w:t>
      </w:r>
      <w:r>
        <w:rPr>
          <w:rStyle w:val="FootnoteReference"/>
        </w:rPr>
        <w:footnoteReference w:id="924"/>
      </w:r>
      <w:r>
        <w:t xml:space="preserve"> With the </w:t>
      </w:r>
      <w:r>
        <w:lastRenderedPageBreak/>
        <w:t>exception of the December 31, 2012 cutoff, this is identical to the treatment of a distribution from any corporation, foreign or domestic, that is not subject to the CFC or PFIC regime.</w:t>
      </w:r>
      <w:r>
        <w:rPr>
          <w:rStyle w:val="FootnoteReference"/>
        </w:rPr>
        <w:footnoteReference w:id="925"/>
      </w:r>
    </w:p>
    <w:p w14:paraId="3C6E3543" w14:textId="77777777" w:rsidR="00494B49" w:rsidRDefault="00494B49">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6AFE11B2" w14:textId="77777777" w:rsidR="00494B49" w:rsidRDefault="00494B49">
      <w:pPr>
        <w:pStyle w:val="BListitembul"/>
      </w:pPr>
      <w:r>
        <w:t>Outside basis adjustments for CFCs or QEFs held through partnerships, S corporations, or common trust funds must be calculated consistently with the two preceding rules.</w:t>
      </w:r>
    </w:p>
    <w:p w14:paraId="2FF9C902" w14:textId="77777777" w:rsidR="00494B49" w:rsidRDefault="00494B49">
      <w:pPr>
        <w:pStyle w:val="BHead3"/>
      </w:pPr>
      <w:r>
        <w:t xml:space="preserve">a. Imputed Items Included in Gross Income but </w:t>
      </w:r>
      <w:r>
        <w:br/>
        <w:t>Excluded from Investment Income</w:t>
      </w:r>
    </w:p>
    <w:p w14:paraId="1CA12892" w14:textId="77777777" w:rsidR="00494B49" w:rsidRDefault="00494B49">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6D9E3085" w14:textId="77777777" w:rsidR="00494B49" w:rsidRDefault="00494B49">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w:t>
        </w:r>
        <w:proofErr w:type="spellStart"/>
        <w:r>
          <w:t>i</w:t>
        </w:r>
        <w:proofErr w:type="spellEnd"/>
        <w:r>
          <w:t>)</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w:t>
        </w:r>
        <w:proofErr w:type="spellStart"/>
        <w:r>
          <w:t>i</w:t>
        </w:r>
        <w:proofErr w:type="spellEnd"/>
        <w:r>
          <w:t>)</w:t>
        </w:r>
      </w:smartTag>
      <w:r>
        <w:t xml:space="preserve"> simply does not apply.</w:t>
      </w:r>
      <w:r>
        <w:rPr>
          <w:rStyle w:val="FootnoteReference"/>
        </w:rPr>
        <w:footnoteReference w:id="926"/>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68B84318" w14:textId="77777777" w:rsidR="00494B49" w:rsidRDefault="00494B49">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7"/>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7FF2D565" w14:textId="77777777" w:rsidR="00494B49" w:rsidRDefault="00494B49">
      <w:pPr>
        <w:pStyle w:val="BHead3"/>
      </w:pPr>
      <w:r>
        <w:t>b. Items Excluded from Gross Income but Included in Investment Income</w:t>
      </w:r>
    </w:p>
    <w:p w14:paraId="21F17031" w14:textId="77777777" w:rsidR="00494B49" w:rsidRDefault="00494B49">
      <w:pPr>
        <w:pStyle w:val="BNormal"/>
      </w:pPr>
      <w:r>
        <w:t xml:space="preserve">Net investment income includes, as a dividend under </w:t>
      </w:r>
      <w:smartTag w:uri="http://www.bna.com/sgml2word/cite" w:element="cite.usc">
        <w:smartTagPr>
          <w:attr w:name="ref" w:val="USC\26\1411(c)(1)(A)(i)"/>
        </w:smartTagPr>
        <w:r>
          <w:t>§1411(c)(1)(A)(</w:t>
        </w:r>
        <w:proofErr w:type="spellStart"/>
        <w:r>
          <w:t>i</w:t>
        </w:r>
        <w:proofErr w:type="spellEnd"/>
        <w:r>
          <w:t>)</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28"/>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4669BBE0" w14:textId="77777777" w:rsidR="00494B49" w:rsidRDefault="00494B49">
      <w:pPr>
        <w:pStyle w:val="BNormal"/>
      </w:pPr>
      <w:r>
        <w:lastRenderedPageBreak/>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29"/>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30"/>
      </w:r>
    </w:p>
    <w:p w14:paraId="6159636E" w14:textId="77777777" w:rsidR="00494B49" w:rsidRDefault="00494B49">
      <w:pPr>
        <w:pStyle w:val="BHead3"/>
      </w:pPr>
      <w:r>
        <w:t>c. Resulting Basis Adjustments and Differences in Gains and Losses</w:t>
      </w:r>
    </w:p>
    <w:p w14:paraId="3D4851BF" w14:textId="77777777" w:rsidR="00494B49" w:rsidRDefault="00494B49">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1A74DD9D" w14:textId="77777777" w:rsidR="00494B49" w:rsidRDefault="00494B49">
      <w:pPr>
        <w:pStyle w:val="BHead2"/>
      </w:pPr>
      <w:r>
        <w:t>3. Required Adjustment to MAGI</w:t>
      </w:r>
    </w:p>
    <w:p w14:paraId="10667F9E" w14:textId="77777777" w:rsidR="00494B49" w:rsidRDefault="00494B49">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473A90FD" w14:textId="77777777" w:rsidR="00494B49" w:rsidRDefault="00494B49">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2CD9036B" w14:textId="77777777" w:rsidR="00494B49" w:rsidRDefault="00494B49">
      <w:pPr>
        <w:pStyle w:val="BHead3"/>
      </w:pPr>
      <w:r>
        <w:t>a. Situations That Require a Decrease to MAGI</w:t>
      </w:r>
    </w:p>
    <w:p w14:paraId="1C64DA9E" w14:textId="77777777" w:rsidR="00494B49" w:rsidRDefault="00494B49">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1"/>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6423A275" w14:textId="77777777" w:rsidR="00494B49" w:rsidRDefault="00494B49">
      <w:pPr>
        <w:pStyle w:val="BHead3"/>
      </w:pPr>
      <w:r>
        <w:t>b. Situations That Require an Increase to MAGI</w:t>
      </w:r>
    </w:p>
    <w:p w14:paraId="461C5226" w14:textId="77777777" w:rsidR="00494B49" w:rsidRDefault="00494B49">
      <w:pPr>
        <w:pStyle w:val="BNormal"/>
      </w:pPr>
      <w:r>
        <w:lastRenderedPageBreak/>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47884802" w14:textId="77777777" w:rsidR="00494B49" w:rsidRDefault="00494B49">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2"/>
      </w:r>
    </w:p>
    <w:p w14:paraId="523F4426" w14:textId="77777777" w:rsidR="00494B49" w:rsidRDefault="00494B49">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60265453" w14:textId="77777777" w:rsidR="00494B49" w:rsidRDefault="00494B49">
      <w:pPr>
        <w:pStyle w:val="BNormal"/>
      </w:pPr>
      <w:r>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397DCAEC" w14:textId="77777777" w:rsidR="00494B49" w:rsidRDefault="00494B49">
      <w:pPr>
        <w:pStyle w:val="BHead3"/>
      </w:pPr>
      <w:r>
        <w:t xml:space="preserve">c. Situations That May Result in an Increase or </w:t>
      </w:r>
      <w:r>
        <w:br/>
        <w:t>Decrease in MAGI</w:t>
      </w:r>
    </w:p>
    <w:p w14:paraId="29DE8040" w14:textId="77777777" w:rsidR="00494B49" w:rsidRDefault="00494B49">
      <w:pPr>
        <w:pStyle w:val="BNormal"/>
      </w:pPr>
      <w:r>
        <w:t xml:space="preserve">There are two situations in which MAGI may be increased or decreased, depending on the circumstances. </w:t>
      </w:r>
    </w:p>
    <w:p w14:paraId="57EAD9C9" w14:textId="77777777" w:rsidR="00494B49" w:rsidRDefault="00494B49">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3"/>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4"/>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5"/>
      </w:r>
    </w:p>
    <w:p w14:paraId="67B1D93F" w14:textId="77777777" w:rsidR="00494B49" w:rsidRDefault="00494B49">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6"/>
      </w:r>
    </w:p>
    <w:p w14:paraId="2CE82EF0" w14:textId="77777777" w:rsidR="00494B49" w:rsidRDefault="00494B49" w:rsidP="007865AF">
      <w:pPr>
        <w:pStyle w:val="BHead2"/>
        <w:keepNext/>
        <w:keepLines/>
        <w:ind w:left="720"/>
      </w:pPr>
      <w:r>
        <w:lastRenderedPageBreak/>
        <w:t>4. Example</w:t>
      </w:r>
    </w:p>
    <w:p w14:paraId="625D79FD" w14:textId="77777777" w:rsidR="00494B49" w:rsidRDefault="00494B49" w:rsidP="007865AF">
      <w:pPr>
        <w:pStyle w:val="BNormal"/>
        <w:keepNext/>
        <w:keepLines/>
        <w:spacing w:before="240" w:after="120"/>
        <w:ind w:left="720"/>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371DBFB8" w14:textId="77777777" w:rsidR="00494B49" w:rsidRDefault="00494B49">
      <w:pPr>
        <w:pStyle w:val="BExamplepara"/>
      </w:pPr>
      <w:r>
        <w:rPr>
          <w:rStyle w:val="BExamplehead"/>
          <w:rFonts w:eastAsiaTheme="minorHAnsi"/>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0B50C366" w14:textId="77777777" w:rsidR="00494B49" w:rsidRDefault="00494B49" w:rsidP="007865AF">
      <w:pPr>
        <w:pStyle w:val="BExamplepara"/>
      </w:pPr>
      <w:r>
        <w:t xml:space="preserve">The comparative treatment between regular income tax and NIIT is shown on the following table: </w:t>
      </w:r>
    </w:p>
    <w:p w14:paraId="3464D375"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2233"/>
        <w:gridCol w:w="2087"/>
        <w:gridCol w:w="2135"/>
        <w:gridCol w:w="1423"/>
        <w:gridCol w:w="1472"/>
      </w:tblGrid>
      <w:tr w:rsidR="00494B49" w14:paraId="661FE16F" w14:textId="77777777">
        <w:trPr>
          <w:gridAfter w:val="2"/>
          <w:wAfter w:w="4032" w:type="dxa"/>
        </w:trPr>
        <w:tc>
          <w:tcPr>
            <w:tcW w:w="3360" w:type="dxa"/>
          </w:tcPr>
          <w:p w14:paraId="1B10FA36" w14:textId="77777777" w:rsidR="00494B49" w:rsidRDefault="00494B49"/>
        </w:tc>
        <w:tc>
          <w:tcPr>
            <w:tcW w:w="3360" w:type="dxa"/>
          </w:tcPr>
          <w:p w14:paraId="755BA0C3" w14:textId="77777777" w:rsidR="00494B49" w:rsidRDefault="00494B49">
            <w:r>
              <w:t>Regular tax</w:t>
            </w:r>
          </w:p>
        </w:tc>
        <w:tc>
          <w:tcPr>
            <w:tcW w:w="3360" w:type="dxa"/>
          </w:tcPr>
          <w:p w14:paraId="57334D0D" w14:textId="77777777" w:rsidR="00494B49" w:rsidRDefault="00494B49">
            <w:r>
              <w:t>NIIT</w:t>
            </w:r>
          </w:p>
        </w:tc>
      </w:tr>
      <w:tr w:rsidR="00494B49" w14:paraId="24FC46DD" w14:textId="77777777">
        <w:tc>
          <w:tcPr>
            <w:tcW w:w="2016" w:type="dxa"/>
          </w:tcPr>
          <w:p w14:paraId="701846DF" w14:textId="77777777" w:rsidR="00494B49" w:rsidRDefault="00494B49"/>
        </w:tc>
        <w:tc>
          <w:tcPr>
            <w:tcW w:w="2016" w:type="dxa"/>
          </w:tcPr>
          <w:p w14:paraId="6E63DA43" w14:textId="77777777" w:rsidR="00494B49" w:rsidRDefault="00494B49">
            <w:r>
              <w:t>Income</w:t>
            </w:r>
          </w:p>
        </w:tc>
        <w:tc>
          <w:tcPr>
            <w:tcW w:w="2016" w:type="dxa"/>
          </w:tcPr>
          <w:p w14:paraId="07B922EC" w14:textId="77777777" w:rsidR="00494B49" w:rsidRDefault="00494B49">
            <w:r>
              <w:t>Stock basis</w:t>
            </w:r>
          </w:p>
        </w:tc>
        <w:tc>
          <w:tcPr>
            <w:tcW w:w="2016" w:type="dxa"/>
          </w:tcPr>
          <w:p w14:paraId="647D5E78" w14:textId="77777777" w:rsidR="00494B49" w:rsidRDefault="00494B49">
            <w:r>
              <w:t xml:space="preserve">Income </w:t>
            </w:r>
          </w:p>
        </w:tc>
        <w:tc>
          <w:tcPr>
            <w:tcW w:w="2016" w:type="dxa"/>
          </w:tcPr>
          <w:p w14:paraId="389E1E46" w14:textId="77777777" w:rsidR="00494B49" w:rsidRDefault="00494B49">
            <w:r>
              <w:t>Stock basis</w:t>
            </w:r>
          </w:p>
        </w:tc>
      </w:tr>
      <w:tr w:rsidR="00494B49" w14:paraId="18C2836D" w14:textId="77777777">
        <w:tc>
          <w:tcPr>
            <w:tcW w:w="2016" w:type="dxa"/>
          </w:tcPr>
          <w:p w14:paraId="7D37412E" w14:textId="77777777" w:rsidR="00494B49" w:rsidRDefault="00494B49">
            <w:r>
              <w:t>1/1/2012 Stock basis</w:t>
            </w:r>
          </w:p>
        </w:tc>
        <w:tc>
          <w:tcPr>
            <w:tcW w:w="2016" w:type="dxa"/>
          </w:tcPr>
          <w:p w14:paraId="4BCC8B0E" w14:textId="77777777" w:rsidR="00494B49" w:rsidRDefault="00494B49"/>
        </w:tc>
        <w:tc>
          <w:tcPr>
            <w:tcW w:w="2016" w:type="dxa"/>
          </w:tcPr>
          <w:p w14:paraId="00FF6FFB" w14:textId="77777777" w:rsidR="00494B49" w:rsidRDefault="00494B49">
            <w:r>
              <w:t>$460,000</w:t>
            </w:r>
          </w:p>
        </w:tc>
        <w:tc>
          <w:tcPr>
            <w:tcW w:w="2016" w:type="dxa"/>
          </w:tcPr>
          <w:p w14:paraId="6277A621" w14:textId="77777777" w:rsidR="00494B49" w:rsidRDefault="00494B49"/>
        </w:tc>
        <w:tc>
          <w:tcPr>
            <w:tcW w:w="2016" w:type="dxa"/>
          </w:tcPr>
          <w:p w14:paraId="232D37CD" w14:textId="77777777" w:rsidR="00494B49" w:rsidRDefault="00494B49">
            <w:r>
              <w:t>$460,000</w:t>
            </w:r>
          </w:p>
        </w:tc>
      </w:tr>
      <w:tr w:rsidR="00494B49" w14:paraId="60CD10DF" w14:textId="77777777">
        <w:tc>
          <w:tcPr>
            <w:tcW w:w="2016" w:type="dxa"/>
          </w:tcPr>
          <w:p w14:paraId="793898CD" w14:textId="77777777" w:rsidR="00494B49" w:rsidRDefault="00494B49">
            <w:r>
              <w:t>2012 Inclusion</w:t>
            </w:r>
          </w:p>
        </w:tc>
        <w:tc>
          <w:tcPr>
            <w:tcW w:w="2016" w:type="dxa"/>
          </w:tcPr>
          <w:p w14:paraId="0B4AF71F" w14:textId="77777777" w:rsidR="00494B49" w:rsidRDefault="00494B49">
            <w:r>
              <w:t>$40,000</w:t>
            </w:r>
          </w:p>
        </w:tc>
        <w:tc>
          <w:tcPr>
            <w:tcW w:w="2016" w:type="dxa"/>
          </w:tcPr>
          <w:p w14:paraId="55F72379" w14:textId="77777777" w:rsidR="00494B49" w:rsidRDefault="00494B49">
            <w:r>
              <w:t>+$40,000</w:t>
            </w:r>
          </w:p>
        </w:tc>
        <w:tc>
          <w:tcPr>
            <w:tcW w:w="2016" w:type="dxa"/>
          </w:tcPr>
          <w:p w14:paraId="0518B02D" w14:textId="77777777" w:rsidR="00494B49" w:rsidRDefault="00494B49">
            <w:r>
              <w:t>N/A</w:t>
            </w:r>
          </w:p>
        </w:tc>
        <w:tc>
          <w:tcPr>
            <w:tcW w:w="2016" w:type="dxa"/>
          </w:tcPr>
          <w:p w14:paraId="1F2B724F" w14:textId="77777777" w:rsidR="00494B49" w:rsidRDefault="00494B49">
            <w:r>
              <w:t>+$40,000</w:t>
            </w:r>
          </w:p>
        </w:tc>
      </w:tr>
      <w:tr w:rsidR="00494B49" w14:paraId="01A7EBCD" w14:textId="77777777">
        <w:tc>
          <w:tcPr>
            <w:tcW w:w="2016" w:type="dxa"/>
          </w:tcPr>
          <w:p w14:paraId="360D227D" w14:textId="77777777" w:rsidR="00494B49" w:rsidRDefault="00494B49">
            <w:r>
              <w:t>2013 Activity</w:t>
            </w:r>
          </w:p>
        </w:tc>
        <w:tc>
          <w:tcPr>
            <w:tcW w:w="2016" w:type="dxa"/>
          </w:tcPr>
          <w:p w14:paraId="30F0E955" w14:textId="77777777" w:rsidR="00494B49" w:rsidRDefault="00494B49">
            <w:r>
              <w:t>None</w:t>
            </w:r>
          </w:p>
        </w:tc>
        <w:tc>
          <w:tcPr>
            <w:tcW w:w="2016" w:type="dxa"/>
          </w:tcPr>
          <w:p w14:paraId="25342624" w14:textId="77777777" w:rsidR="00494B49" w:rsidRDefault="00494B49">
            <w:r>
              <w:t>None</w:t>
            </w:r>
          </w:p>
        </w:tc>
        <w:tc>
          <w:tcPr>
            <w:tcW w:w="2016" w:type="dxa"/>
          </w:tcPr>
          <w:p w14:paraId="5CA7F8C3" w14:textId="77777777" w:rsidR="00494B49" w:rsidRDefault="00494B49">
            <w:r>
              <w:t>None</w:t>
            </w:r>
          </w:p>
        </w:tc>
        <w:tc>
          <w:tcPr>
            <w:tcW w:w="2016" w:type="dxa"/>
          </w:tcPr>
          <w:p w14:paraId="32FF27D5" w14:textId="77777777" w:rsidR="00494B49" w:rsidRDefault="00494B49">
            <w:r>
              <w:t>None</w:t>
            </w:r>
          </w:p>
        </w:tc>
      </w:tr>
      <w:tr w:rsidR="00494B49" w14:paraId="11FA3BAA" w14:textId="77777777">
        <w:tc>
          <w:tcPr>
            <w:tcW w:w="2016" w:type="dxa"/>
          </w:tcPr>
          <w:p w14:paraId="220DCDA6" w14:textId="77777777" w:rsidR="00494B49" w:rsidRDefault="00494B49">
            <w:r>
              <w:t>2014 Inclusion</w:t>
            </w:r>
          </w:p>
        </w:tc>
        <w:tc>
          <w:tcPr>
            <w:tcW w:w="2016" w:type="dxa"/>
          </w:tcPr>
          <w:p w14:paraId="0697194C" w14:textId="77777777" w:rsidR="00494B49" w:rsidRDefault="00494B49">
            <w:r>
              <w:t>$10,000</w:t>
            </w:r>
          </w:p>
        </w:tc>
        <w:tc>
          <w:tcPr>
            <w:tcW w:w="2016" w:type="dxa"/>
          </w:tcPr>
          <w:p w14:paraId="6DB23C3B" w14:textId="77777777" w:rsidR="00494B49" w:rsidRDefault="00494B49">
            <w:r>
              <w:t>+$10,000</w:t>
            </w:r>
          </w:p>
        </w:tc>
        <w:tc>
          <w:tcPr>
            <w:tcW w:w="2016" w:type="dxa"/>
          </w:tcPr>
          <w:p w14:paraId="69BD8DCB" w14:textId="77777777" w:rsidR="00494B49" w:rsidRDefault="00494B49">
            <w:r>
              <w:t>None</w:t>
            </w:r>
          </w:p>
        </w:tc>
        <w:tc>
          <w:tcPr>
            <w:tcW w:w="2016" w:type="dxa"/>
          </w:tcPr>
          <w:p w14:paraId="27F58BA0" w14:textId="77777777" w:rsidR="00494B49" w:rsidRDefault="00494B49">
            <w:r>
              <w:t>None</w:t>
            </w:r>
          </w:p>
        </w:tc>
      </w:tr>
      <w:tr w:rsidR="00494B49" w14:paraId="38CB6268" w14:textId="77777777">
        <w:tc>
          <w:tcPr>
            <w:tcW w:w="2016" w:type="dxa"/>
          </w:tcPr>
          <w:p w14:paraId="47CFA79F" w14:textId="77777777" w:rsidR="00494B49" w:rsidRDefault="00494B49">
            <w:r>
              <w:t>2015 Distribution</w:t>
            </w:r>
          </w:p>
        </w:tc>
        <w:tc>
          <w:tcPr>
            <w:tcW w:w="2016" w:type="dxa"/>
          </w:tcPr>
          <w:p w14:paraId="045E67D1" w14:textId="77777777" w:rsidR="00494B49" w:rsidRDefault="00494B49"/>
        </w:tc>
        <w:tc>
          <w:tcPr>
            <w:tcW w:w="2016" w:type="dxa"/>
          </w:tcPr>
          <w:p w14:paraId="34C1635D" w14:textId="77777777" w:rsidR="00494B49" w:rsidRDefault="00494B49">
            <w:r>
              <w:t>−$30,000</w:t>
            </w:r>
          </w:p>
        </w:tc>
        <w:tc>
          <w:tcPr>
            <w:tcW w:w="2016" w:type="dxa"/>
          </w:tcPr>
          <w:p w14:paraId="7A0DC797" w14:textId="77777777" w:rsidR="00494B49" w:rsidRDefault="00494B49">
            <w:r>
              <w:t>$10,000</w:t>
            </w:r>
          </w:p>
        </w:tc>
        <w:tc>
          <w:tcPr>
            <w:tcW w:w="2016" w:type="dxa"/>
          </w:tcPr>
          <w:p w14:paraId="7DAEDFC4" w14:textId="77777777" w:rsidR="00494B49" w:rsidRDefault="00494B49">
            <w:r>
              <w:t>−$20,000</w:t>
            </w:r>
          </w:p>
        </w:tc>
      </w:tr>
      <w:tr w:rsidR="00494B49" w14:paraId="46AB07B7" w14:textId="77777777">
        <w:tc>
          <w:tcPr>
            <w:tcW w:w="2016" w:type="dxa"/>
          </w:tcPr>
          <w:p w14:paraId="6D8B0187" w14:textId="77777777" w:rsidR="00494B49" w:rsidRDefault="00494B49">
            <w:r>
              <w:t>12/31/2015 Stock basis</w:t>
            </w:r>
          </w:p>
        </w:tc>
        <w:tc>
          <w:tcPr>
            <w:tcW w:w="2016" w:type="dxa"/>
          </w:tcPr>
          <w:p w14:paraId="08C67868" w14:textId="77777777" w:rsidR="00494B49" w:rsidRDefault="00494B49"/>
        </w:tc>
        <w:tc>
          <w:tcPr>
            <w:tcW w:w="2016" w:type="dxa"/>
          </w:tcPr>
          <w:p w14:paraId="4105D1AC" w14:textId="77777777" w:rsidR="00494B49" w:rsidRDefault="00494B49">
            <w:r>
              <w:t>$480,000</w:t>
            </w:r>
          </w:p>
        </w:tc>
        <w:tc>
          <w:tcPr>
            <w:tcW w:w="2016" w:type="dxa"/>
          </w:tcPr>
          <w:p w14:paraId="17498D8D" w14:textId="77777777" w:rsidR="00494B49" w:rsidRDefault="00494B49"/>
        </w:tc>
        <w:tc>
          <w:tcPr>
            <w:tcW w:w="2016" w:type="dxa"/>
          </w:tcPr>
          <w:p w14:paraId="7BC81A6F" w14:textId="77777777" w:rsidR="00494B49" w:rsidRDefault="00494B49">
            <w:r>
              <w:t>$480,000</w:t>
            </w:r>
          </w:p>
        </w:tc>
      </w:tr>
    </w:tbl>
    <w:p w14:paraId="2A53C6D5" w14:textId="77777777" w:rsidR="00494B49" w:rsidRDefault="00494B49">
      <w:pPr>
        <w:pStyle w:val="BNormal"/>
      </w:pPr>
    </w:p>
    <w:p w14:paraId="6AFF9A90" w14:textId="77777777" w:rsidR="00494B49" w:rsidRDefault="00494B49">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7"/>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38"/>
      </w:r>
    </w:p>
    <w:p w14:paraId="6AD98790" w14:textId="77777777" w:rsidR="00494B49" w:rsidRDefault="00494B49">
      <w:pPr>
        <w:pStyle w:val="BNormal"/>
      </w:pPr>
      <w:r>
        <w:t xml:space="preserve">The 2013 Final Regulations contain five additional examples — each building off the general premise illustrated in the example above. Examples 4–6 use facts similar to the above example </w:t>
      </w:r>
      <w:r>
        <w:lastRenderedPageBreak/>
        <w:t xml:space="preserve">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363285E4" w14:textId="77777777" w:rsidR="00494B49" w:rsidRDefault="00494B49">
      <w:pPr>
        <w:pStyle w:val="BHead1"/>
      </w:pPr>
      <w:r>
        <w:t>E. The 10(g) Election</w:t>
      </w:r>
    </w:p>
    <w:p w14:paraId="4B4748EE" w14:textId="77777777" w:rsidR="00494B49" w:rsidRDefault="00494B49">
      <w:pPr>
        <w:pStyle w:val="BHead2"/>
      </w:pPr>
      <w:r>
        <w:t xml:space="preserve">1. Consequences of Election </w:t>
      </w:r>
    </w:p>
    <w:p w14:paraId="08C5A8C8" w14:textId="77777777" w:rsidR="00494B49" w:rsidRDefault="00494B49">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beginning with the tax year for which the election is made are treated as net investment income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39"/>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40"/>
      </w:r>
    </w:p>
    <w:p w14:paraId="21E8BDBA" w14:textId="77777777" w:rsidR="00494B49" w:rsidRDefault="00494B49">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1"/>
      </w:r>
      <w:r>
        <w:t xml:space="preserve"> The basis for determining gain or loss upon a disposition of a CFC or QEF will be the same for net investment income tax (NIIT) purposes as it is for regular tax purposes.</w:t>
      </w:r>
    </w:p>
    <w:p w14:paraId="78C33D77"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2"/>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w:t>
      </w:r>
      <w:r>
        <w:lastRenderedPageBreak/>
        <w:t>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751A0792" w14:textId="77777777" w:rsidR="00494B49" w:rsidRDefault="00494B49">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02A16A4C" w14:textId="77777777" w:rsidR="00494B49" w:rsidRDefault="00494B49">
      <w:pPr>
        <w:pStyle w:val="BHead2"/>
      </w:pPr>
      <w:r>
        <w:t xml:space="preserve">2. Election Requirements </w:t>
      </w:r>
    </w:p>
    <w:p w14:paraId="05779BA3" w14:textId="77777777" w:rsidR="00494B49" w:rsidRDefault="00494B49">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3"/>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589A6E45" w14:textId="77777777" w:rsidR="00494B49" w:rsidRDefault="00494B49">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w:t>
      </w:r>
      <w:proofErr w:type="spellStart"/>
      <w:r>
        <w:t>corporation’s</w:t>
      </w:r>
      <w:proofErr w:type="spellEnd"/>
      <w:r>
        <w:t>,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3785246D" w14:textId="77777777" w:rsidR="00494B49" w:rsidRDefault="00494B49">
      <w:pPr>
        <w:pStyle w:val="BHead2"/>
      </w:pPr>
      <w:r>
        <w:t>3. Elections by Individuals, Estates and Trusts</w:t>
      </w:r>
    </w:p>
    <w:p w14:paraId="09D32C36" w14:textId="77777777" w:rsidR="00494B49" w:rsidRDefault="00494B49">
      <w:pPr>
        <w:pStyle w:val="BHead3"/>
      </w:pPr>
      <w:r>
        <w:t xml:space="preserve">a. Timing of Election </w:t>
      </w:r>
    </w:p>
    <w:p w14:paraId="0553D974" w14:textId="77777777" w:rsidR="00494B49" w:rsidRDefault="00494B49">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4"/>
      </w:r>
      <w:r>
        <w:t xml:space="preserve"> In addition, an individual, </w:t>
      </w:r>
      <w:r>
        <w:lastRenderedPageBreak/>
        <w:t xml:space="preserve">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5"/>
      </w:r>
    </w:p>
    <w:p w14:paraId="7CC9F5B4" w14:textId="77777777" w:rsidR="00494B49" w:rsidRDefault="00494B49">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6AE3EDEE" w14:textId="77777777" w:rsidR="00494B49" w:rsidRDefault="00494B49">
      <w:pPr>
        <w:pStyle w:val="BNormal"/>
      </w:pPr>
      <w:r>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452BA0E6" w14:textId="77777777" w:rsidR="00494B49" w:rsidRDefault="00494B49">
      <w:pPr>
        <w:pStyle w:val="BHead3"/>
      </w:pPr>
      <w:r>
        <w:t xml:space="preserve">b. Tax Compliance </w:t>
      </w:r>
    </w:p>
    <w:p w14:paraId="35C85E83" w14:textId="77777777" w:rsidR="00494B49" w:rsidRDefault="00494B49">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w:t>
      </w:r>
      <w:proofErr w:type="spellStart"/>
      <w:r>
        <w:t>i</w:t>
      </w:r>
      <w:proofErr w:type="spellEnd"/>
      <w:r>
        <w:t xml:space="preserve">) the name of the CFC or QEF, and (ii) either the EIN of the CFC or QEF, or, if the CFC or QEF does not have an EIN, the reference ID number of the CFC or QEF. </w:t>
      </w:r>
    </w:p>
    <w:p w14:paraId="62DEA1F4" w14:textId="77777777" w:rsidR="00494B49" w:rsidRDefault="00494B49">
      <w:pPr>
        <w:pStyle w:val="BNormal"/>
      </w:pPr>
      <w:r>
        <w:rPr>
          <w:i/>
        </w:rPr>
        <w:t>Comment:</w:t>
      </w:r>
      <w:r>
        <w:t xml:space="preserve"> Interestingly, the </w:t>
      </w:r>
      <w:hyperlink r:id="rId20" w:history="1">
        <w:r>
          <w:rPr>
            <w:rStyle w:val="Hyperlink"/>
          </w:rPr>
          <w:t>Instructions for Form 8960</w:t>
        </w:r>
      </w:hyperlink>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hyperlink r:id="rId21" w:history="1">
        <w:r>
          <w:rPr>
            <w:rStyle w:val="Hyperlink"/>
          </w:rPr>
          <w:t>Instructions for Form 8960</w:t>
        </w:r>
      </w:hyperlink>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11F7E9BB" w14:textId="77777777" w:rsidR="00494B49" w:rsidRDefault="00494B49">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w:t>
      </w:r>
      <w:proofErr w:type="spellStart"/>
      <w:r>
        <w:t>i</w:t>
      </w:r>
      <w:proofErr w:type="spellEnd"/>
      <w:r>
        <w:t xml:space="preserve">) the taxpayer’s death or termination (in the case of an estate or trust) or (ii) the termination of the CFC or QEF. In theory, even if the taxpayer sells the CFC or QEF, there remains a possibility </w:t>
      </w:r>
      <w:r>
        <w:lastRenderedPageBreak/>
        <w:t xml:space="preserve">that the taxpayer could directly or indirectly reacquire shares of the same CFC or QEF in the future. </w:t>
      </w:r>
    </w:p>
    <w:p w14:paraId="6ECE6779" w14:textId="77777777" w:rsidR="00494B49" w:rsidRDefault="00494B49">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F64842A" w14:textId="77777777" w:rsidR="00494B49" w:rsidRDefault="00494B49">
      <w:pPr>
        <w:pStyle w:val="BHead3"/>
      </w:pPr>
      <w:r>
        <w:t>c. Special Rules for Charitable Remainder Trusts</w:t>
      </w:r>
    </w:p>
    <w:p w14:paraId="4E2F3F29" w14:textId="77777777" w:rsidR="00494B49" w:rsidRDefault="00494B49">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6"/>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0596E423" w14:textId="77777777" w:rsidR="00494B49" w:rsidRDefault="00494B49">
      <w:pPr>
        <w:pStyle w:val="BHead2"/>
      </w:pPr>
      <w:r>
        <w:t>4. Elections by Domestic Partnerships, S Corporations, or Common Trust Funds</w:t>
      </w:r>
    </w:p>
    <w:p w14:paraId="08BAB6D6" w14:textId="77777777" w:rsidR="00494B49" w:rsidRDefault="00494B49">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7E04D1FB" w14:textId="77777777" w:rsidR="00494B49" w:rsidRDefault="00494B49">
      <w:pPr>
        <w:pStyle w:val="BHead3"/>
      </w:pPr>
      <w:r>
        <w:t xml:space="preserve">a. Timing of Election </w:t>
      </w:r>
    </w:p>
    <w:p w14:paraId="19F88AC3" w14:textId="77777777" w:rsidR="00494B49" w:rsidRDefault="00494B49">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7"/>
      </w:r>
    </w:p>
    <w:p w14:paraId="6EF028FD" w14:textId="77777777" w:rsidR="00494B49" w:rsidRDefault="00494B49">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w:t>
      </w:r>
      <w:r>
        <w:lastRenderedPageBreak/>
        <w:t xml:space="preserve">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0E615D10" w14:textId="77777777" w:rsidR="00494B49" w:rsidRDefault="00494B49">
      <w:pPr>
        <w:pStyle w:val="BHead3"/>
      </w:pPr>
      <w:r>
        <w:t xml:space="preserve">b. Tax Compliance </w:t>
      </w:r>
    </w:p>
    <w:p w14:paraId="483BD8B2" w14:textId="77777777" w:rsidR="00494B49" w:rsidRDefault="00494B49">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48"/>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3AF5131C" w14:textId="77777777" w:rsidR="00494B49" w:rsidRDefault="00494B49">
      <w:pPr>
        <w:pStyle w:val="BHead3"/>
      </w:pPr>
      <w:r>
        <w:t>c. Special Rules Applicable to 2013 Taxable Year</w:t>
      </w:r>
    </w:p>
    <w:p w14:paraId="66EAE8F8" w14:textId="77777777" w:rsidR="00494B49" w:rsidRDefault="00494B49">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49"/>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50"/>
      </w:r>
    </w:p>
    <w:p w14:paraId="5CF85D17" w14:textId="77777777" w:rsidR="00494B49" w:rsidRDefault="00494B49">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3F1823E1" w14:textId="77777777" w:rsidR="00494B49" w:rsidRDefault="00494B49">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1"/>
      </w:r>
      <w:r>
        <w:t xml:space="preserve"> (2) consent was accomplished by negative consent;</w:t>
      </w:r>
      <w:r>
        <w:rPr>
          <w:rStyle w:val="FootnoteReference"/>
        </w:rPr>
        <w:footnoteReference w:id="952"/>
      </w:r>
      <w:r>
        <w:t xml:space="preserve"> and (3) general tax rules and most organizational documents authorized the managing member, general partner, executive or trustee to make all elections on behalf of the entity that were not specifically reserved for the </w:t>
      </w:r>
      <w:r>
        <w:lastRenderedPageBreak/>
        <w:t xml:space="preserve">partners, shareholders and participants — therefore, the partners, shareholders, and participants would make a blanket consent to all entity-level elections when they became owners. </w:t>
      </w:r>
    </w:p>
    <w:p w14:paraId="1C25577E" w14:textId="77777777" w:rsidR="00494B49" w:rsidRDefault="00494B49">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5F9A2DB3" w14:textId="77777777" w:rsidR="00494B49" w:rsidRDefault="00494B49">
      <w:pPr>
        <w:pStyle w:val="BHead2"/>
      </w:pPr>
      <w:r>
        <w:t xml:space="preserve">5. Protective ‘Blanket 10(g) Elections’ </w:t>
      </w:r>
    </w:p>
    <w:p w14:paraId="38D81D52" w14:textId="77777777" w:rsidR="00494B49" w:rsidRDefault="00494B49">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55E99ED7" w14:textId="77777777" w:rsidR="00494B49" w:rsidRDefault="00494B49">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7E7F85F4" w14:textId="77777777" w:rsidR="00494B49" w:rsidRDefault="00494B49">
      <w:pPr>
        <w:pStyle w:val="BNormal"/>
      </w:pPr>
      <w:r>
        <w:t>As a solution to the information sharing deficiency, some taxpayers are choosing to make protective or blanket elections.</w:t>
      </w:r>
      <w:r>
        <w:rPr>
          <w:rStyle w:val="FootnoteReference"/>
        </w:rPr>
        <w:footnoteReference w:id="953"/>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7D42D866" w14:textId="77777777" w:rsidR="00494B49" w:rsidRDefault="00494B49">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0874BD84" w14:textId="77777777" w:rsidR="00494B49" w:rsidRDefault="00494B49">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w:t>
      </w:r>
      <w:r>
        <w:lastRenderedPageBreak/>
        <w:t xml:space="preserve">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01971932" w14:textId="77777777" w:rsidR="00494B49" w:rsidRDefault="00494B49">
      <w:pPr>
        <w:pStyle w:val="BHead2"/>
      </w:pPr>
      <w:r>
        <w:t>6. Intentionally Not Making the 10(g) Election</w:t>
      </w:r>
    </w:p>
    <w:p w14:paraId="1CAE3509" w14:textId="77777777" w:rsidR="00494B49" w:rsidRDefault="00494B49">
      <w:pPr>
        <w:pStyle w:val="BNormal"/>
      </w:pPr>
      <w:r>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623551A4" w14:textId="77777777" w:rsidR="00494B49" w:rsidRDefault="00494B49">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3289EED6" w14:textId="77777777" w:rsidR="00494B49" w:rsidRDefault="00494B49">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4"/>
      </w:r>
      <w:r>
        <w:t xml:space="preserve"> The adjustments to an estate’s or trust’s distributable net income may produce unusual results and the special CFC/QEF rules for charitable remainder trusts are extremely complicated. </w:t>
      </w:r>
    </w:p>
    <w:p w14:paraId="709C5943" w14:textId="77777777" w:rsidR="00494B49" w:rsidRDefault="00494B49">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w:t>
      </w:r>
      <w:r>
        <w:lastRenderedPageBreak/>
        <w:t>perspective, it may not be the most income tax efficient for regular income tax purposes. Thus, the viability of such a strategy is heavily dependent on the anticipated tax characteristics of the underlying fund.</w:t>
      </w:r>
    </w:p>
    <w:p w14:paraId="39195128" w14:textId="77777777" w:rsidR="00494B49" w:rsidRDefault="00494B49">
      <w:pPr>
        <w:pStyle w:val="BHead1"/>
      </w:pPr>
      <w:r>
        <w:t xml:space="preserve">F. Special Consideration for Estates and Trusts </w:t>
      </w:r>
    </w:p>
    <w:p w14:paraId="1B4B4213" w14:textId="77777777" w:rsidR="00494B49" w:rsidRDefault="00494B49">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an estate or trust computes net investment income in the same manner as an individual.</w:t>
      </w:r>
      <w:r>
        <w:rPr>
          <w:rStyle w:val="FootnoteReference"/>
        </w:rPr>
        <w:footnoteReference w:id="955"/>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3132A4E0"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7EEBF445" w14:textId="77777777" w:rsidR="00494B49" w:rsidRDefault="00494B49">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w:t>
        </w:r>
        <w:proofErr w:type="spellStart"/>
        <w:r>
          <w:t>i</w:t>
        </w:r>
        <w:proofErr w:type="spellEnd"/>
        <w:r>
          <w:t>)</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3D070589" w14:textId="77777777" w:rsidR="00494B49" w:rsidRDefault="00494B49">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16C2605" w14:textId="77777777" w:rsidR="00494B49" w:rsidRDefault="00494B49">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3CFB7212" w14:textId="77777777" w:rsidR="00494B49" w:rsidRDefault="00494B49">
      <w:pPr>
        <w:pStyle w:val="BHead1"/>
      </w:pPr>
      <w:r>
        <w:t>G. Application of §965 Transition Tax to a Taxpayer Subject to NIIT</w:t>
      </w:r>
    </w:p>
    <w:p w14:paraId="1553F7BB" w14:textId="77777777" w:rsidR="00494B49" w:rsidRDefault="00494B49">
      <w:pPr>
        <w:pStyle w:val="BHead2"/>
      </w:pPr>
      <w:r>
        <w:t>1. Overview of §965</w:t>
      </w:r>
    </w:p>
    <w:p w14:paraId="51537695" w14:textId="77777777" w:rsidR="00494B49" w:rsidRDefault="00494B49">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6"/>
      </w:r>
      <w:r>
        <w:t xml:space="preserve"> A DFIC is, with respect to any U.S. shareholder, any specified foreign corporation (SFC) of such </w:t>
      </w:r>
      <w:r>
        <w:lastRenderedPageBreak/>
        <w:t xml:space="preserve">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09F90E12" w14:textId="77777777" w:rsidR="00494B49" w:rsidRDefault="00494B49">
      <w:pPr>
        <w:pStyle w:val="BNormal"/>
      </w:pPr>
      <w:r>
        <w:rPr>
          <w:i/>
        </w:rPr>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329D7725" w14:textId="77777777" w:rsidR="00494B49" w:rsidRDefault="00494B49">
      <w:pPr>
        <w:pStyle w:val="BHead2"/>
      </w:pPr>
      <w:r>
        <w:t>2. Treatment of the §965(a) Inclusion</w:t>
      </w:r>
    </w:p>
    <w:p w14:paraId="5DF09F88" w14:textId="77777777" w:rsidR="00494B49" w:rsidRDefault="00494B49">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7324FD1E" w14:textId="77777777" w:rsidR="00494B49" w:rsidRDefault="00494B49">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6D0F6A7F" w14:textId="77777777" w:rsidR="00494B49" w:rsidRDefault="00494B49">
      <w:pPr>
        <w:pStyle w:val="BHead2"/>
      </w:pPr>
      <w:r>
        <w:t>3. Treatment of the §965(c) Deduction</w:t>
      </w:r>
    </w:p>
    <w:p w14:paraId="03757B0F" w14:textId="77777777" w:rsidR="00494B49" w:rsidRDefault="00494B49">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4CFE97BC" w14:textId="77777777" w:rsidR="00494B49" w:rsidRDefault="00494B49">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7"/>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5E0FE45B" w14:textId="77777777" w:rsidR="00494B49" w:rsidRDefault="00494B49">
      <w:pPr>
        <w:pStyle w:val="BNormal"/>
      </w:pPr>
      <w:r>
        <w:lastRenderedPageBreak/>
        <w:t xml:space="preserve">NIIT allows deductions described in </w:t>
      </w:r>
      <w:smartTag w:uri="http://www.bna.com/sgml2word/cite" w:element="cite.usc">
        <w:smartTagPr>
          <w:attr w:name="ref" w:val="USC\26\62(a)(1)"/>
        </w:smartTagPr>
        <w:r>
          <w:t>§62(a)(1)</w:t>
        </w:r>
      </w:smartTag>
      <w:r>
        <w:t>,</w:t>
      </w:r>
      <w:r>
        <w:rPr>
          <w:rStyle w:val="FootnoteReference"/>
        </w:rPr>
        <w:footnoteReference w:id="958"/>
      </w:r>
      <w:r>
        <w:t xml:space="preserve"> </w:t>
      </w:r>
      <w:smartTag w:uri="http://www.bna.com/sgml2word/cite" w:element="cite.usc">
        <w:smartTagPr>
          <w:attr w:name="ref" w:val="USC\26\62(a)(4)"/>
        </w:smartTagPr>
        <w:r>
          <w:t>§62(a)(4)</w:t>
        </w:r>
      </w:smartTag>
      <w:r>
        <w:t>,</w:t>
      </w:r>
      <w:r>
        <w:rPr>
          <w:rStyle w:val="FootnoteReference"/>
        </w:rPr>
        <w:footnoteReference w:id="959"/>
      </w:r>
      <w:r>
        <w:t xml:space="preserve"> and </w:t>
      </w:r>
      <w:smartTag w:uri="http://www.bna.com/sgml2word/cite" w:element="cite.usc">
        <w:smartTagPr>
          <w:attr w:name="ref" w:val="USC\26\163(d)(4)(C)"/>
        </w:smartTagPr>
        <w:r>
          <w:t>§163(d)(4)(C)</w:t>
        </w:r>
      </w:smartTag>
      <w:r>
        <w:t>.</w:t>
      </w:r>
      <w:r>
        <w:rPr>
          <w:rStyle w:val="FootnoteReference"/>
        </w:rPr>
        <w:footnoteReference w:id="960"/>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22B867D4" w14:textId="77777777" w:rsidR="00494B49" w:rsidRDefault="00494B49">
      <w:pPr>
        <w:pStyle w:val="BNormal"/>
      </w:pPr>
      <w:r>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w:t>
        </w:r>
        <w:proofErr w:type="spellStart"/>
        <w:r>
          <w:t>i</w:t>
        </w:r>
        <w:proofErr w:type="spellEnd"/>
        <w:r>
          <w:t>)</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1"/>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1773F1A8" w14:textId="77777777" w:rsidR="00494B49" w:rsidRDefault="00494B49">
      <w:pPr>
        <w:pStyle w:val="BHead2"/>
      </w:pPr>
      <w:r>
        <w:t>4. NIIT Treatment of Installments Payable Over Eight Years (§965(h))</w:t>
      </w:r>
    </w:p>
    <w:p w14:paraId="560A7200" w14:textId="77777777" w:rsidR="00494B49" w:rsidRDefault="00494B49">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w:t>
      </w:r>
      <w:proofErr w:type="spellStart"/>
      <w:r>
        <w:t>i</w:t>
      </w:r>
      <w:proofErr w:type="spellEnd"/>
      <w:r>
        <w:t xml:space="preserve">)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9C45E23" w14:textId="77777777" w:rsidR="00494B49" w:rsidRDefault="00494B49">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2D5C5363" w14:textId="77777777" w:rsidR="00494B49" w:rsidRDefault="00494B49">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49F7BB4E" w14:textId="77777777" w:rsidR="00494B49" w:rsidRDefault="00494B49">
      <w:pPr>
        <w:pStyle w:val="BCommentpara"/>
      </w:pPr>
      <w:r>
        <w:rPr>
          <w:rStyle w:val="BCommenthead"/>
        </w:rPr>
        <w:t xml:space="preserve">Note: </w:t>
      </w:r>
      <w:r>
        <w:t xml:space="preserve">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w:t>
      </w:r>
      <w:r>
        <w:lastRenderedPageBreak/>
        <w:t xml:space="preserve">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3FD97DF9" w14:textId="77777777" w:rsidR="00494B49" w:rsidRDefault="00494B49">
      <w:pPr>
        <w:pStyle w:val="BNormal"/>
      </w:pPr>
      <w:r>
        <w:t xml:space="preserve">In </w:t>
      </w:r>
      <w:smartTag w:uri="http://www.bna.com/sgml2word/cite" w:element="cite.agency.doc">
        <w:smartTagPr>
          <w:attr w:name="ref" w:val="irs\PMTA\2018-16"/>
        </w:smartTagPr>
        <w:r>
          <w:t>PMTA 2018-16</w:t>
        </w:r>
      </w:smartTag>
      <w:r>
        <w:t>, the IRS Chief Counsel addressed whether taxpayers could obtain a refund of or apply as a credit to their next year’s estimated tax liability any amount that exceeded the amount currently due. The IRS Chief Counsel also addressed whether the IRS's offset refund bypass procedures described in IRM 21.4.6.5.7.1 applied.</w:t>
      </w:r>
    </w:p>
    <w:p w14:paraId="15C27CBF" w14:textId="77777777" w:rsidR="00494B49" w:rsidRDefault="00494B49">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1386335" w14:textId="77777777" w:rsidR="00494B49" w:rsidRDefault="00494B49">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4B42CE75" w14:textId="77777777" w:rsidR="00494B49" w:rsidRDefault="00494B49">
      <w:pPr>
        <w:pStyle w:val="BHead1"/>
      </w:pPr>
      <w:r>
        <w:t>H. NIIT Treatment of Taxpayers Making a §962 Election</w:t>
      </w:r>
    </w:p>
    <w:p w14:paraId="5CF72F0D" w14:textId="77777777" w:rsidR="00494B49" w:rsidRDefault="00494B49">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2"/>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11D4E9AE" w14:textId="77777777" w:rsidR="00494B49" w:rsidRDefault="00494B49">
      <w:pPr>
        <w:pStyle w:val="BNormal"/>
      </w:pPr>
      <w:r>
        <w:lastRenderedPageBreak/>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3"/>
      </w:r>
    </w:p>
    <w:p w14:paraId="30157787" w14:textId="77777777" w:rsidR="00494B49" w:rsidRDefault="00494B49">
      <w:pPr>
        <w:pStyle w:val="BNormal"/>
      </w:pPr>
      <w:smartTag w:uri="http://www.bna.com/sgml2word/cite" w:element="cite.usc">
        <w:smartTagPr>
          <w:attr w:name="ref" w:val="usc\26\962(a)"/>
        </w:smartTagPr>
        <w:r>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42973C2D" w14:textId="77777777" w:rsidR="00494B49" w:rsidRDefault="00494B49">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3EEC64C9" w14:textId="77777777" w:rsidR="00494B49" w:rsidRDefault="00494B49">
      <w:pPr>
        <w:pStyle w:val="BNormal"/>
      </w:pPr>
      <w:r>
        <w:t>Given the growing popularity of the election following TCJA, the 2021 Form 1040 instructions added a note that reads:</w:t>
      </w:r>
    </w:p>
    <w:p w14:paraId="0DE35614" w14:textId="77777777" w:rsidR="00494B49" w:rsidRDefault="00494B49">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4"/>
      </w:r>
    </w:p>
    <w:p w14:paraId="6569F5AF" w14:textId="77777777" w:rsidR="00494B49" w:rsidRDefault="00494B49">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2D033229" w14:textId="77777777" w:rsidR="00494B49" w:rsidRDefault="00494B49">
      <w:pPr>
        <w:pStyle w:val="BExamplepara"/>
      </w:pPr>
      <w:r>
        <w:rPr>
          <w:rStyle w:val="BExamplehead"/>
          <w:rFonts w:eastAsiaTheme="minorHAnsi"/>
          <w:i/>
        </w:rPr>
        <w:t xml:space="preserve">Example: </w:t>
      </w:r>
      <w:r>
        <w:t xml:space="preserve">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A824D6" w14:textId="77777777" w:rsidR="00494B49" w:rsidRDefault="00494B49">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w:t>
      </w:r>
      <w:r>
        <w:lastRenderedPageBreak/>
        <w:t>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39A0CB2" w14:textId="77777777" w:rsidR="00494B49" w:rsidRDefault="00494B49">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will be reported on Individual A’s Form 1040, Schedule B as a dividend (and therefore will be included in adjusted gross income and taxable income).</w:t>
      </w:r>
      <w:r>
        <w:rPr>
          <w:rStyle w:val="FootnoteReference"/>
        </w:rPr>
        <w:footnoteReference w:id="965"/>
      </w:r>
    </w:p>
    <w:p w14:paraId="07E5D253" w14:textId="77777777" w:rsidR="00494B49" w:rsidRDefault="00494B49">
      <w:pPr>
        <w:pStyle w:val="BCommentpara"/>
      </w:pPr>
      <w:r>
        <w:rPr>
          <w:rStyle w:val="BCommenthead"/>
        </w:rPr>
        <w:t xml:space="preserve">Note: </w:t>
      </w:r>
      <w:r>
        <w:t xml:space="preserve">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16C25C79" w14:textId="77777777" w:rsidR="00494B49" w:rsidRDefault="00494B49">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6"/>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7"/>
      </w:r>
    </w:p>
    <w:p w14:paraId="396248C7" w14:textId="77777777" w:rsidR="00494B49" w:rsidRDefault="00494B49">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0A8EC453" w14:textId="77777777" w:rsidR="00494B49" w:rsidRDefault="00494B49">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w:t>
        </w:r>
        <w:proofErr w:type="spellStart"/>
        <w:r>
          <w:t>i</w:t>
        </w:r>
        <w:proofErr w:type="spellEnd"/>
        <w:r>
          <w:t>)</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220E6950" w14:textId="77777777" w:rsidR="00494B49" w:rsidRDefault="00494B49">
      <w:pPr>
        <w:pStyle w:val="BChapterName"/>
      </w:pPr>
      <w:r>
        <w:t>VIII. Application to Individuals</w:t>
      </w:r>
    </w:p>
    <w:p w14:paraId="1DEAEEA4" w14:textId="77777777" w:rsidR="00494B49" w:rsidRDefault="00494B49">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w:t>
      </w:r>
      <w:proofErr w:type="spellStart"/>
      <w:r>
        <w:t>i</w:t>
      </w:r>
      <w:proofErr w:type="spellEnd"/>
      <w:r>
        <w:t>) the individual’s modified adjusted gross income for the tax year, over (ii) the threshold amount. Unlike self-employment taxes, the NIIT is not deductible in computing any tax imposed by Subtitle A of the Code.</w:t>
      </w:r>
      <w:r>
        <w:rPr>
          <w:rStyle w:val="FootnoteReference"/>
        </w:rPr>
        <w:footnoteReference w:id="968"/>
      </w:r>
    </w:p>
    <w:p w14:paraId="58D1D57B" w14:textId="77777777" w:rsidR="00494B49" w:rsidRDefault="00494B49">
      <w:pPr>
        <w:pStyle w:val="BNormal"/>
      </w:pPr>
      <w:r>
        <w:lastRenderedPageBreak/>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69"/>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Medicare Trust Fund, the NIIT is not a tax covered by Totalization Agreements with foreign countries.</w:t>
      </w:r>
      <w:r>
        <w:rPr>
          <w:rStyle w:val="FootnoteReference"/>
        </w:rPr>
        <w:footnoteReference w:id="970"/>
      </w:r>
    </w:p>
    <w:p w14:paraId="04F7A99A" w14:textId="77777777" w:rsidR="00494B49" w:rsidRDefault="00494B49">
      <w:pPr>
        <w:pStyle w:val="BHead1"/>
      </w:pPr>
      <w:r>
        <w:t>A. Modified Adjusted Gross Income</w:t>
      </w:r>
    </w:p>
    <w:p w14:paraId="2C322B39" w14:textId="77777777" w:rsidR="00494B49" w:rsidRDefault="00494B49">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1"/>
      </w:r>
      <w:r>
        <w:t xml:space="preserve"> Taxpayers with income from controlled foreign corporations (CFCs) and passive foreign investment companies (PFICs) may have additional adjustments to their AGI.</w:t>
      </w:r>
      <w:r>
        <w:rPr>
          <w:rStyle w:val="FootnoteReference"/>
        </w:rPr>
        <w:footnoteReference w:id="972"/>
      </w:r>
    </w:p>
    <w:p w14:paraId="1BB0FEFA" w14:textId="77777777" w:rsidR="00494B49" w:rsidRDefault="00494B49">
      <w:pPr>
        <w:pStyle w:val="BHead1"/>
      </w:pPr>
      <w:r>
        <w:t>B. Threshold Amounts</w:t>
      </w:r>
    </w:p>
    <w:p w14:paraId="70328B6B" w14:textId="77777777" w:rsidR="00494B49" w:rsidRDefault="00494B49" w:rsidP="007865AF">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5E1B7677" w14:textId="77777777" w:rsidR="00494B49" w:rsidRDefault="00494B49" w:rsidP="007865AF">
      <w:pPr>
        <w:pStyle w:val="BNormal"/>
      </w:pPr>
    </w:p>
    <w:tbl>
      <w:tblPr>
        <w:tblStyle w:val="TableGrid"/>
        <w:tblW w:w="0" w:type="auto"/>
        <w:tblLook w:val="04A0" w:firstRow="1" w:lastRow="0" w:firstColumn="1" w:lastColumn="0" w:noHBand="0" w:noVBand="1"/>
      </w:tblPr>
      <w:tblGrid>
        <w:gridCol w:w="4676"/>
        <w:gridCol w:w="4674"/>
      </w:tblGrid>
      <w:tr w:rsidR="00494B49" w14:paraId="33A11C52" w14:textId="77777777">
        <w:tc>
          <w:tcPr>
            <w:tcW w:w="5040" w:type="dxa"/>
          </w:tcPr>
          <w:p w14:paraId="5E9C90F7" w14:textId="77777777" w:rsidR="00494B49" w:rsidRDefault="00494B49">
            <w:r>
              <w:t xml:space="preserve"> </w:t>
            </w:r>
            <w:r>
              <w:rPr>
                <w:b/>
              </w:rPr>
              <w:t>Filing Status</w:t>
            </w:r>
          </w:p>
        </w:tc>
        <w:tc>
          <w:tcPr>
            <w:tcW w:w="5040" w:type="dxa"/>
          </w:tcPr>
          <w:p w14:paraId="3772367D" w14:textId="77777777" w:rsidR="00494B49" w:rsidRDefault="00494B49">
            <w:r>
              <w:t xml:space="preserve"> </w:t>
            </w:r>
            <w:r>
              <w:rPr>
                <w:b/>
              </w:rPr>
              <w:t>Threshold Amount</w:t>
            </w:r>
          </w:p>
        </w:tc>
      </w:tr>
      <w:tr w:rsidR="00494B49" w14:paraId="14E55DCE" w14:textId="77777777">
        <w:tc>
          <w:tcPr>
            <w:tcW w:w="5040" w:type="dxa"/>
          </w:tcPr>
          <w:p w14:paraId="46C8577F" w14:textId="77777777" w:rsidR="00494B49" w:rsidRDefault="00494B49">
            <w:r>
              <w:t>Married filing jointly</w:t>
            </w:r>
          </w:p>
        </w:tc>
        <w:tc>
          <w:tcPr>
            <w:tcW w:w="5040" w:type="dxa"/>
          </w:tcPr>
          <w:p w14:paraId="0ED17796" w14:textId="77777777" w:rsidR="00494B49" w:rsidRDefault="00494B49">
            <w:r>
              <w:t>$250,000</w:t>
            </w:r>
          </w:p>
        </w:tc>
      </w:tr>
      <w:tr w:rsidR="00494B49" w14:paraId="31A75A3C" w14:textId="77777777">
        <w:tc>
          <w:tcPr>
            <w:tcW w:w="5040" w:type="dxa"/>
          </w:tcPr>
          <w:p w14:paraId="3E4C7709" w14:textId="77777777" w:rsidR="00494B49" w:rsidRDefault="00494B49">
            <w:r>
              <w:t>Married filing separately</w:t>
            </w:r>
          </w:p>
        </w:tc>
        <w:tc>
          <w:tcPr>
            <w:tcW w:w="5040" w:type="dxa"/>
          </w:tcPr>
          <w:p w14:paraId="167F6DE3" w14:textId="77777777" w:rsidR="00494B49" w:rsidRDefault="00494B49">
            <w:r>
              <w:t>$125,000</w:t>
            </w:r>
          </w:p>
        </w:tc>
      </w:tr>
      <w:tr w:rsidR="00494B49" w14:paraId="2147F187" w14:textId="77777777">
        <w:tc>
          <w:tcPr>
            <w:tcW w:w="5040" w:type="dxa"/>
          </w:tcPr>
          <w:p w14:paraId="7C3D6F2F" w14:textId="77777777" w:rsidR="00494B49" w:rsidRDefault="00494B49">
            <w:r>
              <w:t>Single</w:t>
            </w:r>
          </w:p>
        </w:tc>
        <w:tc>
          <w:tcPr>
            <w:tcW w:w="5040" w:type="dxa"/>
          </w:tcPr>
          <w:p w14:paraId="5BDF518A" w14:textId="77777777" w:rsidR="00494B49" w:rsidRDefault="00494B49">
            <w:r>
              <w:t>$200,000</w:t>
            </w:r>
          </w:p>
        </w:tc>
      </w:tr>
      <w:tr w:rsidR="00494B49" w14:paraId="317C2323" w14:textId="77777777">
        <w:tc>
          <w:tcPr>
            <w:tcW w:w="5040" w:type="dxa"/>
          </w:tcPr>
          <w:p w14:paraId="60098C14" w14:textId="77777777" w:rsidR="00494B49" w:rsidRDefault="00494B49">
            <w:r>
              <w:t>Head of household (with qualifying person)</w:t>
            </w:r>
          </w:p>
        </w:tc>
        <w:tc>
          <w:tcPr>
            <w:tcW w:w="5040" w:type="dxa"/>
          </w:tcPr>
          <w:p w14:paraId="694FB268" w14:textId="77777777" w:rsidR="00494B49" w:rsidRDefault="00494B49">
            <w:r>
              <w:t>$200,000</w:t>
            </w:r>
          </w:p>
        </w:tc>
      </w:tr>
      <w:tr w:rsidR="00494B49" w14:paraId="7686BD75" w14:textId="77777777">
        <w:tc>
          <w:tcPr>
            <w:tcW w:w="5040" w:type="dxa"/>
          </w:tcPr>
          <w:p w14:paraId="025CCA03" w14:textId="77777777" w:rsidR="00494B49" w:rsidRDefault="00494B49">
            <w:r>
              <w:t>Surviving spouse with dependent child</w:t>
            </w:r>
          </w:p>
        </w:tc>
        <w:tc>
          <w:tcPr>
            <w:tcW w:w="5040" w:type="dxa"/>
          </w:tcPr>
          <w:p w14:paraId="3CBE95D4" w14:textId="77777777" w:rsidR="00494B49" w:rsidRDefault="00494B49">
            <w:r>
              <w:t>$250,000</w:t>
            </w:r>
          </w:p>
        </w:tc>
      </w:tr>
    </w:tbl>
    <w:p w14:paraId="2A1F2160" w14:textId="77777777" w:rsidR="00494B49" w:rsidRDefault="00494B49">
      <w:pPr>
        <w:pStyle w:val="BNormal"/>
      </w:pPr>
    </w:p>
    <w:p w14:paraId="07501AB3" w14:textId="77777777" w:rsidR="00494B49" w:rsidRDefault="00494B49">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3"/>
      </w:r>
    </w:p>
    <w:p w14:paraId="271CE8B2" w14:textId="77777777" w:rsidR="00494B49" w:rsidRDefault="00494B49">
      <w:pPr>
        <w:pStyle w:val="BNormal"/>
      </w:pPr>
      <w:r>
        <w:t>The threshold amount is generally not prorated in the case of a short tax year of an individual.</w:t>
      </w:r>
      <w:r>
        <w:rPr>
          <w:rStyle w:val="FootnoteReference"/>
        </w:rPr>
        <w:footnoteReference w:id="974"/>
      </w:r>
      <w:r>
        <w:t xml:space="preserve"> However, the regulations provide a special rule in the case of an individual who has a short tax year resulting from a change of annual accounting period.</w:t>
      </w:r>
      <w:r>
        <w:rPr>
          <w:rStyle w:val="FootnoteReference"/>
        </w:rPr>
        <w:footnoteReference w:id="975"/>
      </w:r>
      <w:r>
        <w:t xml:space="preserve"> Reg. </w:t>
      </w:r>
      <w:smartTag w:uri="http://www.bna.com/sgml2word/cite" w:element="cite.cfr">
        <w:smartTagPr>
          <w:attr w:name="ref" w:val="cfr\26\1.1411-2(d)(2)(ii)"/>
        </w:smartTagPr>
        <w:r>
          <w:t>§1.1411-2(d)(2)(ii)</w:t>
        </w:r>
      </w:smartTag>
      <w:r>
        <w:t xml:space="preserve"> provides </w:t>
      </w:r>
      <w:r>
        <w:lastRenderedPageBreak/>
        <w:t xml:space="preserve">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1B17B9D3" w14:textId="77777777" w:rsidR="00494B49" w:rsidRDefault="00494B49">
      <w:pPr>
        <w:pStyle w:val="BHead1"/>
      </w:pPr>
      <w:r>
        <w:t>C. Special Rules Applicable to Individuals</w:t>
      </w:r>
    </w:p>
    <w:p w14:paraId="7840A03A" w14:textId="77777777" w:rsidR="00494B49" w:rsidRDefault="00494B49">
      <w:pPr>
        <w:pStyle w:val="BHead2"/>
      </w:pPr>
      <w:r>
        <w:t>1. Application to Nonresident Aliens</w:t>
      </w:r>
    </w:p>
    <w:p w14:paraId="624FC356"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6"/>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2905943C" w14:textId="77777777" w:rsidR="00494B49" w:rsidRDefault="00494B49">
      <w:pPr>
        <w:pStyle w:val="BNormal"/>
      </w:pPr>
      <w:r>
        <w:t>A dual resident taxpayer</w:t>
      </w:r>
      <w:r>
        <w:rPr>
          <w:rStyle w:val="FootnoteReference"/>
        </w:rPr>
        <w:footnoteReference w:id="977"/>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78"/>
      </w:r>
      <w:r>
        <w:t xml:space="preserve"> Therefore, dual resident taxpayers are not subject to </w:t>
      </w:r>
      <w:smartTag w:uri="http://www.bna.com/sgml2word/cite" w:element="cite.usc">
        <w:smartTagPr>
          <w:attr w:name="ref" w:val="USC\26\1411"/>
        </w:smartTagPr>
        <w:r>
          <w:t>§1411</w:t>
        </w:r>
      </w:smartTag>
      <w:r>
        <w:t xml:space="preserve">. </w:t>
      </w:r>
    </w:p>
    <w:p w14:paraId="56147B0B" w14:textId="77777777" w:rsidR="00494B49" w:rsidRDefault="00494B49">
      <w:pPr>
        <w:pStyle w:val="BHead3"/>
      </w:pPr>
      <w:r>
        <w:t>a. Nonresidents Aliens Married to U.S. Residents or Citizens</w:t>
      </w:r>
    </w:p>
    <w:p w14:paraId="6AC12624" w14:textId="77777777" w:rsidR="00494B49" w:rsidRDefault="00494B49">
      <w:pPr>
        <w:pStyle w:val="BNormal"/>
      </w:pPr>
      <w:smartTag w:uri="http://www.bna.com/sgml2word/cite" w:element="cite.usc">
        <w:smartTagPr>
          <w:attr w:name="ref" w:val="USC\26\6013(a)"/>
        </w:smartTagPr>
        <w:r>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w:t>
        </w:r>
        <w:proofErr w:type="spellStart"/>
        <w:r>
          <w:t>i</w:t>
        </w:r>
        <w:proofErr w:type="spellEnd"/>
        <w:r>
          <w:t>)(A)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79"/>
      </w:r>
    </w:p>
    <w:p w14:paraId="0EE1286B" w14:textId="77777777" w:rsidR="00494B49" w:rsidRDefault="00494B49">
      <w:pPr>
        <w:pStyle w:val="BHead4"/>
      </w:pPr>
      <w:r>
        <w:t>(1) Section 6013(h) Election</w:t>
      </w:r>
    </w:p>
    <w:p w14:paraId="6ED85594" w14:textId="77777777" w:rsidR="00494B49" w:rsidRDefault="00494B49">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7C57FE41"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0"/>
      </w:r>
    </w:p>
    <w:p w14:paraId="56C20E9B" w14:textId="77777777" w:rsidR="00494B49" w:rsidRDefault="00494B49">
      <w:pPr>
        <w:pStyle w:val="BListitembul"/>
      </w:pPr>
      <w:r>
        <w:lastRenderedPageBreak/>
        <w:t>The couple is entitled to the $250,000 threshold amount in §1411(b)(1) for taxpayers filing a joint return;</w:t>
      </w:r>
      <w:r>
        <w:rPr>
          <w:rStyle w:val="FootnoteReference"/>
        </w:rPr>
        <w:footnoteReference w:id="981"/>
      </w:r>
      <w:r>
        <w:t xml:space="preserve"> and </w:t>
      </w:r>
    </w:p>
    <w:p w14:paraId="6DB7280C" w14:textId="77777777" w:rsidR="00494B49" w:rsidRDefault="00494B49">
      <w:pPr>
        <w:pStyle w:val="BListitembul"/>
      </w:pPr>
      <w:r>
        <w:t>The election is governed by the rules of §6013(h)(2) and the regulations thereunder.</w:t>
      </w:r>
      <w:r>
        <w:rPr>
          <w:rStyle w:val="FootnoteReference"/>
        </w:rPr>
        <w:footnoteReference w:id="982"/>
      </w:r>
    </w:p>
    <w:p w14:paraId="26884919" w14:textId="77777777" w:rsidR="00494B49" w:rsidRDefault="00494B49">
      <w:pPr>
        <w:pStyle w:val="BNormal"/>
      </w:pPr>
      <w:r>
        <w:t>The election must be made in the manner prescribed by forms, instructions, or in other guidance on an original or amended return for the applicable tax year.</w:t>
      </w:r>
      <w:r>
        <w:rPr>
          <w:rStyle w:val="FootnoteReference"/>
        </w:rPr>
        <w:footnoteReference w:id="983"/>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4"/>
      </w:r>
      <w:r>
        <w:t> </w:t>
      </w:r>
    </w:p>
    <w:p w14:paraId="55691DEC" w14:textId="77777777" w:rsidR="00494B49" w:rsidRDefault="00494B49">
      <w:pPr>
        <w:pStyle w:val="BHead4"/>
      </w:pPr>
      <w:r>
        <w:t>(2) Section 6013(g) Election</w:t>
      </w:r>
    </w:p>
    <w:p w14:paraId="3CADB868" w14:textId="77777777" w:rsidR="00494B49" w:rsidRDefault="00494B49">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as a U.S. resident for purposes of Chapters 1 and 24 of the Code for the tax year.</w:t>
      </w:r>
      <w:r>
        <w:rPr>
          <w:rStyle w:val="FootnoteReference"/>
        </w:rPr>
        <w:footnoteReference w:id="985"/>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6F88472B"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6"/>
      </w:r>
    </w:p>
    <w:p w14:paraId="5A1F3135" w14:textId="77777777" w:rsidR="00494B49" w:rsidRDefault="00494B49">
      <w:pPr>
        <w:pStyle w:val="BListitembul"/>
      </w:pPr>
      <w:r>
        <w:t>The couple is entitled to the $250,000 threshold amount in §1411(b)(1) for taxpayers filing a joint return;</w:t>
      </w:r>
      <w:r>
        <w:rPr>
          <w:rStyle w:val="FootnoteReference"/>
        </w:rPr>
        <w:footnoteReference w:id="987"/>
      </w:r>
      <w:r>
        <w:t xml:space="preserve"> and </w:t>
      </w:r>
    </w:p>
    <w:p w14:paraId="79AFB05E" w14:textId="77777777" w:rsidR="00494B49" w:rsidRDefault="00494B49">
      <w:pPr>
        <w:pStyle w:val="BListitembul"/>
      </w:pPr>
      <w:r>
        <w:t>The election is governed by the rules of §6013(g)(2)–§6013(g)(6) and the regulations thereunder.</w:t>
      </w:r>
      <w:r>
        <w:rPr>
          <w:rStyle w:val="FootnoteReference"/>
        </w:rPr>
        <w:footnoteReference w:id="988"/>
      </w:r>
    </w:p>
    <w:p w14:paraId="640DF87D" w14:textId="77777777" w:rsidR="00494B49" w:rsidRDefault="00494B49">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89"/>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w:t>
      </w:r>
      <w:r>
        <w:lastRenderedPageBreak/>
        <w:t xml:space="preserve">the </w:t>
      </w:r>
      <w:smartTag w:uri="http://www.bna.com/sgml2word/cite" w:element="cite.usc">
        <w:smartTagPr>
          <w:attr w:name="ref" w:val="USC\26\6013(g)"/>
        </w:smartTagPr>
        <w:r>
          <w:t>§6013(g)</w:t>
        </w:r>
      </w:smartTag>
      <w:r>
        <w:t xml:space="preserve"> election.</w:t>
      </w:r>
      <w:r>
        <w:rPr>
          <w:rStyle w:val="FootnoteReference"/>
        </w:rPr>
        <w:footnoteReference w:id="990"/>
      </w:r>
      <w:r>
        <w:t xml:space="preserve"> The election must be made in the manner prescribed by forms, instructions, or in other guidance on an original or amended return for the tax year for which the election is made.</w:t>
      </w:r>
      <w:r>
        <w:rPr>
          <w:rStyle w:val="FootnoteReference"/>
        </w:rPr>
        <w:footnoteReference w:id="991"/>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2"/>
      </w:r>
    </w:p>
    <w:p w14:paraId="0702B472" w14:textId="77777777" w:rsidR="00494B49" w:rsidRDefault="00494B49">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3"/>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it did not meet the criteria for making the election (with one exception), the original election will have no effect for that year and all future years.</w:t>
      </w:r>
      <w:r>
        <w:rPr>
          <w:rStyle w:val="FootnoteReference"/>
        </w:rPr>
        <w:footnoteReference w:id="994"/>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5"/>
      </w:r>
    </w:p>
    <w:p w14:paraId="0DD13583" w14:textId="77777777" w:rsidR="00494B49" w:rsidRDefault="00494B49">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6"/>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7"/>
      </w:r>
      <w:r>
        <w:t xml:space="preserve"> </w:t>
      </w:r>
    </w:p>
    <w:p w14:paraId="2DFE89A1" w14:textId="77777777" w:rsidR="00494B49" w:rsidRDefault="00494B49" w:rsidP="007865AF">
      <w:pPr>
        <w:pStyle w:val="BExamplepara"/>
      </w:pPr>
      <w:r>
        <w:rPr>
          <w:rStyle w:val="BExamplehead"/>
          <w:rFonts w:eastAsiaTheme="minorHAnsi"/>
          <w:i/>
        </w:rPr>
        <w:lastRenderedPageBreak/>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18F2B152"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3"/>
        <w:gridCol w:w="1524"/>
        <w:gridCol w:w="1464"/>
        <w:gridCol w:w="1524"/>
        <w:gridCol w:w="1065"/>
        <w:gridCol w:w="1125"/>
        <w:gridCol w:w="1065"/>
      </w:tblGrid>
      <w:tr w:rsidR="00494B49" w14:paraId="3700C623" w14:textId="77777777">
        <w:trPr>
          <w:gridAfter w:val="3"/>
          <w:wAfter w:w="4320" w:type="dxa"/>
        </w:trPr>
        <w:tc>
          <w:tcPr>
            <w:tcW w:w="2520" w:type="dxa"/>
          </w:tcPr>
          <w:p w14:paraId="3189435F" w14:textId="77777777" w:rsidR="00494B49" w:rsidRDefault="00494B49"/>
        </w:tc>
        <w:tc>
          <w:tcPr>
            <w:tcW w:w="2520" w:type="dxa"/>
          </w:tcPr>
          <w:p w14:paraId="79EA7045" w14:textId="77777777" w:rsidR="00494B49" w:rsidRDefault="00494B49">
            <w:r>
              <w:t>Tax Year 20x1</w:t>
            </w:r>
          </w:p>
        </w:tc>
        <w:tc>
          <w:tcPr>
            <w:tcW w:w="2520" w:type="dxa"/>
          </w:tcPr>
          <w:p w14:paraId="31E20253" w14:textId="77777777" w:rsidR="00494B49" w:rsidRDefault="00494B49">
            <w:r>
              <w:t>Tax Year 20x2</w:t>
            </w:r>
          </w:p>
        </w:tc>
        <w:tc>
          <w:tcPr>
            <w:tcW w:w="2520" w:type="dxa"/>
          </w:tcPr>
          <w:p w14:paraId="467FFC59" w14:textId="77777777" w:rsidR="00494B49" w:rsidRDefault="00494B49">
            <w:r>
              <w:t>Tax Year 20x3</w:t>
            </w:r>
          </w:p>
        </w:tc>
      </w:tr>
      <w:tr w:rsidR="00494B49" w14:paraId="0D8EC465" w14:textId="77777777">
        <w:tc>
          <w:tcPr>
            <w:tcW w:w="1440" w:type="dxa"/>
          </w:tcPr>
          <w:p w14:paraId="33BE0475" w14:textId="77777777" w:rsidR="00494B49" w:rsidRDefault="00494B49"/>
        </w:tc>
        <w:tc>
          <w:tcPr>
            <w:tcW w:w="1440" w:type="dxa"/>
          </w:tcPr>
          <w:p w14:paraId="1BBDCAE2" w14:textId="77777777" w:rsidR="00494B49" w:rsidRDefault="00494B49">
            <w:r>
              <w:t>MAGI</w:t>
            </w:r>
          </w:p>
        </w:tc>
        <w:tc>
          <w:tcPr>
            <w:tcW w:w="1440" w:type="dxa"/>
          </w:tcPr>
          <w:p w14:paraId="5B1CF36D" w14:textId="77777777" w:rsidR="00494B49" w:rsidRDefault="00494B49">
            <w:r>
              <w:t>NII</w:t>
            </w:r>
          </w:p>
        </w:tc>
        <w:tc>
          <w:tcPr>
            <w:tcW w:w="1440" w:type="dxa"/>
          </w:tcPr>
          <w:p w14:paraId="00B386B3" w14:textId="77777777" w:rsidR="00494B49" w:rsidRDefault="00494B49">
            <w:r>
              <w:t>MAGI</w:t>
            </w:r>
          </w:p>
        </w:tc>
        <w:tc>
          <w:tcPr>
            <w:tcW w:w="1440" w:type="dxa"/>
          </w:tcPr>
          <w:p w14:paraId="02433C4D" w14:textId="77777777" w:rsidR="00494B49" w:rsidRDefault="00494B49">
            <w:r>
              <w:t>NII</w:t>
            </w:r>
          </w:p>
        </w:tc>
        <w:tc>
          <w:tcPr>
            <w:tcW w:w="1440" w:type="dxa"/>
          </w:tcPr>
          <w:p w14:paraId="686CFD16" w14:textId="77777777" w:rsidR="00494B49" w:rsidRDefault="00494B49">
            <w:r>
              <w:t>MAGI</w:t>
            </w:r>
          </w:p>
        </w:tc>
        <w:tc>
          <w:tcPr>
            <w:tcW w:w="1440" w:type="dxa"/>
          </w:tcPr>
          <w:p w14:paraId="3836134A" w14:textId="77777777" w:rsidR="00494B49" w:rsidRDefault="00494B49">
            <w:r>
              <w:t>NII</w:t>
            </w:r>
          </w:p>
        </w:tc>
      </w:tr>
      <w:tr w:rsidR="00494B49" w14:paraId="5398CFCE" w14:textId="77777777">
        <w:tc>
          <w:tcPr>
            <w:tcW w:w="1440" w:type="dxa"/>
          </w:tcPr>
          <w:p w14:paraId="3911073F" w14:textId="77777777" w:rsidR="00494B49" w:rsidRDefault="00494B49">
            <w:r>
              <w:t>Couple A</w:t>
            </w:r>
          </w:p>
        </w:tc>
        <w:tc>
          <w:tcPr>
            <w:tcW w:w="1440" w:type="dxa"/>
          </w:tcPr>
          <w:p w14:paraId="5D4FCA56" w14:textId="77777777" w:rsidR="00494B49" w:rsidRDefault="00494B49"/>
        </w:tc>
        <w:tc>
          <w:tcPr>
            <w:tcW w:w="1440" w:type="dxa"/>
          </w:tcPr>
          <w:p w14:paraId="591225E6" w14:textId="77777777" w:rsidR="00494B49" w:rsidRDefault="00494B49"/>
        </w:tc>
        <w:tc>
          <w:tcPr>
            <w:tcW w:w="1440" w:type="dxa"/>
          </w:tcPr>
          <w:p w14:paraId="2844CE89" w14:textId="77777777" w:rsidR="00494B49" w:rsidRDefault="00494B49"/>
        </w:tc>
        <w:tc>
          <w:tcPr>
            <w:tcW w:w="1440" w:type="dxa"/>
          </w:tcPr>
          <w:p w14:paraId="72B41969" w14:textId="77777777" w:rsidR="00494B49" w:rsidRDefault="00494B49"/>
        </w:tc>
        <w:tc>
          <w:tcPr>
            <w:tcW w:w="1440" w:type="dxa"/>
          </w:tcPr>
          <w:p w14:paraId="023FC177" w14:textId="77777777" w:rsidR="00494B49" w:rsidRDefault="00494B49"/>
        </w:tc>
        <w:tc>
          <w:tcPr>
            <w:tcW w:w="1440" w:type="dxa"/>
          </w:tcPr>
          <w:p w14:paraId="62EDB07E" w14:textId="77777777" w:rsidR="00494B49" w:rsidRDefault="00494B49"/>
        </w:tc>
      </w:tr>
      <w:tr w:rsidR="00494B49" w14:paraId="7984F9C6" w14:textId="77777777">
        <w:tc>
          <w:tcPr>
            <w:tcW w:w="1440" w:type="dxa"/>
          </w:tcPr>
          <w:p w14:paraId="2868F03F" w14:textId="77777777" w:rsidR="00494B49" w:rsidRDefault="00494B49">
            <w:r>
              <w:t>U.S. Spouse</w:t>
            </w:r>
          </w:p>
        </w:tc>
        <w:tc>
          <w:tcPr>
            <w:tcW w:w="1440" w:type="dxa"/>
          </w:tcPr>
          <w:p w14:paraId="5CD575A1" w14:textId="77777777" w:rsidR="00494B49" w:rsidRDefault="00494B49">
            <w:r>
              <w:t>$130,000</w:t>
            </w:r>
          </w:p>
        </w:tc>
        <w:tc>
          <w:tcPr>
            <w:tcW w:w="1440" w:type="dxa"/>
          </w:tcPr>
          <w:p w14:paraId="040E8C0A" w14:textId="77777777" w:rsidR="00494B49" w:rsidRDefault="00494B49">
            <w:r>
              <w:t>$12,000</w:t>
            </w:r>
          </w:p>
        </w:tc>
        <w:tc>
          <w:tcPr>
            <w:tcW w:w="1440" w:type="dxa"/>
          </w:tcPr>
          <w:p w14:paraId="3D1F1A59" w14:textId="77777777" w:rsidR="00494B49" w:rsidRDefault="00494B49">
            <w:r>
              <w:t>$123,000</w:t>
            </w:r>
          </w:p>
        </w:tc>
        <w:tc>
          <w:tcPr>
            <w:tcW w:w="1440" w:type="dxa"/>
          </w:tcPr>
          <w:p w14:paraId="6D42A371" w14:textId="77777777" w:rsidR="00494B49" w:rsidRDefault="00494B49">
            <w:r>
              <w:t>$9,000</w:t>
            </w:r>
          </w:p>
        </w:tc>
        <w:tc>
          <w:tcPr>
            <w:tcW w:w="1440" w:type="dxa"/>
          </w:tcPr>
          <w:p w14:paraId="30852175" w14:textId="77777777" w:rsidR="00494B49" w:rsidRDefault="00494B49">
            <w:r>
              <w:t>$155,000</w:t>
            </w:r>
          </w:p>
        </w:tc>
        <w:tc>
          <w:tcPr>
            <w:tcW w:w="1440" w:type="dxa"/>
          </w:tcPr>
          <w:p w14:paraId="7E6165A2" w14:textId="77777777" w:rsidR="00494B49" w:rsidRDefault="00494B49">
            <w:r>
              <w:t>$15,000</w:t>
            </w:r>
          </w:p>
        </w:tc>
      </w:tr>
      <w:tr w:rsidR="00494B49" w14:paraId="04C7977D" w14:textId="77777777">
        <w:tc>
          <w:tcPr>
            <w:tcW w:w="1440" w:type="dxa"/>
          </w:tcPr>
          <w:p w14:paraId="7D6F1FEE" w14:textId="77777777" w:rsidR="00494B49" w:rsidRDefault="00494B49">
            <w:r>
              <w:t>NRA Spouse</w:t>
            </w:r>
          </w:p>
        </w:tc>
        <w:tc>
          <w:tcPr>
            <w:tcW w:w="1440" w:type="dxa"/>
          </w:tcPr>
          <w:p w14:paraId="2B28E92B" w14:textId="77777777" w:rsidR="00494B49" w:rsidRDefault="00494B49">
            <w:r>
              <w:t>$40,000</w:t>
            </w:r>
          </w:p>
        </w:tc>
        <w:tc>
          <w:tcPr>
            <w:tcW w:w="1440" w:type="dxa"/>
          </w:tcPr>
          <w:p w14:paraId="5B85EC43" w14:textId="77777777" w:rsidR="00494B49" w:rsidRDefault="00494B49">
            <w:r>
              <w:t>$1,000</w:t>
            </w:r>
          </w:p>
        </w:tc>
        <w:tc>
          <w:tcPr>
            <w:tcW w:w="1440" w:type="dxa"/>
          </w:tcPr>
          <w:p w14:paraId="3BC5B7C8" w14:textId="77777777" w:rsidR="00494B49" w:rsidRDefault="00494B49">
            <w:r>
              <w:t>$60,000</w:t>
            </w:r>
          </w:p>
        </w:tc>
        <w:tc>
          <w:tcPr>
            <w:tcW w:w="1440" w:type="dxa"/>
          </w:tcPr>
          <w:p w14:paraId="2B284DA6" w14:textId="77777777" w:rsidR="00494B49" w:rsidRDefault="00494B49">
            <w:r>
              <w:t>$800</w:t>
            </w:r>
          </w:p>
        </w:tc>
        <w:tc>
          <w:tcPr>
            <w:tcW w:w="1440" w:type="dxa"/>
          </w:tcPr>
          <w:p w14:paraId="4437928D" w14:textId="77777777" w:rsidR="00494B49" w:rsidRDefault="00494B49">
            <w:r>
              <w:t>$100,000</w:t>
            </w:r>
          </w:p>
        </w:tc>
        <w:tc>
          <w:tcPr>
            <w:tcW w:w="1440" w:type="dxa"/>
          </w:tcPr>
          <w:p w14:paraId="22FDFC5F" w14:textId="77777777" w:rsidR="00494B49" w:rsidRDefault="00494B49">
            <w:r>
              <w:t>$1,500</w:t>
            </w:r>
          </w:p>
        </w:tc>
      </w:tr>
      <w:tr w:rsidR="00494B49" w14:paraId="6CF8E27D" w14:textId="77777777">
        <w:tc>
          <w:tcPr>
            <w:tcW w:w="1440" w:type="dxa"/>
          </w:tcPr>
          <w:p w14:paraId="780B5B1E" w14:textId="77777777" w:rsidR="00494B49" w:rsidRDefault="00494B49">
            <w:r>
              <w:t>Combined</w:t>
            </w:r>
          </w:p>
        </w:tc>
        <w:tc>
          <w:tcPr>
            <w:tcW w:w="1440" w:type="dxa"/>
          </w:tcPr>
          <w:p w14:paraId="66B37D64" w14:textId="77777777" w:rsidR="00494B49" w:rsidRDefault="00494B49">
            <w:r>
              <w:t>$170,000</w:t>
            </w:r>
          </w:p>
        </w:tc>
        <w:tc>
          <w:tcPr>
            <w:tcW w:w="1440" w:type="dxa"/>
          </w:tcPr>
          <w:p w14:paraId="0EDE49F6" w14:textId="77777777" w:rsidR="00494B49" w:rsidRDefault="00494B49">
            <w:r>
              <w:t>$13,000</w:t>
            </w:r>
          </w:p>
        </w:tc>
        <w:tc>
          <w:tcPr>
            <w:tcW w:w="1440" w:type="dxa"/>
          </w:tcPr>
          <w:p w14:paraId="00C813AD" w14:textId="77777777" w:rsidR="00494B49" w:rsidRDefault="00494B49">
            <w:r>
              <w:t>$183,000</w:t>
            </w:r>
          </w:p>
        </w:tc>
        <w:tc>
          <w:tcPr>
            <w:tcW w:w="1440" w:type="dxa"/>
          </w:tcPr>
          <w:p w14:paraId="16A774E5" w14:textId="77777777" w:rsidR="00494B49" w:rsidRDefault="00494B49">
            <w:r>
              <w:t>$9,800</w:t>
            </w:r>
          </w:p>
        </w:tc>
        <w:tc>
          <w:tcPr>
            <w:tcW w:w="1440" w:type="dxa"/>
          </w:tcPr>
          <w:p w14:paraId="313C2CA4" w14:textId="77777777" w:rsidR="00494B49" w:rsidRDefault="00494B49">
            <w:r>
              <w:t>$255,000</w:t>
            </w:r>
          </w:p>
        </w:tc>
        <w:tc>
          <w:tcPr>
            <w:tcW w:w="1440" w:type="dxa"/>
          </w:tcPr>
          <w:p w14:paraId="6C895E70" w14:textId="77777777" w:rsidR="00494B49" w:rsidRDefault="00494B49">
            <w:r>
              <w:t>$16,500</w:t>
            </w:r>
          </w:p>
        </w:tc>
      </w:tr>
      <w:tr w:rsidR="00494B49" w14:paraId="49FB690A" w14:textId="77777777">
        <w:tc>
          <w:tcPr>
            <w:tcW w:w="1440" w:type="dxa"/>
          </w:tcPr>
          <w:p w14:paraId="2315B7F1" w14:textId="77777777" w:rsidR="00494B49" w:rsidRDefault="00494B49"/>
        </w:tc>
        <w:tc>
          <w:tcPr>
            <w:tcW w:w="1440" w:type="dxa"/>
          </w:tcPr>
          <w:p w14:paraId="133E6CFF" w14:textId="77777777" w:rsidR="00494B49" w:rsidRDefault="00494B49"/>
        </w:tc>
        <w:tc>
          <w:tcPr>
            <w:tcW w:w="1440" w:type="dxa"/>
          </w:tcPr>
          <w:p w14:paraId="5CE8414F" w14:textId="77777777" w:rsidR="00494B49" w:rsidRDefault="00494B49"/>
        </w:tc>
        <w:tc>
          <w:tcPr>
            <w:tcW w:w="1440" w:type="dxa"/>
          </w:tcPr>
          <w:p w14:paraId="551E6943" w14:textId="77777777" w:rsidR="00494B49" w:rsidRDefault="00494B49"/>
        </w:tc>
        <w:tc>
          <w:tcPr>
            <w:tcW w:w="1440" w:type="dxa"/>
          </w:tcPr>
          <w:p w14:paraId="0AB908F5" w14:textId="77777777" w:rsidR="00494B49" w:rsidRDefault="00494B49"/>
        </w:tc>
        <w:tc>
          <w:tcPr>
            <w:tcW w:w="1440" w:type="dxa"/>
          </w:tcPr>
          <w:p w14:paraId="77995BC5" w14:textId="77777777" w:rsidR="00494B49" w:rsidRDefault="00494B49"/>
        </w:tc>
        <w:tc>
          <w:tcPr>
            <w:tcW w:w="1440" w:type="dxa"/>
          </w:tcPr>
          <w:p w14:paraId="51627A51" w14:textId="77777777" w:rsidR="00494B49" w:rsidRDefault="00494B49"/>
        </w:tc>
      </w:tr>
      <w:tr w:rsidR="00494B49" w14:paraId="63FE9C6C" w14:textId="77777777">
        <w:tc>
          <w:tcPr>
            <w:tcW w:w="1440" w:type="dxa"/>
          </w:tcPr>
          <w:p w14:paraId="4CF988E3" w14:textId="77777777" w:rsidR="00494B49" w:rsidRDefault="00494B49">
            <w:r>
              <w:t>Couple B</w:t>
            </w:r>
          </w:p>
        </w:tc>
        <w:tc>
          <w:tcPr>
            <w:tcW w:w="1440" w:type="dxa"/>
          </w:tcPr>
          <w:p w14:paraId="1C0547A8" w14:textId="77777777" w:rsidR="00494B49" w:rsidRDefault="00494B49"/>
        </w:tc>
        <w:tc>
          <w:tcPr>
            <w:tcW w:w="1440" w:type="dxa"/>
          </w:tcPr>
          <w:p w14:paraId="119AADAF" w14:textId="77777777" w:rsidR="00494B49" w:rsidRDefault="00494B49"/>
        </w:tc>
        <w:tc>
          <w:tcPr>
            <w:tcW w:w="1440" w:type="dxa"/>
          </w:tcPr>
          <w:p w14:paraId="7605C825" w14:textId="77777777" w:rsidR="00494B49" w:rsidRDefault="00494B49"/>
        </w:tc>
        <w:tc>
          <w:tcPr>
            <w:tcW w:w="1440" w:type="dxa"/>
          </w:tcPr>
          <w:p w14:paraId="56DC2EC6" w14:textId="77777777" w:rsidR="00494B49" w:rsidRDefault="00494B49"/>
        </w:tc>
        <w:tc>
          <w:tcPr>
            <w:tcW w:w="1440" w:type="dxa"/>
          </w:tcPr>
          <w:p w14:paraId="57FB3B2B" w14:textId="77777777" w:rsidR="00494B49" w:rsidRDefault="00494B49"/>
        </w:tc>
        <w:tc>
          <w:tcPr>
            <w:tcW w:w="1440" w:type="dxa"/>
          </w:tcPr>
          <w:p w14:paraId="5C19C745" w14:textId="77777777" w:rsidR="00494B49" w:rsidRDefault="00494B49"/>
        </w:tc>
      </w:tr>
      <w:tr w:rsidR="00494B49" w14:paraId="02C80598" w14:textId="77777777">
        <w:tc>
          <w:tcPr>
            <w:tcW w:w="1440" w:type="dxa"/>
          </w:tcPr>
          <w:p w14:paraId="39C3CCD4" w14:textId="77777777" w:rsidR="00494B49" w:rsidRDefault="00494B49">
            <w:r>
              <w:t>U.S. Spouse</w:t>
            </w:r>
          </w:p>
        </w:tc>
        <w:tc>
          <w:tcPr>
            <w:tcW w:w="1440" w:type="dxa"/>
          </w:tcPr>
          <w:p w14:paraId="2795A294" w14:textId="77777777" w:rsidR="00494B49" w:rsidRDefault="00494B49">
            <w:r>
              <w:t>$130,000</w:t>
            </w:r>
          </w:p>
        </w:tc>
        <w:tc>
          <w:tcPr>
            <w:tcW w:w="1440" w:type="dxa"/>
          </w:tcPr>
          <w:p w14:paraId="328ADF22" w14:textId="77777777" w:rsidR="00494B49" w:rsidRDefault="00494B49">
            <w:r>
              <w:t>$12,000</w:t>
            </w:r>
          </w:p>
        </w:tc>
        <w:tc>
          <w:tcPr>
            <w:tcW w:w="1440" w:type="dxa"/>
          </w:tcPr>
          <w:p w14:paraId="149EED40" w14:textId="77777777" w:rsidR="00494B49" w:rsidRDefault="00494B49">
            <w:r>
              <w:t>$135,000</w:t>
            </w:r>
          </w:p>
        </w:tc>
        <w:tc>
          <w:tcPr>
            <w:tcW w:w="1440" w:type="dxa"/>
          </w:tcPr>
          <w:p w14:paraId="3000782F" w14:textId="77777777" w:rsidR="00494B49" w:rsidRDefault="00494B49">
            <w:r>
              <w:t>$25,000</w:t>
            </w:r>
          </w:p>
        </w:tc>
        <w:tc>
          <w:tcPr>
            <w:tcW w:w="1440" w:type="dxa"/>
          </w:tcPr>
          <w:p w14:paraId="1D0F64F0" w14:textId="77777777" w:rsidR="00494B49" w:rsidRDefault="00494B49">
            <w:r>
              <w:t>$150,000</w:t>
            </w:r>
          </w:p>
        </w:tc>
        <w:tc>
          <w:tcPr>
            <w:tcW w:w="1440" w:type="dxa"/>
          </w:tcPr>
          <w:p w14:paraId="72A01810" w14:textId="77777777" w:rsidR="00494B49" w:rsidRDefault="00494B49">
            <w:r>
              <w:t>$11,000</w:t>
            </w:r>
          </w:p>
        </w:tc>
      </w:tr>
      <w:tr w:rsidR="00494B49" w14:paraId="0A024C0D" w14:textId="77777777">
        <w:tc>
          <w:tcPr>
            <w:tcW w:w="1440" w:type="dxa"/>
          </w:tcPr>
          <w:p w14:paraId="4E8B3B5C" w14:textId="77777777" w:rsidR="00494B49" w:rsidRDefault="00494B49">
            <w:r>
              <w:t>NRA Spouse</w:t>
            </w:r>
          </w:p>
        </w:tc>
        <w:tc>
          <w:tcPr>
            <w:tcW w:w="1440" w:type="dxa"/>
          </w:tcPr>
          <w:p w14:paraId="4E711988" w14:textId="77777777" w:rsidR="00494B49" w:rsidRDefault="00494B49">
            <w:r>
              <w:t>$40,000</w:t>
            </w:r>
          </w:p>
        </w:tc>
        <w:tc>
          <w:tcPr>
            <w:tcW w:w="1440" w:type="dxa"/>
          </w:tcPr>
          <w:p w14:paraId="63ED5078" w14:textId="77777777" w:rsidR="00494B49" w:rsidRDefault="00494B49">
            <w:r>
              <w:t>$1,000</w:t>
            </w:r>
          </w:p>
        </w:tc>
        <w:tc>
          <w:tcPr>
            <w:tcW w:w="1440" w:type="dxa"/>
          </w:tcPr>
          <w:p w14:paraId="2234F22C" w14:textId="77777777" w:rsidR="00494B49" w:rsidRDefault="00494B49">
            <w:r>
              <w:t>$150,000</w:t>
            </w:r>
          </w:p>
        </w:tc>
        <w:tc>
          <w:tcPr>
            <w:tcW w:w="1440" w:type="dxa"/>
          </w:tcPr>
          <w:p w14:paraId="643B4F02" w14:textId="77777777" w:rsidR="00494B49" w:rsidRDefault="00494B49">
            <w:r>
              <w:t>$60,000</w:t>
            </w:r>
          </w:p>
        </w:tc>
        <w:tc>
          <w:tcPr>
            <w:tcW w:w="1440" w:type="dxa"/>
          </w:tcPr>
          <w:p w14:paraId="5252F570" w14:textId="77777777" w:rsidR="00494B49" w:rsidRDefault="00494B49">
            <w:r>
              <w:t>$80,000</w:t>
            </w:r>
          </w:p>
        </w:tc>
        <w:tc>
          <w:tcPr>
            <w:tcW w:w="1440" w:type="dxa"/>
          </w:tcPr>
          <w:p w14:paraId="539EB13D" w14:textId="77777777" w:rsidR="00494B49" w:rsidRDefault="00494B49">
            <w:r>
              <w:t>$1,000</w:t>
            </w:r>
          </w:p>
        </w:tc>
      </w:tr>
      <w:tr w:rsidR="00494B49" w14:paraId="10D88099" w14:textId="77777777">
        <w:tc>
          <w:tcPr>
            <w:tcW w:w="1440" w:type="dxa"/>
          </w:tcPr>
          <w:p w14:paraId="152C4EDD" w14:textId="77777777" w:rsidR="00494B49" w:rsidRDefault="00494B49">
            <w:r>
              <w:t>Combined</w:t>
            </w:r>
          </w:p>
        </w:tc>
        <w:tc>
          <w:tcPr>
            <w:tcW w:w="1440" w:type="dxa"/>
          </w:tcPr>
          <w:p w14:paraId="5FDA3A57" w14:textId="77777777" w:rsidR="00494B49" w:rsidRDefault="00494B49">
            <w:r>
              <w:t>$170,000</w:t>
            </w:r>
          </w:p>
        </w:tc>
        <w:tc>
          <w:tcPr>
            <w:tcW w:w="1440" w:type="dxa"/>
          </w:tcPr>
          <w:p w14:paraId="51FD1570" w14:textId="77777777" w:rsidR="00494B49" w:rsidRDefault="00494B49">
            <w:r>
              <w:t>$13,000</w:t>
            </w:r>
          </w:p>
        </w:tc>
        <w:tc>
          <w:tcPr>
            <w:tcW w:w="1440" w:type="dxa"/>
          </w:tcPr>
          <w:p w14:paraId="752C50DC" w14:textId="77777777" w:rsidR="00494B49" w:rsidRDefault="00494B49">
            <w:r>
              <w:t>$285,000</w:t>
            </w:r>
          </w:p>
        </w:tc>
        <w:tc>
          <w:tcPr>
            <w:tcW w:w="1440" w:type="dxa"/>
          </w:tcPr>
          <w:p w14:paraId="40270CB2" w14:textId="77777777" w:rsidR="00494B49" w:rsidRDefault="00494B49">
            <w:r>
              <w:t>$85,500</w:t>
            </w:r>
          </w:p>
        </w:tc>
        <w:tc>
          <w:tcPr>
            <w:tcW w:w="1440" w:type="dxa"/>
          </w:tcPr>
          <w:p w14:paraId="351EDD69" w14:textId="77777777" w:rsidR="00494B49" w:rsidRDefault="00494B49">
            <w:r>
              <w:t>$230,000</w:t>
            </w:r>
          </w:p>
        </w:tc>
        <w:tc>
          <w:tcPr>
            <w:tcW w:w="1440" w:type="dxa"/>
          </w:tcPr>
          <w:p w14:paraId="7C20C953" w14:textId="77777777" w:rsidR="00494B49" w:rsidRDefault="00494B49">
            <w:r>
              <w:t>$12,000</w:t>
            </w:r>
          </w:p>
        </w:tc>
      </w:tr>
    </w:tbl>
    <w:p w14:paraId="5CCA2268" w14:textId="77777777" w:rsidR="00494B49" w:rsidRDefault="00494B49">
      <w:pPr>
        <w:pStyle w:val="BNormal"/>
      </w:pPr>
    </w:p>
    <w:p w14:paraId="5196CBCB" w14:textId="77777777" w:rsidR="00494B49" w:rsidRDefault="00494B49" w:rsidP="007865AF">
      <w:pPr>
        <w:pStyle w:val="BExamplepara"/>
      </w:pPr>
      <w:r>
        <w:t xml:space="preserve">In 20x3, Couple A and B both file amended returns for 20x1 because the U.S. spouse over-reported income by $7,000. As a consequence of the 20x1amended return, the table now shows: </w:t>
      </w:r>
    </w:p>
    <w:p w14:paraId="211506AF"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582"/>
        <w:gridCol w:w="1526"/>
        <w:gridCol w:w="1463"/>
        <w:gridCol w:w="1524"/>
        <w:gridCol w:w="1065"/>
        <w:gridCol w:w="1125"/>
        <w:gridCol w:w="1065"/>
      </w:tblGrid>
      <w:tr w:rsidR="00494B49" w14:paraId="0C52AD41" w14:textId="77777777">
        <w:trPr>
          <w:gridAfter w:val="3"/>
          <w:wAfter w:w="4320" w:type="dxa"/>
        </w:trPr>
        <w:tc>
          <w:tcPr>
            <w:tcW w:w="2520" w:type="dxa"/>
          </w:tcPr>
          <w:p w14:paraId="3EAE3C8B" w14:textId="77777777" w:rsidR="00494B49" w:rsidRDefault="00494B49"/>
        </w:tc>
        <w:tc>
          <w:tcPr>
            <w:tcW w:w="2520" w:type="dxa"/>
          </w:tcPr>
          <w:p w14:paraId="3D557996" w14:textId="77777777" w:rsidR="00494B49" w:rsidRDefault="00494B49">
            <w:r>
              <w:t>Tax Year 20x1</w:t>
            </w:r>
          </w:p>
        </w:tc>
        <w:tc>
          <w:tcPr>
            <w:tcW w:w="2520" w:type="dxa"/>
          </w:tcPr>
          <w:p w14:paraId="13264836" w14:textId="77777777" w:rsidR="00494B49" w:rsidRDefault="00494B49">
            <w:r>
              <w:t>Tax Year 20x2</w:t>
            </w:r>
          </w:p>
        </w:tc>
        <w:tc>
          <w:tcPr>
            <w:tcW w:w="2520" w:type="dxa"/>
          </w:tcPr>
          <w:p w14:paraId="3EACF57E" w14:textId="77777777" w:rsidR="00494B49" w:rsidRDefault="00494B49">
            <w:r>
              <w:t>Tax Year 20x3</w:t>
            </w:r>
          </w:p>
        </w:tc>
      </w:tr>
      <w:tr w:rsidR="00494B49" w14:paraId="1068D69C" w14:textId="77777777">
        <w:tc>
          <w:tcPr>
            <w:tcW w:w="1440" w:type="dxa"/>
          </w:tcPr>
          <w:p w14:paraId="5ACD5F38" w14:textId="77777777" w:rsidR="00494B49" w:rsidRDefault="00494B49"/>
        </w:tc>
        <w:tc>
          <w:tcPr>
            <w:tcW w:w="1440" w:type="dxa"/>
          </w:tcPr>
          <w:p w14:paraId="13CAC18F" w14:textId="77777777" w:rsidR="00494B49" w:rsidRDefault="00494B49">
            <w:r>
              <w:t>MAGI</w:t>
            </w:r>
          </w:p>
        </w:tc>
        <w:tc>
          <w:tcPr>
            <w:tcW w:w="1440" w:type="dxa"/>
          </w:tcPr>
          <w:p w14:paraId="64705919" w14:textId="77777777" w:rsidR="00494B49" w:rsidRDefault="00494B49">
            <w:r>
              <w:t>NII</w:t>
            </w:r>
          </w:p>
        </w:tc>
        <w:tc>
          <w:tcPr>
            <w:tcW w:w="1440" w:type="dxa"/>
          </w:tcPr>
          <w:p w14:paraId="4516FF3B" w14:textId="77777777" w:rsidR="00494B49" w:rsidRDefault="00494B49">
            <w:r>
              <w:t>MAGI</w:t>
            </w:r>
          </w:p>
        </w:tc>
        <w:tc>
          <w:tcPr>
            <w:tcW w:w="1440" w:type="dxa"/>
          </w:tcPr>
          <w:p w14:paraId="1E4A4A89" w14:textId="77777777" w:rsidR="00494B49" w:rsidRDefault="00494B49">
            <w:r>
              <w:t>NII</w:t>
            </w:r>
          </w:p>
        </w:tc>
        <w:tc>
          <w:tcPr>
            <w:tcW w:w="1440" w:type="dxa"/>
          </w:tcPr>
          <w:p w14:paraId="231A23EA" w14:textId="77777777" w:rsidR="00494B49" w:rsidRDefault="00494B49">
            <w:r>
              <w:t>MAGI</w:t>
            </w:r>
          </w:p>
        </w:tc>
        <w:tc>
          <w:tcPr>
            <w:tcW w:w="1440" w:type="dxa"/>
          </w:tcPr>
          <w:p w14:paraId="3CE0A00D" w14:textId="77777777" w:rsidR="00494B49" w:rsidRDefault="00494B49">
            <w:r>
              <w:t>NII</w:t>
            </w:r>
          </w:p>
        </w:tc>
      </w:tr>
      <w:tr w:rsidR="00494B49" w14:paraId="15174469" w14:textId="77777777">
        <w:tc>
          <w:tcPr>
            <w:tcW w:w="1440" w:type="dxa"/>
          </w:tcPr>
          <w:p w14:paraId="20FDE7E1" w14:textId="77777777" w:rsidR="00494B49" w:rsidRDefault="00494B49">
            <w:r>
              <w:t>Couple A</w:t>
            </w:r>
          </w:p>
        </w:tc>
        <w:tc>
          <w:tcPr>
            <w:tcW w:w="1440" w:type="dxa"/>
          </w:tcPr>
          <w:p w14:paraId="47B567F9" w14:textId="77777777" w:rsidR="00494B49" w:rsidRDefault="00494B49"/>
        </w:tc>
        <w:tc>
          <w:tcPr>
            <w:tcW w:w="1440" w:type="dxa"/>
          </w:tcPr>
          <w:p w14:paraId="15628F01" w14:textId="77777777" w:rsidR="00494B49" w:rsidRDefault="00494B49"/>
        </w:tc>
        <w:tc>
          <w:tcPr>
            <w:tcW w:w="1440" w:type="dxa"/>
          </w:tcPr>
          <w:p w14:paraId="0114E126" w14:textId="77777777" w:rsidR="00494B49" w:rsidRDefault="00494B49"/>
        </w:tc>
        <w:tc>
          <w:tcPr>
            <w:tcW w:w="1440" w:type="dxa"/>
          </w:tcPr>
          <w:p w14:paraId="190E22BC" w14:textId="77777777" w:rsidR="00494B49" w:rsidRDefault="00494B49"/>
        </w:tc>
        <w:tc>
          <w:tcPr>
            <w:tcW w:w="1440" w:type="dxa"/>
          </w:tcPr>
          <w:p w14:paraId="4E57350E" w14:textId="77777777" w:rsidR="00494B49" w:rsidRDefault="00494B49"/>
        </w:tc>
        <w:tc>
          <w:tcPr>
            <w:tcW w:w="1440" w:type="dxa"/>
          </w:tcPr>
          <w:p w14:paraId="029B2641" w14:textId="77777777" w:rsidR="00494B49" w:rsidRDefault="00494B49"/>
        </w:tc>
      </w:tr>
      <w:tr w:rsidR="00494B49" w14:paraId="628A04F4" w14:textId="77777777">
        <w:tc>
          <w:tcPr>
            <w:tcW w:w="1440" w:type="dxa"/>
          </w:tcPr>
          <w:p w14:paraId="38A83DD9" w14:textId="77777777" w:rsidR="00494B49" w:rsidRDefault="00494B49">
            <w:r>
              <w:t>U.S. Spouse</w:t>
            </w:r>
          </w:p>
        </w:tc>
        <w:tc>
          <w:tcPr>
            <w:tcW w:w="1440" w:type="dxa"/>
          </w:tcPr>
          <w:p w14:paraId="2959862D" w14:textId="77777777" w:rsidR="00494B49" w:rsidRDefault="00494B49">
            <w:r>
              <w:t xml:space="preserve"> </w:t>
            </w:r>
            <w:r>
              <w:rPr>
                <w:b/>
              </w:rPr>
              <w:t>$123,000</w:t>
            </w:r>
          </w:p>
        </w:tc>
        <w:tc>
          <w:tcPr>
            <w:tcW w:w="1440" w:type="dxa"/>
          </w:tcPr>
          <w:p w14:paraId="6A7D25BE" w14:textId="77777777" w:rsidR="00494B49" w:rsidRDefault="00494B49">
            <w:r>
              <w:t>$12,000</w:t>
            </w:r>
          </w:p>
        </w:tc>
        <w:tc>
          <w:tcPr>
            <w:tcW w:w="1440" w:type="dxa"/>
          </w:tcPr>
          <w:p w14:paraId="5E1DC91B" w14:textId="77777777" w:rsidR="00494B49" w:rsidRDefault="00494B49">
            <w:r>
              <w:t>$123,000</w:t>
            </w:r>
          </w:p>
        </w:tc>
        <w:tc>
          <w:tcPr>
            <w:tcW w:w="1440" w:type="dxa"/>
          </w:tcPr>
          <w:p w14:paraId="37B8FDE8" w14:textId="77777777" w:rsidR="00494B49" w:rsidRDefault="00494B49">
            <w:r>
              <w:t>$9,000</w:t>
            </w:r>
          </w:p>
        </w:tc>
        <w:tc>
          <w:tcPr>
            <w:tcW w:w="1440" w:type="dxa"/>
          </w:tcPr>
          <w:p w14:paraId="4EF172BD" w14:textId="77777777" w:rsidR="00494B49" w:rsidRDefault="00494B49">
            <w:r>
              <w:t>$155,000</w:t>
            </w:r>
          </w:p>
        </w:tc>
        <w:tc>
          <w:tcPr>
            <w:tcW w:w="1440" w:type="dxa"/>
          </w:tcPr>
          <w:p w14:paraId="1FCBA51D" w14:textId="77777777" w:rsidR="00494B49" w:rsidRDefault="00494B49">
            <w:r>
              <w:t>$15,000</w:t>
            </w:r>
          </w:p>
        </w:tc>
      </w:tr>
      <w:tr w:rsidR="00494B49" w14:paraId="3DCF91E2" w14:textId="77777777">
        <w:tc>
          <w:tcPr>
            <w:tcW w:w="1440" w:type="dxa"/>
          </w:tcPr>
          <w:p w14:paraId="63ECE00D" w14:textId="77777777" w:rsidR="00494B49" w:rsidRDefault="00494B49">
            <w:r>
              <w:t>NRA Spouse</w:t>
            </w:r>
          </w:p>
        </w:tc>
        <w:tc>
          <w:tcPr>
            <w:tcW w:w="1440" w:type="dxa"/>
          </w:tcPr>
          <w:p w14:paraId="115C43A5" w14:textId="77777777" w:rsidR="00494B49" w:rsidRDefault="00494B49">
            <w:r>
              <w:t>$40,000</w:t>
            </w:r>
          </w:p>
        </w:tc>
        <w:tc>
          <w:tcPr>
            <w:tcW w:w="1440" w:type="dxa"/>
          </w:tcPr>
          <w:p w14:paraId="1B9BBA28" w14:textId="77777777" w:rsidR="00494B49" w:rsidRDefault="00494B49">
            <w:r>
              <w:t>$1,000</w:t>
            </w:r>
          </w:p>
        </w:tc>
        <w:tc>
          <w:tcPr>
            <w:tcW w:w="1440" w:type="dxa"/>
          </w:tcPr>
          <w:p w14:paraId="40414043" w14:textId="77777777" w:rsidR="00494B49" w:rsidRDefault="00494B49">
            <w:r>
              <w:t>$60,000</w:t>
            </w:r>
          </w:p>
        </w:tc>
        <w:tc>
          <w:tcPr>
            <w:tcW w:w="1440" w:type="dxa"/>
          </w:tcPr>
          <w:p w14:paraId="224B18DE" w14:textId="77777777" w:rsidR="00494B49" w:rsidRDefault="00494B49">
            <w:r>
              <w:t>$800</w:t>
            </w:r>
          </w:p>
        </w:tc>
        <w:tc>
          <w:tcPr>
            <w:tcW w:w="1440" w:type="dxa"/>
          </w:tcPr>
          <w:p w14:paraId="3605BDE9" w14:textId="77777777" w:rsidR="00494B49" w:rsidRDefault="00494B49">
            <w:r>
              <w:t>$100,000</w:t>
            </w:r>
          </w:p>
        </w:tc>
        <w:tc>
          <w:tcPr>
            <w:tcW w:w="1440" w:type="dxa"/>
          </w:tcPr>
          <w:p w14:paraId="15537581" w14:textId="77777777" w:rsidR="00494B49" w:rsidRDefault="00494B49">
            <w:r>
              <w:t>$1,500</w:t>
            </w:r>
          </w:p>
        </w:tc>
      </w:tr>
      <w:tr w:rsidR="00494B49" w14:paraId="0E5B314C" w14:textId="77777777">
        <w:tc>
          <w:tcPr>
            <w:tcW w:w="1440" w:type="dxa"/>
          </w:tcPr>
          <w:p w14:paraId="5F1C5188" w14:textId="77777777" w:rsidR="00494B49" w:rsidRDefault="00494B49">
            <w:r>
              <w:t>Combined</w:t>
            </w:r>
          </w:p>
        </w:tc>
        <w:tc>
          <w:tcPr>
            <w:tcW w:w="1440" w:type="dxa"/>
          </w:tcPr>
          <w:p w14:paraId="5C70C4B7" w14:textId="77777777" w:rsidR="00494B49" w:rsidRDefault="00494B49">
            <w:r>
              <w:t>$163,000</w:t>
            </w:r>
          </w:p>
        </w:tc>
        <w:tc>
          <w:tcPr>
            <w:tcW w:w="1440" w:type="dxa"/>
          </w:tcPr>
          <w:p w14:paraId="6D37996A" w14:textId="77777777" w:rsidR="00494B49" w:rsidRDefault="00494B49">
            <w:r>
              <w:t>$13,000</w:t>
            </w:r>
          </w:p>
        </w:tc>
        <w:tc>
          <w:tcPr>
            <w:tcW w:w="1440" w:type="dxa"/>
          </w:tcPr>
          <w:p w14:paraId="090557CB" w14:textId="77777777" w:rsidR="00494B49" w:rsidRDefault="00494B49">
            <w:r>
              <w:t>$183,000</w:t>
            </w:r>
          </w:p>
        </w:tc>
        <w:tc>
          <w:tcPr>
            <w:tcW w:w="1440" w:type="dxa"/>
          </w:tcPr>
          <w:p w14:paraId="2D05C9F5" w14:textId="77777777" w:rsidR="00494B49" w:rsidRDefault="00494B49">
            <w:r>
              <w:t>$9,800</w:t>
            </w:r>
          </w:p>
        </w:tc>
        <w:tc>
          <w:tcPr>
            <w:tcW w:w="1440" w:type="dxa"/>
          </w:tcPr>
          <w:p w14:paraId="52219338" w14:textId="77777777" w:rsidR="00494B49" w:rsidRDefault="00494B49">
            <w:r>
              <w:t>$255,000</w:t>
            </w:r>
          </w:p>
        </w:tc>
        <w:tc>
          <w:tcPr>
            <w:tcW w:w="1440" w:type="dxa"/>
          </w:tcPr>
          <w:p w14:paraId="6D19B5AA" w14:textId="77777777" w:rsidR="00494B49" w:rsidRDefault="00494B49">
            <w:r>
              <w:t>$16,500</w:t>
            </w:r>
          </w:p>
        </w:tc>
      </w:tr>
      <w:tr w:rsidR="00494B49" w14:paraId="07FFF711" w14:textId="77777777">
        <w:tc>
          <w:tcPr>
            <w:tcW w:w="1440" w:type="dxa"/>
          </w:tcPr>
          <w:p w14:paraId="5B7EF1DF" w14:textId="77777777" w:rsidR="00494B49" w:rsidRDefault="00494B49"/>
        </w:tc>
        <w:tc>
          <w:tcPr>
            <w:tcW w:w="1440" w:type="dxa"/>
          </w:tcPr>
          <w:p w14:paraId="3011D9DF" w14:textId="77777777" w:rsidR="00494B49" w:rsidRDefault="00494B49"/>
        </w:tc>
        <w:tc>
          <w:tcPr>
            <w:tcW w:w="1440" w:type="dxa"/>
          </w:tcPr>
          <w:p w14:paraId="37DFFC08" w14:textId="77777777" w:rsidR="00494B49" w:rsidRDefault="00494B49"/>
        </w:tc>
        <w:tc>
          <w:tcPr>
            <w:tcW w:w="1440" w:type="dxa"/>
          </w:tcPr>
          <w:p w14:paraId="26D48557" w14:textId="77777777" w:rsidR="00494B49" w:rsidRDefault="00494B49"/>
        </w:tc>
        <w:tc>
          <w:tcPr>
            <w:tcW w:w="1440" w:type="dxa"/>
          </w:tcPr>
          <w:p w14:paraId="420C2A8E" w14:textId="77777777" w:rsidR="00494B49" w:rsidRDefault="00494B49"/>
        </w:tc>
        <w:tc>
          <w:tcPr>
            <w:tcW w:w="1440" w:type="dxa"/>
          </w:tcPr>
          <w:p w14:paraId="67C95C28" w14:textId="77777777" w:rsidR="00494B49" w:rsidRDefault="00494B49"/>
        </w:tc>
        <w:tc>
          <w:tcPr>
            <w:tcW w:w="1440" w:type="dxa"/>
          </w:tcPr>
          <w:p w14:paraId="32E14AD1" w14:textId="77777777" w:rsidR="00494B49" w:rsidRDefault="00494B49"/>
        </w:tc>
      </w:tr>
      <w:tr w:rsidR="00494B49" w14:paraId="23C3163B" w14:textId="77777777">
        <w:tc>
          <w:tcPr>
            <w:tcW w:w="1440" w:type="dxa"/>
          </w:tcPr>
          <w:p w14:paraId="01B5F111" w14:textId="77777777" w:rsidR="00494B49" w:rsidRDefault="00494B49">
            <w:r>
              <w:t>Couple B</w:t>
            </w:r>
          </w:p>
        </w:tc>
        <w:tc>
          <w:tcPr>
            <w:tcW w:w="1440" w:type="dxa"/>
          </w:tcPr>
          <w:p w14:paraId="3BEDBAE5" w14:textId="77777777" w:rsidR="00494B49" w:rsidRDefault="00494B49"/>
        </w:tc>
        <w:tc>
          <w:tcPr>
            <w:tcW w:w="1440" w:type="dxa"/>
          </w:tcPr>
          <w:p w14:paraId="2A27B2FE" w14:textId="77777777" w:rsidR="00494B49" w:rsidRDefault="00494B49"/>
        </w:tc>
        <w:tc>
          <w:tcPr>
            <w:tcW w:w="1440" w:type="dxa"/>
          </w:tcPr>
          <w:p w14:paraId="500A95E9" w14:textId="77777777" w:rsidR="00494B49" w:rsidRDefault="00494B49"/>
        </w:tc>
        <w:tc>
          <w:tcPr>
            <w:tcW w:w="1440" w:type="dxa"/>
          </w:tcPr>
          <w:p w14:paraId="4125EB1A" w14:textId="77777777" w:rsidR="00494B49" w:rsidRDefault="00494B49"/>
        </w:tc>
        <w:tc>
          <w:tcPr>
            <w:tcW w:w="1440" w:type="dxa"/>
          </w:tcPr>
          <w:p w14:paraId="66B92E04" w14:textId="77777777" w:rsidR="00494B49" w:rsidRDefault="00494B49"/>
        </w:tc>
        <w:tc>
          <w:tcPr>
            <w:tcW w:w="1440" w:type="dxa"/>
          </w:tcPr>
          <w:p w14:paraId="69274D08" w14:textId="77777777" w:rsidR="00494B49" w:rsidRDefault="00494B49"/>
        </w:tc>
      </w:tr>
      <w:tr w:rsidR="00494B49" w14:paraId="7A59BF28" w14:textId="77777777">
        <w:tc>
          <w:tcPr>
            <w:tcW w:w="1440" w:type="dxa"/>
          </w:tcPr>
          <w:p w14:paraId="0E38A59C" w14:textId="77777777" w:rsidR="00494B49" w:rsidRDefault="00494B49">
            <w:r>
              <w:t>U.S. Spouse</w:t>
            </w:r>
          </w:p>
        </w:tc>
        <w:tc>
          <w:tcPr>
            <w:tcW w:w="1440" w:type="dxa"/>
          </w:tcPr>
          <w:p w14:paraId="2E3612C9" w14:textId="77777777" w:rsidR="00494B49" w:rsidRDefault="00494B49">
            <w:r>
              <w:t xml:space="preserve"> </w:t>
            </w:r>
            <w:r>
              <w:rPr>
                <w:b/>
              </w:rPr>
              <w:t>$123,000</w:t>
            </w:r>
          </w:p>
        </w:tc>
        <w:tc>
          <w:tcPr>
            <w:tcW w:w="1440" w:type="dxa"/>
          </w:tcPr>
          <w:p w14:paraId="6B7B7CF0" w14:textId="77777777" w:rsidR="00494B49" w:rsidRDefault="00494B49">
            <w:r>
              <w:t>$12,000</w:t>
            </w:r>
          </w:p>
        </w:tc>
        <w:tc>
          <w:tcPr>
            <w:tcW w:w="1440" w:type="dxa"/>
          </w:tcPr>
          <w:p w14:paraId="7B74EDCF" w14:textId="77777777" w:rsidR="00494B49" w:rsidRDefault="00494B49">
            <w:r>
              <w:t>$135,000</w:t>
            </w:r>
          </w:p>
        </w:tc>
        <w:tc>
          <w:tcPr>
            <w:tcW w:w="1440" w:type="dxa"/>
          </w:tcPr>
          <w:p w14:paraId="4FD40A52" w14:textId="77777777" w:rsidR="00494B49" w:rsidRDefault="00494B49">
            <w:r>
              <w:t>$25,000</w:t>
            </w:r>
          </w:p>
        </w:tc>
        <w:tc>
          <w:tcPr>
            <w:tcW w:w="1440" w:type="dxa"/>
          </w:tcPr>
          <w:p w14:paraId="149CC9D4" w14:textId="77777777" w:rsidR="00494B49" w:rsidRDefault="00494B49">
            <w:r>
              <w:t>$150,000</w:t>
            </w:r>
          </w:p>
        </w:tc>
        <w:tc>
          <w:tcPr>
            <w:tcW w:w="1440" w:type="dxa"/>
          </w:tcPr>
          <w:p w14:paraId="5DF77BEB" w14:textId="77777777" w:rsidR="00494B49" w:rsidRDefault="00494B49">
            <w:r>
              <w:t>$11,000</w:t>
            </w:r>
          </w:p>
        </w:tc>
      </w:tr>
      <w:tr w:rsidR="00494B49" w14:paraId="225E8517" w14:textId="77777777">
        <w:tc>
          <w:tcPr>
            <w:tcW w:w="1440" w:type="dxa"/>
          </w:tcPr>
          <w:p w14:paraId="60076B19" w14:textId="77777777" w:rsidR="00494B49" w:rsidRDefault="00494B49">
            <w:r>
              <w:t>NRA Spouse</w:t>
            </w:r>
          </w:p>
        </w:tc>
        <w:tc>
          <w:tcPr>
            <w:tcW w:w="1440" w:type="dxa"/>
          </w:tcPr>
          <w:p w14:paraId="17A48ACE" w14:textId="77777777" w:rsidR="00494B49" w:rsidRDefault="00494B49">
            <w:r>
              <w:t>$40,000</w:t>
            </w:r>
          </w:p>
        </w:tc>
        <w:tc>
          <w:tcPr>
            <w:tcW w:w="1440" w:type="dxa"/>
          </w:tcPr>
          <w:p w14:paraId="1E6DC9D2" w14:textId="77777777" w:rsidR="00494B49" w:rsidRDefault="00494B49">
            <w:r>
              <w:t>$1,000</w:t>
            </w:r>
          </w:p>
        </w:tc>
        <w:tc>
          <w:tcPr>
            <w:tcW w:w="1440" w:type="dxa"/>
          </w:tcPr>
          <w:p w14:paraId="74E42D9D" w14:textId="77777777" w:rsidR="00494B49" w:rsidRDefault="00494B49">
            <w:r>
              <w:t>$150,000</w:t>
            </w:r>
          </w:p>
        </w:tc>
        <w:tc>
          <w:tcPr>
            <w:tcW w:w="1440" w:type="dxa"/>
          </w:tcPr>
          <w:p w14:paraId="70B6E64E" w14:textId="77777777" w:rsidR="00494B49" w:rsidRDefault="00494B49">
            <w:r>
              <w:t>$60,000</w:t>
            </w:r>
          </w:p>
        </w:tc>
        <w:tc>
          <w:tcPr>
            <w:tcW w:w="1440" w:type="dxa"/>
          </w:tcPr>
          <w:p w14:paraId="33AE2B5C" w14:textId="77777777" w:rsidR="00494B49" w:rsidRDefault="00494B49">
            <w:r>
              <w:t>$80,000</w:t>
            </w:r>
          </w:p>
        </w:tc>
        <w:tc>
          <w:tcPr>
            <w:tcW w:w="1440" w:type="dxa"/>
          </w:tcPr>
          <w:p w14:paraId="3BC226FD" w14:textId="77777777" w:rsidR="00494B49" w:rsidRDefault="00494B49">
            <w:r>
              <w:t>$1,000</w:t>
            </w:r>
          </w:p>
        </w:tc>
      </w:tr>
      <w:tr w:rsidR="00494B49" w14:paraId="1B31243C" w14:textId="77777777">
        <w:tc>
          <w:tcPr>
            <w:tcW w:w="1440" w:type="dxa"/>
          </w:tcPr>
          <w:p w14:paraId="1F247A48" w14:textId="77777777" w:rsidR="00494B49" w:rsidRDefault="00494B49">
            <w:r>
              <w:t>Combined</w:t>
            </w:r>
          </w:p>
        </w:tc>
        <w:tc>
          <w:tcPr>
            <w:tcW w:w="1440" w:type="dxa"/>
          </w:tcPr>
          <w:p w14:paraId="5573D51A" w14:textId="77777777" w:rsidR="00494B49" w:rsidRDefault="00494B49">
            <w:r>
              <w:t>$163,000</w:t>
            </w:r>
          </w:p>
        </w:tc>
        <w:tc>
          <w:tcPr>
            <w:tcW w:w="1440" w:type="dxa"/>
          </w:tcPr>
          <w:p w14:paraId="57C32215" w14:textId="77777777" w:rsidR="00494B49" w:rsidRDefault="00494B49">
            <w:r>
              <w:t>$13,000</w:t>
            </w:r>
          </w:p>
        </w:tc>
        <w:tc>
          <w:tcPr>
            <w:tcW w:w="1440" w:type="dxa"/>
          </w:tcPr>
          <w:p w14:paraId="73FF5F16" w14:textId="77777777" w:rsidR="00494B49" w:rsidRDefault="00494B49">
            <w:r>
              <w:t>$285,000</w:t>
            </w:r>
          </w:p>
        </w:tc>
        <w:tc>
          <w:tcPr>
            <w:tcW w:w="1440" w:type="dxa"/>
          </w:tcPr>
          <w:p w14:paraId="26EFB891" w14:textId="77777777" w:rsidR="00494B49" w:rsidRDefault="00494B49">
            <w:r>
              <w:t>$85,500</w:t>
            </w:r>
          </w:p>
        </w:tc>
        <w:tc>
          <w:tcPr>
            <w:tcW w:w="1440" w:type="dxa"/>
          </w:tcPr>
          <w:p w14:paraId="558869F7" w14:textId="77777777" w:rsidR="00494B49" w:rsidRDefault="00494B49">
            <w:r>
              <w:t>$230,000</w:t>
            </w:r>
          </w:p>
        </w:tc>
        <w:tc>
          <w:tcPr>
            <w:tcW w:w="1440" w:type="dxa"/>
          </w:tcPr>
          <w:p w14:paraId="6D561A05" w14:textId="77777777" w:rsidR="00494B49" w:rsidRDefault="00494B49">
            <w:r>
              <w:t>$12,000</w:t>
            </w:r>
          </w:p>
        </w:tc>
      </w:tr>
    </w:tbl>
    <w:p w14:paraId="4747D35C" w14:textId="77777777" w:rsidR="00494B49" w:rsidRDefault="00494B49">
      <w:pPr>
        <w:pStyle w:val="BNormal"/>
      </w:pPr>
    </w:p>
    <w:p w14:paraId="298447CA" w14:textId="77777777" w:rsidR="00494B49" w:rsidRDefault="00494B49">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52C2E247" w14:textId="77777777" w:rsidR="00494B49" w:rsidRDefault="00494B49">
      <w:pPr>
        <w:pStyle w:val="BExamplepara"/>
      </w:pPr>
      <w:r>
        <w:rPr>
          <w:rStyle w:val="BExamplehead"/>
          <w:rFonts w:eastAsiaTheme="minorHAnsi"/>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196FAC17" w14:textId="77777777" w:rsidR="00494B49" w:rsidRDefault="00494B49">
      <w:pPr>
        <w:pStyle w:val="BExamplepara"/>
      </w:pPr>
      <w:r>
        <w:rPr>
          <w:rStyle w:val="BExamplehead"/>
          <w:rFonts w:eastAsiaTheme="minorHAnsi"/>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w:t>
      </w:r>
      <w:r>
        <w:lastRenderedPageBreak/>
        <w:t xml:space="preserve">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6C29B037" w14:textId="77777777" w:rsidR="00494B49" w:rsidRDefault="00494B49">
      <w:pPr>
        <w:pStyle w:val="BHead3"/>
      </w:pPr>
      <w:r>
        <w:t>b. Part-Year Nonresident Aliens</w:t>
      </w:r>
    </w:p>
    <w:p w14:paraId="165A2139" w14:textId="77777777" w:rsidR="00494B49" w:rsidRDefault="00494B49">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99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999"/>
      </w:r>
      <w:r>
        <w:t xml:space="preserve"> However, the preamble to the 2013 Final Regulations states that “[t]he Treasury Department and the IRS may reconsider this rule if taxpayers are applying it inappropriately.”</w:t>
      </w:r>
      <w:r>
        <w:rPr>
          <w:rStyle w:val="FootnoteReference"/>
        </w:rPr>
        <w:footnoteReference w:id="1000"/>
      </w:r>
    </w:p>
    <w:p w14:paraId="1AB94946" w14:textId="77777777" w:rsidR="00494B49" w:rsidRDefault="00494B49">
      <w:pPr>
        <w:pStyle w:val="BHead2"/>
      </w:pPr>
      <w:r>
        <w:t>2. Application of Bona Fide Residents of Territories and Possessions</w:t>
      </w:r>
    </w:p>
    <w:p w14:paraId="513CB36F" w14:textId="77777777" w:rsidR="00494B49" w:rsidRDefault="00494B49">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1"/>
      </w:r>
      <w:r>
        <w:t xml:space="preserve"> of possessions of the United States (U.S. territories).</w:t>
      </w:r>
      <w:r>
        <w:rPr>
          <w:rStyle w:val="FootnoteReference"/>
        </w:rPr>
        <w:footnoteReference w:id="1002"/>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3"/>
      </w:r>
    </w:p>
    <w:p w14:paraId="20BC7B39" w14:textId="77777777" w:rsidR="00494B49" w:rsidRDefault="00494B49">
      <w:pPr>
        <w:pStyle w:val="BHead3"/>
      </w:pPr>
      <w:r>
        <w:t>a. Mirror Code Jurisdictions</w:t>
      </w:r>
    </w:p>
    <w:p w14:paraId="79D001A3" w14:textId="77777777" w:rsidR="00494B49" w:rsidRDefault="00494B49">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4"/>
      </w:r>
      <w:r>
        <w:t xml:space="preserve"> Therefore, </w:t>
      </w:r>
      <w:smartTag w:uri="http://www.bna.com/sgml2word/cite" w:element="cite.usc">
        <w:smartTagPr>
          <w:attr w:name="ref" w:val="USC\26\1411"/>
        </w:smartTagPr>
        <w:r>
          <w:t>§1411</w:t>
        </w:r>
      </w:smartTag>
      <w:r>
        <w:t xml:space="preserve"> generally does not apply to bona fide residents of mirror code </w:t>
      </w:r>
      <w:r>
        <w:lastRenderedPageBreak/>
        <w:t>jurisdictions because they will not have an income tax liability to the United States if they fully comply with the tax laws of the relevant territory.</w:t>
      </w:r>
      <w:r>
        <w:rPr>
          <w:rStyle w:val="FootnoteReference"/>
        </w:rPr>
        <w:footnoteReference w:id="1005"/>
      </w:r>
    </w:p>
    <w:p w14:paraId="3BDBB271" w14:textId="77777777" w:rsidR="00494B49" w:rsidRDefault="00494B49">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6"/>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76596600" w14:textId="77777777" w:rsidR="00494B49" w:rsidRDefault="00494B49">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7"/>
      </w:r>
    </w:p>
    <w:p w14:paraId="5EAAFCBE" w14:textId="77777777" w:rsidR="00494B49" w:rsidRDefault="00494B49">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08"/>
      </w:r>
    </w:p>
    <w:p w14:paraId="60AEF0D8" w14:textId="77777777" w:rsidR="00494B49" w:rsidRDefault="00494B49">
      <w:pPr>
        <w:pStyle w:val="BHead3"/>
      </w:pPr>
      <w:r>
        <w:t>b. Non-Mirror-Code Jurisdictions</w:t>
      </w:r>
    </w:p>
    <w:p w14:paraId="325A76EC" w14:textId="77777777" w:rsidR="00494B49" w:rsidRDefault="00494B49">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09"/>
      </w:r>
      <w:r>
        <w:t xml:space="preserve"> Although territory-source income is excluded, these bona fide residents are subject to </w:t>
      </w:r>
      <w:r>
        <w:lastRenderedPageBreak/>
        <w:t xml:space="preserve">U.S. federal income taxation, and have a related income tax return filing requirement with the United States to the extent that they have U.S.-source or other </w:t>
      </w:r>
      <w:proofErr w:type="spellStart"/>
      <w:r>
        <w:t>nonterritory</w:t>
      </w:r>
      <w:proofErr w:type="spellEnd"/>
      <w:r>
        <w:t xml:space="preserve"> source income or income from amounts paid for services performed as an employee of the United States or any agency thereof (collectively, U.S. reportable income).</w:t>
      </w:r>
      <w:r>
        <w:rPr>
          <w:rStyle w:val="FootnoteReference"/>
        </w:rPr>
        <w:footnoteReference w:id="1010"/>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5390F727" w14:textId="77777777" w:rsidR="00494B49" w:rsidRDefault="00494B49">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1"/>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2"/>
      </w:r>
    </w:p>
    <w:p w14:paraId="7B666E94" w14:textId="77777777" w:rsidR="00494B49" w:rsidRDefault="00494B49">
      <w:pPr>
        <w:pStyle w:val="BHead2"/>
      </w:pPr>
      <w:r>
        <w:t xml:space="preserve">3. Interaction Between Section 1411 and the ‘Kiddie Tax’ </w:t>
      </w:r>
    </w:p>
    <w:p w14:paraId="23AD14AF" w14:textId="77777777" w:rsidR="00494B49" w:rsidRDefault="00494B49">
      <w:pPr>
        <w:pStyle w:val="BNormal"/>
      </w:pPr>
      <w:r>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w:t>
      </w:r>
      <w:proofErr w:type="spellStart"/>
      <w:r>
        <w:t>i</w:t>
      </w:r>
      <w:proofErr w:type="spellEnd"/>
      <w:r>
        <w:t xml:space="preserve">)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41FF4D39" w14:textId="77777777" w:rsidR="00494B49" w:rsidRDefault="00494B49">
      <w:pPr>
        <w:pStyle w:val="BNormal"/>
      </w:pPr>
      <w:r>
        <w:t>An applicable child is a child (1) who has not attained age 18 before the end of the taxable year,</w:t>
      </w:r>
      <w:r>
        <w:rPr>
          <w:rStyle w:val="FootnoteReference"/>
        </w:rPr>
        <w:footnoteReference w:id="1013"/>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4"/>
      </w:r>
    </w:p>
    <w:p w14:paraId="7A4260C4" w14:textId="77777777" w:rsidR="00494B49" w:rsidRDefault="00494B49">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5"/>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hyperlink r:id="rId22" w:history="1">
        <w:r>
          <w:rPr>
            <w:rStyle w:val="Hyperlink"/>
            <w:i/>
          </w:rPr>
          <w:t>Limited Standard Deduction Amount by Year for Certain Income of Minor Children</w:t>
        </w:r>
        <w:r>
          <w:rPr>
            <w:rStyle w:val="Hyperlink"/>
          </w:rPr>
          <w:t>.</w:t>
        </w:r>
      </w:hyperlink>
    </w:p>
    <w:p w14:paraId="5F872FF8" w14:textId="77777777" w:rsidR="00494B49" w:rsidRDefault="00494B49">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6048252B" w14:textId="77777777" w:rsidR="00494B49" w:rsidRDefault="00494B49">
      <w:pPr>
        <w:pStyle w:val="BNormal"/>
      </w:pPr>
      <w:smartTag w:uri="http://www.bna.com/sgml2word/cite" w:element="cite.usc">
        <w:smartTagPr>
          <w:attr w:name="ref" w:val="USC\26\1(g)(7)"/>
        </w:smartTagPr>
        <w:r>
          <w:lastRenderedPageBreak/>
          <w:t>Section 1(g)(7)</w:t>
        </w:r>
      </w:smartTag>
      <w:r>
        <w:t xml:space="preserve"> allows a parent to make an annual election to include a child’s unearned income on the parent’s income tax return.</w:t>
      </w:r>
      <w:r>
        <w:rPr>
          <w:rStyle w:val="FootnoteReference"/>
        </w:rPr>
        <w:footnoteReference w:id="1016"/>
      </w:r>
      <w:r>
        <w:t xml:space="preserve"> Specifically, </w:t>
      </w:r>
      <w:smartTag w:uri="http://www.bna.com/sgml2word/cite" w:element="cite.usc">
        <w:smartTagPr>
          <w:attr w:name="ref" w:val="USC\26\1(g)(7)(B)(i)"/>
        </w:smartTagPr>
        <w:r>
          <w:t>§1(g)(7)(B)(</w:t>
        </w:r>
        <w:proofErr w:type="spellStart"/>
        <w:r>
          <w:t>i</w:t>
        </w:r>
        <w:proofErr w:type="spellEnd"/>
        <w:r>
          <w:t>)</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4AC6C7EC" w14:textId="77777777" w:rsidR="00494B49" w:rsidRDefault="00494B49">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saved, and (2) if the parent pays the child’s income tax liability, the payment will likely be a taxable gift.</w:t>
      </w:r>
      <w:r>
        <w:rPr>
          <w:rStyle w:val="FootnoteReference"/>
        </w:rPr>
        <w:footnoteReference w:id="1017"/>
      </w:r>
    </w:p>
    <w:p w14:paraId="46F098C1" w14:textId="77777777" w:rsidR="00494B49" w:rsidRDefault="00494B49">
      <w:pPr>
        <w:pStyle w:val="BCommentpara"/>
      </w:pPr>
      <w:r>
        <w:rPr>
          <w:rStyle w:val="BCommenthead"/>
        </w:rPr>
        <w:t xml:space="preserve">Practice Point: </w:t>
      </w:r>
      <w:r>
        <w:t>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1720ECCC" w14:textId="77777777" w:rsidR="00494B49" w:rsidRDefault="00494B49">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18"/>
      </w:r>
    </w:p>
    <w:p w14:paraId="652908ED" w14:textId="77777777" w:rsidR="00494B49" w:rsidRDefault="00494B49">
      <w:pPr>
        <w:pStyle w:val="BChapterName"/>
      </w:pPr>
      <w:r>
        <w:t>IX. Application to Estates and Trusts</w:t>
      </w:r>
    </w:p>
    <w:p w14:paraId="72485C7D"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19"/>
      </w:r>
      <w:r>
        <w:t xml:space="preserve"> The Health Care and </w:t>
      </w:r>
      <w:r>
        <w:lastRenderedPageBreak/>
        <w:t>Education Reconciliation Act of 2010</w:t>
      </w:r>
      <w:r>
        <w:rPr>
          <w:rStyle w:val="FootnoteReference"/>
        </w:rPr>
        <w:footnoteReference w:id="1020"/>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1"/>
      </w:r>
    </w:p>
    <w:p w14:paraId="5D1112EE"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2"/>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73102779" w14:textId="77777777" w:rsidR="00494B49" w:rsidRDefault="00494B49">
      <w:pPr>
        <w:pStyle w:val="BHead1"/>
      </w:pPr>
      <w:r>
        <w:t>A. Excluded Trusts and Estates</w:t>
      </w:r>
    </w:p>
    <w:p w14:paraId="4DC74631"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3"/>
      </w:r>
      <w:r>
        <w:t xml:space="preserve"> Examples of these trusts include common trust funds that are expressly not subject to taxation under Chapter 1</w:t>
      </w:r>
      <w:r>
        <w:rPr>
          <w:rStyle w:val="FootnoteReference"/>
        </w:rPr>
        <w:footnoteReference w:id="1024"/>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5"/>
      </w:r>
      <w:r>
        <w:t xml:space="preserve"> The same would be true for Nuclear Decommissioning Reserve Funds.</w:t>
      </w:r>
      <w:r>
        <w:rPr>
          <w:rStyle w:val="FootnoteReference"/>
        </w:rPr>
        <w:footnoteReference w:id="1026"/>
      </w:r>
    </w:p>
    <w:p w14:paraId="70DC9BBE" w14:textId="77777777" w:rsidR="00494B49" w:rsidRDefault="00494B49">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7"/>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5A4FAEF9" w14:textId="77777777" w:rsidR="00494B49" w:rsidRDefault="00494B49">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28"/>
      </w:r>
    </w:p>
    <w:p w14:paraId="3DF8767A" w14:textId="77777777" w:rsidR="00494B49" w:rsidRDefault="00494B49">
      <w:pPr>
        <w:pStyle w:val="BListitembul"/>
      </w:pPr>
      <w:r>
        <w:t>A trust, or a portion thereof, that is treated as a grantor trust under Subpart E of part I of Subchapter J of Chapter 1 (generally, §671–§679);</w:t>
      </w:r>
      <w:r>
        <w:rPr>
          <w:rStyle w:val="FootnoteReference"/>
        </w:rPr>
        <w:footnoteReference w:id="1029"/>
      </w:r>
    </w:p>
    <w:p w14:paraId="7FE5EEFF" w14:textId="77777777" w:rsidR="00494B49" w:rsidRDefault="00494B49">
      <w:pPr>
        <w:pStyle w:val="BListitembul"/>
      </w:pPr>
      <w:r>
        <w:t>Electing Alaska Native Settlement Trusts subject to taxation under §646;</w:t>
      </w:r>
      <w:r>
        <w:rPr>
          <w:rStyle w:val="FootnoteReference"/>
        </w:rPr>
        <w:footnoteReference w:id="1030"/>
      </w:r>
    </w:p>
    <w:p w14:paraId="330EB42F" w14:textId="77777777" w:rsidR="00494B49" w:rsidRDefault="00494B49">
      <w:pPr>
        <w:pStyle w:val="BListitembul"/>
      </w:pPr>
      <w:r>
        <w:lastRenderedPageBreak/>
        <w:t>Cemetery Perpetual Care Funds to which §642(</w:t>
      </w:r>
      <w:proofErr w:type="spellStart"/>
      <w:r>
        <w:t>i</w:t>
      </w:r>
      <w:proofErr w:type="spellEnd"/>
      <w:r>
        <w:t>) applies;</w:t>
      </w:r>
      <w:r>
        <w:rPr>
          <w:rStyle w:val="FootnoteReference"/>
        </w:rPr>
        <w:footnoteReference w:id="1031"/>
      </w:r>
    </w:p>
    <w:p w14:paraId="5623392D" w14:textId="77777777" w:rsidR="00494B49" w:rsidRDefault="00494B49">
      <w:pPr>
        <w:pStyle w:val="BListitembul"/>
      </w:pPr>
      <w:r>
        <w:t>Foreign trusts (as defined in §7701(a)(31)(B) and Reg. §301.7701-7(a)(2));</w:t>
      </w:r>
      <w:r>
        <w:rPr>
          <w:rStyle w:val="FootnoteReference"/>
        </w:rPr>
        <w:footnoteReference w:id="1032"/>
      </w:r>
    </w:p>
    <w:p w14:paraId="205565D7" w14:textId="77777777" w:rsidR="00494B49" w:rsidRDefault="00494B49">
      <w:pPr>
        <w:pStyle w:val="BListitembul"/>
      </w:pPr>
      <w:r>
        <w:t>A decedent’s estate in which all of the unexpired interests are devoted to one or more of the purposes described in §170(c)(2)(B);</w:t>
      </w:r>
      <w:r>
        <w:rPr>
          <w:rStyle w:val="FootnoteReference"/>
        </w:rPr>
        <w:footnoteReference w:id="1033"/>
      </w:r>
      <w:r>
        <w:t xml:space="preserve"> and </w:t>
      </w:r>
    </w:p>
    <w:p w14:paraId="0730B191" w14:textId="77777777" w:rsidR="00494B49" w:rsidRDefault="00494B49">
      <w:pPr>
        <w:pStyle w:val="BListitembul"/>
      </w:pPr>
      <w:r>
        <w:t>Foreign estates (as defined in §7701(a)(31)(A)).</w:t>
      </w:r>
      <w:r>
        <w:rPr>
          <w:rStyle w:val="FootnoteReference"/>
        </w:rPr>
        <w:footnoteReference w:id="1034"/>
      </w:r>
    </w:p>
    <w:p w14:paraId="7218AD96" w14:textId="77777777" w:rsidR="00494B49" w:rsidRDefault="00494B49">
      <w:pPr>
        <w:pStyle w:val="BNormal"/>
      </w:pPr>
      <w:r>
        <w:rPr>
          <w:b/>
        </w:rPr>
        <w:t>Observation:</w:t>
      </w:r>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proofErr w:type="spellStart"/>
      <w:r>
        <w:rPr>
          <w:rStyle w:val="BCasenamefull"/>
        </w:rPr>
        <w:t>Linmar</w:t>
      </w:r>
      <w:proofErr w:type="spellEnd"/>
      <w:r>
        <w:rPr>
          <w:rStyle w:val="BCasenamefull"/>
        </w:rPr>
        <w:t xml:space="preserve">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w:t>
      </w:r>
    </w:p>
    <w:p w14:paraId="37C85040" w14:textId="77777777" w:rsidR="00494B49" w:rsidRDefault="00494B49">
      <w:pPr>
        <w:pStyle w:val="BHead1"/>
      </w:pPr>
      <w:r>
        <w:t xml:space="preserve">B. </w:t>
      </w:r>
      <w:proofErr w:type="spellStart"/>
      <w:r>
        <w:t>Nongrantor</w:t>
      </w:r>
      <w:proofErr w:type="spellEnd"/>
      <w:r>
        <w:t xml:space="preserve"> Trusts and Estates</w:t>
      </w:r>
    </w:p>
    <w:p w14:paraId="1ABB6B5D" w14:textId="77777777" w:rsidR="00494B49" w:rsidRDefault="00494B49">
      <w:pPr>
        <w:pStyle w:val="BHead2"/>
      </w:pPr>
      <w:r>
        <w:t>1. Overview</w:t>
      </w:r>
    </w:p>
    <w:p w14:paraId="23128689" w14:textId="77777777" w:rsidR="00494B49" w:rsidRDefault="00494B49">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5"/>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6"/>
      </w:r>
    </w:p>
    <w:p w14:paraId="18BFEEA5" w14:textId="77777777" w:rsidR="00494B49" w:rsidRDefault="00494B49">
      <w:pPr>
        <w:pStyle w:val="BHead2"/>
      </w:pPr>
      <w:r>
        <w:lastRenderedPageBreak/>
        <w:t xml:space="preserve">2. Undistributed Net Investment Income </w:t>
      </w:r>
    </w:p>
    <w:p w14:paraId="1632DE40" w14:textId="77777777" w:rsidR="00494B49" w:rsidRDefault="00494B49">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3884FA78" w14:textId="77777777" w:rsidR="00494B49" w:rsidRDefault="00494B49">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6089906E" w14:textId="77777777" w:rsidR="00494B49" w:rsidRDefault="00494B49">
      <w:pPr>
        <w:pStyle w:val="BHead3"/>
      </w:pPr>
      <w:r>
        <w:t>a. Income Distribution Deduction</w:t>
      </w:r>
    </w:p>
    <w:p w14:paraId="1876A6B4" w14:textId="77777777" w:rsidR="00494B49" w:rsidRDefault="00494B49">
      <w:pPr>
        <w:pStyle w:val="BHead4"/>
      </w:pPr>
      <w:r>
        <w:t>(1) Deduction to the Estate or Trust</w:t>
      </w:r>
    </w:p>
    <w:p w14:paraId="1AE5F998" w14:textId="77777777" w:rsidR="00494B49" w:rsidRDefault="00494B49">
      <w:pPr>
        <w:pStyle w:val="BNormal"/>
      </w:pPr>
      <w:r>
        <w:t xml:space="preserve">In determining an estate or trust’s undistributed net investment income, Reg. </w:t>
      </w:r>
      <w:smartTag w:uri="http://www.bna.com/sgml2word/cite" w:element="cite.cfr">
        <w:smartTagPr>
          <w:attr w:name="ref" w:val="cfr\26\1.1411-3(e)(3)(i)"/>
        </w:smartTagPr>
        <w:r>
          <w:t>§1.1411-3(e)(3)(</w:t>
        </w:r>
        <w:proofErr w:type="spellStart"/>
        <w:r>
          <w:t>i</w:t>
        </w:r>
        <w:proofErr w:type="spellEnd"/>
        <w:r>
          <w:t>)</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7"/>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38"/>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03A50A86" w14:textId="77777777" w:rsidR="00494B49" w:rsidRDefault="00494B49">
      <w:pPr>
        <w:pStyle w:val="BNormal"/>
      </w:pPr>
      <w:r>
        <w:rPr>
          <w:i/>
        </w:rPr>
        <w:t>Comment:</w:t>
      </w:r>
      <w:r>
        <w:t xml:space="preserve"> In general, Reg. </w:t>
      </w:r>
      <w:smartTag w:uri="http://www.bna.com/sgml2word/cite" w:element="cite.cfr">
        <w:smartTagPr>
          <w:attr w:name="ref" w:val="cfr\26\1.1411-3(e)(3)(i)"/>
        </w:smartTagPr>
        <w:r>
          <w:t>§1.1411-3(e)(3)(</w:t>
        </w:r>
        <w:proofErr w:type="spellStart"/>
        <w:r>
          <w:t>i</w:t>
        </w:r>
        <w:proofErr w:type="spellEnd"/>
        <w:r>
          <w:t>)</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D916309" w14:textId="77777777" w:rsidR="00494B49" w:rsidRDefault="00494B49">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w:t>
      </w:r>
      <w:r>
        <w:lastRenderedPageBreak/>
        <w:t xml:space="preserve">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7D913E7C" w14:textId="77777777" w:rsidR="00494B49" w:rsidRDefault="00494B49">
      <w:pPr>
        <w:pStyle w:val="BHead4"/>
      </w:pPr>
      <w:r>
        <w:t>(2) Net Investment Income to the Beneficiary</w:t>
      </w:r>
    </w:p>
    <w:p w14:paraId="481722BE" w14:textId="77777777" w:rsidR="00494B49" w:rsidRDefault="00494B49">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w:t>
        </w:r>
        <w:proofErr w:type="spellStart"/>
        <w:r>
          <w:t>i</w:t>
        </w:r>
        <w:proofErr w:type="spellEnd"/>
        <w:r>
          <w:t>)</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w:t>
        </w:r>
        <w:proofErr w:type="spellStart"/>
        <w:r>
          <w:t>i</w:t>
        </w:r>
        <w:proofErr w:type="spellEnd"/>
        <w:r>
          <w:t>)</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constitutes gross income from items described in Reg. </w:t>
      </w:r>
      <w:smartTag w:uri="http://www.bna.com/sgml2word/cite" w:element="cite.cfr">
        <w:smartTagPr>
          <w:attr w:name="ref" w:val="cfr\26\1.1411-4(a)(1)(i)"/>
        </w:smartTagPr>
        <w:r>
          <w:t>§1.1411-4(a)(1)(</w:t>
        </w:r>
        <w:proofErr w:type="spellStart"/>
        <w:r>
          <w:t>i</w:t>
        </w:r>
        <w:proofErr w:type="spellEnd"/>
        <w:r>
          <w:t>)</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3A9CAB11" w14:textId="77777777" w:rsidR="00494B49" w:rsidRDefault="00494B49">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275B6F10" w14:textId="77777777" w:rsidR="00494B49" w:rsidRDefault="00494B49">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w:t>
        </w:r>
        <w:proofErr w:type="spellStart"/>
        <w:r>
          <w:t>i</w:t>
        </w:r>
        <w:proofErr w:type="spellEnd"/>
        <w:r>
          <w:t>)</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w:t>
        </w:r>
        <w:proofErr w:type="spellStart"/>
        <w:r>
          <w:t>i</w:t>
        </w:r>
        <w:proofErr w:type="spellEnd"/>
        <w:r>
          <w:t>)</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w:t>
        </w:r>
        <w:proofErr w:type="spellStart"/>
        <w:r>
          <w:t>i</w:t>
        </w:r>
        <w:proofErr w:type="spellEnd"/>
        <w:r>
          <w:t>)</w:t>
        </w:r>
      </w:smartTag>
      <w:r>
        <w:t>.</w:t>
      </w:r>
      <w:r>
        <w:rPr>
          <w:rStyle w:val="FootnoteReference"/>
        </w:rPr>
        <w:footnoteReference w:id="1039"/>
      </w:r>
    </w:p>
    <w:p w14:paraId="79C08204" w14:textId="77777777" w:rsidR="00494B49" w:rsidRDefault="00494B49">
      <w:pPr>
        <w:pStyle w:val="BHead3"/>
      </w:pPr>
      <w:r>
        <w:t>b. Section 642(c) Deductions</w:t>
      </w:r>
    </w:p>
    <w:p w14:paraId="6948BF0C" w14:textId="77777777" w:rsidR="00494B49" w:rsidRDefault="00494B49">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w:t>
      </w:r>
      <w:r>
        <w:lastRenderedPageBreak/>
        <w:t xml:space="preserve">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40"/>
      </w:r>
    </w:p>
    <w:p w14:paraId="26D62945" w14:textId="77777777" w:rsidR="00494B49" w:rsidRDefault="00494B49">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0FA03DA" w14:textId="77777777" w:rsidR="00494B49" w:rsidRDefault="00494B49">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1"/>
      </w:r>
      <w:r>
        <w:t xml:space="preserve"> Second, an estate or trust’s net investment income 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2"/>
      </w:r>
      <w:r>
        <w:t xml:space="preserve"> Therefore, all else being equal from an income tax perspective, using a </w:t>
      </w:r>
      <w:proofErr w:type="spellStart"/>
      <w:r>
        <w:t>nongrantor</w:t>
      </w:r>
      <w:proofErr w:type="spellEnd"/>
      <w:r>
        <w:t xml:space="preserve">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3"/>
      </w:r>
      <w:r>
        <w:t xml:space="preserve"> the reduction in net investment income will likely substantially reduce the net investment income tax liability because the net investment income tax </w:t>
      </w:r>
      <w:proofErr w:type="spellStart"/>
      <w:r>
        <w:t>tax</w:t>
      </w:r>
      <w:proofErr w:type="spellEnd"/>
      <w:r>
        <w:t xml:space="preserve"> base is the lesser of undistributed net investment income or the trust’s MAGI.</w:t>
      </w:r>
    </w:p>
    <w:p w14:paraId="12727620" w14:textId="77777777" w:rsidR="00494B49" w:rsidRDefault="00494B49">
      <w:pPr>
        <w:pStyle w:val="BHead2"/>
      </w:pPr>
      <w:r>
        <w:t>3. Compliance Considerations</w:t>
      </w:r>
    </w:p>
    <w:p w14:paraId="4C2A5862" w14:textId="77777777" w:rsidR="00494B49" w:rsidRDefault="00494B49">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w:t>
      </w:r>
      <w:proofErr w:type="spellStart"/>
      <w:r>
        <w:t>nongrantor</w:t>
      </w:r>
      <w:proofErr w:type="spellEnd"/>
      <w:r>
        <w:t xml:space="preserve">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0F8D73C5" w14:textId="77777777" w:rsidR="00494B49" w:rsidRDefault="00494B49" w:rsidP="007865AF">
      <w:pPr>
        <w:pStyle w:val="BHead3"/>
        <w:keepNext/>
        <w:keepLines/>
      </w:pPr>
      <w:r>
        <w:lastRenderedPageBreak/>
        <w:t>a. Estate and Trust</w:t>
      </w:r>
    </w:p>
    <w:p w14:paraId="409F055D" w14:textId="77777777" w:rsidR="00494B49" w:rsidRDefault="00494B49" w:rsidP="007865AF">
      <w:pPr>
        <w:pStyle w:val="BNormal"/>
        <w:keepNext/>
        <w:keepLines/>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4"/>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5"/>
      </w:r>
    </w:p>
    <w:p w14:paraId="2F9D8E7D" w14:textId="77777777" w:rsidR="00494B49" w:rsidRDefault="00494B49">
      <w:pPr>
        <w:pStyle w:val="BNormal"/>
      </w:pPr>
      <w:r>
        <w:rPr>
          <w:i/>
        </w:rPr>
        <w:t>Observation:</w:t>
      </w:r>
      <w:r>
        <w:t xml:space="preserve"> It is possible, although relatively rare, for an estate or </w:t>
      </w:r>
      <w:proofErr w:type="spellStart"/>
      <w:r>
        <w:t>nongrantor</w:t>
      </w:r>
      <w:proofErr w:type="spellEnd"/>
      <w:r>
        <w:t xml:space="preserve">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A7012BF" w14:textId="77777777" w:rsidR="00494B49" w:rsidRDefault="00494B49">
      <w:pPr>
        <w:pStyle w:val="BNormal"/>
      </w:pPr>
      <w:r>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6"/>
      </w:r>
    </w:p>
    <w:p w14:paraId="488C1236" w14:textId="77777777" w:rsidR="00494B49" w:rsidRDefault="00494B49" w:rsidP="007865AF">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7"/>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48"/>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 </w:t>
      </w:r>
    </w:p>
    <w:p w14:paraId="40A37FE1" w14:textId="77777777" w:rsidR="00494B49" w:rsidRDefault="00494B49" w:rsidP="007865AF">
      <w:pPr>
        <w:pStyle w:val="BNormal"/>
      </w:pPr>
    </w:p>
    <w:tbl>
      <w:tblPr>
        <w:tblStyle w:val="TableGrid"/>
        <w:tblW w:w="0" w:type="auto"/>
        <w:tblLook w:val="04A0" w:firstRow="1" w:lastRow="0" w:firstColumn="1" w:lastColumn="0" w:noHBand="0" w:noVBand="1"/>
      </w:tblPr>
      <w:tblGrid>
        <w:gridCol w:w="3135"/>
        <w:gridCol w:w="3097"/>
        <w:gridCol w:w="3118"/>
      </w:tblGrid>
      <w:tr w:rsidR="00494B49" w14:paraId="54A9CEFD" w14:textId="77777777">
        <w:tc>
          <w:tcPr>
            <w:tcW w:w="3360" w:type="dxa"/>
          </w:tcPr>
          <w:p w14:paraId="5B6DA18B" w14:textId="77777777" w:rsidR="00494B49" w:rsidRDefault="00494B49"/>
        </w:tc>
        <w:tc>
          <w:tcPr>
            <w:tcW w:w="3360" w:type="dxa"/>
          </w:tcPr>
          <w:p w14:paraId="17DB444A" w14:textId="77777777" w:rsidR="00494B49" w:rsidRDefault="00494B49">
            <w:r>
              <w:t xml:space="preserve"> </w:t>
            </w:r>
            <w:r>
              <w:rPr>
                <w:b/>
              </w:rPr>
              <w:t xml:space="preserve">Regular Tax </w:t>
            </w:r>
          </w:p>
        </w:tc>
        <w:tc>
          <w:tcPr>
            <w:tcW w:w="3360" w:type="dxa"/>
          </w:tcPr>
          <w:p w14:paraId="51D788D9" w14:textId="77777777" w:rsidR="00494B49" w:rsidRDefault="00494B49">
            <w:r>
              <w:t xml:space="preserve"> </w:t>
            </w:r>
            <w:r>
              <w:rPr>
                <w:b/>
              </w:rPr>
              <w:t>net investment income tax</w:t>
            </w:r>
          </w:p>
        </w:tc>
      </w:tr>
      <w:tr w:rsidR="00494B49" w14:paraId="391C1714" w14:textId="77777777">
        <w:tc>
          <w:tcPr>
            <w:tcW w:w="3360" w:type="dxa"/>
          </w:tcPr>
          <w:p w14:paraId="117697CE" w14:textId="77777777" w:rsidR="00494B49" w:rsidRDefault="00494B49">
            <w:r>
              <w:t>Interest/ Dividends</w:t>
            </w:r>
          </w:p>
        </w:tc>
        <w:tc>
          <w:tcPr>
            <w:tcW w:w="3360" w:type="dxa"/>
          </w:tcPr>
          <w:p w14:paraId="0DAA6FCA" w14:textId="77777777" w:rsidR="00494B49" w:rsidRDefault="00494B49">
            <w:r>
              <w:t>$100,000</w:t>
            </w:r>
          </w:p>
        </w:tc>
        <w:tc>
          <w:tcPr>
            <w:tcW w:w="3360" w:type="dxa"/>
          </w:tcPr>
          <w:p w14:paraId="5E8F4377" w14:textId="77777777" w:rsidR="00494B49" w:rsidRDefault="00494B49">
            <w:r>
              <w:t>$100,000</w:t>
            </w:r>
          </w:p>
        </w:tc>
      </w:tr>
      <w:tr w:rsidR="00494B49" w14:paraId="62857A27" w14:textId="77777777">
        <w:tc>
          <w:tcPr>
            <w:tcW w:w="3360" w:type="dxa"/>
          </w:tcPr>
          <w:p w14:paraId="05AE34DC" w14:textId="77777777" w:rsidR="00494B49" w:rsidRDefault="00494B49">
            <w:r>
              <w:t>Nonpassive Loss</w:t>
            </w:r>
          </w:p>
        </w:tc>
        <w:tc>
          <w:tcPr>
            <w:tcW w:w="3360" w:type="dxa"/>
          </w:tcPr>
          <w:p w14:paraId="072E8031" w14:textId="77777777" w:rsidR="00494B49" w:rsidRDefault="00494B49">
            <w:r>
              <w:t>($25,000)</w:t>
            </w:r>
          </w:p>
        </w:tc>
        <w:tc>
          <w:tcPr>
            <w:tcW w:w="3360" w:type="dxa"/>
          </w:tcPr>
          <w:p w14:paraId="1DF887FB" w14:textId="77777777" w:rsidR="00494B49" w:rsidRDefault="00494B49">
            <w:r>
              <w:t>—</w:t>
            </w:r>
          </w:p>
        </w:tc>
      </w:tr>
      <w:tr w:rsidR="00494B49" w14:paraId="626B89DA" w14:textId="77777777">
        <w:tc>
          <w:tcPr>
            <w:tcW w:w="3360" w:type="dxa"/>
          </w:tcPr>
          <w:p w14:paraId="35AC1F6F" w14:textId="77777777" w:rsidR="00494B49" w:rsidRDefault="00494B49">
            <w:r>
              <w:t>Adjusted Gross Income (AGI)</w:t>
            </w:r>
          </w:p>
        </w:tc>
        <w:tc>
          <w:tcPr>
            <w:tcW w:w="3360" w:type="dxa"/>
          </w:tcPr>
          <w:p w14:paraId="273EA311" w14:textId="77777777" w:rsidR="00494B49" w:rsidRDefault="00494B49">
            <w:r>
              <w:t>$75,000</w:t>
            </w:r>
          </w:p>
        </w:tc>
        <w:tc>
          <w:tcPr>
            <w:tcW w:w="3360" w:type="dxa"/>
          </w:tcPr>
          <w:p w14:paraId="2902906E" w14:textId="77777777" w:rsidR="00494B49" w:rsidRDefault="00494B49">
            <w:r>
              <w:t>N/A</w:t>
            </w:r>
          </w:p>
        </w:tc>
      </w:tr>
      <w:tr w:rsidR="00494B49" w14:paraId="79B2596C" w14:textId="77777777">
        <w:tc>
          <w:tcPr>
            <w:tcW w:w="3360" w:type="dxa"/>
          </w:tcPr>
          <w:p w14:paraId="52944B62" w14:textId="77777777" w:rsidR="00494B49" w:rsidRDefault="00494B49">
            <w:r>
              <w:t>Net Investment Income</w:t>
            </w:r>
          </w:p>
        </w:tc>
        <w:tc>
          <w:tcPr>
            <w:tcW w:w="3360" w:type="dxa"/>
          </w:tcPr>
          <w:p w14:paraId="1E1CCA9E" w14:textId="77777777" w:rsidR="00494B49" w:rsidRDefault="00494B49">
            <w:r>
              <w:t>N/A</w:t>
            </w:r>
          </w:p>
        </w:tc>
        <w:tc>
          <w:tcPr>
            <w:tcW w:w="3360" w:type="dxa"/>
          </w:tcPr>
          <w:p w14:paraId="5195C4F9" w14:textId="77777777" w:rsidR="00494B49" w:rsidRDefault="00494B49">
            <w:r>
              <w:t>$100,000</w:t>
            </w:r>
          </w:p>
        </w:tc>
      </w:tr>
      <w:tr w:rsidR="00494B49" w14:paraId="0DD399A7" w14:textId="77777777">
        <w:tc>
          <w:tcPr>
            <w:tcW w:w="3360" w:type="dxa"/>
          </w:tcPr>
          <w:p w14:paraId="4A1D83B0" w14:textId="77777777" w:rsidR="00494B49" w:rsidRDefault="00494B49">
            <w:r>
              <w:t xml:space="preserve">Less: </w:t>
            </w:r>
            <w:smartTag w:uri="http://www.bna.com/sgml2word/cite" w:element="cite.usc">
              <w:smartTagPr>
                <w:attr w:name="ref" w:val="USC\26\642(c)"/>
              </w:smartTagPr>
              <w:r>
                <w:t>§642(c)</w:t>
              </w:r>
            </w:smartTag>
            <w:r>
              <w:t xml:space="preserve"> Deduction</w:t>
            </w:r>
          </w:p>
        </w:tc>
        <w:tc>
          <w:tcPr>
            <w:tcW w:w="3360" w:type="dxa"/>
          </w:tcPr>
          <w:p w14:paraId="6951CFBA" w14:textId="77777777" w:rsidR="00494B49" w:rsidRDefault="00494B49">
            <w:r>
              <w:t>($75,000)</w:t>
            </w:r>
          </w:p>
        </w:tc>
        <w:tc>
          <w:tcPr>
            <w:tcW w:w="3360" w:type="dxa"/>
          </w:tcPr>
          <w:p w14:paraId="029AF5C8" w14:textId="77777777" w:rsidR="00494B49" w:rsidRDefault="00494B49">
            <w:r>
              <w:t>—</w:t>
            </w:r>
          </w:p>
        </w:tc>
      </w:tr>
      <w:tr w:rsidR="00494B49" w14:paraId="7D2395F2" w14:textId="77777777">
        <w:tc>
          <w:tcPr>
            <w:tcW w:w="3360" w:type="dxa"/>
          </w:tcPr>
          <w:p w14:paraId="09BA64A7" w14:textId="77777777" w:rsidR="00494B49" w:rsidRDefault="00494B49">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4EB42200" w14:textId="77777777" w:rsidR="00494B49" w:rsidRDefault="00494B49">
            <w:r>
              <w:t>—</w:t>
            </w:r>
          </w:p>
        </w:tc>
        <w:tc>
          <w:tcPr>
            <w:tcW w:w="3360" w:type="dxa"/>
          </w:tcPr>
          <w:p w14:paraId="6F8930D7" w14:textId="77777777" w:rsidR="00494B49" w:rsidRDefault="00494B49">
            <w:r>
              <w:t>($75,000)</w:t>
            </w:r>
          </w:p>
        </w:tc>
      </w:tr>
      <w:tr w:rsidR="00494B49" w14:paraId="59796D3C" w14:textId="77777777">
        <w:tc>
          <w:tcPr>
            <w:tcW w:w="3360" w:type="dxa"/>
          </w:tcPr>
          <w:p w14:paraId="593C7034" w14:textId="77777777" w:rsidR="00494B49" w:rsidRDefault="00494B49">
            <w:r>
              <w:t>Taxable Income</w:t>
            </w:r>
          </w:p>
        </w:tc>
        <w:tc>
          <w:tcPr>
            <w:tcW w:w="3360" w:type="dxa"/>
          </w:tcPr>
          <w:p w14:paraId="7EA96E80" w14:textId="77777777" w:rsidR="00494B49" w:rsidRDefault="00494B49">
            <w:r>
              <w:t>$0</w:t>
            </w:r>
          </w:p>
        </w:tc>
        <w:tc>
          <w:tcPr>
            <w:tcW w:w="3360" w:type="dxa"/>
          </w:tcPr>
          <w:p w14:paraId="45012F1E" w14:textId="77777777" w:rsidR="00494B49" w:rsidRDefault="00494B49"/>
        </w:tc>
      </w:tr>
      <w:tr w:rsidR="00494B49" w14:paraId="197F2262" w14:textId="77777777">
        <w:tc>
          <w:tcPr>
            <w:tcW w:w="3360" w:type="dxa"/>
          </w:tcPr>
          <w:p w14:paraId="226080BF" w14:textId="77777777" w:rsidR="00494B49" w:rsidRDefault="00494B49">
            <w:r>
              <w:lastRenderedPageBreak/>
              <w:t xml:space="preserve">Undistributed Net Investment </w:t>
            </w:r>
            <w:r>
              <w:br/>
              <w:t xml:space="preserve">Income </w:t>
            </w:r>
          </w:p>
        </w:tc>
        <w:tc>
          <w:tcPr>
            <w:tcW w:w="3360" w:type="dxa"/>
          </w:tcPr>
          <w:p w14:paraId="6B37F314" w14:textId="77777777" w:rsidR="00494B49" w:rsidRDefault="00494B49">
            <w:r>
              <w:t>—</w:t>
            </w:r>
          </w:p>
        </w:tc>
        <w:tc>
          <w:tcPr>
            <w:tcW w:w="3360" w:type="dxa"/>
          </w:tcPr>
          <w:p w14:paraId="5C754258" w14:textId="77777777" w:rsidR="00494B49" w:rsidRDefault="00494B49">
            <w:r>
              <w:t>$25,000</w:t>
            </w:r>
          </w:p>
        </w:tc>
      </w:tr>
      <w:tr w:rsidR="00494B49" w14:paraId="6545F23E" w14:textId="77777777">
        <w:tc>
          <w:tcPr>
            <w:tcW w:w="3360" w:type="dxa"/>
          </w:tcPr>
          <w:p w14:paraId="3D56B91B" w14:textId="77777777" w:rsidR="00494B49" w:rsidRDefault="00494B49">
            <w:r>
              <w:t>Tax Due</w:t>
            </w:r>
          </w:p>
        </w:tc>
        <w:tc>
          <w:tcPr>
            <w:tcW w:w="3360" w:type="dxa"/>
          </w:tcPr>
          <w:p w14:paraId="430820CB" w14:textId="77777777" w:rsidR="00494B49" w:rsidRDefault="00494B49">
            <w:r>
              <w:t>$0</w:t>
            </w:r>
          </w:p>
        </w:tc>
        <w:tc>
          <w:tcPr>
            <w:tcW w:w="3360" w:type="dxa"/>
          </w:tcPr>
          <w:p w14:paraId="29DED960" w14:textId="77777777" w:rsidR="00494B49" w:rsidRDefault="00494B49">
            <w:r>
              <w:t>$950</w:t>
            </w:r>
            <w:r>
              <w:rPr>
                <w:rStyle w:val="FootnoteReference"/>
              </w:rPr>
              <w:footnoteReference w:id="1049"/>
            </w:r>
          </w:p>
        </w:tc>
      </w:tr>
    </w:tbl>
    <w:p w14:paraId="476B2178" w14:textId="77777777" w:rsidR="00494B49" w:rsidRDefault="00494B49">
      <w:pPr>
        <w:pStyle w:val="BNormal"/>
      </w:pPr>
      <w:r>
        <w:t xml:space="preserve"> </w:t>
      </w:r>
    </w:p>
    <w:p w14:paraId="73EFD67A" w14:textId="77777777" w:rsidR="00494B49" w:rsidRDefault="00494B49">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but the refund is not taken into account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income (but not change AGI), while the recovery would cause net investment income to be higher than taxable income.</w:t>
      </w:r>
      <w:r>
        <w:rPr>
          <w:rStyle w:val="FootnoteReference"/>
        </w:rPr>
        <w:footnoteReference w:id="1050"/>
      </w:r>
    </w:p>
    <w:p w14:paraId="5303F703" w14:textId="77777777" w:rsidR="00494B49" w:rsidRDefault="00494B49">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1"/>
      </w:r>
    </w:p>
    <w:p w14:paraId="5A280F1F" w14:textId="77777777" w:rsidR="00494B49" w:rsidRDefault="00494B49">
      <w:pPr>
        <w:pStyle w:val="BCommentpara"/>
      </w:pPr>
      <w:r>
        <w:rPr>
          <w:rStyle w:val="BCommenthead"/>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4DD8FAB8" w14:textId="77777777" w:rsidR="00494B49" w:rsidRDefault="00494B49">
      <w:pPr>
        <w:pStyle w:val="BHead3"/>
      </w:pPr>
      <w:r>
        <w:t>b. Beneficiary</w:t>
      </w:r>
    </w:p>
    <w:p w14:paraId="1817323F" w14:textId="77777777" w:rsidR="00494B49" w:rsidRDefault="00494B49">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w:t>
      </w:r>
      <w:r>
        <w:lastRenderedPageBreak/>
        <w:t xml:space="preserve">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4CEF66B7" w14:textId="77777777" w:rsidR="00494B49" w:rsidRDefault="00494B49">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17444D6E" w14:textId="77777777" w:rsidR="00494B49" w:rsidRDefault="00494B49">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325B2B5C" w14:textId="77777777" w:rsidR="00494B49" w:rsidRDefault="00494B49">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6E9B3D50" w14:textId="77777777" w:rsidR="00494B49" w:rsidRDefault="00494B49">
      <w:pPr>
        <w:pStyle w:val="BExamplepara"/>
      </w:pPr>
      <w:r>
        <w:rPr>
          <w:rStyle w:val="BExamplehead"/>
          <w:rFonts w:eastAsiaTheme="minorHAnsi"/>
          <w:i/>
        </w:rPr>
        <w:t>Example:</w:t>
      </w:r>
    </w:p>
    <w:p w14:paraId="548C1E8C" w14:textId="77777777" w:rsidR="00494B49" w:rsidRDefault="00494B49">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2"/>
      </w:r>
      <w:r>
        <w:t xml:space="preserve"> As a result, each beneficiary’s Schedule K-1 will report &lt;$25,000&gt; in Box H, Line 14.</w:t>
      </w:r>
      <w:r>
        <w:rPr>
          <w:rStyle w:val="FootnoteReference"/>
        </w:rPr>
        <w:footnoteReference w:id="1053"/>
      </w:r>
      <w:r>
        <w:t xml:space="preserve"> For purposes of the example, assume: </w:t>
      </w:r>
    </w:p>
    <w:p w14:paraId="1E7CBDB3" w14:textId="77777777" w:rsidR="00494B49" w:rsidRDefault="00494B49">
      <w:pPr>
        <w:pStyle w:val="BListitembul"/>
      </w:pPr>
      <w:r>
        <w:t xml:space="preserve">Beneficiary A has no other items of net investment income in the current year; </w:t>
      </w:r>
    </w:p>
    <w:p w14:paraId="32863187" w14:textId="77777777" w:rsidR="00494B49" w:rsidRDefault="00494B49">
      <w:pPr>
        <w:pStyle w:val="BListitembul"/>
      </w:pPr>
      <w:r>
        <w:t xml:space="preserve">Beneficiary B has a short-term capital loss of $30,000 in the current year attributable to publicly traded stock, and </w:t>
      </w:r>
    </w:p>
    <w:p w14:paraId="6126D60B" w14:textId="77777777" w:rsidR="00494B49" w:rsidRDefault="00494B49">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9EE4135" w14:textId="77777777" w:rsidR="00494B49" w:rsidRDefault="00494B49">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4486698" w14:textId="77777777" w:rsidR="00494B49" w:rsidRDefault="00494B49" w:rsidP="00144640"/>
    <w:tbl>
      <w:tblPr>
        <w:tblStyle w:val="TableGrid"/>
        <w:tblW w:w="0" w:type="auto"/>
        <w:tblLook w:val="04A0" w:firstRow="1" w:lastRow="0" w:firstColumn="1" w:lastColumn="0" w:noHBand="0" w:noVBand="1"/>
      </w:tblPr>
      <w:tblGrid>
        <w:gridCol w:w="2312"/>
        <w:gridCol w:w="2346"/>
        <w:gridCol w:w="2346"/>
        <w:gridCol w:w="2346"/>
      </w:tblGrid>
      <w:tr w:rsidR="00494B49" w14:paraId="2128B919" w14:textId="77777777">
        <w:tc>
          <w:tcPr>
            <w:tcW w:w="2520" w:type="dxa"/>
          </w:tcPr>
          <w:p w14:paraId="5894B4FA" w14:textId="77777777" w:rsidR="00494B49" w:rsidRDefault="00494B49"/>
        </w:tc>
        <w:tc>
          <w:tcPr>
            <w:tcW w:w="2520" w:type="dxa"/>
          </w:tcPr>
          <w:p w14:paraId="5BEFB9E7" w14:textId="77777777" w:rsidR="00494B49" w:rsidRDefault="00494B49">
            <w:r>
              <w:t>Beneficiary A</w:t>
            </w:r>
          </w:p>
        </w:tc>
        <w:tc>
          <w:tcPr>
            <w:tcW w:w="2520" w:type="dxa"/>
          </w:tcPr>
          <w:p w14:paraId="16BBC004" w14:textId="77777777" w:rsidR="00494B49" w:rsidRDefault="00494B49">
            <w:r>
              <w:t>Beneficiary B</w:t>
            </w:r>
          </w:p>
        </w:tc>
        <w:tc>
          <w:tcPr>
            <w:tcW w:w="2520" w:type="dxa"/>
          </w:tcPr>
          <w:p w14:paraId="3BC21EEA" w14:textId="77777777" w:rsidR="00494B49" w:rsidRDefault="00494B49">
            <w:r>
              <w:t>Beneficiary C</w:t>
            </w:r>
          </w:p>
        </w:tc>
      </w:tr>
      <w:tr w:rsidR="00494B49" w14:paraId="6F61E78F" w14:textId="77777777">
        <w:tc>
          <w:tcPr>
            <w:tcW w:w="2520" w:type="dxa"/>
          </w:tcPr>
          <w:p w14:paraId="3251AF80" w14:textId="77777777" w:rsidR="00494B49" w:rsidRDefault="00494B49">
            <w:r>
              <w:t>Line 1, Interest</w:t>
            </w:r>
          </w:p>
        </w:tc>
        <w:tc>
          <w:tcPr>
            <w:tcW w:w="2520" w:type="dxa"/>
          </w:tcPr>
          <w:p w14:paraId="02C69CEB" w14:textId="77777777" w:rsidR="00494B49" w:rsidRDefault="00494B49">
            <w:r>
              <w:t>$75,000</w:t>
            </w:r>
          </w:p>
        </w:tc>
        <w:tc>
          <w:tcPr>
            <w:tcW w:w="2520" w:type="dxa"/>
          </w:tcPr>
          <w:p w14:paraId="187E8790" w14:textId="77777777" w:rsidR="00494B49" w:rsidRDefault="00494B49">
            <w:r>
              <w:t>$75,000</w:t>
            </w:r>
          </w:p>
        </w:tc>
        <w:tc>
          <w:tcPr>
            <w:tcW w:w="2520" w:type="dxa"/>
          </w:tcPr>
          <w:p w14:paraId="49236EE3" w14:textId="77777777" w:rsidR="00494B49" w:rsidRDefault="00494B49">
            <w:r>
              <w:t>$75,000</w:t>
            </w:r>
          </w:p>
        </w:tc>
      </w:tr>
      <w:tr w:rsidR="00494B49" w14:paraId="1FD04460" w14:textId="77777777">
        <w:tc>
          <w:tcPr>
            <w:tcW w:w="2520" w:type="dxa"/>
          </w:tcPr>
          <w:p w14:paraId="19FD44C6" w14:textId="77777777" w:rsidR="00494B49" w:rsidRDefault="00494B49">
            <w:r>
              <w:t>Line 5a / 5d</w:t>
            </w:r>
          </w:p>
        </w:tc>
        <w:tc>
          <w:tcPr>
            <w:tcW w:w="2520" w:type="dxa"/>
          </w:tcPr>
          <w:p w14:paraId="24442218" w14:textId="77777777" w:rsidR="00494B49" w:rsidRDefault="00494B49">
            <w:r>
              <w:t>$25,000</w:t>
            </w:r>
          </w:p>
        </w:tc>
        <w:tc>
          <w:tcPr>
            <w:tcW w:w="2520" w:type="dxa"/>
          </w:tcPr>
          <w:p w14:paraId="64DCB51A" w14:textId="77777777" w:rsidR="00494B49" w:rsidRDefault="00494B49">
            <w:r>
              <w:t>($3,000)</w:t>
            </w:r>
          </w:p>
        </w:tc>
        <w:tc>
          <w:tcPr>
            <w:tcW w:w="2520" w:type="dxa"/>
          </w:tcPr>
          <w:p w14:paraId="021CA41B" w14:textId="77777777" w:rsidR="00494B49" w:rsidRDefault="00494B49">
            <w:r>
              <w:t>($3,000)</w:t>
            </w:r>
          </w:p>
        </w:tc>
      </w:tr>
      <w:tr w:rsidR="00494B49" w14:paraId="2006D775" w14:textId="77777777">
        <w:tc>
          <w:tcPr>
            <w:tcW w:w="2520" w:type="dxa"/>
          </w:tcPr>
          <w:p w14:paraId="13DBE2EF" w14:textId="77777777" w:rsidR="00494B49" w:rsidRDefault="00494B49">
            <w:r>
              <w:t>Line 7 (Box H)</w:t>
            </w:r>
          </w:p>
        </w:tc>
        <w:tc>
          <w:tcPr>
            <w:tcW w:w="2520" w:type="dxa"/>
          </w:tcPr>
          <w:p w14:paraId="759D9CF3" w14:textId="77777777" w:rsidR="00494B49" w:rsidRDefault="00494B49">
            <w:r>
              <w:t>($25,000)</w:t>
            </w:r>
          </w:p>
        </w:tc>
        <w:tc>
          <w:tcPr>
            <w:tcW w:w="2520" w:type="dxa"/>
          </w:tcPr>
          <w:p w14:paraId="3A9B03F9" w14:textId="77777777" w:rsidR="00494B49" w:rsidRDefault="00494B49">
            <w:r>
              <w:t>($25,000)</w:t>
            </w:r>
          </w:p>
        </w:tc>
        <w:tc>
          <w:tcPr>
            <w:tcW w:w="2520" w:type="dxa"/>
          </w:tcPr>
          <w:p w14:paraId="67F43E4C" w14:textId="77777777" w:rsidR="00494B49" w:rsidRDefault="00494B49">
            <w:r>
              <w:t>($25,000)</w:t>
            </w:r>
          </w:p>
        </w:tc>
      </w:tr>
      <w:tr w:rsidR="00494B49" w14:paraId="08F9227E" w14:textId="77777777">
        <w:tc>
          <w:tcPr>
            <w:tcW w:w="2520" w:type="dxa"/>
          </w:tcPr>
          <w:p w14:paraId="418461EB" w14:textId="77777777" w:rsidR="00494B49" w:rsidRDefault="00494B49">
            <w:r>
              <w:t>Other items</w:t>
            </w:r>
          </w:p>
        </w:tc>
        <w:tc>
          <w:tcPr>
            <w:tcW w:w="2520" w:type="dxa"/>
          </w:tcPr>
          <w:p w14:paraId="0EAD59FA" w14:textId="77777777" w:rsidR="00494B49" w:rsidRDefault="00494B49">
            <w:r>
              <w:t>—</w:t>
            </w:r>
          </w:p>
        </w:tc>
        <w:tc>
          <w:tcPr>
            <w:tcW w:w="2520" w:type="dxa"/>
          </w:tcPr>
          <w:p w14:paraId="2B618AFD" w14:textId="77777777" w:rsidR="00494B49" w:rsidRDefault="00494B49">
            <w:r>
              <w:t>—</w:t>
            </w:r>
          </w:p>
        </w:tc>
        <w:tc>
          <w:tcPr>
            <w:tcW w:w="2520" w:type="dxa"/>
          </w:tcPr>
          <w:p w14:paraId="581DC41B" w14:textId="77777777" w:rsidR="00494B49" w:rsidRDefault="00494B49">
            <w:r>
              <w:t>($60,000)</w:t>
            </w:r>
          </w:p>
        </w:tc>
      </w:tr>
      <w:tr w:rsidR="00494B49" w14:paraId="0ECB3264" w14:textId="77777777">
        <w:tc>
          <w:tcPr>
            <w:tcW w:w="2520" w:type="dxa"/>
          </w:tcPr>
          <w:p w14:paraId="58ACF7B7" w14:textId="77777777" w:rsidR="00494B49" w:rsidRDefault="00494B49">
            <w:r>
              <w:t>Line 12 (NII)</w:t>
            </w:r>
          </w:p>
        </w:tc>
        <w:tc>
          <w:tcPr>
            <w:tcW w:w="2520" w:type="dxa"/>
          </w:tcPr>
          <w:p w14:paraId="7EA80D4E" w14:textId="77777777" w:rsidR="00494B49" w:rsidRDefault="00494B49">
            <w:r>
              <w:t>$75,000</w:t>
            </w:r>
          </w:p>
        </w:tc>
        <w:tc>
          <w:tcPr>
            <w:tcW w:w="2520" w:type="dxa"/>
          </w:tcPr>
          <w:p w14:paraId="101363C6" w14:textId="77777777" w:rsidR="00494B49" w:rsidRDefault="00494B49">
            <w:r>
              <w:t>$47,000</w:t>
            </w:r>
          </w:p>
        </w:tc>
        <w:tc>
          <w:tcPr>
            <w:tcW w:w="2520" w:type="dxa"/>
          </w:tcPr>
          <w:p w14:paraId="52E74EE9" w14:textId="77777777" w:rsidR="00494B49" w:rsidRDefault="00494B49">
            <w:r>
              <w:t>($13,000)</w:t>
            </w:r>
          </w:p>
        </w:tc>
      </w:tr>
    </w:tbl>
    <w:p w14:paraId="2458CF77" w14:textId="77777777" w:rsidR="00494B49" w:rsidRDefault="00494B49">
      <w:pPr>
        <w:pStyle w:val="BNormal"/>
      </w:pPr>
    </w:p>
    <w:p w14:paraId="7E1BD75A" w14:textId="77777777" w:rsidR="00494B49" w:rsidRDefault="00494B49">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0D2190B5" w14:textId="77777777" w:rsidR="00494B49" w:rsidRDefault="00494B49">
      <w:pPr>
        <w:pStyle w:val="BExamplepara"/>
      </w:pPr>
      <w:r>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xml:space="preserve">, even though it is allowed by reason of </w:t>
      </w:r>
      <w:proofErr w:type="spellStart"/>
      <w:r>
        <w:t>nonincludible</w:t>
      </w:r>
      <w:proofErr w:type="spellEnd"/>
      <w:r>
        <w:t xml:space="preserve"> income.</w:t>
      </w:r>
      <w:r>
        <w:rPr>
          <w:rStyle w:val="FootnoteReference"/>
        </w:rPr>
        <w:footnoteReference w:id="1054"/>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5BB930B7" w14:textId="77777777" w:rsidR="00494B49" w:rsidRDefault="00494B49">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5"/>
      </w:r>
      <w:r>
        <w:t xml:space="preserve"> the negative net investment income cannot be carried forward or backward. C’s negative net investment income disappears.</w:t>
      </w:r>
      <w:r>
        <w:rPr>
          <w:rStyle w:val="FootnoteReference"/>
        </w:rPr>
        <w:footnoteReference w:id="1056"/>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6A8EC8D3" w14:textId="77777777" w:rsidR="00494B49" w:rsidRDefault="00494B49">
      <w:pPr>
        <w:pStyle w:val="BHead2"/>
      </w:pPr>
      <w:r>
        <w:lastRenderedPageBreak/>
        <w:t>4. Importance of Material Participation of Estates and Trusts in the net investment income tax Regime</w:t>
      </w:r>
    </w:p>
    <w:p w14:paraId="02BB3985" w14:textId="77777777" w:rsidR="00494B49" w:rsidRDefault="00494B49">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7"/>
      </w:r>
      <w:r>
        <w:t xml:space="preserve"> although practitioners have written a great deal on the subject over the years.</w:t>
      </w:r>
      <w:r>
        <w:rPr>
          <w:rStyle w:val="FootnoteReference"/>
        </w:rPr>
        <w:footnoteReference w:id="1058"/>
      </w:r>
      <w:r>
        <w:t xml:space="preserve"> Until 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639A6840" w14:textId="77777777" w:rsidR="00494B49" w:rsidRDefault="00494B49">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359E3D4A" w14:textId="77777777" w:rsidR="00494B49" w:rsidRDefault="00494B49">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w:t>
        </w:r>
        <w:proofErr w:type="spellStart"/>
        <w:r>
          <w:t>i</w:t>
        </w:r>
        <w:proofErr w:type="spellEnd"/>
        <w:r>
          <w:t>)</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12A208CB" w14:textId="77777777" w:rsidR="00494B49" w:rsidRDefault="00494B49">
      <w:pPr>
        <w:pStyle w:val="BNormal"/>
      </w:pPr>
      <w:r>
        <w:lastRenderedPageBreak/>
        <w:t>The following example illustrates the import of the ultimate conclusion of Example 3 to the issue of material participation of estates and trusts:</w:t>
      </w:r>
    </w:p>
    <w:p w14:paraId="6D37FD1B" w14:textId="77777777" w:rsidR="00494B49" w:rsidRDefault="00494B49">
      <w:pPr>
        <w:pStyle w:val="BExamplepara"/>
      </w:pPr>
      <w:r>
        <w:t xml:space="preserve"> </w:t>
      </w:r>
      <w:r>
        <w:rPr>
          <w:i/>
        </w:rPr>
        <w:t>Example:</w:t>
      </w:r>
    </w:p>
    <w:p w14:paraId="17F5D8D7" w14:textId="77777777" w:rsidR="00494B49" w:rsidRDefault="00494B49">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4D8C7676" w14:textId="77777777" w:rsidR="00494B49" w:rsidRDefault="00494B49" w:rsidP="00144640">
      <w:pPr>
        <w:pStyle w:val="BExamplepara"/>
      </w:pPr>
      <w:r>
        <w:t xml:space="preserve">Assume that the Estate is passive in the LLC; the table below illustrates the net investment income tax treatment for the Estate, Jack and Anne: </w:t>
      </w:r>
    </w:p>
    <w:p w14:paraId="20A97C3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284"/>
        <w:gridCol w:w="815"/>
        <w:gridCol w:w="1329"/>
        <w:gridCol w:w="1329"/>
        <w:gridCol w:w="1236"/>
        <w:gridCol w:w="1119"/>
        <w:gridCol w:w="1119"/>
        <w:gridCol w:w="1119"/>
      </w:tblGrid>
      <w:tr w:rsidR="00494B49" w14:paraId="141D8C41" w14:textId="77777777" w:rsidTr="00144640">
        <w:trPr>
          <w:gridAfter w:val="3"/>
          <w:wAfter w:w="3357" w:type="dxa"/>
        </w:trPr>
        <w:tc>
          <w:tcPr>
            <w:tcW w:w="1284" w:type="dxa"/>
          </w:tcPr>
          <w:p w14:paraId="210EFA50" w14:textId="77777777" w:rsidR="00494B49" w:rsidRDefault="00494B49"/>
        </w:tc>
        <w:tc>
          <w:tcPr>
            <w:tcW w:w="815" w:type="dxa"/>
          </w:tcPr>
          <w:p w14:paraId="56A5889B" w14:textId="77777777" w:rsidR="00494B49" w:rsidRDefault="00494B49"/>
        </w:tc>
        <w:tc>
          <w:tcPr>
            <w:tcW w:w="1329" w:type="dxa"/>
          </w:tcPr>
          <w:p w14:paraId="27768F55" w14:textId="77777777" w:rsidR="00494B49" w:rsidRDefault="00494B49">
            <w:r>
              <w:t>Estate</w:t>
            </w:r>
          </w:p>
        </w:tc>
        <w:tc>
          <w:tcPr>
            <w:tcW w:w="1329" w:type="dxa"/>
          </w:tcPr>
          <w:p w14:paraId="0A656E5F" w14:textId="77777777" w:rsidR="00494B49" w:rsidRDefault="00494B49">
            <w:r>
              <w:t>Jack</w:t>
            </w:r>
          </w:p>
        </w:tc>
        <w:tc>
          <w:tcPr>
            <w:tcW w:w="1236" w:type="dxa"/>
          </w:tcPr>
          <w:p w14:paraId="7047F8B8" w14:textId="77777777" w:rsidR="00494B49" w:rsidRDefault="00494B49">
            <w:r>
              <w:t>Anne</w:t>
            </w:r>
          </w:p>
        </w:tc>
      </w:tr>
      <w:tr w:rsidR="00494B49" w14:paraId="5ACCB224" w14:textId="77777777" w:rsidTr="00144640">
        <w:tc>
          <w:tcPr>
            <w:tcW w:w="1284" w:type="dxa"/>
          </w:tcPr>
          <w:p w14:paraId="4C9A522F" w14:textId="77777777" w:rsidR="00494B49" w:rsidRDefault="00494B49"/>
        </w:tc>
        <w:tc>
          <w:tcPr>
            <w:tcW w:w="815" w:type="dxa"/>
          </w:tcPr>
          <w:p w14:paraId="574FB43B" w14:textId="77777777" w:rsidR="00494B49" w:rsidRDefault="00494B49"/>
        </w:tc>
        <w:tc>
          <w:tcPr>
            <w:tcW w:w="1329" w:type="dxa"/>
          </w:tcPr>
          <w:p w14:paraId="27C22F80" w14:textId="77777777" w:rsidR="00494B49" w:rsidRDefault="00494B49">
            <w:r>
              <w:t>Regular Tax</w:t>
            </w:r>
          </w:p>
        </w:tc>
        <w:tc>
          <w:tcPr>
            <w:tcW w:w="1329" w:type="dxa"/>
          </w:tcPr>
          <w:p w14:paraId="5FA502D6" w14:textId="77777777" w:rsidR="00494B49" w:rsidRDefault="00494B49">
            <w:r>
              <w:t>NII</w:t>
            </w:r>
          </w:p>
        </w:tc>
        <w:tc>
          <w:tcPr>
            <w:tcW w:w="1236" w:type="dxa"/>
          </w:tcPr>
          <w:p w14:paraId="586AB491" w14:textId="77777777" w:rsidR="00494B49" w:rsidRDefault="00494B49">
            <w:r>
              <w:t>Regular Tax</w:t>
            </w:r>
          </w:p>
        </w:tc>
        <w:tc>
          <w:tcPr>
            <w:tcW w:w="1119" w:type="dxa"/>
          </w:tcPr>
          <w:p w14:paraId="109DFCF0" w14:textId="77777777" w:rsidR="00494B49" w:rsidRDefault="00494B49">
            <w:r>
              <w:t>NII</w:t>
            </w:r>
          </w:p>
        </w:tc>
        <w:tc>
          <w:tcPr>
            <w:tcW w:w="1119" w:type="dxa"/>
          </w:tcPr>
          <w:p w14:paraId="17FD49FF" w14:textId="77777777" w:rsidR="00494B49" w:rsidRDefault="00494B49">
            <w:r>
              <w:t>Regular Tax</w:t>
            </w:r>
          </w:p>
        </w:tc>
        <w:tc>
          <w:tcPr>
            <w:tcW w:w="1119" w:type="dxa"/>
          </w:tcPr>
          <w:p w14:paraId="6B0C8810" w14:textId="77777777" w:rsidR="00494B49" w:rsidRDefault="00494B49">
            <w:r>
              <w:t>NII</w:t>
            </w:r>
          </w:p>
        </w:tc>
      </w:tr>
      <w:tr w:rsidR="00494B49" w14:paraId="52BE91E2" w14:textId="77777777" w:rsidTr="00144640">
        <w:tc>
          <w:tcPr>
            <w:tcW w:w="1284" w:type="dxa"/>
          </w:tcPr>
          <w:p w14:paraId="79DAF14E" w14:textId="77777777" w:rsidR="00494B49" w:rsidRDefault="00494B49">
            <w:r>
              <w:t>LLC Earnings</w:t>
            </w:r>
          </w:p>
        </w:tc>
        <w:tc>
          <w:tcPr>
            <w:tcW w:w="815" w:type="dxa"/>
          </w:tcPr>
          <w:p w14:paraId="5F68428F" w14:textId="77777777" w:rsidR="00494B49" w:rsidRDefault="00494B49"/>
        </w:tc>
        <w:tc>
          <w:tcPr>
            <w:tcW w:w="1329" w:type="dxa"/>
          </w:tcPr>
          <w:p w14:paraId="3DCE404A" w14:textId="77777777" w:rsidR="00494B49" w:rsidRDefault="00494B49">
            <w:r>
              <w:t>$80,000</w:t>
            </w:r>
          </w:p>
        </w:tc>
        <w:tc>
          <w:tcPr>
            <w:tcW w:w="1329" w:type="dxa"/>
          </w:tcPr>
          <w:p w14:paraId="2C8536A5" w14:textId="77777777" w:rsidR="00494B49" w:rsidRDefault="00494B49">
            <w:r>
              <w:t>$80,000</w:t>
            </w:r>
          </w:p>
        </w:tc>
        <w:tc>
          <w:tcPr>
            <w:tcW w:w="1236" w:type="dxa"/>
          </w:tcPr>
          <w:p w14:paraId="0D8E10AA" w14:textId="77777777" w:rsidR="00494B49" w:rsidRDefault="00494B49">
            <w:r>
              <w:t>$10,000</w:t>
            </w:r>
          </w:p>
        </w:tc>
        <w:tc>
          <w:tcPr>
            <w:tcW w:w="1119" w:type="dxa"/>
          </w:tcPr>
          <w:p w14:paraId="1E22107E" w14:textId="77777777" w:rsidR="00494B49" w:rsidRDefault="00494B49">
            <w:r>
              <w:t>$10,000</w:t>
            </w:r>
          </w:p>
        </w:tc>
        <w:tc>
          <w:tcPr>
            <w:tcW w:w="1119" w:type="dxa"/>
          </w:tcPr>
          <w:p w14:paraId="1BDF773C" w14:textId="77777777" w:rsidR="00494B49" w:rsidRDefault="00494B49">
            <w:r>
              <w:t>$10,000</w:t>
            </w:r>
          </w:p>
        </w:tc>
        <w:tc>
          <w:tcPr>
            <w:tcW w:w="1119" w:type="dxa"/>
          </w:tcPr>
          <w:p w14:paraId="66EDFAE2" w14:textId="77777777" w:rsidR="00494B49" w:rsidRDefault="00494B49">
            <w:r>
              <w:t>$0</w:t>
            </w:r>
          </w:p>
        </w:tc>
      </w:tr>
      <w:tr w:rsidR="00494B49" w14:paraId="164131E7" w14:textId="77777777" w:rsidTr="00144640">
        <w:tc>
          <w:tcPr>
            <w:tcW w:w="1284" w:type="dxa"/>
          </w:tcPr>
          <w:p w14:paraId="73EF6683" w14:textId="77777777" w:rsidR="00494B49" w:rsidRDefault="00494B49">
            <w:r>
              <w:t>Estate’s Distribution</w:t>
            </w:r>
          </w:p>
        </w:tc>
        <w:tc>
          <w:tcPr>
            <w:tcW w:w="815" w:type="dxa"/>
          </w:tcPr>
          <w:p w14:paraId="423CA082" w14:textId="77777777" w:rsidR="00494B49" w:rsidRDefault="00494B49"/>
        </w:tc>
        <w:tc>
          <w:tcPr>
            <w:tcW w:w="1329" w:type="dxa"/>
          </w:tcPr>
          <w:p w14:paraId="2AE66AE0" w14:textId="77777777" w:rsidR="00494B49" w:rsidRDefault="00494B49">
            <w:r>
              <w:t>($50,000)</w:t>
            </w:r>
            <w:r>
              <w:rPr>
                <w:rStyle w:val="FootnoteReference"/>
              </w:rPr>
              <w:footnoteReference w:id="1059"/>
            </w:r>
          </w:p>
        </w:tc>
        <w:tc>
          <w:tcPr>
            <w:tcW w:w="1329" w:type="dxa"/>
          </w:tcPr>
          <w:p w14:paraId="649EF06F" w14:textId="77777777" w:rsidR="00494B49" w:rsidRDefault="00494B49">
            <w:r>
              <w:t>($50,000)</w:t>
            </w:r>
            <w:r>
              <w:rPr>
                <w:rStyle w:val="FootnoteReference"/>
              </w:rPr>
              <w:footnoteReference w:id="1060"/>
            </w:r>
          </w:p>
        </w:tc>
        <w:tc>
          <w:tcPr>
            <w:tcW w:w="1236" w:type="dxa"/>
          </w:tcPr>
          <w:p w14:paraId="407AC317" w14:textId="77777777" w:rsidR="00494B49" w:rsidRDefault="00494B49">
            <w:r>
              <w:t>$25,000</w:t>
            </w:r>
            <w:r>
              <w:rPr>
                <w:rStyle w:val="FootnoteReference"/>
              </w:rPr>
              <w:footnoteReference w:id="1061"/>
            </w:r>
          </w:p>
        </w:tc>
        <w:tc>
          <w:tcPr>
            <w:tcW w:w="1119" w:type="dxa"/>
          </w:tcPr>
          <w:p w14:paraId="409B315B" w14:textId="77777777" w:rsidR="00494B49" w:rsidRDefault="00494B49">
            <w:r>
              <w:t>$25,000</w:t>
            </w:r>
            <w:r>
              <w:rPr>
                <w:rStyle w:val="FootnoteReference"/>
              </w:rPr>
              <w:footnoteReference w:id="1062"/>
            </w:r>
          </w:p>
        </w:tc>
        <w:tc>
          <w:tcPr>
            <w:tcW w:w="1119" w:type="dxa"/>
          </w:tcPr>
          <w:p w14:paraId="1CC14E65" w14:textId="77777777" w:rsidR="00494B49" w:rsidRDefault="00494B49">
            <w:r>
              <w:t>$25,000</w:t>
            </w:r>
            <w:r>
              <w:rPr>
                <w:rStyle w:val="FootnoteReference"/>
              </w:rPr>
              <w:footnoteReference w:id="1063"/>
            </w:r>
          </w:p>
        </w:tc>
        <w:tc>
          <w:tcPr>
            <w:tcW w:w="1119" w:type="dxa"/>
          </w:tcPr>
          <w:p w14:paraId="3EE94678" w14:textId="77777777" w:rsidR="00494B49" w:rsidRDefault="00494B49">
            <w:r>
              <w:t>$25,000</w:t>
            </w:r>
            <w:r>
              <w:rPr>
                <w:rStyle w:val="FootnoteReference"/>
              </w:rPr>
              <w:footnoteReference w:id="1064"/>
            </w:r>
          </w:p>
        </w:tc>
      </w:tr>
      <w:tr w:rsidR="00494B49" w14:paraId="352242A1" w14:textId="77777777" w:rsidTr="00144640">
        <w:tc>
          <w:tcPr>
            <w:tcW w:w="1284" w:type="dxa"/>
          </w:tcPr>
          <w:p w14:paraId="5E242942" w14:textId="77777777" w:rsidR="00494B49" w:rsidRDefault="00494B49">
            <w:r>
              <w:t xml:space="preserve">Net Income </w:t>
            </w:r>
          </w:p>
        </w:tc>
        <w:tc>
          <w:tcPr>
            <w:tcW w:w="815" w:type="dxa"/>
          </w:tcPr>
          <w:p w14:paraId="2C4FA79D" w14:textId="77777777" w:rsidR="00494B49" w:rsidRDefault="00494B49"/>
        </w:tc>
        <w:tc>
          <w:tcPr>
            <w:tcW w:w="1329" w:type="dxa"/>
          </w:tcPr>
          <w:p w14:paraId="06DDF553" w14:textId="77777777" w:rsidR="00494B49" w:rsidRDefault="00494B49">
            <w:r>
              <w:t>$30,000</w:t>
            </w:r>
          </w:p>
        </w:tc>
        <w:tc>
          <w:tcPr>
            <w:tcW w:w="1329" w:type="dxa"/>
          </w:tcPr>
          <w:p w14:paraId="0C1928FA" w14:textId="77777777" w:rsidR="00494B49" w:rsidRDefault="00494B49">
            <w:r>
              <w:t>$30,000</w:t>
            </w:r>
          </w:p>
        </w:tc>
        <w:tc>
          <w:tcPr>
            <w:tcW w:w="1236" w:type="dxa"/>
          </w:tcPr>
          <w:p w14:paraId="3C45BEA9" w14:textId="77777777" w:rsidR="00494B49" w:rsidRDefault="00494B49">
            <w:r>
              <w:t>$35,000</w:t>
            </w:r>
          </w:p>
        </w:tc>
        <w:tc>
          <w:tcPr>
            <w:tcW w:w="1119" w:type="dxa"/>
          </w:tcPr>
          <w:p w14:paraId="5AB029F1" w14:textId="77777777" w:rsidR="00494B49" w:rsidRDefault="00494B49">
            <w:r>
              <w:t>$35,000</w:t>
            </w:r>
          </w:p>
        </w:tc>
        <w:tc>
          <w:tcPr>
            <w:tcW w:w="1119" w:type="dxa"/>
          </w:tcPr>
          <w:p w14:paraId="3345E682" w14:textId="77777777" w:rsidR="00494B49" w:rsidRDefault="00494B49">
            <w:r>
              <w:t>$35,000</w:t>
            </w:r>
          </w:p>
        </w:tc>
        <w:tc>
          <w:tcPr>
            <w:tcW w:w="1119" w:type="dxa"/>
          </w:tcPr>
          <w:p w14:paraId="1BA8C88B" w14:textId="77777777" w:rsidR="00494B49" w:rsidRDefault="00494B49">
            <w:r>
              <w:t>$25,000</w:t>
            </w:r>
          </w:p>
        </w:tc>
      </w:tr>
    </w:tbl>
    <w:p w14:paraId="7E62F4EC" w14:textId="77777777" w:rsidR="00494B49" w:rsidRDefault="00494B49">
      <w:pPr>
        <w:pStyle w:val="BNormal"/>
      </w:pPr>
      <w:r>
        <w:t xml:space="preserve"> </w:t>
      </w:r>
    </w:p>
    <w:p w14:paraId="355B0B27" w14:textId="77777777" w:rsidR="00494B49" w:rsidRDefault="00494B49">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0C7B61B" w14:textId="77777777" w:rsidR="00494B49" w:rsidRDefault="00494B49" w:rsidP="00144640">
      <w:pPr>
        <w:pStyle w:val="BExamplepara"/>
      </w:pPr>
      <w:r>
        <w:lastRenderedPageBreak/>
        <w:t xml:space="preserve">On the other hand, assume that the Estate is nonpassive in the LLC. In this case, the table below illustrates the net investment income tax treatment for the Estate, Jack and Anne: </w:t>
      </w:r>
    </w:p>
    <w:p w14:paraId="08A1E29C"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585"/>
        <w:gridCol w:w="1619"/>
        <w:gridCol w:w="1325"/>
        <w:gridCol w:w="1548"/>
        <w:gridCol w:w="1038"/>
        <w:gridCol w:w="1197"/>
        <w:gridCol w:w="1038"/>
      </w:tblGrid>
      <w:tr w:rsidR="00494B49" w14:paraId="41D0DE20" w14:textId="77777777">
        <w:trPr>
          <w:gridAfter w:val="3"/>
          <w:wAfter w:w="4320" w:type="dxa"/>
        </w:trPr>
        <w:tc>
          <w:tcPr>
            <w:tcW w:w="2520" w:type="dxa"/>
          </w:tcPr>
          <w:p w14:paraId="457F2203" w14:textId="77777777" w:rsidR="00494B49" w:rsidRDefault="00494B49"/>
        </w:tc>
        <w:tc>
          <w:tcPr>
            <w:tcW w:w="2520" w:type="dxa"/>
          </w:tcPr>
          <w:p w14:paraId="394899EE" w14:textId="77777777" w:rsidR="00494B49" w:rsidRDefault="00494B49">
            <w:r>
              <w:t>Estate</w:t>
            </w:r>
          </w:p>
        </w:tc>
        <w:tc>
          <w:tcPr>
            <w:tcW w:w="2520" w:type="dxa"/>
          </w:tcPr>
          <w:p w14:paraId="31461089" w14:textId="77777777" w:rsidR="00494B49" w:rsidRDefault="00494B49">
            <w:r>
              <w:t>Jack</w:t>
            </w:r>
          </w:p>
        </w:tc>
        <w:tc>
          <w:tcPr>
            <w:tcW w:w="2520" w:type="dxa"/>
          </w:tcPr>
          <w:p w14:paraId="67F51FC6" w14:textId="77777777" w:rsidR="00494B49" w:rsidRDefault="00494B49">
            <w:r>
              <w:t>Anne</w:t>
            </w:r>
          </w:p>
        </w:tc>
      </w:tr>
      <w:tr w:rsidR="00494B49" w14:paraId="42A814B3" w14:textId="77777777">
        <w:tc>
          <w:tcPr>
            <w:tcW w:w="1440" w:type="dxa"/>
          </w:tcPr>
          <w:p w14:paraId="04E63A62" w14:textId="77777777" w:rsidR="00494B49" w:rsidRDefault="00494B49"/>
        </w:tc>
        <w:tc>
          <w:tcPr>
            <w:tcW w:w="1440" w:type="dxa"/>
          </w:tcPr>
          <w:p w14:paraId="0F5A8364" w14:textId="77777777" w:rsidR="00494B49" w:rsidRDefault="00494B49">
            <w:r>
              <w:t>Regular Tax</w:t>
            </w:r>
          </w:p>
        </w:tc>
        <w:tc>
          <w:tcPr>
            <w:tcW w:w="1440" w:type="dxa"/>
          </w:tcPr>
          <w:p w14:paraId="1E6F593D" w14:textId="77777777" w:rsidR="00494B49" w:rsidRDefault="00494B49">
            <w:r>
              <w:t>NII</w:t>
            </w:r>
          </w:p>
        </w:tc>
        <w:tc>
          <w:tcPr>
            <w:tcW w:w="1440" w:type="dxa"/>
          </w:tcPr>
          <w:p w14:paraId="30BF3EB2" w14:textId="77777777" w:rsidR="00494B49" w:rsidRDefault="00494B49">
            <w:r>
              <w:t>Regular Tax</w:t>
            </w:r>
          </w:p>
        </w:tc>
        <w:tc>
          <w:tcPr>
            <w:tcW w:w="1440" w:type="dxa"/>
          </w:tcPr>
          <w:p w14:paraId="33D4FBB8" w14:textId="77777777" w:rsidR="00494B49" w:rsidRDefault="00494B49">
            <w:r>
              <w:t>NII</w:t>
            </w:r>
          </w:p>
        </w:tc>
        <w:tc>
          <w:tcPr>
            <w:tcW w:w="1440" w:type="dxa"/>
          </w:tcPr>
          <w:p w14:paraId="0CC99F82" w14:textId="77777777" w:rsidR="00494B49" w:rsidRDefault="00494B49">
            <w:r>
              <w:t>Regular Tax</w:t>
            </w:r>
          </w:p>
        </w:tc>
        <w:tc>
          <w:tcPr>
            <w:tcW w:w="1440" w:type="dxa"/>
          </w:tcPr>
          <w:p w14:paraId="2DF8F3A7" w14:textId="77777777" w:rsidR="00494B49" w:rsidRDefault="00494B49">
            <w:r>
              <w:t>NII</w:t>
            </w:r>
          </w:p>
        </w:tc>
      </w:tr>
      <w:tr w:rsidR="00494B49" w14:paraId="5243BDAB" w14:textId="77777777">
        <w:tc>
          <w:tcPr>
            <w:tcW w:w="1440" w:type="dxa"/>
          </w:tcPr>
          <w:p w14:paraId="452EF85C" w14:textId="77777777" w:rsidR="00494B49" w:rsidRDefault="00494B49">
            <w:r>
              <w:t>LLC Earnings</w:t>
            </w:r>
          </w:p>
        </w:tc>
        <w:tc>
          <w:tcPr>
            <w:tcW w:w="1440" w:type="dxa"/>
          </w:tcPr>
          <w:p w14:paraId="35FAB963" w14:textId="77777777" w:rsidR="00494B49" w:rsidRDefault="00494B49">
            <w:r>
              <w:t>$80,000</w:t>
            </w:r>
          </w:p>
        </w:tc>
        <w:tc>
          <w:tcPr>
            <w:tcW w:w="1440" w:type="dxa"/>
          </w:tcPr>
          <w:p w14:paraId="6EA6EE3E" w14:textId="77777777" w:rsidR="00494B49" w:rsidRDefault="00494B49">
            <w:r>
              <w:t>$0</w:t>
            </w:r>
          </w:p>
        </w:tc>
        <w:tc>
          <w:tcPr>
            <w:tcW w:w="1440" w:type="dxa"/>
          </w:tcPr>
          <w:p w14:paraId="150EB437" w14:textId="77777777" w:rsidR="00494B49" w:rsidRDefault="00494B49">
            <w:r>
              <w:t>$10,000</w:t>
            </w:r>
          </w:p>
        </w:tc>
        <w:tc>
          <w:tcPr>
            <w:tcW w:w="1440" w:type="dxa"/>
          </w:tcPr>
          <w:p w14:paraId="702466D6" w14:textId="77777777" w:rsidR="00494B49" w:rsidRDefault="00494B49">
            <w:r>
              <w:t>$10,000</w:t>
            </w:r>
          </w:p>
        </w:tc>
        <w:tc>
          <w:tcPr>
            <w:tcW w:w="1440" w:type="dxa"/>
          </w:tcPr>
          <w:p w14:paraId="3F8A1D2C" w14:textId="77777777" w:rsidR="00494B49" w:rsidRDefault="00494B49">
            <w:r>
              <w:t>$10,000</w:t>
            </w:r>
          </w:p>
        </w:tc>
        <w:tc>
          <w:tcPr>
            <w:tcW w:w="1440" w:type="dxa"/>
          </w:tcPr>
          <w:p w14:paraId="308DFD86" w14:textId="77777777" w:rsidR="00494B49" w:rsidRDefault="00494B49">
            <w:r>
              <w:t>$0</w:t>
            </w:r>
          </w:p>
        </w:tc>
      </w:tr>
      <w:tr w:rsidR="00494B49" w14:paraId="1B98D6D2" w14:textId="77777777">
        <w:tc>
          <w:tcPr>
            <w:tcW w:w="1440" w:type="dxa"/>
          </w:tcPr>
          <w:p w14:paraId="0BD0279C" w14:textId="77777777" w:rsidR="00494B49" w:rsidRDefault="00494B49">
            <w:r>
              <w:t>Estate’s Distribution</w:t>
            </w:r>
          </w:p>
        </w:tc>
        <w:tc>
          <w:tcPr>
            <w:tcW w:w="1440" w:type="dxa"/>
          </w:tcPr>
          <w:p w14:paraId="4B8C4105" w14:textId="77777777" w:rsidR="00494B49" w:rsidRDefault="00494B49">
            <w:r>
              <w:t>($50,000)</w:t>
            </w:r>
            <w:r>
              <w:rPr>
                <w:rStyle w:val="FootnoteReference"/>
              </w:rPr>
              <w:footnoteReference w:id="1065"/>
            </w:r>
          </w:p>
        </w:tc>
        <w:tc>
          <w:tcPr>
            <w:tcW w:w="1440" w:type="dxa"/>
          </w:tcPr>
          <w:p w14:paraId="5EA7433E" w14:textId="77777777" w:rsidR="00494B49" w:rsidRDefault="00494B49">
            <w:r>
              <w:t>($0)</w:t>
            </w:r>
            <w:r>
              <w:rPr>
                <w:rStyle w:val="FootnoteReference"/>
              </w:rPr>
              <w:footnoteReference w:id="1066"/>
            </w:r>
          </w:p>
        </w:tc>
        <w:tc>
          <w:tcPr>
            <w:tcW w:w="1440" w:type="dxa"/>
          </w:tcPr>
          <w:p w14:paraId="51CB86FA" w14:textId="77777777" w:rsidR="00494B49" w:rsidRDefault="00494B49">
            <w:r>
              <w:t>$25,000</w:t>
            </w:r>
            <w:r>
              <w:rPr>
                <w:rStyle w:val="FootnoteReference"/>
              </w:rPr>
              <w:footnoteReference w:id="1067"/>
            </w:r>
          </w:p>
        </w:tc>
        <w:tc>
          <w:tcPr>
            <w:tcW w:w="1440" w:type="dxa"/>
          </w:tcPr>
          <w:p w14:paraId="0805FC6A" w14:textId="77777777" w:rsidR="00494B49" w:rsidRDefault="00494B49">
            <w:r>
              <w:t>$0</w:t>
            </w:r>
            <w:r>
              <w:rPr>
                <w:rStyle w:val="FootnoteReference"/>
              </w:rPr>
              <w:footnoteReference w:id="1068"/>
            </w:r>
          </w:p>
        </w:tc>
        <w:tc>
          <w:tcPr>
            <w:tcW w:w="1440" w:type="dxa"/>
          </w:tcPr>
          <w:p w14:paraId="68B12EF2" w14:textId="77777777" w:rsidR="00494B49" w:rsidRDefault="00494B49">
            <w:r>
              <w:t>$25,000</w:t>
            </w:r>
            <w:r>
              <w:rPr>
                <w:rStyle w:val="FootnoteReference"/>
              </w:rPr>
              <w:footnoteReference w:id="1069"/>
            </w:r>
          </w:p>
        </w:tc>
        <w:tc>
          <w:tcPr>
            <w:tcW w:w="1440" w:type="dxa"/>
          </w:tcPr>
          <w:p w14:paraId="7062DBD8" w14:textId="77777777" w:rsidR="00494B49" w:rsidRDefault="00494B49">
            <w:r>
              <w:t>$0</w:t>
            </w:r>
            <w:r>
              <w:rPr>
                <w:rStyle w:val="FootnoteReference"/>
              </w:rPr>
              <w:footnoteReference w:id="1070"/>
            </w:r>
          </w:p>
        </w:tc>
      </w:tr>
      <w:tr w:rsidR="00494B49" w14:paraId="444558FF" w14:textId="77777777">
        <w:tc>
          <w:tcPr>
            <w:tcW w:w="1440" w:type="dxa"/>
          </w:tcPr>
          <w:p w14:paraId="5175F8C0" w14:textId="77777777" w:rsidR="00494B49" w:rsidRDefault="00494B49">
            <w:r>
              <w:t>Net Income</w:t>
            </w:r>
          </w:p>
        </w:tc>
        <w:tc>
          <w:tcPr>
            <w:tcW w:w="1440" w:type="dxa"/>
          </w:tcPr>
          <w:p w14:paraId="35D4BC03" w14:textId="77777777" w:rsidR="00494B49" w:rsidRDefault="00494B49">
            <w:r>
              <w:t>$30,000</w:t>
            </w:r>
          </w:p>
        </w:tc>
        <w:tc>
          <w:tcPr>
            <w:tcW w:w="1440" w:type="dxa"/>
          </w:tcPr>
          <w:p w14:paraId="3D3D85E6" w14:textId="77777777" w:rsidR="00494B49" w:rsidRDefault="00494B49">
            <w:r>
              <w:t>$0</w:t>
            </w:r>
          </w:p>
        </w:tc>
        <w:tc>
          <w:tcPr>
            <w:tcW w:w="1440" w:type="dxa"/>
          </w:tcPr>
          <w:p w14:paraId="7C4694FA" w14:textId="77777777" w:rsidR="00494B49" w:rsidRDefault="00494B49">
            <w:r>
              <w:t>$35,000</w:t>
            </w:r>
          </w:p>
        </w:tc>
        <w:tc>
          <w:tcPr>
            <w:tcW w:w="1440" w:type="dxa"/>
          </w:tcPr>
          <w:p w14:paraId="3ACE4583" w14:textId="77777777" w:rsidR="00494B49" w:rsidRDefault="00494B49">
            <w:r>
              <w:t>$10,000</w:t>
            </w:r>
          </w:p>
        </w:tc>
        <w:tc>
          <w:tcPr>
            <w:tcW w:w="1440" w:type="dxa"/>
          </w:tcPr>
          <w:p w14:paraId="164D94D3" w14:textId="77777777" w:rsidR="00494B49" w:rsidRDefault="00494B49">
            <w:r>
              <w:t>$35,000</w:t>
            </w:r>
          </w:p>
        </w:tc>
        <w:tc>
          <w:tcPr>
            <w:tcW w:w="1440" w:type="dxa"/>
          </w:tcPr>
          <w:p w14:paraId="39531B26" w14:textId="77777777" w:rsidR="00494B49" w:rsidRDefault="00494B49">
            <w:r>
              <w:t>$25,000</w:t>
            </w:r>
          </w:p>
        </w:tc>
      </w:tr>
    </w:tbl>
    <w:p w14:paraId="33740076" w14:textId="77777777" w:rsidR="00494B49" w:rsidRDefault="00494B49">
      <w:pPr>
        <w:pStyle w:val="BNormal"/>
      </w:pPr>
      <w:r>
        <w:t xml:space="preserve"> </w:t>
      </w:r>
    </w:p>
    <w:p w14:paraId="04426FD6" w14:textId="77777777" w:rsidR="00494B49" w:rsidRDefault="00494B49">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w:t>
      </w:r>
      <w:proofErr w:type="spellStart"/>
      <w:r>
        <w:t>i</w:t>
      </w:r>
      <w:proofErr w:type="spellEnd"/>
      <w:r>
        <w:t xml:space="preserve">)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w:t>
        </w:r>
        <w:proofErr w:type="spellStart"/>
        <w:r>
          <w:t>i</w:t>
        </w:r>
        <w:proofErr w:type="spellEnd"/>
        <w:r>
          <w:t>)</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3C9045E" w14:textId="77777777" w:rsidR="00494B49" w:rsidRDefault="00494B49">
      <w:pPr>
        <w:pStyle w:val="BHead2"/>
      </w:pPr>
      <w:r>
        <w:t>5. Estates and Trusts that Own Interests in Certain CFCs or Certain PFICs</w:t>
      </w:r>
    </w:p>
    <w:p w14:paraId="51B93049" w14:textId="77777777" w:rsidR="00494B49" w:rsidRDefault="00494B49">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1"/>
      </w:r>
      <w:r>
        <w:t xml:space="preserve"> and Passive Foreign Investment Companies (PFICs).</w:t>
      </w:r>
      <w:r>
        <w:rPr>
          <w:rStyle w:val="FootnoteReference"/>
        </w:rPr>
        <w:footnoteReference w:id="1072"/>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3"/>
      </w:r>
    </w:p>
    <w:p w14:paraId="487E4BD1" w14:textId="77777777" w:rsidR="00494B49" w:rsidRDefault="00494B49">
      <w:pPr>
        <w:pStyle w:val="BNormal"/>
      </w:pPr>
      <w:r>
        <w:lastRenderedPageBreak/>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QEFs) are not treated as dividends except when expressly provided for in the Code.</w:t>
      </w:r>
      <w:r>
        <w:rPr>
          <w:rStyle w:val="FootnoteReference"/>
        </w:rPr>
        <w:footnoteReference w:id="1074"/>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5"/>
      </w:r>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302F6EF6" w14:textId="77777777" w:rsidR="00494B49" w:rsidRDefault="00494B49">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6"/>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7"/>
      </w:r>
    </w:p>
    <w:p w14:paraId="26C0ABA2" w14:textId="77777777" w:rsidR="00494B49" w:rsidRDefault="00494B49">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w:t>
      </w:r>
      <w:proofErr w:type="spellStart"/>
      <w:r>
        <w:t>nongrantor</w:t>
      </w:r>
      <w:proofErr w:type="spellEnd"/>
      <w:r>
        <w:t xml:space="preserve">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78"/>
      </w:r>
      <w:r>
        <w:t xml:space="preserve"> </w:t>
      </w:r>
    </w:p>
    <w:p w14:paraId="48853EA4" w14:textId="77777777" w:rsidR="00494B49" w:rsidRDefault="00494B49">
      <w:pPr>
        <w:pStyle w:val="BHead3"/>
      </w:pPr>
      <w:r>
        <w:lastRenderedPageBreak/>
        <w:t>a. Reg. §1.1411-10(f): Aligning net investment income tax Timing with Subchapter J</w:t>
      </w:r>
    </w:p>
    <w:p w14:paraId="3AC0FCC9"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w:t>
        </w:r>
        <w:proofErr w:type="spellStart"/>
        <w:r>
          <w:t>i</w:t>
        </w:r>
        <w:proofErr w:type="spellEnd"/>
        <w:r>
          <w:t>)</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18AE7161" w14:textId="77777777" w:rsidR="00494B49" w:rsidRDefault="00494B49">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79"/>
      </w:r>
      <w:r>
        <w:t xml:space="preserve"> a similar adjustment to DNI was required to ensure the burden of taxation is shared between the estate or trust and beneficiary. </w:t>
      </w:r>
    </w:p>
    <w:p w14:paraId="77405F37" w14:textId="77777777" w:rsidR="00494B49" w:rsidRDefault="00494B49">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7B91BE08" w14:textId="77777777" w:rsidR="00494B49" w:rsidRDefault="00494B49">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xml:space="preserve">, even though there is no specific rule in the net investment income tax regulations that addresses this particular situation. If the regular tax basis in the CFC is $100 and the net investment income </w:t>
      </w:r>
      <w:r>
        <w:lastRenderedPageBreak/>
        <w:t>tax basis is $87,</w:t>
      </w:r>
      <w:r>
        <w:rPr>
          <w:rStyle w:val="FootnoteReference"/>
        </w:rPr>
        <w:footnoteReference w:id="1080"/>
      </w:r>
      <w:r>
        <w:t xml:space="preserve"> the basis in the hands of the beneficiary would be $100 and $87 for regular tax and net investment income tax, respectively.</w:t>
      </w:r>
      <w:r>
        <w:rPr>
          <w:rStyle w:val="FootnoteReference"/>
        </w:rPr>
        <w:footnoteReference w:id="1081"/>
      </w:r>
    </w:p>
    <w:p w14:paraId="21343F41" w14:textId="77777777" w:rsidR="00494B49" w:rsidRDefault="00494B49">
      <w:pPr>
        <w:pStyle w:val="BHead3"/>
      </w:pPr>
      <w:r>
        <w:t>b. Examples of the Application of Reg. §1.1411-10(f)</w:t>
      </w:r>
    </w:p>
    <w:p w14:paraId="6C6B6E50" w14:textId="77777777" w:rsidR="00494B49" w:rsidRDefault="00494B49">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7073DAC3" w14:textId="77777777" w:rsidR="00494B49" w:rsidRDefault="00494B49">
      <w:pPr>
        <w:pStyle w:val="BExamplepara"/>
      </w:pPr>
      <w:r>
        <w:rPr>
          <w:rStyle w:val="BExamplehead"/>
          <w:rFonts w:eastAsiaTheme="minorHAnsi"/>
          <w:i/>
        </w:rPr>
        <w:t>Example 1:</w:t>
      </w:r>
      <w:r>
        <w:t xml:space="preserve"> Trusts with Excess Distribution from a </w:t>
      </w:r>
      <w:smartTag w:uri="http://www.bna.com/sgml2word/cite" w:element="cite.usc">
        <w:smartTagPr>
          <w:attr w:name="ref" w:val="USC\26\1291"/>
        </w:smartTagPr>
        <w:r>
          <w:t>§1291</w:t>
        </w:r>
      </w:smartTag>
      <w:r>
        <w:t xml:space="preserve"> Fund</w:t>
      </w:r>
    </w:p>
    <w:p w14:paraId="279C53AB" w14:textId="77777777" w:rsidR="00494B49" w:rsidRDefault="00494B49">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2"/>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33427F18" w14:textId="77777777" w:rsidR="00494B49" w:rsidRDefault="00494B49">
      <w:pPr>
        <w:pStyle w:val="BExamplepara"/>
      </w:pPr>
      <w:r>
        <w:t xml:space="preserve"> </w:t>
      </w:r>
      <w:r>
        <w:rPr>
          <w:i/>
        </w:rPr>
        <w:t>Step 1: Determine Total Income and Net Investment Income before Distributions</w:t>
      </w:r>
    </w:p>
    <w:p w14:paraId="77319571" w14:textId="70BB8056" w:rsidR="00494B49" w:rsidRDefault="00494B49" w:rsidP="00047D78">
      <w:pPr>
        <w:pStyle w:val="BExamplepara"/>
      </w:pPr>
      <w:r>
        <w:rPr>
          <w:rStyle w:val="BExamplehead"/>
          <w:rFonts w:eastAsiaTheme="minorHAnsi"/>
          <w:i/>
        </w:rPr>
        <w:t>Note:</w:t>
      </w:r>
      <w:r>
        <w:t xml:space="preserve"> The calculation is the same for both Trust A and Trust B. </w:t>
      </w:r>
    </w:p>
    <w:tbl>
      <w:tblPr>
        <w:tblStyle w:val="TableGrid"/>
        <w:tblW w:w="0" w:type="auto"/>
        <w:tblLook w:val="04A0" w:firstRow="1" w:lastRow="0" w:firstColumn="1" w:lastColumn="0" w:noHBand="0" w:noVBand="1"/>
      </w:tblPr>
      <w:tblGrid>
        <w:gridCol w:w="3125"/>
        <w:gridCol w:w="3105"/>
        <w:gridCol w:w="3120"/>
      </w:tblGrid>
      <w:tr w:rsidR="00494B49" w14:paraId="27475A75" w14:textId="77777777">
        <w:tc>
          <w:tcPr>
            <w:tcW w:w="3360" w:type="dxa"/>
          </w:tcPr>
          <w:p w14:paraId="443EF4C1" w14:textId="77777777" w:rsidR="00494B49" w:rsidRDefault="00494B49"/>
        </w:tc>
        <w:tc>
          <w:tcPr>
            <w:tcW w:w="3360" w:type="dxa"/>
          </w:tcPr>
          <w:p w14:paraId="3E406EC0" w14:textId="77777777" w:rsidR="00494B49" w:rsidRDefault="00494B49">
            <w:r>
              <w:t>Regular Tax</w:t>
            </w:r>
          </w:p>
        </w:tc>
        <w:tc>
          <w:tcPr>
            <w:tcW w:w="3360" w:type="dxa"/>
          </w:tcPr>
          <w:p w14:paraId="48E57F09" w14:textId="77777777" w:rsidR="00494B49" w:rsidRDefault="00494B49">
            <w:r>
              <w:t>NII</w:t>
            </w:r>
          </w:p>
        </w:tc>
      </w:tr>
      <w:tr w:rsidR="00494B49" w14:paraId="572A8AD4" w14:textId="77777777">
        <w:tc>
          <w:tcPr>
            <w:tcW w:w="3360" w:type="dxa"/>
          </w:tcPr>
          <w:p w14:paraId="7765FA57" w14:textId="77777777" w:rsidR="00494B49" w:rsidRDefault="00494B49">
            <w:r>
              <w:t>Interest Income</w:t>
            </w:r>
          </w:p>
        </w:tc>
        <w:tc>
          <w:tcPr>
            <w:tcW w:w="3360" w:type="dxa"/>
          </w:tcPr>
          <w:p w14:paraId="1E41D285" w14:textId="77777777" w:rsidR="00494B49" w:rsidRDefault="00494B49">
            <w:r>
              <w:t>$100,000</w:t>
            </w:r>
          </w:p>
        </w:tc>
        <w:tc>
          <w:tcPr>
            <w:tcW w:w="3360" w:type="dxa"/>
          </w:tcPr>
          <w:p w14:paraId="5E35F5FB" w14:textId="77777777" w:rsidR="00494B49" w:rsidRDefault="00494B49">
            <w:r>
              <w:t>$100,000</w:t>
            </w:r>
          </w:p>
        </w:tc>
      </w:tr>
      <w:tr w:rsidR="00494B49" w14:paraId="73BDDF36" w14:textId="77777777">
        <w:tc>
          <w:tcPr>
            <w:tcW w:w="3360" w:type="dxa"/>
          </w:tcPr>
          <w:p w14:paraId="161CCF65" w14:textId="77777777" w:rsidR="00494B49" w:rsidRDefault="00494B49">
            <w:r>
              <w:t>Capital Gain</w:t>
            </w:r>
          </w:p>
        </w:tc>
        <w:tc>
          <w:tcPr>
            <w:tcW w:w="3360" w:type="dxa"/>
          </w:tcPr>
          <w:p w14:paraId="6A4D0A24" w14:textId="77777777" w:rsidR="00494B49" w:rsidRDefault="00494B49">
            <w:r>
              <w:t>$20,000</w:t>
            </w:r>
          </w:p>
        </w:tc>
        <w:tc>
          <w:tcPr>
            <w:tcW w:w="3360" w:type="dxa"/>
          </w:tcPr>
          <w:p w14:paraId="288AE69D" w14:textId="77777777" w:rsidR="00494B49" w:rsidRDefault="00494B49">
            <w:r>
              <w:t>$20,000</w:t>
            </w:r>
          </w:p>
        </w:tc>
      </w:tr>
      <w:tr w:rsidR="00494B49" w14:paraId="5A770958" w14:textId="77777777">
        <w:tc>
          <w:tcPr>
            <w:tcW w:w="3360" w:type="dxa"/>
          </w:tcPr>
          <w:p w14:paraId="56291413" w14:textId="77777777" w:rsidR="00494B49" w:rsidRDefault="00494B49">
            <w:smartTag w:uri="http://www.bna.com/sgml2word/cite" w:element="cite.usc">
              <w:smartTagPr>
                <w:attr w:name="ref" w:val="USC\26\1291"/>
              </w:smartTagPr>
              <w:r>
                <w:t>§1291</w:t>
              </w:r>
            </w:smartTag>
            <w:r>
              <w:t xml:space="preserve"> Fund</w:t>
            </w:r>
          </w:p>
        </w:tc>
        <w:tc>
          <w:tcPr>
            <w:tcW w:w="3360" w:type="dxa"/>
          </w:tcPr>
          <w:p w14:paraId="00F407AE" w14:textId="77777777" w:rsidR="00494B49" w:rsidRDefault="00494B49">
            <w:r>
              <w:t>$3,000</w:t>
            </w:r>
          </w:p>
        </w:tc>
        <w:tc>
          <w:tcPr>
            <w:tcW w:w="3360" w:type="dxa"/>
          </w:tcPr>
          <w:p w14:paraId="2CD74B78" w14:textId="77777777" w:rsidR="00494B49" w:rsidRDefault="00494B49">
            <w:r>
              <w:t>$3,000</w:t>
            </w:r>
            <w:r>
              <w:rPr>
                <w:rStyle w:val="FootnoteReference"/>
              </w:rPr>
              <w:footnoteReference w:id="1083"/>
            </w:r>
          </w:p>
        </w:tc>
      </w:tr>
      <w:tr w:rsidR="00494B49" w14:paraId="404705F6" w14:textId="77777777">
        <w:tc>
          <w:tcPr>
            <w:tcW w:w="3360" w:type="dxa"/>
          </w:tcPr>
          <w:p w14:paraId="23AE56A4" w14:textId="77777777" w:rsidR="00494B49" w:rsidRDefault="00494B49">
            <w:r>
              <w:t xml:space="preserve">Excess Distribution </w:t>
            </w:r>
          </w:p>
        </w:tc>
        <w:tc>
          <w:tcPr>
            <w:tcW w:w="3360" w:type="dxa"/>
          </w:tcPr>
          <w:p w14:paraId="723E8F51" w14:textId="77777777" w:rsidR="00494B49" w:rsidRDefault="00494B49">
            <w:r>
              <w:t>$0</w:t>
            </w:r>
          </w:p>
        </w:tc>
        <w:tc>
          <w:tcPr>
            <w:tcW w:w="3360" w:type="dxa"/>
          </w:tcPr>
          <w:p w14:paraId="650D0A0A" w14:textId="77777777" w:rsidR="00494B49" w:rsidRDefault="00494B49">
            <w:r>
              <w:t>$12,000</w:t>
            </w:r>
            <w:r>
              <w:rPr>
                <w:rStyle w:val="FootnoteReference"/>
              </w:rPr>
              <w:footnoteReference w:id="1084"/>
            </w:r>
          </w:p>
        </w:tc>
      </w:tr>
      <w:tr w:rsidR="00494B49" w14:paraId="4D0DF304" w14:textId="77777777">
        <w:tc>
          <w:tcPr>
            <w:tcW w:w="3360" w:type="dxa"/>
          </w:tcPr>
          <w:p w14:paraId="7FBC9085" w14:textId="77777777" w:rsidR="00494B49" w:rsidRDefault="00494B49">
            <w:r>
              <w:t>Total</w:t>
            </w:r>
          </w:p>
        </w:tc>
        <w:tc>
          <w:tcPr>
            <w:tcW w:w="3360" w:type="dxa"/>
          </w:tcPr>
          <w:p w14:paraId="00013C93" w14:textId="77777777" w:rsidR="00494B49" w:rsidRDefault="00494B49">
            <w:r>
              <w:t>$123,000</w:t>
            </w:r>
          </w:p>
        </w:tc>
        <w:tc>
          <w:tcPr>
            <w:tcW w:w="3360" w:type="dxa"/>
          </w:tcPr>
          <w:p w14:paraId="4A7D896D" w14:textId="77777777" w:rsidR="00494B49" w:rsidRDefault="00494B49">
            <w:r>
              <w:t>$135,000</w:t>
            </w:r>
          </w:p>
        </w:tc>
      </w:tr>
    </w:tbl>
    <w:p w14:paraId="2B30AEAE" w14:textId="77777777" w:rsidR="00494B49" w:rsidRDefault="00494B49">
      <w:pPr>
        <w:pStyle w:val="BNormal"/>
      </w:pPr>
      <w:r>
        <w:t xml:space="preserve"> </w:t>
      </w:r>
    </w:p>
    <w:p w14:paraId="05AA14F8" w14:textId="77777777" w:rsidR="00494B49" w:rsidRDefault="00494B49">
      <w:pPr>
        <w:pStyle w:val="BExamplepara"/>
      </w:pPr>
      <w:r>
        <w:lastRenderedPageBreak/>
        <w:t xml:space="preserve"> </w:t>
      </w:r>
      <w:r>
        <w:rPr>
          <w:i/>
        </w:rPr>
        <w:t>Step 2: Determine Distributable Net Income</w:t>
      </w:r>
    </w:p>
    <w:p w14:paraId="68F313B5" w14:textId="77777777" w:rsidR="00494B49" w:rsidRDefault="00494B49" w:rsidP="00144640">
      <w:pPr>
        <w:pStyle w:val="BExamplepara"/>
      </w:pPr>
      <w:r>
        <w:rPr>
          <w:rStyle w:val="BExamplehead"/>
          <w:rFonts w:eastAsiaTheme="minorHAnsi"/>
          <w:i/>
        </w:rPr>
        <w:t>Note:</w:t>
      </w:r>
      <w:r>
        <w:t xml:space="preserve"> The calculation is the same for both Trust A and Trust B. </w:t>
      </w:r>
    </w:p>
    <w:p w14:paraId="5047E7A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2"/>
        <w:gridCol w:w="3102"/>
        <w:gridCol w:w="3116"/>
      </w:tblGrid>
      <w:tr w:rsidR="00494B49" w14:paraId="2471C76D" w14:textId="77777777">
        <w:tc>
          <w:tcPr>
            <w:tcW w:w="3360" w:type="dxa"/>
          </w:tcPr>
          <w:p w14:paraId="718E2CBB" w14:textId="77777777" w:rsidR="00494B49" w:rsidRDefault="00494B49"/>
        </w:tc>
        <w:tc>
          <w:tcPr>
            <w:tcW w:w="3360" w:type="dxa"/>
          </w:tcPr>
          <w:p w14:paraId="7656FDF0" w14:textId="77777777" w:rsidR="00494B49" w:rsidRDefault="00494B49">
            <w:r>
              <w:t>Regular Tax</w:t>
            </w:r>
          </w:p>
        </w:tc>
        <w:tc>
          <w:tcPr>
            <w:tcW w:w="3360" w:type="dxa"/>
          </w:tcPr>
          <w:p w14:paraId="0258D1B5" w14:textId="77777777" w:rsidR="00494B49" w:rsidRDefault="00494B49">
            <w:r>
              <w:t>NII</w:t>
            </w:r>
          </w:p>
        </w:tc>
      </w:tr>
      <w:tr w:rsidR="00494B49" w14:paraId="0D2BBBBA" w14:textId="77777777">
        <w:tc>
          <w:tcPr>
            <w:tcW w:w="3360" w:type="dxa"/>
          </w:tcPr>
          <w:p w14:paraId="3BFC5CB1" w14:textId="77777777" w:rsidR="00494B49" w:rsidRDefault="00494B49">
            <w:r>
              <w:t xml:space="preserve">Start with Taxable </w:t>
            </w:r>
            <w:r>
              <w:br/>
              <w:t>Income</w:t>
            </w:r>
            <w:r>
              <w:rPr>
                <w:rStyle w:val="FootnoteReference"/>
              </w:rPr>
              <w:footnoteReference w:id="1085"/>
            </w:r>
          </w:p>
        </w:tc>
        <w:tc>
          <w:tcPr>
            <w:tcW w:w="3360" w:type="dxa"/>
          </w:tcPr>
          <w:p w14:paraId="5B7CD6B4" w14:textId="77777777" w:rsidR="00494B49" w:rsidRDefault="00494B49">
            <w:r>
              <w:t>$123,000</w:t>
            </w:r>
          </w:p>
        </w:tc>
        <w:tc>
          <w:tcPr>
            <w:tcW w:w="3360" w:type="dxa"/>
          </w:tcPr>
          <w:p w14:paraId="5F45A083" w14:textId="77777777" w:rsidR="00494B49" w:rsidRDefault="00494B49">
            <w:r>
              <w:t>$123,000</w:t>
            </w:r>
          </w:p>
        </w:tc>
      </w:tr>
      <w:tr w:rsidR="00494B49" w14:paraId="0A020D8B" w14:textId="77777777">
        <w:tc>
          <w:tcPr>
            <w:tcW w:w="3360" w:type="dxa"/>
          </w:tcPr>
          <w:p w14:paraId="61CD84E4" w14:textId="77777777" w:rsidR="00494B49" w:rsidRDefault="00494B49">
            <w:r>
              <w:t>Less: Capital Gain</w:t>
            </w:r>
            <w:r>
              <w:rPr>
                <w:rStyle w:val="FootnoteReference"/>
              </w:rPr>
              <w:footnoteReference w:id="1086"/>
            </w:r>
          </w:p>
        </w:tc>
        <w:tc>
          <w:tcPr>
            <w:tcW w:w="3360" w:type="dxa"/>
          </w:tcPr>
          <w:p w14:paraId="2470131E" w14:textId="77777777" w:rsidR="00494B49" w:rsidRDefault="00494B49">
            <w:r>
              <w:t>($20,000)</w:t>
            </w:r>
          </w:p>
        </w:tc>
        <w:tc>
          <w:tcPr>
            <w:tcW w:w="3360" w:type="dxa"/>
          </w:tcPr>
          <w:p w14:paraId="7A9A3C23" w14:textId="77777777" w:rsidR="00494B49" w:rsidRDefault="00494B49">
            <w:r>
              <w:t>($20,000)</w:t>
            </w:r>
          </w:p>
        </w:tc>
      </w:tr>
      <w:tr w:rsidR="00494B49" w14:paraId="67D9D7DF" w14:textId="77777777">
        <w:tc>
          <w:tcPr>
            <w:tcW w:w="3360" w:type="dxa"/>
          </w:tcPr>
          <w:p w14:paraId="0BCE46AB" w14:textId="77777777" w:rsidR="00494B49" w:rsidRDefault="00494B49">
            <w:r>
              <w:t xml:space="preserve">Distributable Net </w:t>
            </w:r>
            <w:r>
              <w:br/>
              <w:t>Income</w:t>
            </w:r>
          </w:p>
        </w:tc>
        <w:tc>
          <w:tcPr>
            <w:tcW w:w="3360" w:type="dxa"/>
          </w:tcPr>
          <w:p w14:paraId="0379D84E" w14:textId="77777777" w:rsidR="00494B49" w:rsidRDefault="00494B49">
            <w:r>
              <w:t>$103,000</w:t>
            </w:r>
          </w:p>
        </w:tc>
        <w:tc>
          <w:tcPr>
            <w:tcW w:w="3360" w:type="dxa"/>
          </w:tcPr>
          <w:p w14:paraId="746BD511" w14:textId="77777777" w:rsidR="00494B49" w:rsidRDefault="00494B49">
            <w:r>
              <w:t>$103,000</w:t>
            </w:r>
          </w:p>
        </w:tc>
      </w:tr>
      <w:tr w:rsidR="00494B49" w14:paraId="1E0FAEFD" w14:textId="77777777">
        <w:tc>
          <w:tcPr>
            <w:tcW w:w="3360" w:type="dxa"/>
          </w:tcPr>
          <w:p w14:paraId="2B3B7907"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239ED46A" w14:textId="77777777" w:rsidR="00494B49" w:rsidRDefault="00494B49">
            <w:r>
              <w:t>N/A</w:t>
            </w:r>
          </w:p>
        </w:tc>
        <w:tc>
          <w:tcPr>
            <w:tcW w:w="3360" w:type="dxa"/>
          </w:tcPr>
          <w:p w14:paraId="1F47BC4E" w14:textId="77777777" w:rsidR="00494B49" w:rsidRDefault="00494B49">
            <w:r>
              <w:t>$12,000</w:t>
            </w:r>
            <w:r>
              <w:rPr>
                <w:rStyle w:val="FootnoteReference"/>
              </w:rPr>
              <w:footnoteReference w:id="1087"/>
            </w:r>
          </w:p>
        </w:tc>
      </w:tr>
      <w:tr w:rsidR="00494B49" w14:paraId="13F64674" w14:textId="77777777">
        <w:tc>
          <w:tcPr>
            <w:tcW w:w="3360" w:type="dxa"/>
          </w:tcPr>
          <w:p w14:paraId="5AB8F1A8" w14:textId="77777777" w:rsidR="00494B49" w:rsidRDefault="00494B49">
            <w:r>
              <w:t>DNI for net investment income tax purposes</w:t>
            </w:r>
          </w:p>
        </w:tc>
        <w:tc>
          <w:tcPr>
            <w:tcW w:w="3360" w:type="dxa"/>
          </w:tcPr>
          <w:p w14:paraId="041B9A65" w14:textId="77777777" w:rsidR="00494B49" w:rsidRDefault="00494B49"/>
        </w:tc>
        <w:tc>
          <w:tcPr>
            <w:tcW w:w="3360" w:type="dxa"/>
          </w:tcPr>
          <w:p w14:paraId="31FEB86F" w14:textId="77777777" w:rsidR="00494B49" w:rsidRDefault="00494B49">
            <w:r>
              <w:t>$115,000</w:t>
            </w:r>
          </w:p>
        </w:tc>
      </w:tr>
    </w:tbl>
    <w:p w14:paraId="69F99898" w14:textId="77777777" w:rsidR="00494B49" w:rsidRDefault="00494B49">
      <w:pPr>
        <w:pStyle w:val="BNormal"/>
      </w:pPr>
    </w:p>
    <w:p w14:paraId="275FF1DC" w14:textId="77777777" w:rsidR="00494B49" w:rsidRDefault="00494B49">
      <w:pPr>
        <w:pStyle w:val="BExamplepara"/>
      </w:pPr>
      <w:r>
        <w:t xml:space="preserve"> </w:t>
      </w:r>
      <w:r>
        <w:rPr>
          <w:i/>
        </w:rPr>
        <w:t>Step 3: Determine Distribution Deduction</w:t>
      </w:r>
    </w:p>
    <w:p w14:paraId="26CE5B51" w14:textId="77777777" w:rsidR="00494B49" w:rsidRDefault="00494B49" w:rsidP="00144640">
      <w:pPr>
        <w:pStyle w:val="BExamplepara"/>
        <w:rPr>
          <w:i/>
        </w:rPr>
      </w:pPr>
      <w:r>
        <w:t xml:space="preserve"> </w:t>
      </w:r>
      <w:r>
        <w:rPr>
          <w:i/>
        </w:rPr>
        <w:t xml:space="preserve">Trust (A): Assume that Trust A distributes $100,000 to Beneficiary A. </w:t>
      </w:r>
    </w:p>
    <w:p w14:paraId="5591F67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412ADDE9" w14:textId="77777777">
        <w:tc>
          <w:tcPr>
            <w:tcW w:w="3360" w:type="dxa"/>
          </w:tcPr>
          <w:p w14:paraId="5BA8E402" w14:textId="77777777" w:rsidR="00494B49" w:rsidRDefault="00494B49"/>
        </w:tc>
        <w:tc>
          <w:tcPr>
            <w:tcW w:w="3360" w:type="dxa"/>
          </w:tcPr>
          <w:p w14:paraId="79400414" w14:textId="77777777" w:rsidR="00494B49" w:rsidRDefault="00494B49">
            <w:r>
              <w:t>Regular Tax</w:t>
            </w:r>
          </w:p>
        </w:tc>
        <w:tc>
          <w:tcPr>
            <w:tcW w:w="3360" w:type="dxa"/>
          </w:tcPr>
          <w:p w14:paraId="27E96DED" w14:textId="77777777" w:rsidR="00494B49" w:rsidRDefault="00494B49">
            <w:r>
              <w:t>NII</w:t>
            </w:r>
          </w:p>
        </w:tc>
      </w:tr>
      <w:tr w:rsidR="00494B49" w14:paraId="4DE97B64" w14:textId="77777777">
        <w:tc>
          <w:tcPr>
            <w:tcW w:w="3360" w:type="dxa"/>
          </w:tcPr>
          <w:p w14:paraId="2490120E" w14:textId="77777777" w:rsidR="00494B49" w:rsidRDefault="00494B49">
            <w:r>
              <w:t>Distributable Net Income</w:t>
            </w:r>
          </w:p>
        </w:tc>
        <w:tc>
          <w:tcPr>
            <w:tcW w:w="3360" w:type="dxa"/>
          </w:tcPr>
          <w:p w14:paraId="461177D4" w14:textId="77777777" w:rsidR="00494B49" w:rsidRDefault="00494B49">
            <w:r>
              <w:t>$103,000</w:t>
            </w:r>
          </w:p>
        </w:tc>
        <w:tc>
          <w:tcPr>
            <w:tcW w:w="3360" w:type="dxa"/>
          </w:tcPr>
          <w:p w14:paraId="272EEA91" w14:textId="77777777" w:rsidR="00494B49" w:rsidRDefault="00494B49">
            <w:r>
              <w:t>$115,000</w:t>
            </w:r>
          </w:p>
        </w:tc>
      </w:tr>
      <w:tr w:rsidR="00494B49" w14:paraId="4AA6C0E3" w14:textId="77777777">
        <w:tc>
          <w:tcPr>
            <w:tcW w:w="3360" w:type="dxa"/>
          </w:tcPr>
          <w:p w14:paraId="112F8672" w14:textId="77777777" w:rsidR="00494B49" w:rsidRDefault="00494B49">
            <w:r>
              <w:t>Distribution</w:t>
            </w:r>
          </w:p>
        </w:tc>
        <w:tc>
          <w:tcPr>
            <w:tcW w:w="3360" w:type="dxa"/>
          </w:tcPr>
          <w:p w14:paraId="67457218" w14:textId="77777777" w:rsidR="00494B49" w:rsidRDefault="00494B49">
            <w:r>
              <w:t>($100,000)</w:t>
            </w:r>
          </w:p>
        </w:tc>
        <w:tc>
          <w:tcPr>
            <w:tcW w:w="3360" w:type="dxa"/>
          </w:tcPr>
          <w:p w14:paraId="6E36E2C6" w14:textId="77777777" w:rsidR="00494B49" w:rsidRDefault="00494B49">
            <w:r>
              <w:t>($110,000)</w:t>
            </w:r>
          </w:p>
        </w:tc>
      </w:tr>
      <w:tr w:rsidR="00494B49" w14:paraId="64C52AD4" w14:textId="77777777">
        <w:tc>
          <w:tcPr>
            <w:tcW w:w="3360" w:type="dxa"/>
          </w:tcPr>
          <w:p w14:paraId="7A42A126" w14:textId="77777777" w:rsidR="00494B49" w:rsidRDefault="00494B49">
            <w:r>
              <w:t xml:space="preserve">Undistributed Income </w:t>
            </w:r>
          </w:p>
        </w:tc>
        <w:tc>
          <w:tcPr>
            <w:tcW w:w="3360" w:type="dxa"/>
          </w:tcPr>
          <w:p w14:paraId="692D2317" w14:textId="77777777" w:rsidR="00494B49" w:rsidRDefault="00494B49">
            <w:r>
              <w:t>$3,000</w:t>
            </w:r>
          </w:p>
        </w:tc>
        <w:tc>
          <w:tcPr>
            <w:tcW w:w="3360" w:type="dxa"/>
          </w:tcPr>
          <w:p w14:paraId="03A825F7" w14:textId="77777777" w:rsidR="00494B49" w:rsidRDefault="00494B49">
            <w:r>
              <w:t>$15,000</w:t>
            </w:r>
          </w:p>
        </w:tc>
      </w:tr>
    </w:tbl>
    <w:p w14:paraId="7B08E665" w14:textId="77777777" w:rsidR="00494B49" w:rsidRDefault="00494B49">
      <w:pPr>
        <w:pStyle w:val="BNormal"/>
      </w:pPr>
    </w:p>
    <w:p w14:paraId="1F7BB9AA"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688E63BB" w14:textId="77777777" w:rsidR="00494B49" w:rsidRDefault="00494B49" w:rsidP="00144640">
      <w:pPr>
        <w:pStyle w:val="BExamplepara"/>
        <w:rPr>
          <w:i/>
        </w:rPr>
      </w:pPr>
      <w:r>
        <w:t xml:space="preserve"> </w:t>
      </w:r>
      <w:r>
        <w:rPr>
          <w:i/>
        </w:rPr>
        <w:t xml:space="preserve">Trust (B): Assume that Trust B distributes $110,000 to Beneficiary B. </w:t>
      </w:r>
    </w:p>
    <w:p w14:paraId="3994E6E2"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621630AE" w14:textId="77777777">
        <w:tc>
          <w:tcPr>
            <w:tcW w:w="3360" w:type="dxa"/>
          </w:tcPr>
          <w:p w14:paraId="206A3FCC" w14:textId="77777777" w:rsidR="00494B49" w:rsidRDefault="00494B49"/>
        </w:tc>
        <w:tc>
          <w:tcPr>
            <w:tcW w:w="3360" w:type="dxa"/>
          </w:tcPr>
          <w:p w14:paraId="271E4AD4" w14:textId="77777777" w:rsidR="00494B49" w:rsidRDefault="00494B49">
            <w:r>
              <w:t>Regular Tax</w:t>
            </w:r>
          </w:p>
        </w:tc>
        <w:tc>
          <w:tcPr>
            <w:tcW w:w="3360" w:type="dxa"/>
          </w:tcPr>
          <w:p w14:paraId="50297910" w14:textId="77777777" w:rsidR="00494B49" w:rsidRDefault="00494B49">
            <w:r>
              <w:t>NII</w:t>
            </w:r>
          </w:p>
        </w:tc>
      </w:tr>
      <w:tr w:rsidR="00494B49" w14:paraId="54B7E58E" w14:textId="77777777">
        <w:tc>
          <w:tcPr>
            <w:tcW w:w="3360" w:type="dxa"/>
          </w:tcPr>
          <w:p w14:paraId="08566333" w14:textId="77777777" w:rsidR="00494B49" w:rsidRDefault="00494B49">
            <w:r>
              <w:t>Distributable Net Income</w:t>
            </w:r>
          </w:p>
        </w:tc>
        <w:tc>
          <w:tcPr>
            <w:tcW w:w="3360" w:type="dxa"/>
          </w:tcPr>
          <w:p w14:paraId="752842C9" w14:textId="77777777" w:rsidR="00494B49" w:rsidRDefault="00494B49">
            <w:r>
              <w:t>$103,000</w:t>
            </w:r>
          </w:p>
        </w:tc>
        <w:tc>
          <w:tcPr>
            <w:tcW w:w="3360" w:type="dxa"/>
          </w:tcPr>
          <w:p w14:paraId="2497201E" w14:textId="77777777" w:rsidR="00494B49" w:rsidRDefault="00494B49">
            <w:r>
              <w:t>$115,000</w:t>
            </w:r>
          </w:p>
        </w:tc>
      </w:tr>
      <w:tr w:rsidR="00494B49" w14:paraId="5CE30D89" w14:textId="77777777">
        <w:tc>
          <w:tcPr>
            <w:tcW w:w="3360" w:type="dxa"/>
          </w:tcPr>
          <w:p w14:paraId="2DEE5D71" w14:textId="77777777" w:rsidR="00494B49" w:rsidRDefault="00494B49">
            <w:r>
              <w:t>Distribution</w:t>
            </w:r>
          </w:p>
        </w:tc>
        <w:tc>
          <w:tcPr>
            <w:tcW w:w="3360" w:type="dxa"/>
          </w:tcPr>
          <w:p w14:paraId="2C837E43" w14:textId="77777777" w:rsidR="00494B49" w:rsidRDefault="00494B49">
            <w:r>
              <w:t>($103,000)</w:t>
            </w:r>
          </w:p>
        </w:tc>
        <w:tc>
          <w:tcPr>
            <w:tcW w:w="3360" w:type="dxa"/>
          </w:tcPr>
          <w:p w14:paraId="4B8F8B62" w14:textId="77777777" w:rsidR="00494B49" w:rsidRDefault="00494B49">
            <w:r>
              <w:t>($100,000)</w:t>
            </w:r>
          </w:p>
        </w:tc>
      </w:tr>
      <w:tr w:rsidR="00494B49" w14:paraId="6F6CDF0A" w14:textId="77777777">
        <w:tc>
          <w:tcPr>
            <w:tcW w:w="3360" w:type="dxa"/>
          </w:tcPr>
          <w:p w14:paraId="0D8B1FEF" w14:textId="77777777" w:rsidR="00494B49" w:rsidRDefault="00494B49">
            <w:r>
              <w:t xml:space="preserve">Undistributed Income </w:t>
            </w:r>
          </w:p>
        </w:tc>
        <w:tc>
          <w:tcPr>
            <w:tcW w:w="3360" w:type="dxa"/>
          </w:tcPr>
          <w:p w14:paraId="2D54BB2A" w14:textId="77777777" w:rsidR="00494B49" w:rsidRDefault="00494B49">
            <w:r>
              <w:t>$0</w:t>
            </w:r>
          </w:p>
        </w:tc>
        <w:tc>
          <w:tcPr>
            <w:tcW w:w="3360" w:type="dxa"/>
          </w:tcPr>
          <w:p w14:paraId="269CFB99" w14:textId="77777777" w:rsidR="00494B49" w:rsidRDefault="00494B49">
            <w:r>
              <w:t>$5,000</w:t>
            </w:r>
          </w:p>
        </w:tc>
      </w:tr>
    </w:tbl>
    <w:p w14:paraId="3EB58742" w14:textId="77777777" w:rsidR="00494B49" w:rsidRDefault="00494B49">
      <w:pPr>
        <w:pStyle w:val="BNormal"/>
      </w:pPr>
    </w:p>
    <w:p w14:paraId="5512B5EF"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w:t>
      </w:r>
      <w:r>
        <w:lastRenderedPageBreak/>
        <w:t xml:space="preserve">been deductible by the trust for regular income tax purposes ($103,000) is increased by $12,000.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49DA6C30" w14:textId="77777777" w:rsidR="00494B49" w:rsidRDefault="00494B49" w:rsidP="00144640">
      <w:pPr>
        <w:pStyle w:val="BExamplepara"/>
        <w:rPr>
          <w:i/>
        </w:rPr>
      </w:pPr>
      <w:r>
        <w:t xml:space="preserve"> </w:t>
      </w:r>
      <w:r>
        <w:rPr>
          <w:i/>
        </w:rPr>
        <w:t xml:space="preserve">Step 4: Determine Modified Adjusted Gross Income </w:t>
      </w:r>
    </w:p>
    <w:p w14:paraId="5B75498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4"/>
        <w:gridCol w:w="2107"/>
        <w:gridCol w:w="2107"/>
        <w:gridCol w:w="1491"/>
        <w:gridCol w:w="1491"/>
      </w:tblGrid>
      <w:tr w:rsidR="00494B49" w14:paraId="75FA4DBB" w14:textId="77777777">
        <w:trPr>
          <w:gridAfter w:val="2"/>
          <w:wAfter w:w="4032" w:type="dxa"/>
        </w:trPr>
        <w:tc>
          <w:tcPr>
            <w:tcW w:w="3360" w:type="dxa"/>
          </w:tcPr>
          <w:p w14:paraId="3D927C96" w14:textId="77777777" w:rsidR="00494B49" w:rsidRDefault="00494B49"/>
        </w:tc>
        <w:tc>
          <w:tcPr>
            <w:tcW w:w="3360" w:type="dxa"/>
          </w:tcPr>
          <w:p w14:paraId="37C25757" w14:textId="77777777" w:rsidR="00494B49" w:rsidRDefault="00494B49">
            <w:r>
              <w:t xml:space="preserve"> </w:t>
            </w:r>
            <w:r>
              <w:rPr>
                <w:b/>
              </w:rPr>
              <w:t>Trust A</w:t>
            </w:r>
          </w:p>
        </w:tc>
        <w:tc>
          <w:tcPr>
            <w:tcW w:w="3360" w:type="dxa"/>
          </w:tcPr>
          <w:p w14:paraId="359D7E12" w14:textId="77777777" w:rsidR="00494B49" w:rsidRDefault="00494B49">
            <w:r>
              <w:t xml:space="preserve"> </w:t>
            </w:r>
            <w:r>
              <w:rPr>
                <w:b/>
              </w:rPr>
              <w:t>Trust B</w:t>
            </w:r>
          </w:p>
        </w:tc>
      </w:tr>
      <w:tr w:rsidR="00494B49" w14:paraId="3A1F2DED" w14:textId="77777777">
        <w:tc>
          <w:tcPr>
            <w:tcW w:w="2016" w:type="dxa"/>
          </w:tcPr>
          <w:p w14:paraId="1E84ECEE" w14:textId="77777777" w:rsidR="00494B49" w:rsidRDefault="00494B49"/>
        </w:tc>
        <w:tc>
          <w:tcPr>
            <w:tcW w:w="2016" w:type="dxa"/>
          </w:tcPr>
          <w:p w14:paraId="6C8232CF" w14:textId="77777777" w:rsidR="00494B49" w:rsidRDefault="00494B49">
            <w:r>
              <w:t>Regular Tax</w:t>
            </w:r>
          </w:p>
        </w:tc>
        <w:tc>
          <w:tcPr>
            <w:tcW w:w="2016" w:type="dxa"/>
          </w:tcPr>
          <w:p w14:paraId="59E432EC" w14:textId="77777777" w:rsidR="00494B49" w:rsidRDefault="00494B49">
            <w:r>
              <w:t>NII</w:t>
            </w:r>
          </w:p>
        </w:tc>
        <w:tc>
          <w:tcPr>
            <w:tcW w:w="2016" w:type="dxa"/>
          </w:tcPr>
          <w:p w14:paraId="22826E2A" w14:textId="77777777" w:rsidR="00494B49" w:rsidRDefault="00494B49">
            <w:r>
              <w:t>Regular Tax</w:t>
            </w:r>
          </w:p>
        </w:tc>
        <w:tc>
          <w:tcPr>
            <w:tcW w:w="2016" w:type="dxa"/>
          </w:tcPr>
          <w:p w14:paraId="00C9005A" w14:textId="77777777" w:rsidR="00494B49" w:rsidRDefault="00494B49">
            <w:r>
              <w:t>NII</w:t>
            </w:r>
          </w:p>
        </w:tc>
      </w:tr>
      <w:tr w:rsidR="00494B49" w14:paraId="5090AF70" w14:textId="77777777">
        <w:tc>
          <w:tcPr>
            <w:tcW w:w="2016" w:type="dxa"/>
          </w:tcPr>
          <w:p w14:paraId="59319D89" w14:textId="77777777" w:rsidR="00494B49" w:rsidRDefault="00494B49">
            <w:r>
              <w:t>Total Income</w:t>
            </w:r>
          </w:p>
        </w:tc>
        <w:tc>
          <w:tcPr>
            <w:tcW w:w="2016" w:type="dxa"/>
          </w:tcPr>
          <w:p w14:paraId="5F757E2A" w14:textId="77777777" w:rsidR="00494B49" w:rsidRDefault="00494B49">
            <w:r>
              <w:t>$123,000</w:t>
            </w:r>
          </w:p>
        </w:tc>
        <w:tc>
          <w:tcPr>
            <w:tcW w:w="2016" w:type="dxa"/>
          </w:tcPr>
          <w:p w14:paraId="3975F297" w14:textId="77777777" w:rsidR="00494B49" w:rsidRDefault="00494B49">
            <w:r>
              <w:t>$123,000</w:t>
            </w:r>
          </w:p>
        </w:tc>
        <w:tc>
          <w:tcPr>
            <w:tcW w:w="2016" w:type="dxa"/>
          </w:tcPr>
          <w:p w14:paraId="7CE862D1" w14:textId="77777777" w:rsidR="00494B49" w:rsidRDefault="00494B49">
            <w:r>
              <w:t>$123,000</w:t>
            </w:r>
          </w:p>
        </w:tc>
        <w:tc>
          <w:tcPr>
            <w:tcW w:w="2016" w:type="dxa"/>
          </w:tcPr>
          <w:p w14:paraId="7A23F591" w14:textId="77777777" w:rsidR="00494B49" w:rsidRDefault="00494B49">
            <w:r>
              <w:t>$123,000</w:t>
            </w:r>
          </w:p>
        </w:tc>
      </w:tr>
      <w:tr w:rsidR="00494B49" w14:paraId="06E552C9" w14:textId="77777777">
        <w:tc>
          <w:tcPr>
            <w:tcW w:w="2016" w:type="dxa"/>
          </w:tcPr>
          <w:p w14:paraId="59A74DF4" w14:textId="77777777" w:rsidR="00494B49" w:rsidRDefault="00494B49">
            <w:r>
              <w:t xml:space="preserve">MAGI Increase </w:t>
            </w:r>
          </w:p>
        </w:tc>
        <w:tc>
          <w:tcPr>
            <w:tcW w:w="2016" w:type="dxa"/>
          </w:tcPr>
          <w:p w14:paraId="0266638F" w14:textId="77777777" w:rsidR="00494B49" w:rsidRDefault="00494B49"/>
        </w:tc>
        <w:tc>
          <w:tcPr>
            <w:tcW w:w="2016" w:type="dxa"/>
          </w:tcPr>
          <w:p w14:paraId="2D06173A" w14:textId="77777777" w:rsidR="00494B49" w:rsidRDefault="00494B49">
            <w:r>
              <w:t>$12,000</w:t>
            </w:r>
          </w:p>
        </w:tc>
        <w:tc>
          <w:tcPr>
            <w:tcW w:w="2016" w:type="dxa"/>
          </w:tcPr>
          <w:p w14:paraId="5DB5E157" w14:textId="77777777" w:rsidR="00494B49" w:rsidRDefault="00494B49"/>
        </w:tc>
        <w:tc>
          <w:tcPr>
            <w:tcW w:w="2016" w:type="dxa"/>
          </w:tcPr>
          <w:p w14:paraId="2592AC36" w14:textId="77777777" w:rsidR="00494B49" w:rsidRDefault="00494B49">
            <w:r>
              <w:t>$5,000</w:t>
            </w:r>
          </w:p>
        </w:tc>
      </w:tr>
      <w:tr w:rsidR="00494B49" w14:paraId="321791B0" w14:textId="77777777">
        <w:tc>
          <w:tcPr>
            <w:tcW w:w="2016" w:type="dxa"/>
          </w:tcPr>
          <w:p w14:paraId="26A5A138" w14:textId="77777777" w:rsidR="00494B49" w:rsidRDefault="00494B49">
            <w:r>
              <w:t>Distribution Deduction</w:t>
            </w:r>
          </w:p>
        </w:tc>
        <w:tc>
          <w:tcPr>
            <w:tcW w:w="2016" w:type="dxa"/>
          </w:tcPr>
          <w:p w14:paraId="3B269DA9" w14:textId="77777777" w:rsidR="00494B49" w:rsidRDefault="00494B49">
            <w:r>
              <w:t>($100,000)</w:t>
            </w:r>
          </w:p>
        </w:tc>
        <w:tc>
          <w:tcPr>
            <w:tcW w:w="2016" w:type="dxa"/>
          </w:tcPr>
          <w:p w14:paraId="537B3EB3" w14:textId="77777777" w:rsidR="00494B49" w:rsidRDefault="00494B49">
            <w:r>
              <w:t>($100,000)</w:t>
            </w:r>
          </w:p>
        </w:tc>
        <w:tc>
          <w:tcPr>
            <w:tcW w:w="2016" w:type="dxa"/>
          </w:tcPr>
          <w:p w14:paraId="3A213EDB" w14:textId="77777777" w:rsidR="00494B49" w:rsidRDefault="00494B49">
            <w:r>
              <w:t>($103,000)</w:t>
            </w:r>
          </w:p>
        </w:tc>
        <w:tc>
          <w:tcPr>
            <w:tcW w:w="2016" w:type="dxa"/>
          </w:tcPr>
          <w:p w14:paraId="28752BA1" w14:textId="77777777" w:rsidR="00494B49" w:rsidRDefault="00494B49">
            <w:r>
              <w:t>($103,000)</w:t>
            </w:r>
          </w:p>
        </w:tc>
      </w:tr>
      <w:tr w:rsidR="00494B49" w14:paraId="4B14B1B2" w14:textId="77777777">
        <w:tc>
          <w:tcPr>
            <w:tcW w:w="2016" w:type="dxa"/>
          </w:tcPr>
          <w:p w14:paraId="4D3CCA61" w14:textId="77777777" w:rsidR="00494B49" w:rsidRDefault="00494B49">
            <w:r>
              <w:t xml:space="preserve">AGI / MAGI </w:t>
            </w:r>
          </w:p>
        </w:tc>
        <w:tc>
          <w:tcPr>
            <w:tcW w:w="2016" w:type="dxa"/>
          </w:tcPr>
          <w:p w14:paraId="302CC2FB" w14:textId="77777777" w:rsidR="00494B49" w:rsidRDefault="00494B49">
            <w:r>
              <w:t>$23,000</w:t>
            </w:r>
          </w:p>
        </w:tc>
        <w:tc>
          <w:tcPr>
            <w:tcW w:w="2016" w:type="dxa"/>
          </w:tcPr>
          <w:p w14:paraId="4040E58F" w14:textId="77777777" w:rsidR="00494B49" w:rsidRDefault="00494B49">
            <w:r>
              <w:t>$35,000</w:t>
            </w:r>
          </w:p>
        </w:tc>
        <w:tc>
          <w:tcPr>
            <w:tcW w:w="2016" w:type="dxa"/>
          </w:tcPr>
          <w:p w14:paraId="14B378A4" w14:textId="77777777" w:rsidR="00494B49" w:rsidRDefault="00494B49">
            <w:r>
              <w:t>$20,000</w:t>
            </w:r>
          </w:p>
        </w:tc>
        <w:tc>
          <w:tcPr>
            <w:tcW w:w="2016" w:type="dxa"/>
          </w:tcPr>
          <w:p w14:paraId="4427EF50" w14:textId="77777777" w:rsidR="00494B49" w:rsidRDefault="00494B49">
            <w:r>
              <w:t>$25,000</w:t>
            </w:r>
          </w:p>
        </w:tc>
      </w:tr>
    </w:tbl>
    <w:p w14:paraId="73F1C723" w14:textId="77777777" w:rsidR="00494B49" w:rsidRDefault="00494B49">
      <w:pPr>
        <w:pStyle w:val="BNormal"/>
      </w:pPr>
    </w:p>
    <w:p w14:paraId="1D7182E0" w14:textId="77777777" w:rsidR="00494B49" w:rsidRDefault="00494B49">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88"/>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26B69A47" w14:textId="77777777" w:rsidR="00494B49" w:rsidRDefault="00494B49" w:rsidP="00144640">
      <w:pPr>
        <w:pStyle w:val="BExamplepara"/>
        <w:rPr>
          <w:i/>
        </w:rPr>
      </w:pPr>
      <w:r>
        <w:t xml:space="preserve"> </w:t>
      </w:r>
      <w:r>
        <w:rPr>
          <w:i/>
        </w:rPr>
        <w:t>Step 5: Calculate Trust’s Net Investment Income Tax</w:t>
      </w:r>
    </w:p>
    <w:p w14:paraId="4649538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242"/>
        <w:gridCol w:w="2061"/>
        <w:gridCol w:w="2113"/>
        <w:gridCol w:w="1441"/>
        <w:gridCol w:w="1493"/>
      </w:tblGrid>
      <w:tr w:rsidR="00494B49" w14:paraId="4DD72495" w14:textId="77777777">
        <w:trPr>
          <w:gridAfter w:val="2"/>
          <w:wAfter w:w="4032" w:type="dxa"/>
        </w:trPr>
        <w:tc>
          <w:tcPr>
            <w:tcW w:w="3360" w:type="dxa"/>
          </w:tcPr>
          <w:p w14:paraId="06167C06" w14:textId="77777777" w:rsidR="00494B49" w:rsidRDefault="00494B49"/>
        </w:tc>
        <w:tc>
          <w:tcPr>
            <w:tcW w:w="3360" w:type="dxa"/>
          </w:tcPr>
          <w:p w14:paraId="27A0B013" w14:textId="77777777" w:rsidR="00494B49" w:rsidRDefault="00494B49">
            <w:r>
              <w:t xml:space="preserve"> </w:t>
            </w:r>
            <w:r>
              <w:rPr>
                <w:b/>
              </w:rPr>
              <w:t>Trust A</w:t>
            </w:r>
          </w:p>
        </w:tc>
        <w:tc>
          <w:tcPr>
            <w:tcW w:w="3360" w:type="dxa"/>
          </w:tcPr>
          <w:p w14:paraId="5A8F7DBA" w14:textId="77777777" w:rsidR="00494B49" w:rsidRDefault="00494B49">
            <w:r>
              <w:t xml:space="preserve"> </w:t>
            </w:r>
            <w:r>
              <w:rPr>
                <w:b/>
              </w:rPr>
              <w:t>Trust B</w:t>
            </w:r>
          </w:p>
        </w:tc>
      </w:tr>
      <w:tr w:rsidR="00494B49" w14:paraId="7DF7E2DE" w14:textId="77777777">
        <w:tc>
          <w:tcPr>
            <w:tcW w:w="2016" w:type="dxa"/>
          </w:tcPr>
          <w:p w14:paraId="51A34411" w14:textId="77777777" w:rsidR="00494B49" w:rsidRDefault="00494B49"/>
        </w:tc>
        <w:tc>
          <w:tcPr>
            <w:tcW w:w="2016" w:type="dxa"/>
          </w:tcPr>
          <w:p w14:paraId="7F771524" w14:textId="77777777" w:rsidR="00494B49" w:rsidRDefault="00494B49">
            <w:r>
              <w:t>MAGI</w:t>
            </w:r>
          </w:p>
        </w:tc>
        <w:tc>
          <w:tcPr>
            <w:tcW w:w="2016" w:type="dxa"/>
          </w:tcPr>
          <w:p w14:paraId="16730589" w14:textId="77777777" w:rsidR="00494B49" w:rsidRDefault="00494B49">
            <w:r>
              <w:t>NII</w:t>
            </w:r>
          </w:p>
        </w:tc>
        <w:tc>
          <w:tcPr>
            <w:tcW w:w="2016" w:type="dxa"/>
          </w:tcPr>
          <w:p w14:paraId="55A80B32" w14:textId="77777777" w:rsidR="00494B49" w:rsidRDefault="00494B49">
            <w:r>
              <w:t>MAGI</w:t>
            </w:r>
          </w:p>
        </w:tc>
        <w:tc>
          <w:tcPr>
            <w:tcW w:w="2016" w:type="dxa"/>
          </w:tcPr>
          <w:p w14:paraId="2AC2605F" w14:textId="77777777" w:rsidR="00494B49" w:rsidRDefault="00494B49">
            <w:r>
              <w:t>NII</w:t>
            </w:r>
          </w:p>
        </w:tc>
      </w:tr>
      <w:tr w:rsidR="00494B49" w14:paraId="32269D7C" w14:textId="77777777">
        <w:tc>
          <w:tcPr>
            <w:tcW w:w="2016" w:type="dxa"/>
          </w:tcPr>
          <w:p w14:paraId="29C74DFE" w14:textId="77777777" w:rsidR="00494B49" w:rsidRDefault="00494B49">
            <w:r>
              <w:t>MAGI</w:t>
            </w:r>
          </w:p>
        </w:tc>
        <w:tc>
          <w:tcPr>
            <w:tcW w:w="2016" w:type="dxa"/>
          </w:tcPr>
          <w:p w14:paraId="5E07E01D" w14:textId="77777777" w:rsidR="00494B49" w:rsidRDefault="00494B49">
            <w:r>
              <w:t>$35,000</w:t>
            </w:r>
          </w:p>
        </w:tc>
        <w:tc>
          <w:tcPr>
            <w:tcW w:w="2016" w:type="dxa"/>
          </w:tcPr>
          <w:p w14:paraId="6F2DA661" w14:textId="77777777" w:rsidR="00494B49" w:rsidRDefault="00494B49"/>
        </w:tc>
        <w:tc>
          <w:tcPr>
            <w:tcW w:w="2016" w:type="dxa"/>
          </w:tcPr>
          <w:p w14:paraId="4554BC04" w14:textId="77777777" w:rsidR="00494B49" w:rsidRDefault="00494B49">
            <w:r>
              <w:t>$25,000</w:t>
            </w:r>
          </w:p>
        </w:tc>
        <w:tc>
          <w:tcPr>
            <w:tcW w:w="2016" w:type="dxa"/>
          </w:tcPr>
          <w:p w14:paraId="5EBDCB21" w14:textId="77777777" w:rsidR="00494B49" w:rsidRDefault="00494B49"/>
        </w:tc>
      </w:tr>
      <w:tr w:rsidR="00494B49" w14:paraId="29B5BD69" w14:textId="77777777">
        <w:tc>
          <w:tcPr>
            <w:tcW w:w="2016" w:type="dxa"/>
          </w:tcPr>
          <w:p w14:paraId="0E74787D" w14:textId="77777777" w:rsidR="00494B49" w:rsidRDefault="00494B49">
            <w:r>
              <w:t xml:space="preserve">Net Investment Income </w:t>
            </w:r>
          </w:p>
        </w:tc>
        <w:tc>
          <w:tcPr>
            <w:tcW w:w="2016" w:type="dxa"/>
          </w:tcPr>
          <w:p w14:paraId="253F101B" w14:textId="77777777" w:rsidR="00494B49" w:rsidRDefault="00494B49"/>
        </w:tc>
        <w:tc>
          <w:tcPr>
            <w:tcW w:w="2016" w:type="dxa"/>
          </w:tcPr>
          <w:p w14:paraId="7F59943A" w14:textId="77777777" w:rsidR="00494B49" w:rsidRDefault="00494B49">
            <w:r>
              <w:t>$135,000</w:t>
            </w:r>
          </w:p>
        </w:tc>
        <w:tc>
          <w:tcPr>
            <w:tcW w:w="2016" w:type="dxa"/>
          </w:tcPr>
          <w:p w14:paraId="2A986CA8" w14:textId="77777777" w:rsidR="00494B49" w:rsidRDefault="00494B49"/>
        </w:tc>
        <w:tc>
          <w:tcPr>
            <w:tcW w:w="2016" w:type="dxa"/>
          </w:tcPr>
          <w:p w14:paraId="348D3EFA" w14:textId="77777777" w:rsidR="00494B49" w:rsidRDefault="00494B49">
            <w:r>
              <w:t>$135,000</w:t>
            </w:r>
          </w:p>
        </w:tc>
      </w:tr>
      <w:tr w:rsidR="00494B49" w14:paraId="287A5AB3" w14:textId="77777777">
        <w:tc>
          <w:tcPr>
            <w:tcW w:w="2016" w:type="dxa"/>
          </w:tcPr>
          <w:p w14:paraId="3C302EA6" w14:textId="77777777" w:rsidR="00494B49" w:rsidRDefault="00494B49">
            <w:r>
              <w:t>Distribution Deduction</w:t>
            </w:r>
          </w:p>
        </w:tc>
        <w:tc>
          <w:tcPr>
            <w:tcW w:w="2016" w:type="dxa"/>
          </w:tcPr>
          <w:p w14:paraId="1F7A776A" w14:textId="77777777" w:rsidR="00494B49" w:rsidRDefault="00494B49"/>
        </w:tc>
        <w:tc>
          <w:tcPr>
            <w:tcW w:w="2016" w:type="dxa"/>
          </w:tcPr>
          <w:p w14:paraId="3843E092" w14:textId="77777777" w:rsidR="00494B49" w:rsidRDefault="00494B49">
            <w:r>
              <w:t>($100,000)</w:t>
            </w:r>
          </w:p>
        </w:tc>
        <w:tc>
          <w:tcPr>
            <w:tcW w:w="2016" w:type="dxa"/>
          </w:tcPr>
          <w:p w14:paraId="1F0B0A52" w14:textId="77777777" w:rsidR="00494B49" w:rsidRDefault="00494B49"/>
        </w:tc>
        <w:tc>
          <w:tcPr>
            <w:tcW w:w="2016" w:type="dxa"/>
          </w:tcPr>
          <w:p w14:paraId="0597B7FF" w14:textId="77777777" w:rsidR="00494B49" w:rsidRDefault="00494B49">
            <w:r>
              <w:t>($110,000)</w:t>
            </w:r>
          </w:p>
        </w:tc>
      </w:tr>
      <w:tr w:rsidR="00494B49" w14:paraId="6853C303" w14:textId="77777777">
        <w:tc>
          <w:tcPr>
            <w:tcW w:w="2016" w:type="dxa"/>
          </w:tcPr>
          <w:p w14:paraId="78F64D2E" w14:textId="77777777" w:rsidR="00494B49" w:rsidRDefault="00494B49">
            <w:r>
              <w:t xml:space="preserve">Undistributed Net Investment Income </w:t>
            </w:r>
          </w:p>
        </w:tc>
        <w:tc>
          <w:tcPr>
            <w:tcW w:w="2016" w:type="dxa"/>
          </w:tcPr>
          <w:p w14:paraId="1BFBDAD8" w14:textId="77777777" w:rsidR="00494B49" w:rsidRDefault="00494B49"/>
        </w:tc>
        <w:tc>
          <w:tcPr>
            <w:tcW w:w="2016" w:type="dxa"/>
          </w:tcPr>
          <w:p w14:paraId="28075122" w14:textId="77777777" w:rsidR="00494B49" w:rsidRDefault="00494B49">
            <w:r>
              <w:t>$35,000</w:t>
            </w:r>
          </w:p>
        </w:tc>
        <w:tc>
          <w:tcPr>
            <w:tcW w:w="2016" w:type="dxa"/>
          </w:tcPr>
          <w:p w14:paraId="3BC055D3" w14:textId="77777777" w:rsidR="00494B49" w:rsidRDefault="00494B49"/>
        </w:tc>
        <w:tc>
          <w:tcPr>
            <w:tcW w:w="2016" w:type="dxa"/>
          </w:tcPr>
          <w:p w14:paraId="5CA95CA3" w14:textId="77777777" w:rsidR="00494B49" w:rsidRDefault="00494B49">
            <w:r>
              <w:t>$25,000</w:t>
            </w:r>
          </w:p>
        </w:tc>
      </w:tr>
      <w:tr w:rsidR="00494B49" w14:paraId="7A9D65EA" w14:textId="77777777">
        <w:tc>
          <w:tcPr>
            <w:tcW w:w="2016" w:type="dxa"/>
          </w:tcPr>
          <w:p w14:paraId="706D3635" w14:textId="77777777" w:rsidR="00494B49" w:rsidRDefault="00494B49">
            <w:r>
              <w:t>2014 Threshold</w:t>
            </w:r>
          </w:p>
        </w:tc>
        <w:tc>
          <w:tcPr>
            <w:tcW w:w="2016" w:type="dxa"/>
          </w:tcPr>
          <w:p w14:paraId="28C59394" w14:textId="77777777" w:rsidR="00494B49" w:rsidRDefault="00494B49">
            <w:r>
              <w:t>($12,150)</w:t>
            </w:r>
          </w:p>
        </w:tc>
        <w:tc>
          <w:tcPr>
            <w:tcW w:w="2016" w:type="dxa"/>
          </w:tcPr>
          <w:p w14:paraId="3EBB6637" w14:textId="77777777" w:rsidR="00494B49" w:rsidRDefault="00494B49"/>
        </w:tc>
        <w:tc>
          <w:tcPr>
            <w:tcW w:w="2016" w:type="dxa"/>
          </w:tcPr>
          <w:p w14:paraId="364D1077" w14:textId="77777777" w:rsidR="00494B49" w:rsidRDefault="00494B49">
            <w:r>
              <w:t>($12,150)</w:t>
            </w:r>
          </w:p>
        </w:tc>
        <w:tc>
          <w:tcPr>
            <w:tcW w:w="2016" w:type="dxa"/>
          </w:tcPr>
          <w:p w14:paraId="457D7FD2" w14:textId="77777777" w:rsidR="00494B49" w:rsidRDefault="00494B49"/>
        </w:tc>
      </w:tr>
      <w:tr w:rsidR="00494B49" w14:paraId="043C9445" w14:textId="77777777">
        <w:tc>
          <w:tcPr>
            <w:tcW w:w="2016" w:type="dxa"/>
          </w:tcPr>
          <w:p w14:paraId="035BBEEB" w14:textId="77777777" w:rsidR="00494B49" w:rsidRDefault="00494B49">
            <w:r>
              <w:t xml:space="preserve">net investment income tax </w:t>
            </w:r>
            <w:proofErr w:type="spellStart"/>
            <w:r>
              <w:t>Tax</w:t>
            </w:r>
            <w:proofErr w:type="spellEnd"/>
            <w:r>
              <w:t xml:space="preserve"> Base</w:t>
            </w:r>
          </w:p>
        </w:tc>
        <w:tc>
          <w:tcPr>
            <w:tcW w:w="2016" w:type="dxa"/>
          </w:tcPr>
          <w:p w14:paraId="71B7E90D" w14:textId="77777777" w:rsidR="00494B49" w:rsidRDefault="00494B49">
            <w:r>
              <w:t>$22,850</w:t>
            </w:r>
          </w:p>
        </w:tc>
        <w:tc>
          <w:tcPr>
            <w:tcW w:w="2016" w:type="dxa"/>
          </w:tcPr>
          <w:p w14:paraId="377493F4" w14:textId="77777777" w:rsidR="00494B49" w:rsidRDefault="00494B49"/>
        </w:tc>
        <w:tc>
          <w:tcPr>
            <w:tcW w:w="2016" w:type="dxa"/>
          </w:tcPr>
          <w:p w14:paraId="0E5CD7C7" w14:textId="77777777" w:rsidR="00494B49" w:rsidRDefault="00494B49">
            <w:r>
              <w:t>$7,850</w:t>
            </w:r>
          </w:p>
        </w:tc>
        <w:tc>
          <w:tcPr>
            <w:tcW w:w="2016" w:type="dxa"/>
          </w:tcPr>
          <w:p w14:paraId="1ACEA27F" w14:textId="77777777" w:rsidR="00494B49" w:rsidRDefault="00494B49"/>
        </w:tc>
      </w:tr>
    </w:tbl>
    <w:p w14:paraId="2310BC09" w14:textId="77777777" w:rsidR="00494B49" w:rsidRDefault="00494B49">
      <w:pPr>
        <w:pStyle w:val="BNormal"/>
      </w:pPr>
    </w:p>
    <w:p w14:paraId="540A7C1C" w14:textId="77777777" w:rsidR="00494B49" w:rsidRDefault="00494B49" w:rsidP="00144640">
      <w:pPr>
        <w:pStyle w:val="BExamplepara"/>
        <w:keepNext/>
        <w:keepLines/>
      </w:pPr>
      <w:r>
        <w:lastRenderedPageBreak/>
        <w:t xml:space="preserve"> </w:t>
      </w:r>
      <w:r>
        <w:rPr>
          <w:i/>
        </w:rPr>
        <w:t>Step 6: Beneficiary’s Net Investment Income Tax</w:t>
      </w:r>
      <w:r>
        <w:t xml:space="preserve"> </w:t>
      </w:r>
    </w:p>
    <w:p w14:paraId="31482C05" w14:textId="77777777" w:rsidR="00494B49" w:rsidRDefault="00494B49" w:rsidP="00144640">
      <w:pPr>
        <w:keepNext/>
        <w:keepLines/>
      </w:pPr>
    </w:p>
    <w:tbl>
      <w:tblPr>
        <w:tblStyle w:val="TableGrid"/>
        <w:tblW w:w="0" w:type="auto"/>
        <w:tblLook w:val="04A0" w:firstRow="1" w:lastRow="0" w:firstColumn="1" w:lastColumn="0" w:noHBand="0" w:noVBand="1"/>
      </w:tblPr>
      <w:tblGrid>
        <w:gridCol w:w="2118"/>
        <w:gridCol w:w="2131"/>
        <w:gridCol w:w="2131"/>
        <w:gridCol w:w="1420"/>
        <w:gridCol w:w="1550"/>
      </w:tblGrid>
      <w:tr w:rsidR="00494B49" w14:paraId="1179BDAC" w14:textId="77777777">
        <w:trPr>
          <w:gridAfter w:val="2"/>
          <w:wAfter w:w="4032" w:type="dxa"/>
        </w:trPr>
        <w:tc>
          <w:tcPr>
            <w:tcW w:w="3360" w:type="dxa"/>
          </w:tcPr>
          <w:p w14:paraId="38CD7A3C" w14:textId="77777777" w:rsidR="00494B49" w:rsidRDefault="00494B49"/>
        </w:tc>
        <w:tc>
          <w:tcPr>
            <w:tcW w:w="3360" w:type="dxa"/>
          </w:tcPr>
          <w:p w14:paraId="3DD70F09" w14:textId="77777777" w:rsidR="00494B49" w:rsidRDefault="00494B49">
            <w:r>
              <w:t xml:space="preserve"> </w:t>
            </w:r>
            <w:r>
              <w:rPr>
                <w:b/>
              </w:rPr>
              <w:t>Beneficiary A</w:t>
            </w:r>
          </w:p>
        </w:tc>
        <w:tc>
          <w:tcPr>
            <w:tcW w:w="3360" w:type="dxa"/>
          </w:tcPr>
          <w:p w14:paraId="7E68B1CB" w14:textId="77777777" w:rsidR="00494B49" w:rsidRDefault="00494B49">
            <w:r>
              <w:t xml:space="preserve"> </w:t>
            </w:r>
            <w:r>
              <w:rPr>
                <w:b/>
              </w:rPr>
              <w:t>Beneficiary B</w:t>
            </w:r>
          </w:p>
        </w:tc>
      </w:tr>
      <w:tr w:rsidR="00494B49" w14:paraId="5C225785" w14:textId="77777777">
        <w:tc>
          <w:tcPr>
            <w:tcW w:w="2016" w:type="dxa"/>
          </w:tcPr>
          <w:p w14:paraId="066E2BF5" w14:textId="77777777" w:rsidR="00494B49" w:rsidRDefault="00494B49"/>
        </w:tc>
        <w:tc>
          <w:tcPr>
            <w:tcW w:w="2016" w:type="dxa"/>
          </w:tcPr>
          <w:p w14:paraId="4B98F985" w14:textId="77777777" w:rsidR="00494B49" w:rsidRDefault="00494B49">
            <w:r>
              <w:t>Regular Tax</w:t>
            </w:r>
          </w:p>
        </w:tc>
        <w:tc>
          <w:tcPr>
            <w:tcW w:w="2016" w:type="dxa"/>
          </w:tcPr>
          <w:p w14:paraId="46A940E7" w14:textId="77777777" w:rsidR="00494B49" w:rsidRDefault="00494B49">
            <w:r>
              <w:t>NII</w:t>
            </w:r>
          </w:p>
        </w:tc>
        <w:tc>
          <w:tcPr>
            <w:tcW w:w="2016" w:type="dxa"/>
          </w:tcPr>
          <w:p w14:paraId="662BB2BC" w14:textId="77777777" w:rsidR="00494B49" w:rsidRDefault="00494B49">
            <w:r>
              <w:t>Regular Tax</w:t>
            </w:r>
          </w:p>
        </w:tc>
        <w:tc>
          <w:tcPr>
            <w:tcW w:w="2016" w:type="dxa"/>
          </w:tcPr>
          <w:p w14:paraId="3574C7D0" w14:textId="77777777" w:rsidR="00494B49" w:rsidRDefault="00494B49">
            <w:r>
              <w:t>NII</w:t>
            </w:r>
          </w:p>
        </w:tc>
      </w:tr>
      <w:tr w:rsidR="00494B49" w14:paraId="00FD4ADF" w14:textId="77777777">
        <w:tc>
          <w:tcPr>
            <w:tcW w:w="2016" w:type="dxa"/>
          </w:tcPr>
          <w:p w14:paraId="2C8464CE" w14:textId="77777777" w:rsidR="00494B49" w:rsidRDefault="00494B49">
            <w:r>
              <w:t xml:space="preserve">Ordinary </w:t>
            </w:r>
            <w:r>
              <w:br/>
              <w:t xml:space="preserve">Income </w:t>
            </w:r>
          </w:p>
        </w:tc>
        <w:tc>
          <w:tcPr>
            <w:tcW w:w="2016" w:type="dxa"/>
          </w:tcPr>
          <w:p w14:paraId="6E1C045B" w14:textId="77777777" w:rsidR="00494B49" w:rsidRDefault="00494B49">
            <w:r>
              <w:t>$100,000</w:t>
            </w:r>
          </w:p>
        </w:tc>
        <w:tc>
          <w:tcPr>
            <w:tcW w:w="2016" w:type="dxa"/>
          </w:tcPr>
          <w:p w14:paraId="43E008E0" w14:textId="77777777" w:rsidR="00494B49" w:rsidRDefault="00494B49">
            <w:r>
              <w:t>$100,000</w:t>
            </w:r>
          </w:p>
        </w:tc>
        <w:tc>
          <w:tcPr>
            <w:tcW w:w="2016" w:type="dxa"/>
          </w:tcPr>
          <w:p w14:paraId="04C14FEC" w14:textId="77777777" w:rsidR="00494B49" w:rsidRDefault="00494B49">
            <w:r>
              <w:t>$103,000</w:t>
            </w:r>
          </w:p>
        </w:tc>
        <w:tc>
          <w:tcPr>
            <w:tcW w:w="2016" w:type="dxa"/>
          </w:tcPr>
          <w:p w14:paraId="0723BC59" w14:textId="77777777" w:rsidR="00494B49" w:rsidRDefault="00494B49">
            <w:r>
              <w:t>$103,000</w:t>
            </w:r>
          </w:p>
        </w:tc>
      </w:tr>
      <w:tr w:rsidR="00494B49" w14:paraId="741CE516" w14:textId="77777777">
        <w:tc>
          <w:tcPr>
            <w:tcW w:w="2016" w:type="dxa"/>
          </w:tcPr>
          <w:p w14:paraId="102E0AC2" w14:textId="77777777" w:rsidR="00494B49" w:rsidRDefault="00494B49">
            <w:r>
              <w:t xml:space="preserve">Adjustment </w:t>
            </w:r>
          </w:p>
        </w:tc>
        <w:tc>
          <w:tcPr>
            <w:tcW w:w="2016" w:type="dxa"/>
          </w:tcPr>
          <w:p w14:paraId="515F5B5D" w14:textId="77777777" w:rsidR="00494B49" w:rsidRDefault="00494B49"/>
        </w:tc>
        <w:tc>
          <w:tcPr>
            <w:tcW w:w="2016" w:type="dxa"/>
          </w:tcPr>
          <w:p w14:paraId="5240EE8A" w14:textId="77777777" w:rsidR="00494B49" w:rsidRDefault="00494B49">
            <w:r>
              <w:t>$0</w:t>
            </w:r>
          </w:p>
        </w:tc>
        <w:tc>
          <w:tcPr>
            <w:tcW w:w="2016" w:type="dxa"/>
          </w:tcPr>
          <w:p w14:paraId="200C0DEF" w14:textId="77777777" w:rsidR="00494B49" w:rsidRDefault="00494B49"/>
        </w:tc>
        <w:tc>
          <w:tcPr>
            <w:tcW w:w="2016" w:type="dxa"/>
          </w:tcPr>
          <w:p w14:paraId="097F4F96" w14:textId="77777777" w:rsidR="00494B49" w:rsidRDefault="00494B49">
            <w:r>
              <w:t>$7,000</w:t>
            </w:r>
            <w:r>
              <w:rPr>
                <w:rStyle w:val="FootnoteReference"/>
              </w:rPr>
              <w:footnoteReference w:id="1089"/>
            </w:r>
          </w:p>
        </w:tc>
      </w:tr>
      <w:tr w:rsidR="00494B49" w14:paraId="725F8032" w14:textId="77777777">
        <w:tc>
          <w:tcPr>
            <w:tcW w:w="2016" w:type="dxa"/>
          </w:tcPr>
          <w:p w14:paraId="138D74A8" w14:textId="77777777" w:rsidR="00494B49" w:rsidRDefault="00494B49">
            <w:r>
              <w:t>Total</w:t>
            </w:r>
          </w:p>
        </w:tc>
        <w:tc>
          <w:tcPr>
            <w:tcW w:w="2016" w:type="dxa"/>
          </w:tcPr>
          <w:p w14:paraId="34C107A8" w14:textId="77777777" w:rsidR="00494B49" w:rsidRDefault="00494B49">
            <w:r>
              <w:t>$100,000</w:t>
            </w:r>
          </w:p>
        </w:tc>
        <w:tc>
          <w:tcPr>
            <w:tcW w:w="2016" w:type="dxa"/>
          </w:tcPr>
          <w:p w14:paraId="6C4F7B77" w14:textId="77777777" w:rsidR="00494B49" w:rsidRDefault="00494B49">
            <w:r>
              <w:t>100,000</w:t>
            </w:r>
          </w:p>
        </w:tc>
        <w:tc>
          <w:tcPr>
            <w:tcW w:w="2016" w:type="dxa"/>
          </w:tcPr>
          <w:p w14:paraId="4040705A" w14:textId="77777777" w:rsidR="00494B49" w:rsidRDefault="00494B49">
            <w:r>
              <w:t>$103,000</w:t>
            </w:r>
          </w:p>
        </w:tc>
        <w:tc>
          <w:tcPr>
            <w:tcW w:w="2016" w:type="dxa"/>
          </w:tcPr>
          <w:p w14:paraId="03230ABC" w14:textId="77777777" w:rsidR="00494B49" w:rsidRDefault="00494B49">
            <w:r>
              <w:t>$110,000</w:t>
            </w:r>
          </w:p>
        </w:tc>
      </w:tr>
      <w:tr w:rsidR="00494B49" w14:paraId="7EA4179E" w14:textId="77777777">
        <w:tc>
          <w:tcPr>
            <w:tcW w:w="2016" w:type="dxa"/>
          </w:tcPr>
          <w:p w14:paraId="54C5FD52" w14:textId="77777777" w:rsidR="00494B49" w:rsidRDefault="00494B49">
            <w:r>
              <w:t>MAGI</w:t>
            </w:r>
          </w:p>
        </w:tc>
        <w:tc>
          <w:tcPr>
            <w:tcW w:w="2016" w:type="dxa"/>
          </w:tcPr>
          <w:p w14:paraId="4A9406A2" w14:textId="77777777" w:rsidR="00494B49" w:rsidRDefault="00494B49">
            <w:r>
              <w:t>$100,000</w:t>
            </w:r>
          </w:p>
        </w:tc>
        <w:tc>
          <w:tcPr>
            <w:tcW w:w="2016" w:type="dxa"/>
          </w:tcPr>
          <w:p w14:paraId="2BCF5882" w14:textId="77777777" w:rsidR="00494B49" w:rsidRDefault="00494B49">
            <w:r>
              <w:t>$100,000</w:t>
            </w:r>
          </w:p>
        </w:tc>
        <w:tc>
          <w:tcPr>
            <w:tcW w:w="2016" w:type="dxa"/>
          </w:tcPr>
          <w:p w14:paraId="4C833D08" w14:textId="77777777" w:rsidR="00494B49" w:rsidRDefault="00494B49">
            <w:r>
              <w:t>$103,000</w:t>
            </w:r>
          </w:p>
        </w:tc>
        <w:tc>
          <w:tcPr>
            <w:tcW w:w="2016" w:type="dxa"/>
          </w:tcPr>
          <w:p w14:paraId="61C93286" w14:textId="77777777" w:rsidR="00494B49" w:rsidRDefault="00494B49">
            <w:r>
              <w:t>$110,000</w:t>
            </w:r>
            <w:r>
              <w:rPr>
                <w:rStyle w:val="FootnoteReference"/>
              </w:rPr>
              <w:footnoteReference w:id="1090"/>
            </w:r>
          </w:p>
        </w:tc>
      </w:tr>
    </w:tbl>
    <w:p w14:paraId="782AF989" w14:textId="77777777" w:rsidR="00494B49" w:rsidRDefault="00494B49">
      <w:pPr>
        <w:pStyle w:val="BNormal"/>
      </w:pPr>
      <w:r>
        <w:t xml:space="preserve"> </w:t>
      </w:r>
    </w:p>
    <w:p w14:paraId="23B407C3" w14:textId="77777777" w:rsidR="00494B49" w:rsidRDefault="00494B49">
      <w:pPr>
        <w:pStyle w:val="BExamplepara"/>
      </w:pPr>
      <w:r>
        <w:rPr>
          <w:rStyle w:val="BExamplehead"/>
          <w:rFonts w:eastAsiaTheme="minorHAnsi"/>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C9A9B95" w14:textId="77777777" w:rsidR="00494B49" w:rsidRDefault="00494B49">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624F7181" w14:textId="77777777" w:rsidR="00494B49" w:rsidRDefault="00494B49" w:rsidP="00144640">
      <w:pPr>
        <w:pStyle w:val="BExamplepara"/>
        <w:rPr>
          <w:i/>
        </w:rPr>
      </w:pPr>
      <w:r>
        <w:t xml:space="preserve"> </w:t>
      </w:r>
      <w:r>
        <w:rPr>
          <w:i/>
        </w:rPr>
        <w:t>Step 1: Determine Total Income and Net Investment Income before Distributions</w:t>
      </w:r>
    </w:p>
    <w:p w14:paraId="1CC23B8E"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494B49" w14:paraId="642AC9EA" w14:textId="77777777">
        <w:tc>
          <w:tcPr>
            <w:tcW w:w="3360" w:type="dxa"/>
          </w:tcPr>
          <w:p w14:paraId="62737A52" w14:textId="77777777" w:rsidR="00494B49" w:rsidRDefault="00494B49"/>
        </w:tc>
        <w:tc>
          <w:tcPr>
            <w:tcW w:w="3360" w:type="dxa"/>
          </w:tcPr>
          <w:p w14:paraId="03287D6D" w14:textId="77777777" w:rsidR="00494B49" w:rsidRDefault="00494B49">
            <w:r>
              <w:t>Regular Tax</w:t>
            </w:r>
          </w:p>
        </w:tc>
        <w:tc>
          <w:tcPr>
            <w:tcW w:w="3360" w:type="dxa"/>
          </w:tcPr>
          <w:p w14:paraId="436065B6" w14:textId="77777777" w:rsidR="00494B49" w:rsidRDefault="00494B49">
            <w:r>
              <w:t>NII</w:t>
            </w:r>
          </w:p>
        </w:tc>
      </w:tr>
      <w:tr w:rsidR="00494B49" w14:paraId="37F09348" w14:textId="77777777">
        <w:tc>
          <w:tcPr>
            <w:tcW w:w="3360" w:type="dxa"/>
          </w:tcPr>
          <w:p w14:paraId="5890FBD6" w14:textId="77777777" w:rsidR="00494B49" w:rsidRDefault="00494B49">
            <w:r>
              <w:t>Interest Income</w:t>
            </w:r>
          </w:p>
        </w:tc>
        <w:tc>
          <w:tcPr>
            <w:tcW w:w="3360" w:type="dxa"/>
          </w:tcPr>
          <w:p w14:paraId="4D1A14D0" w14:textId="77777777" w:rsidR="00494B49" w:rsidRDefault="00494B49">
            <w:r>
              <w:t>$100,000</w:t>
            </w:r>
          </w:p>
        </w:tc>
        <w:tc>
          <w:tcPr>
            <w:tcW w:w="3360" w:type="dxa"/>
          </w:tcPr>
          <w:p w14:paraId="7C9D41C1" w14:textId="77777777" w:rsidR="00494B49" w:rsidRDefault="00494B49">
            <w:r>
              <w:t>$100,000</w:t>
            </w:r>
          </w:p>
        </w:tc>
      </w:tr>
      <w:tr w:rsidR="00494B49" w14:paraId="6F23E4E7" w14:textId="77777777">
        <w:tc>
          <w:tcPr>
            <w:tcW w:w="3360" w:type="dxa"/>
          </w:tcPr>
          <w:p w14:paraId="234F08E6" w14:textId="77777777" w:rsidR="00494B49" w:rsidRDefault="00494B49">
            <w:r>
              <w:t>951(a) Inclusion</w:t>
            </w:r>
          </w:p>
        </w:tc>
        <w:tc>
          <w:tcPr>
            <w:tcW w:w="3360" w:type="dxa"/>
          </w:tcPr>
          <w:p w14:paraId="2A152DEE" w14:textId="77777777" w:rsidR="00494B49" w:rsidRDefault="00494B49">
            <w:r>
              <w:t>$50,000</w:t>
            </w:r>
          </w:p>
        </w:tc>
        <w:tc>
          <w:tcPr>
            <w:tcW w:w="3360" w:type="dxa"/>
          </w:tcPr>
          <w:p w14:paraId="098FDD27" w14:textId="77777777" w:rsidR="00494B49" w:rsidRDefault="00494B49">
            <w:r>
              <w:t>$0</w:t>
            </w:r>
          </w:p>
        </w:tc>
      </w:tr>
      <w:tr w:rsidR="00494B49" w14:paraId="32E0455E" w14:textId="77777777">
        <w:tc>
          <w:tcPr>
            <w:tcW w:w="3360" w:type="dxa"/>
          </w:tcPr>
          <w:p w14:paraId="4F11538D" w14:textId="77777777" w:rsidR="00494B49" w:rsidRDefault="00494B49">
            <w:r>
              <w:t>Total</w:t>
            </w:r>
          </w:p>
        </w:tc>
        <w:tc>
          <w:tcPr>
            <w:tcW w:w="3360" w:type="dxa"/>
          </w:tcPr>
          <w:p w14:paraId="66BF15C5" w14:textId="77777777" w:rsidR="00494B49" w:rsidRDefault="00494B49">
            <w:r>
              <w:t>$150,000</w:t>
            </w:r>
          </w:p>
        </w:tc>
        <w:tc>
          <w:tcPr>
            <w:tcW w:w="3360" w:type="dxa"/>
          </w:tcPr>
          <w:p w14:paraId="4BB326B2" w14:textId="77777777" w:rsidR="00494B49" w:rsidRDefault="00494B49">
            <w:r>
              <w:t>$100,000</w:t>
            </w:r>
          </w:p>
        </w:tc>
      </w:tr>
    </w:tbl>
    <w:p w14:paraId="60D204A8" w14:textId="77777777" w:rsidR="00494B49" w:rsidRDefault="00494B49">
      <w:pPr>
        <w:pStyle w:val="BNormal"/>
      </w:pPr>
    </w:p>
    <w:p w14:paraId="7409953E" w14:textId="77777777" w:rsidR="00494B49" w:rsidRDefault="00494B49" w:rsidP="00144640">
      <w:pPr>
        <w:pStyle w:val="BExamplepara"/>
      </w:pPr>
      <w:r>
        <w:t xml:space="preserve"> </w:t>
      </w:r>
      <w:r>
        <w:rPr>
          <w:i/>
        </w:rPr>
        <w:t>Step 2: Determine Distributable Net Income</w:t>
      </w:r>
      <w:r>
        <w:t xml:space="preserve"> </w:t>
      </w:r>
    </w:p>
    <w:p w14:paraId="2EAF612A"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29"/>
        <w:gridCol w:w="3097"/>
        <w:gridCol w:w="3124"/>
      </w:tblGrid>
      <w:tr w:rsidR="00494B49" w14:paraId="762518EC" w14:textId="77777777">
        <w:tc>
          <w:tcPr>
            <w:tcW w:w="3360" w:type="dxa"/>
          </w:tcPr>
          <w:p w14:paraId="192F42A1" w14:textId="77777777" w:rsidR="00494B49" w:rsidRDefault="00494B49"/>
        </w:tc>
        <w:tc>
          <w:tcPr>
            <w:tcW w:w="3360" w:type="dxa"/>
          </w:tcPr>
          <w:p w14:paraId="451BE112" w14:textId="77777777" w:rsidR="00494B49" w:rsidRDefault="00494B49">
            <w:r>
              <w:t>Regular Tax</w:t>
            </w:r>
          </w:p>
        </w:tc>
        <w:tc>
          <w:tcPr>
            <w:tcW w:w="3360" w:type="dxa"/>
          </w:tcPr>
          <w:p w14:paraId="59964D6C" w14:textId="77777777" w:rsidR="00494B49" w:rsidRDefault="00494B49">
            <w:r>
              <w:t>NII</w:t>
            </w:r>
          </w:p>
        </w:tc>
      </w:tr>
      <w:tr w:rsidR="00494B49" w14:paraId="6027A6A4" w14:textId="77777777">
        <w:tc>
          <w:tcPr>
            <w:tcW w:w="3360" w:type="dxa"/>
          </w:tcPr>
          <w:p w14:paraId="083A1D22" w14:textId="77777777" w:rsidR="00494B49" w:rsidRDefault="00494B49">
            <w:r>
              <w:t xml:space="preserve">Start with Taxable </w:t>
            </w:r>
            <w:r>
              <w:br/>
              <w:t>Income</w:t>
            </w:r>
            <w:r>
              <w:rPr>
                <w:rStyle w:val="FootnoteReference"/>
              </w:rPr>
              <w:footnoteReference w:id="1091"/>
            </w:r>
          </w:p>
        </w:tc>
        <w:tc>
          <w:tcPr>
            <w:tcW w:w="3360" w:type="dxa"/>
          </w:tcPr>
          <w:p w14:paraId="387C5D85" w14:textId="77777777" w:rsidR="00494B49" w:rsidRDefault="00494B49">
            <w:r>
              <w:t>$150,000</w:t>
            </w:r>
          </w:p>
        </w:tc>
        <w:tc>
          <w:tcPr>
            <w:tcW w:w="3360" w:type="dxa"/>
          </w:tcPr>
          <w:p w14:paraId="161C8BB0" w14:textId="77777777" w:rsidR="00494B49" w:rsidRDefault="00494B49">
            <w:r>
              <w:t>$150,000</w:t>
            </w:r>
          </w:p>
        </w:tc>
      </w:tr>
      <w:tr w:rsidR="00494B49" w14:paraId="7C7182BC" w14:textId="77777777">
        <w:tc>
          <w:tcPr>
            <w:tcW w:w="3360" w:type="dxa"/>
          </w:tcPr>
          <w:p w14:paraId="6C30DB42" w14:textId="77777777" w:rsidR="00494B49" w:rsidRDefault="00494B49">
            <w:r>
              <w:t xml:space="preserve">Distributable Net </w:t>
            </w:r>
            <w:r>
              <w:br/>
              <w:t>Income</w:t>
            </w:r>
          </w:p>
        </w:tc>
        <w:tc>
          <w:tcPr>
            <w:tcW w:w="3360" w:type="dxa"/>
          </w:tcPr>
          <w:p w14:paraId="29587295" w14:textId="77777777" w:rsidR="00494B49" w:rsidRDefault="00494B49">
            <w:r>
              <w:t>$150,000</w:t>
            </w:r>
          </w:p>
        </w:tc>
        <w:tc>
          <w:tcPr>
            <w:tcW w:w="3360" w:type="dxa"/>
          </w:tcPr>
          <w:p w14:paraId="41307E7E" w14:textId="77777777" w:rsidR="00494B49" w:rsidRDefault="00494B49">
            <w:r>
              <w:t>$150,000</w:t>
            </w:r>
          </w:p>
        </w:tc>
      </w:tr>
      <w:tr w:rsidR="00494B49" w14:paraId="6FF8534C" w14:textId="77777777">
        <w:tc>
          <w:tcPr>
            <w:tcW w:w="3360" w:type="dxa"/>
          </w:tcPr>
          <w:p w14:paraId="29B153C5"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12E76E95" w14:textId="77777777" w:rsidR="00494B49" w:rsidRDefault="00494B49">
            <w:r>
              <w:t>N/A</w:t>
            </w:r>
          </w:p>
        </w:tc>
        <w:tc>
          <w:tcPr>
            <w:tcW w:w="3360" w:type="dxa"/>
          </w:tcPr>
          <w:p w14:paraId="5389FE94" w14:textId="77777777" w:rsidR="00494B49" w:rsidRDefault="00494B49">
            <w:r>
              <w:t>($50,000)</w:t>
            </w:r>
            <w:r>
              <w:rPr>
                <w:rStyle w:val="FootnoteReference"/>
              </w:rPr>
              <w:footnoteReference w:id="1092"/>
            </w:r>
          </w:p>
        </w:tc>
      </w:tr>
      <w:tr w:rsidR="00494B49" w14:paraId="4E71CB11" w14:textId="77777777">
        <w:tc>
          <w:tcPr>
            <w:tcW w:w="3360" w:type="dxa"/>
          </w:tcPr>
          <w:p w14:paraId="24A07B27" w14:textId="77777777" w:rsidR="00494B49" w:rsidRDefault="00494B49">
            <w:r>
              <w:t>DNI for net investment income tax purposes</w:t>
            </w:r>
          </w:p>
        </w:tc>
        <w:tc>
          <w:tcPr>
            <w:tcW w:w="3360" w:type="dxa"/>
          </w:tcPr>
          <w:p w14:paraId="3BA15A6A" w14:textId="77777777" w:rsidR="00494B49" w:rsidRDefault="00494B49"/>
        </w:tc>
        <w:tc>
          <w:tcPr>
            <w:tcW w:w="3360" w:type="dxa"/>
          </w:tcPr>
          <w:p w14:paraId="381666C8" w14:textId="77777777" w:rsidR="00494B49" w:rsidRDefault="00494B49">
            <w:r>
              <w:t>$100,000</w:t>
            </w:r>
          </w:p>
        </w:tc>
      </w:tr>
    </w:tbl>
    <w:p w14:paraId="7E881ECB" w14:textId="77777777" w:rsidR="00494B49" w:rsidRDefault="00494B49">
      <w:pPr>
        <w:pStyle w:val="BNormal"/>
      </w:pPr>
      <w:r>
        <w:t xml:space="preserve"> </w:t>
      </w:r>
    </w:p>
    <w:p w14:paraId="471246DC" w14:textId="77777777" w:rsidR="00494B49" w:rsidRDefault="00494B49" w:rsidP="00144640">
      <w:pPr>
        <w:pStyle w:val="BExamplepara"/>
        <w:keepNext/>
        <w:keepLines/>
      </w:pPr>
      <w:r>
        <w:lastRenderedPageBreak/>
        <w:t xml:space="preserve"> </w:t>
      </w:r>
      <w:r>
        <w:rPr>
          <w:i/>
        </w:rPr>
        <w:t>Step 3: Determine Distribution Deduction</w:t>
      </w:r>
    </w:p>
    <w:p w14:paraId="23353C2B" w14:textId="77777777" w:rsidR="00494B49" w:rsidRDefault="00494B49" w:rsidP="00144640">
      <w:pPr>
        <w:keepNext/>
        <w:keepLines/>
      </w:pPr>
    </w:p>
    <w:tbl>
      <w:tblPr>
        <w:tblStyle w:val="TableGrid"/>
        <w:tblW w:w="0" w:type="auto"/>
        <w:tblLook w:val="04A0" w:firstRow="1" w:lastRow="0" w:firstColumn="1" w:lastColumn="0" w:noHBand="0" w:noVBand="1"/>
      </w:tblPr>
      <w:tblGrid>
        <w:gridCol w:w="3140"/>
        <w:gridCol w:w="3105"/>
        <w:gridCol w:w="3105"/>
      </w:tblGrid>
      <w:tr w:rsidR="00494B49" w14:paraId="2F2C7030" w14:textId="77777777">
        <w:tc>
          <w:tcPr>
            <w:tcW w:w="3360" w:type="dxa"/>
          </w:tcPr>
          <w:p w14:paraId="4C51F3B8" w14:textId="77777777" w:rsidR="00494B49" w:rsidRDefault="00494B49"/>
        </w:tc>
        <w:tc>
          <w:tcPr>
            <w:tcW w:w="3360" w:type="dxa"/>
          </w:tcPr>
          <w:p w14:paraId="7EFFB939" w14:textId="77777777" w:rsidR="00494B49" w:rsidRDefault="00494B49">
            <w:r>
              <w:t>Regular Tax</w:t>
            </w:r>
          </w:p>
        </w:tc>
        <w:tc>
          <w:tcPr>
            <w:tcW w:w="3360" w:type="dxa"/>
          </w:tcPr>
          <w:p w14:paraId="3371C8AD" w14:textId="77777777" w:rsidR="00494B49" w:rsidRDefault="00494B49">
            <w:r>
              <w:t>NII</w:t>
            </w:r>
          </w:p>
        </w:tc>
      </w:tr>
      <w:tr w:rsidR="00494B49" w14:paraId="36B44FC4" w14:textId="77777777">
        <w:tc>
          <w:tcPr>
            <w:tcW w:w="3360" w:type="dxa"/>
          </w:tcPr>
          <w:p w14:paraId="56D8A506" w14:textId="77777777" w:rsidR="00494B49" w:rsidRDefault="00494B49">
            <w:r>
              <w:t xml:space="preserve">Distributable Net </w:t>
            </w:r>
            <w:r>
              <w:br/>
              <w:t>Income</w:t>
            </w:r>
          </w:p>
        </w:tc>
        <w:tc>
          <w:tcPr>
            <w:tcW w:w="3360" w:type="dxa"/>
          </w:tcPr>
          <w:p w14:paraId="503FAAE0" w14:textId="77777777" w:rsidR="00494B49" w:rsidRDefault="00494B49">
            <w:r>
              <w:t>$150,000</w:t>
            </w:r>
          </w:p>
        </w:tc>
        <w:tc>
          <w:tcPr>
            <w:tcW w:w="3360" w:type="dxa"/>
          </w:tcPr>
          <w:p w14:paraId="358B2918" w14:textId="77777777" w:rsidR="00494B49" w:rsidRDefault="00494B49">
            <w:r>
              <w:t>$100,000</w:t>
            </w:r>
          </w:p>
        </w:tc>
      </w:tr>
      <w:tr w:rsidR="00494B49" w14:paraId="48D2D511" w14:textId="77777777">
        <w:tc>
          <w:tcPr>
            <w:tcW w:w="3360" w:type="dxa"/>
          </w:tcPr>
          <w:p w14:paraId="3E64E812" w14:textId="77777777" w:rsidR="00494B49" w:rsidRDefault="00494B49">
            <w:r>
              <w:t>Distribution</w:t>
            </w:r>
          </w:p>
        </w:tc>
        <w:tc>
          <w:tcPr>
            <w:tcW w:w="3360" w:type="dxa"/>
          </w:tcPr>
          <w:p w14:paraId="4027DA86" w14:textId="77777777" w:rsidR="00494B49" w:rsidRDefault="00494B49">
            <w:r>
              <w:t>($75,000)</w:t>
            </w:r>
          </w:p>
        </w:tc>
        <w:tc>
          <w:tcPr>
            <w:tcW w:w="3360" w:type="dxa"/>
          </w:tcPr>
          <w:p w14:paraId="53F7144E" w14:textId="77777777" w:rsidR="00494B49" w:rsidRDefault="00494B49">
            <w:r>
              <w:t>($50,000)</w:t>
            </w:r>
          </w:p>
        </w:tc>
      </w:tr>
      <w:tr w:rsidR="00494B49" w14:paraId="5B502262" w14:textId="77777777">
        <w:tc>
          <w:tcPr>
            <w:tcW w:w="3360" w:type="dxa"/>
          </w:tcPr>
          <w:p w14:paraId="5B44DA1F" w14:textId="77777777" w:rsidR="00494B49" w:rsidRDefault="00494B49">
            <w:r>
              <w:t xml:space="preserve">Undistributed Income </w:t>
            </w:r>
          </w:p>
        </w:tc>
        <w:tc>
          <w:tcPr>
            <w:tcW w:w="3360" w:type="dxa"/>
          </w:tcPr>
          <w:p w14:paraId="7B70B525" w14:textId="77777777" w:rsidR="00494B49" w:rsidRDefault="00494B49">
            <w:r>
              <w:t>$75,000</w:t>
            </w:r>
          </w:p>
        </w:tc>
        <w:tc>
          <w:tcPr>
            <w:tcW w:w="3360" w:type="dxa"/>
          </w:tcPr>
          <w:p w14:paraId="2DE23D23" w14:textId="77777777" w:rsidR="00494B49" w:rsidRDefault="00494B49">
            <w:r>
              <w:t>$50,000</w:t>
            </w:r>
          </w:p>
        </w:tc>
      </w:tr>
    </w:tbl>
    <w:p w14:paraId="2C43EC0F" w14:textId="77777777" w:rsidR="00494B49" w:rsidRDefault="00494B49">
      <w:pPr>
        <w:pStyle w:val="BNormal"/>
      </w:pPr>
    </w:p>
    <w:p w14:paraId="44C3C8DA" w14:textId="77777777" w:rsidR="00494B49" w:rsidRDefault="00494B49">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25FD1F06" w14:textId="77777777" w:rsidR="00494B49" w:rsidRDefault="00494B49">
      <w:pPr>
        <w:pStyle w:val="BExamplepara"/>
      </w:pPr>
      <w:r>
        <w:t xml:space="preserve">However, under Reg. </w:t>
      </w:r>
      <w:smartTag w:uri="http://www.bna.com/sgml2word/cite" w:element="cite.cfr">
        <w:smartTagPr>
          <w:attr w:name="ref" w:val="cfr\26\1.1411-3(e)(3)(i)"/>
        </w:smartTagPr>
        <w:r>
          <w:t>§1.1411-3(e)(3)(</w:t>
        </w:r>
        <w:proofErr w:type="spellStart"/>
        <w:r>
          <w:t>i</w:t>
        </w:r>
        <w:proofErr w:type="spellEnd"/>
        <w:r>
          <w:t>)</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3"/>
      </w:r>
      <w:r>
        <w:t xml:space="preserve"> In other words, Beneficiary X is deemed to receive $50,000 of net investment income and $25,000 of Excluded Income and Trust X will get a deduction of $50,000. </w:t>
      </w:r>
    </w:p>
    <w:p w14:paraId="7A9BFC1F" w14:textId="77777777" w:rsidR="00494B49" w:rsidRDefault="00494B49" w:rsidP="00144640">
      <w:pPr>
        <w:pStyle w:val="BExamplepara"/>
        <w:rPr>
          <w:i/>
        </w:rPr>
      </w:pPr>
      <w:r>
        <w:t xml:space="preserve"> </w:t>
      </w:r>
      <w:r>
        <w:rPr>
          <w:i/>
        </w:rPr>
        <w:t xml:space="preserve">Step 4: Determine Modified Adjusted Gross Income </w:t>
      </w:r>
    </w:p>
    <w:p w14:paraId="4D24346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494B49" w14:paraId="46410D26" w14:textId="77777777">
        <w:tc>
          <w:tcPr>
            <w:tcW w:w="3360" w:type="dxa"/>
          </w:tcPr>
          <w:p w14:paraId="00FA8F03" w14:textId="77777777" w:rsidR="00494B49" w:rsidRDefault="00494B49"/>
        </w:tc>
        <w:tc>
          <w:tcPr>
            <w:tcW w:w="3360" w:type="dxa"/>
          </w:tcPr>
          <w:p w14:paraId="274D1FC9" w14:textId="77777777" w:rsidR="00494B49" w:rsidRDefault="00494B49">
            <w:r>
              <w:t>Regular Tax</w:t>
            </w:r>
          </w:p>
        </w:tc>
        <w:tc>
          <w:tcPr>
            <w:tcW w:w="3360" w:type="dxa"/>
          </w:tcPr>
          <w:p w14:paraId="54C9369D" w14:textId="77777777" w:rsidR="00494B49" w:rsidRDefault="00494B49">
            <w:r>
              <w:t>NII</w:t>
            </w:r>
          </w:p>
        </w:tc>
      </w:tr>
      <w:tr w:rsidR="00494B49" w14:paraId="1AFA9F45" w14:textId="77777777">
        <w:tc>
          <w:tcPr>
            <w:tcW w:w="3360" w:type="dxa"/>
          </w:tcPr>
          <w:p w14:paraId="48A2405F" w14:textId="77777777" w:rsidR="00494B49" w:rsidRDefault="00494B49">
            <w:r>
              <w:t>Total Income</w:t>
            </w:r>
          </w:p>
        </w:tc>
        <w:tc>
          <w:tcPr>
            <w:tcW w:w="3360" w:type="dxa"/>
          </w:tcPr>
          <w:p w14:paraId="138C66FD" w14:textId="77777777" w:rsidR="00494B49" w:rsidRDefault="00494B49">
            <w:r>
              <w:t>$150,000</w:t>
            </w:r>
          </w:p>
        </w:tc>
        <w:tc>
          <w:tcPr>
            <w:tcW w:w="3360" w:type="dxa"/>
          </w:tcPr>
          <w:p w14:paraId="0C57AFA9" w14:textId="77777777" w:rsidR="00494B49" w:rsidRDefault="00494B49">
            <w:r>
              <w:t>$100,000</w:t>
            </w:r>
          </w:p>
        </w:tc>
      </w:tr>
      <w:tr w:rsidR="00494B49" w14:paraId="6B713952" w14:textId="77777777">
        <w:tc>
          <w:tcPr>
            <w:tcW w:w="3360" w:type="dxa"/>
          </w:tcPr>
          <w:p w14:paraId="1BBCC860" w14:textId="77777777" w:rsidR="00494B49" w:rsidRDefault="00494B49">
            <w:r>
              <w:t>MAGI Decrease</w:t>
            </w:r>
          </w:p>
        </w:tc>
        <w:tc>
          <w:tcPr>
            <w:tcW w:w="3360" w:type="dxa"/>
          </w:tcPr>
          <w:p w14:paraId="345FC818" w14:textId="77777777" w:rsidR="00494B49" w:rsidRDefault="00494B49"/>
        </w:tc>
        <w:tc>
          <w:tcPr>
            <w:tcW w:w="3360" w:type="dxa"/>
          </w:tcPr>
          <w:p w14:paraId="598C038E" w14:textId="77777777" w:rsidR="00494B49" w:rsidRDefault="00494B49">
            <w:r>
              <w:t>($25,000)</w:t>
            </w:r>
          </w:p>
        </w:tc>
      </w:tr>
      <w:tr w:rsidR="00494B49" w14:paraId="0DB106C5" w14:textId="77777777">
        <w:tc>
          <w:tcPr>
            <w:tcW w:w="3360" w:type="dxa"/>
          </w:tcPr>
          <w:p w14:paraId="71B0FDB7" w14:textId="77777777" w:rsidR="00494B49" w:rsidRDefault="00494B49">
            <w:r>
              <w:t>Distribution Deduction</w:t>
            </w:r>
          </w:p>
        </w:tc>
        <w:tc>
          <w:tcPr>
            <w:tcW w:w="3360" w:type="dxa"/>
          </w:tcPr>
          <w:p w14:paraId="2E024A4C" w14:textId="77777777" w:rsidR="00494B49" w:rsidRDefault="00494B49">
            <w:r>
              <w:t>($75,000)</w:t>
            </w:r>
          </w:p>
        </w:tc>
        <w:tc>
          <w:tcPr>
            <w:tcW w:w="3360" w:type="dxa"/>
          </w:tcPr>
          <w:p w14:paraId="28E8FFFB" w14:textId="77777777" w:rsidR="00494B49" w:rsidRDefault="00494B49">
            <w:r>
              <w:t>($50,000)</w:t>
            </w:r>
          </w:p>
        </w:tc>
      </w:tr>
      <w:tr w:rsidR="00494B49" w14:paraId="3BAAC1C4" w14:textId="77777777">
        <w:tc>
          <w:tcPr>
            <w:tcW w:w="3360" w:type="dxa"/>
          </w:tcPr>
          <w:p w14:paraId="5B5D6B16" w14:textId="77777777" w:rsidR="00494B49" w:rsidRDefault="00494B49">
            <w:r>
              <w:t xml:space="preserve">AGI / MAGI </w:t>
            </w:r>
          </w:p>
        </w:tc>
        <w:tc>
          <w:tcPr>
            <w:tcW w:w="3360" w:type="dxa"/>
          </w:tcPr>
          <w:p w14:paraId="29E21BB0" w14:textId="77777777" w:rsidR="00494B49" w:rsidRDefault="00494B49">
            <w:r>
              <w:t>$75,000</w:t>
            </w:r>
          </w:p>
        </w:tc>
        <w:tc>
          <w:tcPr>
            <w:tcW w:w="3360" w:type="dxa"/>
          </w:tcPr>
          <w:p w14:paraId="624CE99B" w14:textId="77777777" w:rsidR="00494B49" w:rsidRDefault="00494B49">
            <w:r>
              <w:t>$50,000</w:t>
            </w:r>
          </w:p>
        </w:tc>
      </w:tr>
    </w:tbl>
    <w:p w14:paraId="20D8499B" w14:textId="77777777" w:rsidR="00494B49" w:rsidRDefault="00494B49">
      <w:pPr>
        <w:pStyle w:val="BNormal"/>
      </w:pPr>
    </w:p>
    <w:p w14:paraId="248C8B23" w14:textId="77777777" w:rsidR="00494B49" w:rsidRDefault="00494B49" w:rsidP="00144640">
      <w:pPr>
        <w:pStyle w:val="BExamplepara"/>
        <w:rPr>
          <w:i/>
        </w:rPr>
      </w:pPr>
      <w:r>
        <w:t xml:space="preserve"> </w:t>
      </w:r>
      <w:r>
        <w:rPr>
          <w:i/>
        </w:rPr>
        <w:t>Step 5: Calculate Trust’s Net Investment Income Tax</w:t>
      </w:r>
    </w:p>
    <w:p w14:paraId="3EC290A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542"/>
        <w:gridCol w:w="3409"/>
        <w:gridCol w:w="2399"/>
      </w:tblGrid>
      <w:tr w:rsidR="00494B49" w14:paraId="78FE4EB7" w14:textId="77777777">
        <w:trPr>
          <w:gridAfter w:val="1"/>
          <w:wAfter w:w="3360" w:type="dxa"/>
        </w:trPr>
        <w:tc>
          <w:tcPr>
            <w:tcW w:w="5040" w:type="dxa"/>
          </w:tcPr>
          <w:p w14:paraId="49348028" w14:textId="77777777" w:rsidR="00494B49" w:rsidRDefault="00494B49"/>
        </w:tc>
        <w:tc>
          <w:tcPr>
            <w:tcW w:w="5040" w:type="dxa"/>
          </w:tcPr>
          <w:p w14:paraId="7E25536C" w14:textId="77777777" w:rsidR="00494B49" w:rsidRDefault="00494B49">
            <w:r>
              <w:t xml:space="preserve"> </w:t>
            </w:r>
            <w:r>
              <w:rPr>
                <w:b/>
              </w:rPr>
              <w:t>Trust X</w:t>
            </w:r>
          </w:p>
        </w:tc>
      </w:tr>
      <w:tr w:rsidR="00494B49" w14:paraId="064FB306" w14:textId="77777777">
        <w:tc>
          <w:tcPr>
            <w:tcW w:w="3360" w:type="dxa"/>
          </w:tcPr>
          <w:p w14:paraId="4F1EC5AE" w14:textId="77777777" w:rsidR="00494B49" w:rsidRDefault="00494B49"/>
        </w:tc>
        <w:tc>
          <w:tcPr>
            <w:tcW w:w="3360" w:type="dxa"/>
          </w:tcPr>
          <w:p w14:paraId="6A928025" w14:textId="77777777" w:rsidR="00494B49" w:rsidRDefault="00494B49">
            <w:r>
              <w:t>MAGI</w:t>
            </w:r>
          </w:p>
        </w:tc>
        <w:tc>
          <w:tcPr>
            <w:tcW w:w="3360" w:type="dxa"/>
          </w:tcPr>
          <w:p w14:paraId="114B06C7" w14:textId="77777777" w:rsidR="00494B49" w:rsidRDefault="00494B49">
            <w:r>
              <w:t>NII</w:t>
            </w:r>
          </w:p>
        </w:tc>
      </w:tr>
      <w:tr w:rsidR="00494B49" w14:paraId="6991EBD6" w14:textId="77777777">
        <w:tc>
          <w:tcPr>
            <w:tcW w:w="3360" w:type="dxa"/>
          </w:tcPr>
          <w:p w14:paraId="3A939F88" w14:textId="77777777" w:rsidR="00494B49" w:rsidRDefault="00494B49">
            <w:r>
              <w:t>MAGI</w:t>
            </w:r>
          </w:p>
        </w:tc>
        <w:tc>
          <w:tcPr>
            <w:tcW w:w="3360" w:type="dxa"/>
          </w:tcPr>
          <w:p w14:paraId="4C5C00A4" w14:textId="77777777" w:rsidR="00494B49" w:rsidRDefault="00494B49">
            <w:r>
              <w:t>$50,000</w:t>
            </w:r>
          </w:p>
        </w:tc>
        <w:tc>
          <w:tcPr>
            <w:tcW w:w="3360" w:type="dxa"/>
          </w:tcPr>
          <w:p w14:paraId="0091846D" w14:textId="77777777" w:rsidR="00494B49" w:rsidRDefault="00494B49"/>
        </w:tc>
      </w:tr>
      <w:tr w:rsidR="00494B49" w14:paraId="74CA5A9C" w14:textId="77777777">
        <w:tc>
          <w:tcPr>
            <w:tcW w:w="3360" w:type="dxa"/>
          </w:tcPr>
          <w:p w14:paraId="1E117153" w14:textId="77777777" w:rsidR="00494B49" w:rsidRDefault="00494B49">
            <w:r>
              <w:t>Net Investment Income</w:t>
            </w:r>
          </w:p>
        </w:tc>
        <w:tc>
          <w:tcPr>
            <w:tcW w:w="3360" w:type="dxa"/>
          </w:tcPr>
          <w:p w14:paraId="1E353068" w14:textId="77777777" w:rsidR="00494B49" w:rsidRDefault="00494B49"/>
        </w:tc>
        <w:tc>
          <w:tcPr>
            <w:tcW w:w="3360" w:type="dxa"/>
          </w:tcPr>
          <w:p w14:paraId="798EC28B" w14:textId="77777777" w:rsidR="00494B49" w:rsidRDefault="00494B49">
            <w:r>
              <w:t>$100,000</w:t>
            </w:r>
          </w:p>
        </w:tc>
      </w:tr>
      <w:tr w:rsidR="00494B49" w14:paraId="69CD61CC" w14:textId="77777777">
        <w:tc>
          <w:tcPr>
            <w:tcW w:w="3360" w:type="dxa"/>
          </w:tcPr>
          <w:p w14:paraId="1203064A" w14:textId="77777777" w:rsidR="00494B49" w:rsidRDefault="00494B49">
            <w:r>
              <w:t>Distribution Deduction</w:t>
            </w:r>
          </w:p>
        </w:tc>
        <w:tc>
          <w:tcPr>
            <w:tcW w:w="3360" w:type="dxa"/>
          </w:tcPr>
          <w:p w14:paraId="191502DA" w14:textId="77777777" w:rsidR="00494B49" w:rsidRDefault="00494B49"/>
        </w:tc>
        <w:tc>
          <w:tcPr>
            <w:tcW w:w="3360" w:type="dxa"/>
          </w:tcPr>
          <w:p w14:paraId="561B20FD" w14:textId="77777777" w:rsidR="00494B49" w:rsidRDefault="00494B49">
            <w:r>
              <w:t>($50,000)</w:t>
            </w:r>
          </w:p>
        </w:tc>
      </w:tr>
      <w:tr w:rsidR="00494B49" w14:paraId="4FCF1EDA" w14:textId="77777777">
        <w:tc>
          <w:tcPr>
            <w:tcW w:w="3360" w:type="dxa"/>
          </w:tcPr>
          <w:p w14:paraId="072DD1CA" w14:textId="77777777" w:rsidR="00494B49" w:rsidRDefault="00494B49">
            <w:r>
              <w:t xml:space="preserve">Undistributed Net Investment </w:t>
            </w:r>
            <w:r>
              <w:br/>
              <w:t>Income</w:t>
            </w:r>
          </w:p>
        </w:tc>
        <w:tc>
          <w:tcPr>
            <w:tcW w:w="3360" w:type="dxa"/>
          </w:tcPr>
          <w:p w14:paraId="03D5DD78" w14:textId="77777777" w:rsidR="00494B49" w:rsidRDefault="00494B49"/>
        </w:tc>
        <w:tc>
          <w:tcPr>
            <w:tcW w:w="3360" w:type="dxa"/>
          </w:tcPr>
          <w:p w14:paraId="3E9E0914" w14:textId="77777777" w:rsidR="00494B49" w:rsidRDefault="00494B49">
            <w:r>
              <w:t>$50,000</w:t>
            </w:r>
          </w:p>
        </w:tc>
      </w:tr>
      <w:tr w:rsidR="00494B49" w14:paraId="38B1296E" w14:textId="77777777">
        <w:tc>
          <w:tcPr>
            <w:tcW w:w="3360" w:type="dxa"/>
          </w:tcPr>
          <w:p w14:paraId="57DF8230" w14:textId="77777777" w:rsidR="00494B49" w:rsidRDefault="00494B49">
            <w:r>
              <w:t>2014 Threshold</w:t>
            </w:r>
          </w:p>
        </w:tc>
        <w:tc>
          <w:tcPr>
            <w:tcW w:w="3360" w:type="dxa"/>
          </w:tcPr>
          <w:p w14:paraId="349241FB" w14:textId="77777777" w:rsidR="00494B49" w:rsidRDefault="00494B49">
            <w:r>
              <w:t>($12,150)</w:t>
            </w:r>
          </w:p>
        </w:tc>
        <w:tc>
          <w:tcPr>
            <w:tcW w:w="3360" w:type="dxa"/>
          </w:tcPr>
          <w:p w14:paraId="69FA0C27" w14:textId="77777777" w:rsidR="00494B49" w:rsidRDefault="00494B49"/>
        </w:tc>
      </w:tr>
      <w:tr w:rsidR="00494B49" w14:paraId="10BA5542" w14:textId="77777777">
        <w:tc>
          <w:tcPr>
            <w:tcW w:w="3360" w:type="dxa"/>
          </w:tcPr>
          <w:p w14:paraId="7F8F4510" w14:textId="77777777" w:rsidR="00494B49" w:rsidRDefault="00494B49">
            <w:r>
              <w:t xml:space="preserve">net investment income tax </w:t>
            </w:r>
            <w:proofErr w:type="spellStart"/>
            <w:r>
              <w:t>Tax</w:t>
            </w:r>
            <w:proofErr w:type="spellEnd"/>
            <w:r>
              <w:t xml:space="preserve"> Base</w:t>
            </w:r>
          </w:p>
        </w:tc>
        <w:tc>
          <w:tcPr>
            <w:tcW w:w="3360" w:type="dxa"/>
          </w:tcPr>
          <w:p w14:paraId="36596A6E" w14:textId="77777777" w:rsidR="00494B49" w:rsidRDefault="00494B49">
            <w:r>
              <w:t>$37,850</w:t>
            </w:r>
          </w:p>
        </w:tc>
        <w:tc>
          <w:tcPr>
            <w:tcW w:w="3360" w:type="dxa"/>
          </w:tcPr>
          <w:p w14:paraId="1F54BBEE" w14:textId="77777777" w:rsidR="00494B49" w:rsidRDefault="00494B49"/>
        </w:tc>
      </w:tr>
    </w:tbl>
    <w:p w14:paraId="57657681" w14:textId="77777777" w:rsidR="00494B49" w:rsidRDefault="00494B49">
      <w:pPr>
        <w:pStyle w:val="BNormal"/>
      </w:pPr>
    </w:p>
    <w:p w14:paraId="6A800F2C" w14:textId="77777777" w:rsidR="00494B49" w:rsidRDefault="00494B49" w:rsidP="00144640">
      <w:pPr>
        <w:pStyle w:val="BExamplepara"/>
        <w:rPr>
          <w:i/>
        </w:rPr>
      </w:pPr>
      <w:r>
        <w:lastRenderedPageBreak/>
        <w:t xml:space="preserve"> </w:t>
      </w:r>
      <w:r>
        <w:rPr>
          <w:i/>
        </w:rPr>
        <w:t>Step 6: Beneficiary’s Net Investment Income Tax</w:t>
      </w:r>
    </w:p>
    <w:p w14:paraId="4DD302CB"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472"/>
        <w:gridCol w:w="3482"/>
        <w:gridCol w:w="2396"/>
      </w:tblGrid>
      <w:tr w:rsidR="00494B49" w14:paraId="4336DCD4" w14:textId="77777777">
        <w:trPr>
          <w:gridAfter w:val="1"/>
          <w:wAfter w:w="3360" w:type="dxa"/>
        </w:trPr>
        <w:tc>
          <w:tcPr>
            <w:tcW w:w="5040" w:type="dxa"/>
          </w:tcPr>
          <w:p w14:paraId="331F1098" w14:textId="77777777" w:rsidR="00494B49" w:rsidRDefault="00494B49"/>
        </w:tc>
        <w:tc>
          <w:tcPr>
            <w:tcW w:w="5040" w:type="dxa"/>
          </w:tcPr>
          <w:p w14:paraId="49CC71CF" w14:textId="77777777" w:rsidR="00494B49" w:rsidRDefault="00494B49">
            <w:r>
              <w:t xml:space="preserve"> </w:t>
            </w:r>
            <w:r>
              <w:rPr>
                <w:b/>
              </w:rPr>
              <w:t>Beneficiary X</w:t>
            </w:r>
          </w:p>
        </w:tc>
      </w:tr>
      <w:tr w:rsidR="00494B49" w14:paraId="4DD840F5" w14:textId="77777777">
        <w:tc>
          <w:tcPr>
            <w:tcW w:w="3360" w:type="dxa"/>
          </w:tcPr>
          <w:p w14:paraId="2AC2878F" w14:textId="77777777" w:rsidR="00494B49" w:rsidRDefault="00494B49"/>
        </w:tc>
        <w:tc>
          <w:tcPr>
            <w:tcW w:w="3360" w:type="dxa"/>
          </w:tcPr>
          <w:p w14:paraId="03D74AED" w14:textId="77777777" w:rsidR="00494B49" w:rsidRDefault="00494B49">
            <w:r>
              <w:t>Regular Tax</w:t>
            </w:r>
          </w:p>
        </w:tc>
        <w:tc>
          <w:tcPr>
            <w:tcW w:w="3360" w:type="dxa"/>
          </w:tcPr>
          <w:p w14:paraId="75620EA2" w14:textId="77777777" w:rsidR="00494B49" w:rsidRDefault="00494B49">
            <w:r>
              <w:t>NII</w:t>
            </w:r>
          </w:p>
        </w:tc>
      </w:tr>
      <w:tr w:rsidR="00494B49" w14:paraId="7E932D7E" w14:textId="77777777">
        <w:tc>
          <w:tcPr>
            <w:tcW w:w="3360" w:type="dxa"/>
          </w:tcPr>
          <w:p w14:paraId="7C40C440" w14:textId="77777777" w:rsidR="00494B49" w:rsidRDefault="00494B49">
            <w:r>
              <w:t xml:space="preserve">Ordinary Income </w:t>
            </w:r>
          </w:p>
        </w:tc>
        <w:tc>
          <w:tcPr>
            <w:tcW w:w="3360" w:type="dxa"/>
          </w:tcPr>
          <w:p w14:paraId="5BB5D5DE" w14:textId="77777777" w:rsidR="00494B49" w:rsidRDefault="00494B49">
            <w:r>
              <w:t>$75,000</w:t>
            </w:r>
          </w:p>
        </w:tc>
        <w:tc>
          <w:tcPr>
            <w:tcW w:w="3360" w:type="dxa"/>
          </w:tcPr>
          <w:p w14:paraId="69DA80FC" w14:textId="77777777" w:rsidR="00494B49" w:rsidRDefault="00494B49">
            <w:r>
              <w:t>$75,000</w:t>
            </w:r>
          </w:p>
        </w:tc>
      </w:tr>
      <w:tr w:rsidR="00494B49" w14:paraId="4C804B9E" w14:textId="77777777">
        <w:tc>
          <w:tcPr>
            <w:tcW w:w="3360" w:type="dxa"/>
          </w:tcPr>
          <w:p w14:paraId="6F4534D4" w14:textId="77777777" w:rsidR="00494B49" w:rsidRDefault="00494B49">
            <w:r>
              <w:t xml:space="preserve">Adjustment </w:t>
            </w:r>
          </w:p>
        </w:tc>
        <w:tc>
          <w:tcPr>
            <w:tcW w:w="3360" w:type="dxa"/>
          </w:tcPr>
          <w:p w14:paraId="4D08A52C" w14:textId="77777777" w:rsidR="00494B49" w:rsidRDefault="00494B49"/>
        </w:tc>
        <w:tc>
          <w:tcPr>
            <w:tcW w:w="3360" w:type="dxa"/>
          </w:tcPr>
          <w:p w14:paraId="5FB56213" w14:textId="77777777" w:rsidR="00494B49" w:rsidRDefault="00494B49">
            <w:r>
              <w:t>($25,000)</w:t>
            </w:r>
          </w:p>
        </w:tc>
      </w:tr>
      <w:tr w:rsidR="00494B49" w14:paraId="174C8906" w14:textId="77777777">
        <w:tc>
          <w:tcPr>
            <w:tcW w:w="3360" w:type="dxa"/>
          </w:tcPr>
          <w:p w14:paraId="70E1C8A2" w14:textId="77777777" w:rsidR="00494B49" w:rsidRDefault="00494B49">
            <w:r>
              <w:t>Total</w:t>
            </w:r>
          </w:p>
        </w:tc>
        <w:tc>
          <w:tcPr>
            <w:tcW w:w="3360" w:type="dxa"/>
          </w:tcPr>
          <w:p w14:paraId="20DADFB2" w14:textId="77777777" w:rsidR="00494B49" w:rsidRDefault="00494B49">
            <w:r>
              <w:t>$75,000</w:t>
            </w:r>
          </w:p>
        </w:tc>
        <w:tc>
          <w:tcPr>
            <w:tcW w:w="3360" w:type="dxa"/>
          </w:tcPr>
          <w:p w14:paraId="07C4786C" w14:textId="77777777" w:rsidR="00494B49" w:rsidRDefault="00494B49">
            <w:r>
              <w:t>$50,000</w:t>
            </w:r>
          </w:p>
        </w:tc>
      </w:tr>
      <w:tr w:rsidR="00494B49" w14:paraId="1EE466D7" w14:textId="77777777">
        <w:tc>
          <w:tcPr>
            <w:tcW w:w="3360" w:type="dxa"/>
          </w:tcPr>
          <w:p w14:paraId="6E317116" w14:textId="77777777" w:rsidR="00494B49" w:rsidRDefault="00494B49">
            <w:r>
              <w:t>MAGI</w:t>
            </w:r>
          </w:p>
        </w:tc>
        <w:tc>
          <w:tcPr>
            <w:tcW w:w="3360" w:type="dxa"/>
          </w:tcPr>
          <w:p w14:paraId="79CC44E3" w14:textId="77777777" w:rsidR="00494B49" w:rsidRDefault="00494B49">
            <w:r>
              <w:t>$75,000</w:t>
            </w:r>
          </w:p>
        </w:tc>
        <w:tc>
          <w:tcPr>
            <w:tcW w:w="3360" w:type="dxa"/>
          </w:tcPr>
          <w:p w14:paraId="2C7BA7E2" w14:textId="77777777" w:rsidR="00494B49" w:rsidRDefault="00494B49">
            <w:r>
              <w:t>$50,000</w:t>
            </w:r>
          </w:p>
        </w:tc>
      </w:tr>
    </w:tbl>
    <w:p w14:paraId="3B4A0280" w14:textId="77777777" w:rsidR="00494B49" w:rsidRDefault="00494B49">
      <w:pPr>
        <w:pStyle w:val="BNormal"/>
      </w:pPr>
    </w:p>
    <w:p w14:paraId="214EAB6A" w14:textId="77777777" w:rsidR="00494B49" w:rsidRDefault="00494B49">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6212BCD9" w14:textId="77777777" w:rsidR="00494B49" w:rsidRDefault="00494B49">
      <w:pPr>
        <w:pStyle w:val="BHead2"/>
      </w:pPr>
      <w:r>
        <w:t xml:space="preserve">6. Special </w:t>
      </w:r>
      <w:proofErr w:type="spellStart"/>
      <w:r>
        <w:t>Nongrantor</w:t>
      </w:r>
      <w:proofErr w:type="spellEnd"/>
      <w:r>
        <w:t xml:space="preserve"> Trusts and Estates</w:t>
      </w:r>
    </w:p>
    <w:p w14:paraId="03E3CBA5" w14:textId="77777777" w:rsidR="00494B49" w:rsidRDefault="00494B49">
      <w:pPr>
        <w:pStyle w:val="BHead3"/>
      </w:pPr>
      <w:r>
        <w:t>a. Qualified Funeral Trusts (QFTs)</w:t>
      </w:r>
    </w:p>
    <w:p w14:paraId="55082140" w14:textId="77777777" w:rsidR="00494B49" w:rsidRDefault="00494B49">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w:t>
        </w:r>
        <w:proofErr w:type="spellStart"/>
        <w:r>
          <w:t>i</w:t>
        </w:r>
        <w:proofErr w:type="spellEnd"/>
        <w:r>
          <w:t>)</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4"/>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33F089D0" w14:textId="77777777" w:rsidR="00494B49" w:rsidRDefault="00494B49">
      <w:pPr>
        <w:pStyle w:val="BHead3"/>
      </w:pPr>
      <w:r>
        <w:t>b. Bankruptcy Estates</w:t>
      </w:r>
    </w:p>
    <w:p w14:paraId="2DE3CA2E" w14:textId="77777777" w:rsidR="00494B49" w:rsidRDefault="00494B49">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5"/>
      </w:r>
    </w:p>
    <w:p w14:paraId="16D0037B" w14:textId="77777777" w:rsidR="00494B49" w:rsidRDefault="00494B49">
      <w:pPr>
        <w:pStyle w:val="BHead3"/>
      </w:pPr>
      <w:r>
        <w:t>c. Foreign Trusts and Estates</w:t>
      </w:r>
    </w:p>
    <w:p w14:paraId="45224513" w14:textId="77777777" w:rsidR="00494B49" w:rsidRDefault="00494B49">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lastRenderedPageBreak/>
          <w:t>§1411</w:t>
        </w:r>
      </w:smartTag>
      <w:r>
        <w:t xml:space="preserve"> liability (both in calculating their net investment income and their adjusted gross income).</w:t>
      </w:r>
      <w:r>
        <w:rPr>
          <w:rStyle w:val="FootnoteReference"/>
        </w:rPr>
        <w:footnoteReference w:id="1096"/>
      </w:r>
    </w:p>
    <w:p w14:paraId="4EC0B701" w14:textId="77777777" w:rsidR="00494B49" w:rsidRDefault="00494B49">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7"/>
      </w:r>
    </w:p>
    <w:p w14:paraId="523977AE" w14:textId="77777777" w:rsidR="00494B49" w:rsidRDefault="00494B49">
      <w:pPr>
        <w:pStyle w:val="BHead1"/>
      </w:pPr>
      <w:r>
        <w:t>C. Special Rules for Electing Small Business Trusts</w:t>
      </w:r>
    </w:p>
    <w:p w14:paraId="01B131A5" w14:textId="77777777" w:rsidR="00494B49" w:rsidRDefault="00494B49">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098"/>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099"/>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05CA3BD8" w14:textId="77777777" w:rsidR="00494B49" w:rsidRDefault="00494B49">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100"/>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1"/>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2"/>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3A668A17" w14:textId="77777777" w:rsidR="00494B49" w:rsidRDefault="00494B49">
      <w:pPr>
        <w:pStyle w:val="BHead2"/>
      </w:pPr>
      <w:r>
        <w:t>1. Calculation of Undistributed Net Investment Income</w:t>
      </w:r>
    </w:p>
    <w:p w14:paraId="0ACC5CCE" w14:textId="77777777" w:rsidR="00494B49" w:rsidRDefault="00494B49">
      <w:pPr>
        <w:pStyle w:val="BNormal"/>
      </w:pPr>
      <w:r>
        <w:lastRenderedPageBreak/>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5D1107D3" w14:textId="77777777" w:rsidR="00494B49" w:rsidRDefault="00494B49">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7166244F" w14:textId="77777777" w:rsidR="00494B49" w:rsidRDefault="00494B49">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3"/>
      </w:r>
    </w:p>
    <w:p w14:paraId="768BD1CC" w14:textId="77777777" w:rsidR="00494B49" w:rsidRDefault="00494B49">
      <w:pPr>
        <w:pStyle w:val="BHead2"/>
      </w:pPr>
      <w:r>
        <w:t xml:space="preserve">2. Calculation of Adjusted Gross Income </w:t>
      </w:r>
    </w:p>
    <w:p w14:paraId="6CFC7CE9" w14:textId="77777777" w:rsidR="00494B49" w:rsidRDefault="00494B49">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4"/>
      </w:r>
    </w:p>
    <w:p w14:paraId="2D50F5F3" w14:textId="77777777" w:rsidR="00494B49" w:rsidRDefault="00494B49">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5"/>
      </w:r>
    </w:p>
    <w:p w14:paraId="15F83622" w14:textId="77777777" w:rsidR="00494B49" w:rsidRDefault="00494B49">
      <w:pPr>
        <w:pStyle w:val="BNormal"/>
      </w:pPr>
      <w:r>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6E417B6F" w14:textId="77777777" w:rsidR="00494B49" w:rsidRDefault="00494B49">
      <w:pPr>
        <w:pStyle w:val="BExamplepara"/>
      </w:pPr>
      <w:r>
        <w:lastRenderedPageBreak/>
        <w:t xml:space="preserve"> </w:t>
      </w:r>
      <w:r>
        <w:rPr>
          <w:i/>
        </w:rPr>
        <w:t>Example:</w:t>
      </w:r>
    </w:p>
    <w:p w14:paraId="61293D4B" w14:textId="77777777" w:rsidR="00494B49" w:rsidRDefault="00494B49">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06215CB6" w14:textId="77777777" w:rsidR="00494B49" w:rsidRDefault="00494B49" w:rsidP="00144640">
      <w:pPr>
        <w:pStyle w:val="BNormal"/>
      </w:pPr>
      <w:r>
        <w:t>In Year 1, the adjusted gross income for the ESBT is $55,000, determined as follows:</w:t>
      </w:r>
    </w:p>
    <w:p w14:paraId="48EE6C43" w14:textId="77777777" w:rsidR="00494B49" w:rsidRDefault="00494B49" w:rsidP="00144640">
      <w:pPr>
        <w:pStyle w:val="BNormal"/>
      </w:pPr>
    </w:p>
    <w:tbl>
      <w:tblPr>
        <w:tblStyle w:val="TableGrid"/>
        <w:tblW w:w="0" w:type="auto"/>
        <w:tblLook w:val="04A0" w:firstRow="1" w:lastRow="0" w:firstColumn="1" w:lastColumn="0" w:noHBand="0" w:noVBand="1"/>
      </w:tblPr>
      <w:tblGrid>
        <w:gridCol w:w="4681"/>
        <w:gridCol w:w="4669"/>
      </w:tblGrid>
      <w:tr w:rsidR="00494B49" w14:paraId="0403D9C5" w14:textId="77777777">
        <w:tc>
          <w:tcPr>
            <w:tcW w:w="5040" w:type="dxa"/>
          </w:tcPr>
          <w:p w14:paraId="7DBC1E61" w14:textId="77777777" w:rsidR="00494B49" w:rsidRDefault="00494B49">
            <w:r>
              <w:t xml:space="preserve">Dividend Income </w:t>
            </w:r>
          </w:p>
        </w:tc>
        <w:tc>
          <w:tcPr>
            <w:tcW w:w="5040" w:type="dxa"/>
          </w:tcPr>
          <w:p w14:paraId="34E6597D" w14:textId="77777777" w:rsidR="00494B49" w:rsidRDefault="00494B49">
            <w:r>
              <w:t>$10,000</w:t>
            </w:r>
          </w:p>
        </w:tc>
      </w:tr>
      <w:tr w:rsidR="00494B49" w14:paraId="366DE23E" w14:textId="77777777">
        <w:tc>
          <w:tcPr>
            <w:tcW w:w="5040" w:type="dxa"/>
          </w:tcPr>
          <w:p w14:paraId="22C60760" w14:textId="77777777" w:rsidR="00494B49" w:rsidRDefault="00494B49">
            <w:r>
              <w:t xml:space="preserve">Deductible Ordinary Loss </w:t>
            </w:r>
          </w:p>
        </w:tc>
        <w:tc>
          <w:tcPr>
            <w:tcW w:w="5040" w:type="dxa"/>
          </w:tcPr>
          <w:p w14:paraId="2215B92E" w14:textId="77777777" w:rsidR="00494B49" w:rsidRDefault="00494B49">
            <w:r>
              <w:t>($80,000)</w:t>
            </w:r>
          </w:p>
        </w:tc>
      </w:tr>
      <w:tr w:rsidR="00494B49" w14:paraId="2BF3C684" w14:textId="77777777">
        <w:tc>
          <w:tcPr>
            <w:tcW w:w="5040" w:type="dxa"/>
          </w:tcPr>
          <w:p w14:paraId="308D37C5" w14:textId="77777777" w:rsidR="00494B49" w:rsidRDefault="00494B49">
            <w:r>
              <w:t xml:space="preserve">S Portion Income </w:t>
            </w:r>
          </w:p>
        </w:tc>
        <w:tc>
          <w:tcPr>
            <w:tcW w:w="5040" w:type="dxa"/>
          </w:tcPr>
          <w:p w14:paraId="34A152D7" w14:textId="77777777" w:rsidR="00494B49" w:rsidRDefault="00494B49">
            <w:r>
              <w:t>$125,000</w:t>
            </w:r>
          </w:p>
        </w:tc>
      </w:tr>
      <w:tr w:rsidR="00494B49" w14:paraId="26F9FD56" w14:textId="77777777">
        <w:tc>
          <w:tcPr>
            <w:tcW w:w="5040" w:type="dxa"/>
          </w:tcPr>
          <w:p w14:paraId="42138993" w14:textId="77777777" w:rsidR="00494B49" w:rsidRDefault="00494B49">
            <w:r>
              <w:t>Adjusted gross income</w:t>
            </w:r>
          </w:p>
        </w:tc>
        <w:tc>
          <w:tcPr>
            <w:tcW w:w="5040" w:type="dxa"/>
          </w:tcPr>
          <w:p w14:paraId="02919B28" w14:textId="77777777" w:rsidR="00494B49" w:rsidRDefault="00494B49">
            <w:r>
              <w:t>$55,000</w:t>
            </w:r>
          </w:p>
        </w:tc>
      </w:tr>
    </w:tbl>
    <w:p w14:paraId="5F78A1BC" w14:textId="77777777" w:rsidR="00494B49" w:rsidRDefault="00494B49">
      <w:pPr>
        <w:pStyle w:val="BNormal"/>
      </w:pPr>
    </w:p>
    <w:p w14:paraId="31E1A3CE" w14:textId="77777777" w:rsidR="00494B49" w:rsidRDefault="00494B49">
      <w:pPr>
        <w:pStyle w:val="BExamplepara"/>
      </w:pPr>
      <w:r>
        <w:t xml:space="preserve">The S portion’s single item of ordinary income used in the ESBT’s adjusted gross income calculation is $125,000 ($120,000 of passive business income and $5,000 of interest). </w:t>
      </w:r>
    </w:p>
    <w:p w14:paraId="3855EF00" w14:textId="77777777" w:rsidR="00494B49" w:rsidRDefault="00494B49" w:rsidP="00144640">
      <w:pPr>
        <w:pStyle w:val="BNormal"/>
      </w:pPr>
      <w:r>
        <w:t>In Year 2, the adjusted gross income for the ESBT is $65,000, determined as follows:</w:t>
      </w:r>
    </w:p>
    <w:p w14:paraId="53BEB2AF" w14:textId="77777777" w:rsidR="00494B49" w:rsidRDefault="00494B49" w:rsidP="00144640">
      <w:pPr>
        <w:pStyle w:val="BNormal"/>
      </w:pPr>
    </w:p>
    <w:tbl>
      <w:tblPr>
        <w:tblStyle w:val="TableGrid"/>
        <w:tblW w:w="0" w:type="auto"/>
        <w:tblLook w:val="04A0" w:firstRow="1" w:lastRow="0" w:firstColumn="1" w:lastColumn="0" w:noHBand="0" w:noVBand="1"/>
      </w:tblPr>
      <w:tblGrid>
        <w:gridCol w:w="4688"/>
        <w:gridCol w:w="4662"/>
      </w:tblGrid>
      <w:tr w:rsidR="00494B49" w14:paraId="7A64039D" w14:textId="77777777">
        <w:tc>
          <w:tcPr>
            <w:tcW w:w="5040" w:type="dxa"/>
          </w:tcPr>
          <w:p w14:paraId="55D9BBB0" w14:textId="77777777" w:rsidR="00494B49" w:rsidRDefault="00494B49">
            <w:r>
              <w:t xml:space="preserve">Dividend Income </w:t>
            </w:r>
          </w:p>
        </w:tc>
        <w:tc>
          <w:tcPr>
            <w:tcW w:w="5040" w:type="dxa"/>
          </w:tcPr>
          <w:p w14:paraId="1D024028" w14:textId="77777777" w:rsidR="00494B49" w:rsidRDefault="00494B49">
            <w:r>
              <w:t>$10,000</w:t>
            </w:r>
          </w:p>
        </w:tc>
      </w:tr>
      <w:tr w:rsidR="00494B49" w14:paraId="65E90528" w14:textId="77777777">
        <w:tc>
          <w:tcPr>
            <w:tcW w:w="5040" w:type="dxa"/>
          </w:tcPr>
          <w:p w14:paraId="69EB8A01" w14:textId="77777777" w:rsidR="00494B49" w:rsidRDefault="00494B49">
            <w:r>
              <w:t xml:space="preserve">NOL </w:t>
            </w:r>
            <w:proofErr w:type="spellStart"/>
            <w:r>
              <w:t>Carryforward</w:t>
            </w:r>
            <w:proofErr w:type="spellEnd"/>
            <w:r>
              <w:t xml:space="preserve"> </w:t>
            </w:r>
          </w:p>
        </w:tc>
        <w:tc>
          <w:tcPr>
            <w:tcW w:w="5040" w:type="dxa"/>
          </w:tcPr>
          <w:p w14:paraId="0C1A3ED4" w14:textId="77777777" w:rsidR="00494B49" w:rsidRDefault="00494B49">
            <w:r>
              <w:t>($70,000)</w:t>
            </w:r>
          </w:p>
        </w:tc>
      </w:tr>
      <w:tr w:rsidR="00494B49" w14:paraId="29EE861C" w14:textId="77777777">
        <w:tc>
          <w:tcPr>
            <w:tcW w:w="5040" w:type="dxa"/>
          </w:tcPr>
          <w:p w14:paraId="3777CDF0" w14:textId="77777777" w:rsidR="00494B49" w:rsidRDefault="00494B49">
            <w:r>
              <w:t xml:space="preserve">S Portion Income </w:t>
            </w:r>
          </w:p>
        </w:tc>
        <w:tc>
          <w:tcPr>
            <w:tcW w:w="5040" w:type="dxa"/>
          </w:tcPr>
          <w:p w14:paraId="0A243413" w14:textId="77777777" w:rsidR="00494B49" w:rsidRDefault="00494B49">
            <w:r>
              <w:t>$125,000</w:t>
            </w:r>
          </w:p>
        </w:tc>
      </w:tr>
      <w:tr w:rsidR="00494B49" w14:paraId="5807104C" w14:textId="77777777">
        <w:tc>
          <w:tcPr>
            <w:tcW w:w="5040" w:type="dxa"/>
          </w:tcPr>
          <w:p w14:paraId="3E9BA568" w14:textId="77777777" w:rsidR="00494B49" w:rsidRDefault="00494B49">
            <w:r>
              <w:t xml:space="preserve">Adjusted gross income </w:t>
            </w:r>
          </w:p>
        </w:tc>
        <w:tc>
          <w:tcPr>
            <w:tcW w:w="5040" w:type="dxa"/>
          </w:tcPr>
          <w:p w14:paraId="74255A53" w14:textId="77777777" w:rsidR="00494B49" w:rsidRDefault="00494B49">
            <w:r>
              <w:t>$65,000</w:t>
            </w:r>
          </w:p>
        </w:tc>
      </w:tr>
    </w:tbl>
    <w:p w14:paraId="22090E0D" w14:textId="77777777" w:rsidR="00494B49" w:rsidRDefault="00494B49">
      <w:pPr>
        <w:pStyle w:val="BNormal"/>
      </w:pPr>
    </w:p>
    <w:p w14:paraId="506CC56A" w14:textId="77777777" w:rsidR="00494B49" w:rsidRDefault="00494B49">
      <w:pPr>
        <w:pStyle w:val="BExamplepara"/>
      </w:pPr>
      <w:r>
        <w:t xml:space="preserve">Again, the S portion’s single item of ordinary income used in the ESBT’s adjusted gross income calculation is $125,000. </w:t>
      </w:r>
    </w:p>
    <w:p w14:paraId="77DE524A" w14:textId="77777777" w:rsidR="00494B49" w:rsidRDefault="00494B49">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w:t>
      </w:r>
      <w:proofErr w:type="spellStart"/>
      <w:r>
        <w:t>nongrantor</w:t>
      </w:r>
      <w:proofErr w:type="spellEnd"/>
      <w:r>
        <w:t xml:space="preserve"> trust, it actually creates an advantage for an ESBT. If the example above involved an ordinary </w:t>
      </w:r>
      <w:proofErr w:type="spellStart"/>
      <w:r>
        <w:t>nongrantor</w:t>
      </w:r>
      <w:proofErr w:type="spellEnd"/>
      <w:r>
        <w:t xml:space="preserve">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6"/>
      </w:r>
    </w:p>
    <w:p w14:paraId="2707D878" w14:textId="77777777" w:rsidR="00494B49" w:rsidRDefault="00494B49" w:rsidP="00144640">
      <w:pPr>
        <w:pStyle w:val="BHead2"/>
        <w:keepNext/>
        <w:keepLines/>
      </w:pPr>
      <w:r>
        <w:lastRenderedPageBreak/>
        <w:t xml:space="preserve">3. Section 469 Regrouping </w:t>
      </w:r>
    </w:p>
    <w:p w14:paraId="73084989" w14:textId="77777777" w:rsidR="00494B49" w:rsidRDefault="00494B49" w:rsidP="00144640">
      <w:pPr>
        <w:pStyle w:val="BNormal"/>
        <w:keepNext/>
        <w:keepLines/>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7"/>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08"/>
      </w:r>
    </w:p>
    <w:p w14:paraId="1FF9F3B9" w14:textId="77777777" w:rsidR="00494B49" w:rsidRDefault="00494B49">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w:t>
      </w:r>
      <w:proofErr w:type="spellStart"/>
      <w:r>
        <w:t>nongrantor</w:t>
      </w:r>
      <w:proofErr w:type="spellEnd"/>
      <w:r>
        <w:t xml:space="preserve"> trust. Further, the preamble to the proposed regulations provides that the rules were designed “so as to not inequitably benefit ESBTs over other taxable trusts.”</w:t>
      </w:r>
      <w:r>
        <w:rPr>
          <w:rStyle w:val="FootnoteReference"/>
        </w:rPr>
        <w:footnoteReference w:id="1109"/>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w:t>
      </w:r>
      <w:proofErr w:type="spellStart"/>
      <w:r>
        <w:t>nongrantor</w:t>
      </w:r>
      <w:proofErr w:type="spellEnd"/>
      <w:r>
        <w:t xml:space="preserve"> trusts. </w:t>
      </w:r>
    </w:p>
    <w:p w14:paraId="5307C9DC" w14:textId="77777777" w:rsidR="00494B49" w:rsidRDefault="00494B49">
      <w:pPr>
        <w:pStyle w:val="BHead1"/>
      </w:pPr>
      <w:r>
        <w:t>D. Special Rules for Charitable Remainder Trusts</w:t>
      </w:r>
    </w:p>
    <w:p w14:paraId="6CD7EBF7" w14:textId="77777777" w:rsidR="00494B49" w:rsidRDefault="00494B49">
      <w:pPr>
        <w:pStyle w:val="BHead2"/>
      </w:pPr>
      <w:r>
        <w:t>1. Overview — Final 2013 Regulations</w:t>
      </w:r>
    </w:p>
    <w:p w14:paraId="328443EA" w14:textId="77777777" w:rsidR="00494B49" w:rsidRDefault="00494B49">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system (the “</w:t>
      </w:r>
      <w:smartTag w:uri="http://www.bna.com/sgml2word/cite" w:element="cite.usc">
        <w:smartTagPr>
          <w:attr w:name="ref" w:val="USC\26\664"/>
        </w:smartTagPr>
        <w:r>
          <w:t>§664</w:t>
        </w:r>
      </w:smartTag>
      <w:r>
        <w:t xml:space="preserve"> Method”).</w:t>
      </w:r>
      <w:r>
        <w:rPr>
          <w:rStyle w:val="FootnoteReference"/>
        </w:rPr>
        <w:footnoteReference w:id="1110"/>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w:t>
      </w:r>
      <w:r>
        <w:lastRenderedPageBreak/>
        <w:t xml:space="preserve">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172E321D" w14:textId="77777777" w:rsidR="00494B49" w:rsidRDefault="00494B49">
      <w:pPr>
        <w:pStyle w:val="BHead2"/>
      </w:pPr>
      <w:r>
        <w:t>2. 2012 Proposed Regulations</w:t>
      </w:r>
    </w:p>
    <w:p w14:paraId="62454EA9" w14:textId="77777777" w:rsidR="00494B49" w:rsidRDefault="00494B49">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17E79837" w14:textId="77777777" w:rsidR="00494B49" w:rsidRDefault="00494B49">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2AC74242" w14:textId="77777777" w:rsidR="00494B49" w:rsidRDefault="00494B49">
      <w:pPr>
        <w:pStyle w:val="BHead2"/>
      </w:pPr>
      <w:r>
        <w:t xml:space="preserve">3. Operational Rules for CRTs </w:t>
      </w:r>
    </w:p>
    <w:p w14:paraId="3945B45F" w14:textId="77777777" w:rsidR="00494B49" w:rsidRDefault="00494B49">
      <w:pPr>
        <w:pStyle w:val="BHead3"/>
      </w:pPr>
      <w:r>
        <w:t>a. net investment income tax Definitions</w:t>
      </w:r>
    </w:p>
    <w:p w14:paraId="4225648C" w14:textId="77777777" w:rsidR="00494B49" w:rsidRDefault="00494B49">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w:t>
        </w:r>
        <w:proofErr w:type="spellStart"/>
        <w:r>
          <w:t>i</w:t>
        </w:r>
        <w:proofErr w:type="spellEnd"/>
        <w:r>
          <w:t>)</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2F8F2601" w14:textId="77777777" w:rsidR="00494B49" w:rsidRDefault="00494B49">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w:t>
      </w:r>
      <w:r>
        <w:lastRenderedPageBreak/>
        <w:t xml:space="preserve">of net investment income distributed for all prior tax years of the trust that begin after December 31, 2012. </w:t>
      </w:r>
    </w:p>
    <w:p w14:paraId="21B1B15B" w14:textId="77777777" w:rsidR="00494B49" w:rsidRDefault="00494B49">
      <w:pPr>
        <w:pStyle w:val="BHead3"/>
      </w:pPr>
      <w:r>
        <w:t>b. Section 469 Regrouping</w:t>
      </w:r>
    </w:p>
    <w:p w14:paraId="38EDC45B" w14:textId="77777777" w:rsidR="00494B49" w:rsidRDefault="00494B49">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1"/>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2"/>
      </w:r>
    </w:p>
    <w:p w14:paraId="149297CD" w14:textId="77777777" w:rsidR="00494B49" w:rsidRDefault="00494B49">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w:t>
        </w:r>
        <w:proofErr w:type="spellStart"/>
        <w:r>
          <w:t>i</w:t>
        </w:r>
        <w:proofErr w:type="spellEnd"/>
        <w:r>
          <w:t>)</w:t>
        </w:r>
      </w:smartTag>
      <w:r>
        <w:t>.</w:t>
      </w:r>
      <w:r>
        <w:rPr>
          <w:rStyle w:val="FootnoteReference"/>
        </w:rPr>
        <w:footnoteReference w:id="1113"/>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w:t>
      </w:r>
      <w:proofErr w:type="spellStart"/>
      <w:r>
        <w:t>nongrantor</w:t>
      </w:r>
      <w:proofErr w:type="spellEnd"/>
      <w:r>
        <w:t xml:space="preserve">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56D6448D" w14:textId="77777777" w:rsidR="00494B49" w:rsidRDefault="00494B49">
      <w:pPr>
        <w:pStyle w:val="BHead2"/>
      </w:pPr>
      <w:r>
        <w:t>4. Interaction with Section 664 Category and Class System</w:t>
      </w:r>
    </w:p>
    <w:p w14:paraId="7510AE16" w14:textId="77777777" w:rsidR="00494B49" w:rsidRDefault="00494B49">
      <w:pPr>
        <w:pStyle w:val="BNormal"/>
      </w:pPr>
      <w:r>
        <w:t xml:space="preserve">Reg. </w:t>
      </w:r>
      <w:smartTag w:uri="http://www.bna.com/sgml2word/cite" w:element="cite.cfr">
        <w:smartTagPr>
          <w:attr w:name="ref" w:val="cfr\26\1.664-1(d)(1)(i)(a)"/>
        </w:smartTagPr>
        <w:r>
          <w:t>§1.664-1(d)(1)(</w:t>
        </w:r>
        <w:proofErr w:type="spellStart"/>
        <w:r>
          <w:t>i</w:t>
        </w:r>
        <w:proofErr w:type="spellEnd"/>
        <w:r>
          <w:t>)(a)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4"/>
      </w:r>
      <w:r>
        <w:t xml:space="preserve"> Reg. </w:t>
      </w:r>
      <w:smartTag w:uri="http://www.bna.com/sgml2word/cite" w:element="cite.cfr">
        <w:smartTagPr>
          <w:attr w:name="ref" w:val="cfr\26\1.664-1(d)(1)(i)(b)"/>
        </w:smartTagPr>
        <w:r>
          <w:t>§1.664-1(d)(1)(</w:t>
        </w:r>
        <w:proofErr w:type="spellStart"/>
        <w:r>
          <w:t>i</w:t>
        </w:r>
        <w:proofErr w:type="spellEnd"/>
        <w:r>
          <w:t>)(b)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1BF36C2B" w14:textId="77777777" w:rsidR="00494B49" w:rsidRDefault="00494B49">
      <w:pPr>
        <w:pStyle w:val="BHead3"/>
      </w:pPr>
      <w:r>
        <w:t>a. Additional Rate</w:t>
      </w:r>
    </w:p>
    <w:p w14:paraId="64896FEE" w14:textId="77777777" w:rsidR="00494B49" w:rsidRDefault="00494B49">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w:t>
        </w:r>
        <w:proofErr w:type="spellStart"/>
        <w:r>
          <w:t>i</w:t>
        </w:r>
        <w:proofErr w:type="spellEnd"/>
        <w:r>
          <w:t>)</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w:t>
        </w:r>
        <w:proofErr w:type="spellStart"/>
        <w:r>
          <w:t>i</w:t>
        </w:r>
        <w:proofErr w:type="spellEnd"/>
        <w:r>
          <w:t>)(b)</w:t>
        </w:r>
      </w:smartTag>
      <w:r>
        <w:t>.</w:t>
      </w:r>
    </w:p>
    <w:p w14:paraId="0797F427" w14:textId="77777777" w:rsidR="00494B49" w:rsidRDefault="00494B49">
      <w:pPr>
        <w:pStyle w:val="BHead3"/>
      </w:pPr>
      <w:r>
        <w:t xml:space="preserve">b. Special Rules for CRTs with Income from Certain CFCs and Certain PFICs </w:t>
      </w:r>
    </w:p>
    <w:p w14:paraId="6B7E24DA" w14:textId="77777777" w:rsidR="00494B49" w:rsidRDefault="00494B49">
      <w:pPr>
        <w:pStyle w:val="BNormal"/>
      </w:pPr>
      <w:r>
        <w:lastRenderedPageBreak/>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to CRTs that own interests in certain CFCs or PFICs. The special rules generally apply to CRTs that: (</w:t>
      </w:r>
      <w:proofErr w:type="spellStart"/>
      <w:r>
        <w:t>i</w:t>
      </w:r>
      <w:proofErr w:type="spellEnd"/>
      <w:r>
        <w:t xml:space="preserve">)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6158B13C" w14:textId="77777777" w:rsidR="00494B49" w:rsidRDefault="00494B49">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5"/>
      </w:r>
    </w:p>
    <w:p w14:paraId="22943652" w14:textId="77777777" w:rsidR="00494B49" w:rsidRDefault="00494B49">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6"/>
      </w:r>
      <w:r>
        <w:t xml:space="preserve"> or </w:t>
      </w:r>
      <w:smartTag w:uri="http://www.bna.com/sgml2word/cite" w:element="cite.usc">
        <w:smartTagPr>
          <w:attr w:name="ref" w:val="USC\26\1293"/>
        </w:smartTagPr>
        <w:r>
          <w:t>§1293</w:t>
        </w:r>
      </w:smartTag>
      <w:r>
        <w:t xml:space="preserve"> Inclusion</w:t>
      </w:r>
      <w:r>
        <w:rPr>
          <w:rStyle w:val="FootnoteReference"/>
        </w:rPr>
        <w:footnoteReference w:id="1117"/>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18"/>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19"/>
      </w:r>
      <w:r>
        <w:t xml:space="preserve"> Second, to the extent that an item of income from a CFC or PFIC is includible in net investment income, but not includible in regular taxable income, the taxpayer must adjust its MAGI upwards accordingly.</w:t>
      </w:r>
      <w:r>
        <w:rPr>
          <w:rStyle w:val="FootnoteReference"/>
        </w:rPr>
        <w:footnoteReference w:id="1120"/>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1"/>
      </w:r>
      <w:r>
        <w:t xml:space="preserve"> the CRT must somehow account for income with a 0% regular tax rate and a 3.8% net </w:t>
      </w:r>
      <w:r>
        <w:lastRenderedPageBreak/>
        <w:t xml:space="preserve">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2"/>
      </w:r>
      <w:r>
        <w:t xml:space="preserve"> Although not explicit in the regulation text, the rule essentially causes Excluded Income to convert to net investment income — regardless of the reason the income was Excluded Income in the first place. </w:t>
      </w:r>
    </w:p>
    <w:p w14:paraId="2AF4B45E" w14:textId="77777777" w:rsidR="00494B49" w:rsidRDefault="00494B49">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08B8460E" w14:textId="77777777" w:rsidR="00494B49" w:rsidRDefault="00494B49">
      <w:pPr>
        <w:pStyle w:val="BHead4"/>
      </w:pPr>
      <w:r>
        <w:t xml:space="preserve">(1) Rule One: Regular Tax, but No Net Investment </w:t>
      </w:r>
      <w:r>
        <w:br/>
        <w:t xml:space="preserve">Income </w:t>
      </w:r>
    </w:p>
    <w:p w14:paraId="20643AA4" w14:textId="77777777" w:rsidR="00494B49" w:rsidRDefault="00494B49">
      <w:pPr>
        <w:pStyle w:val="BNormal"/>
      </w:pPr>
      <w:r>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3"/>
      </w:r>
      <w:r>
        <w:t xml:space="preserve"> in the year the amount is included in income for purposes of Chapter 1.</w:t>
      </w:r>
      <w:r>
        <w:rPr>
          <w:rStyle w:val="FootnoteReference"/>
        </w:rPr>
        <w:footnoteReference w:id="1124"/>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5"/>
      </w:r>
      <w:r>
        <w:t xml:space="preserve"> As the inclusion is treated as “generic” Excluded Income, </w:t>
      </w:r>
      <w:r>
        <w:lastRenderedPageBreak/>
        <w:t>there is no requirement imposed on the CRT to track the associated MAGI adjustment and the beneficiary receiving such income upon distribution will not have a MAGI reduction.</w:t>
      </w:r>
    </w:p>
    <w:p w14:paraId="402A57DB" w14:textId="77777777" w:rsidR="00494B49" w:rsidRDefault="00494B49">
      <w:pPr>
        <w:pStyle w:val="BHead4"/>
      </w:pPr>
      <w:r>
        <w:t>(2) Rule Two: Net Investment Income, but No Regular Tax</w:t>
      </w:r>
    </w:p>
    <w:p w14:paraId="337941D4" w14:textId="77777777" w:rsidR="00494B49" w:rsidRDefault="00494B49">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6"/>
      </w:r>
      <w:r>
        <w:t xml:space="preserve"> The regulations define this as a “net investment income Inclusion Amount.” For this purpose, the net investment income Inclusion Amount includes net investment income from:</w:t>
      </w:r>
    </w:p>
    <w:p w14:paraId="4DDF309D" w14:textId="77777777" w:rsidR="00494B49" w:rsidRDefault="00494B49">
      <w:pPr>
        <w:pStyle w:val="BListitemorig"/>
      </w:pPr>
      <w:r>
        <w:t>(a) Certain distributions from a CFC or QEF,</w:t>
      </w:r>
      <w:r>
        <w:rPr>
          <w:rStyle w:val="FootnoteReference"/>
        </w:rPr>
        <w:footnoteReference w:id="1127"/>
      </w:r>
    </w:p>
    <w:p w14:paraId="0658E5A2" w14:textId="77777777" w:rsidR="00494B49" w:rsidRDefault="00494B49">
      <w:pPr>
        <w:pStyle w:val="BListitemorig"/>
      </w:pPr>
      <w:r>
        <w:t>(b) Certain distributions from a §1291 Fund,</w:t>
      </w:r>
      <w:r>
        <w:rPr>
          <w:rStyle w:val="FootnoteReference"/>
        </w:rPr>
        <w:footnoteReference w:id="1128"/>
      </w:r>
    </w:p>
    <w:p w14:paraId="1B6E2F3A" w14:textId="77777777" w:rsidR="00494B49" w:rsidRDefault="00494B49">
      <w:pPr>
        <w:pStyle w:val="BListitemorig"/>
      </w:pPr>
      <w:r>
        <w:t>(c) Gain derived from the disposition of a §1291 Fund,</w:t>
      </w:r>
      <w:r>
        <w:rPr>
          <w:rStyle w:val="FootnoteReference"/>
        </w:rPr>
        <w:footnoteReference w:id="1129"/>
      </w:r>
      <w:r>
        <w:t xml:space="preserve"> and </w:t>
      </w:r>
    </w:p>
    <w:p w14:paraId="6D168076" w14:textId="77777777" w:rsidR="00494B49" w:rsidRDefault="00494B49">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30"/>
      </w:r>
    </w:p>
    <w:p w14:paraId="134B1825" w14:textId="77777777" w:rsidR="00494B49" w:rsidRDefault="00494B49">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1"/>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2"/>
      </w:r>
      <w:r>
        <w:t xml:space="preserve"> As illustrated in the examples, the ordering rule would cause the net investment income to ‘attach’ to Excluded Income in the following descending order:</w:t>
      </w:r>
    </w:p>
    <w:p w14:paraId="42E9FEDC" w14:textId="77777777" w:rsidR="00494B49" w:rsidRDefault="00494B49">
      <w:pPr>
        <w:pStyle w:val="BListitembul"/>
      </w:pPr>
      <w:r>
        <w:t>Ordinary income: 39.6% class</w:t>
      </w:r>
    </w:p>
    <w:p w14:paraId="25E31956" w14:textId="77777777" w:rsidR="00494B49" w:rsidRDefault="00494B49">
      <w:pPr>
        <w:pStyle w:val="BListitembul"/>
      </w:pPr>
      <w:r>
        <w:t xml:space="preserve">Ordinary income: 20% class </w:t>
      </w:r>
    </w:p>
    <w:p w14:paraId="144FC2CD" w14:textId="77777777" w:rsidR="00494B49" w:rsidRDefault="00494B49">
      <w:pPr>
        <w:pStyle w:val="BListitembul"/>
      </w:pPr>
      <w:r>
        <w:t>Capital gain: 39.6% short-term capital gain class</w:t>
      </w:r>
    </w:p>
    <w:p w14:paraId="52F0DBAF" w14:textId="77777777" w:rsidR="00494B49" w:rsidRDefault="00494B49">
      <w:pPr>
        <w:pStyle w:val="BListitembul"/>
      </w:pPr>
      <w:r>
        <w:t>Capital gain: 28% collectibles class</w:t>
      </w:r>
    </w:p>
    <w:p w14:paraId="7D289EAA" w14:textId="77777777" w:rsidR="00494B49" w:rsidRDefault="00494B49">
      <w:pPr>
        <w:pStyle w:val="BListitembul"/>
      </w:pPr>
      <w:r>
        <w:t>Capital gain: 25% unrecaptured §1250 gain class</w:t>
      </w:r>
    </w:p>
    <w:p w14:paraId="1A5BD4A6" w14:textId="77777777" w:rsidR="00494B49" w:rsidRDefault="00494B49">
      <w:pPr>
        <w:pStyle w:val="BListitembul"/>
      </w:pPr>
      <w:r>
        <w:t>Capital gain: 20% long-term capital gain class</w:t>
      </w:r>
    </w:p>
    <w:p w14:paraId="4FF9A591" w14:textId="77777777" w:rsidR="00494B49" w:rsidRDefault="00494B49">
      <w:pPr>
        <w:pStyle w:val="BNormal"/>
      </w:pPr>
      <w:r>
        <w:t xml:space="preserve">After the net investment income attaches to all Excluded Income in the category such that all undistributed income within the CRT constitutes net investment income, any remaining net </w:t>
      </w:r>
      <w:r>
        <w:lastRenderedPageBreak/>
        <w:t xml:space="preserve">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3"/>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37518D88" w14:textId="77777777" w:rsidR="00494B49" w:rsidRDefault="00494B49">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4EAF7CC9" w14:textId="77777777" w:rsidR="00494B49" w:rsidRDefault="00494B49">
      <w:pPr>
        <w:pStyle w:val="BHead4"/>
      </w:pPr>
      <w:r>
        <w:t xml:space="preserve">(3) Rule Three: Treatment of Gains and Losses </w:t>
      </w:r>
      <w:r>
        <w:br/>
        <w:t>Attributable to Basis Differences</w:t>
      </w:r>
    </w:p>
    <w:p w14:paraId="3D5317D1" w14:textId="77777777" w:rsidR="00494B49" w:rsidRDefault="00494B49">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4"/>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37C57CE0" w14:textId="77777777" w:rsidR="00494B49" w:rsidRDefault="00494B49">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2E546FF3" w14:textId="77777777" w:rsidR="00494B49" w:rsidRDefault="00494B49">
      <w:pPr>
        <w:pStyle w:val="BListitembul"/>
      </w:pPr>
      <w:r>
        <w:t>Capital gain: 39.6% short-term capital gain class</w:t>
      </w:r>
    </w:p>
    <w:p w14:paraId="78577732" w14:textId="77777777" w:rsidR="00494B49" w:rsidRDefault="00494B49">
      <w:pPr>
        <w:pStyle w:val="BListitembul"/>
      </w:pPr>
      <w:r>
        <w:t>Capital gain: 28% collectibles class</w:t>
      </w:r>
    </w:p>
    <w:p w14:paraId="4E84A2AA" w14:textId="77777777" w:rsidR="00494B49" w:rsidRDefault="00494B49">
      <w:pPr>
        <w:pStyle w:val="BListitembul"/>
      </w:pPr>
      <w:r>
        <w:t>Capital gain: 25% unrecaptured §1250 gain class</w:t>
      </w:r>
    </w:p>
    <w:p w14:paraId="51612401" w14:textId="77777777" w:rsidR="00494B49" w:rsidRDefault="00494B49">
      <w:pPr>
        <w:pStyle w:val="BListitembul"/>
      </w:pPr>
      <w:r>
        <w:t>Capital gain: 20% long-term capital gain class</w:t>
      </w:r>
    </w:p>
    <w:p w14:paraId="16AF28CF" w14:textId="77777777" w:rsidR="00494B49" w:rsidRDefault="00494B49">
      <w:pPr>
        <w:pStyle w:val="BListitembul"/>
      </w:pPr>
      <w:r>
        <w:t>Ordinary income: 39.6% class</w:t>
      </w:r>
    </w:p>
    <w:p w14:paraId="58BD5CFF" w14:textId="77777777" w:rsidR="00494B49" w:rsidRDefault="00494B49">
      <w:pPr>
        <w:pStyle w:val="BListitembul"/>
      </w:pPr>
      <w:r>
        <w:t xml:space="preserve">Ordinary income: 20% class </w:t>
      </w:r>
    </w:p>
    <w:p w14:paraId="73A58DA2" w14:textId="77777777" w:rsidR="00494B49" w:rsidRDefault="00494B49">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1376861" w14:textId="77777777" w:rsidR="00494B49" w:rsidRDefault="00494B49">
      <w:pPr>
        <w:pStyle w:val="BNormal"/>
      </w:pPr>
      <w:r>
        <w:lastRenderedPageBreak/>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5"/>
      </w:r>
    </w:p>
    <w:p w14:paraId="35AC13B3" w14:textId="77777777" w:rsidR="00494B49" w:rsidRDefault="00494B49">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257C984A" w14:textId="77777777" w:rsidR="00494B49" w:rsidRDefault="00494B49">
      <w:pPr>
        <w:pStyle w:val="BNormal"/>
      </w:pPr>
      <w:r>
        <w:t>The loss rule generally follows the ordering rule for gains with one exception.</w:t>
      </w:r>
      <w:r>
        <w:rPr>
          <w:rStyle w:val="FootnoteReference"/>
        </w:rPr>
        <w:footnoteReference w:id="1136"/>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7EB15B1" w14:textId="77777777" w:rsidR="00494B49" w:rsidRDefault="00494B49">
      <w:pPr>
        <w:pStyle w:val="BListitembul"/>
      </w:pPr>
      <w:r>
        <w:t>Other income: 3.8% class (0% + 3.8%)</w:t>
      </w:r>
    </w:p>
    <w:p w14:paraId="50ABF3BA" w14:textId="77777777" w:rsidR="00494B49" w:rsidRDefault="00494B49">
      <w:pPr>
        <w:pStyle w:val="BListitembul"/>
      </w:pPr>
      <w:r>
        <w:t>Capital gain: 40.8% short-term capital gain class (37% + 3.8%)</w:t>
      </w:r>
    </w:p>
    <w:p w14:paraId="6FB20AE6" w14:textId="77777777" w:rsidR="00494B49" w:rsidRDefault="00494B49">
      <w:pPr>
        <w:pStyle w:val="BListitembul"/>
      </w:pPr>
      <w:r>
        <w:t>Capital gain: 31.8% collectibles class (28% + 3.8%)</w:t>
      </w:r>
    </w:p>
    <w:p w14:paraId="1C58FBB7" w14:textId="77777777" w:rsidR="00494B49" w:rsidRDefault="00494B49">
      <w:pPr>
        <w:pStyle w:val="BListitembul"/>
      </w:pPr>
      <w:r>
        <w:t>Capital gain: 28.8% unrecaptured §1250 gain class (25% + 3.8%)</w:t>
      </w:r>
    </w:p>
    <w:p w14:paraId="1CBD4D29" w14:textId="77777777" w:rsidR="00494B49" w:rsidRDefault="00494B49">
      <w:pPr>
        <w:pStyle w:val="BListitembul"/>
      </w:pPr>
      <w:r>
        <w:t>Capital gain: 23.8% long-term capital gain class (20% + 3.8%)</w:t>
      </w:r>
    </w:p>
    <w:p w14:paraId="2545E1C8" w14:textId="77777777" w:rsidR="00494B49" w:rsidRDefault="00494B49">
      <w:pPr>
        <w:pStyle w:val="BListitembul"/>
      </w:pPr>
      <w:r>
        <w:t>Ordinary income: 40.8% class (37% + 3.8%)</w:t>
      </w:r>
    </w:p>
    <w:p w14:paraId="04F37EDD" w14:textId="77777777" w:rsidR="00494B49" w:rsidRDefault="00494B49">
      <w:pPr>
        <w:pStyle w:val="BListitembul"/>
      </w:pPr>
      <w:r>
        <w:t>Ordinary income: 23.8% class (20% + 3.8%)</w:t>
      </w:r>
    </w:p>
    <w:p w14:paraId="0C56A986" w14:textId="77777777" w:rsidR="00494B49" w:rsidRDefault="00494B49">
      <w:pPr>
        <w:pStyle w:val="BNormal"/>
      </w:pPr>
      <w:r>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73B226DC" w14:textId="77777777" w:rsidR="00494B49" w:rsidRDefault="00494B49">
      <w:pPr>
        <w:pStyle w:val="BHead2"/>
      </w:pPr>
      <w:r>
        <w:t>5. Optional Simplified Method</w:t>
      </w:r>
    </w:p>
    <w:p w14:paraId="1489B412" w14:textId="77777777" w:rsidR="00494B49" w:rsidRDefault="00494B49">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w:t>
      </w:r>
      <w:r>
        <w:lastRenderedPageBreak/>
        <w:t>2013 (but is referred to more simply in this Portfolio as the Simplified Method). An election to use the Simplified Method is irrevocable.</w:t>
      </w:r>
      <w:r>
        <w:rPr>
          <w:rStyle w:val="FootnoteReference"/>
        </w:rPr>
        <w:footnoteReference w:id="1137"/>
      </w:r>
    </w:p>
    <w:p w14:paraId="01CDCA9E" w14:textId="77777777" w:rsidR="00494B49" w:rsidRDefault="00494B49">
      <w:pPr>
        <w:pStyle w:val="BNormal"/>
      </w:pPr>
      <w:r>
        <w:t xml:space="preserve">Prop. Reg. </w:t>
      </w:r>
      <w:smartTag w:uri="http://www.bna.com/sgml2word/cite" w:element="cite.cfr">
        <w:smartTagPr>
          <w:attr w:name="ref" w:val="prule\cfr\26\1.1411-3(d)(3)(i)"/>
        </w:smartTagPr>
        <w:r>
          <w:t>§1.1411-3(d)(3)(</w:t>
        </w:r>
        <w:proofErr w:type="spellStart"/>
        <w:r>
          <w:t>i</w:t>
        </w:r>
        <w:proofErr w:type="spellEnd"/>
        <w:r>
          <w:t>)</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38"/>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39"/>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40"/>
      </w:r>
    </w:p>
    <w:p w14:paraId="4EE2CC17" w14:textId="77777777" w:rsidR="00494B49" w:rsidRDefault="00494B49">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6DBC6D24" w14:textId="77777777" w:rsidR="00494B49" w:rsidRDefault="00494B49">
      <w:pPr>
        <w:pStyle w:val="BNormal"/>
      </w:pPr>
      <w:r>
        <w:t>Once finalized, this portion of the 2013 Proposed Regulations would be effective for tax years beginning after December 31, 2012.</w:t>
      </w:r>
      <w:r>
        <w:rPr>
          <w:rStyle w:val="FootnoteReference"/>
        </w:rPr>
        <w:footnoteReference w:id="1141"/>
      </w:r>
      <w:r>
        <w:t xml:space="preserve"> However, the preamble to the 2013 Proposed Regulations states “[</w:t>
      </w:r>
      <w:proofErr w:type="spellStart"/>
      <w:r>
        <w:t>i</w:t>
      </w:r>
      <w:proofErr w:type="spellEnd"/>
      <w:r>
        <w:t>]f,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2"/>
      </w:r>
    </w:p>
    <w:p w14:paraId="70B3E64D" w14:textId="77777777" w:rsidR="00494B49" w:rsidRDefault="00494B49">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w:t>
      </w:r>
      <w:r>
        <w:lastRenderedPageBreak/>
        <w:t xml:space="preserve">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3"/>
      </w:r>
    </w:p>
    <w:p w14:paraId="40970B4A" w14:textId="77777777" w:rsidR="00494B49" w:rsidRDefault="00494B49">
      <w:pPr>
        <w:pStyle w:val="BHead2"/>
      </w:pPr>
      <w:r>
        <w:t>6. Comparison Between Section 664 Method and Simplified Method</w:t>
      </w:r>
    </w:p>
    <w:p w14:paraId="7D98DE56" w14:textId="77777777" w:rsidR="00494B49" w:rsidRDefault="00494B49">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6C967BE1" w14:textId="77777777" w:rsidR="00494B49" w:rsidRDefault="00494B49">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641B63A4" w14:textId="77777777" w:rsidR="00494B49" w:rsidRDefault="00494B49">
      <w:pPr>
        <w:pStyle w:val="BHead3"/>
      </w:pPr>
      <w:r>
        <w:t>a. Pure Netting</w:t>
      </w:r>
    </w:p>
    <w:p w14:paraId="09CA82FE" w14:textId="77777777" w:rsidR="00494B49" w:rsidRDefault="00494B49">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4"/>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5"/>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390FF9C7" w14:textId="77777777" w:rsidR="00494B49" w:rsidRDefault="00494B49" w:rsidP="00144640">
      <w:pPr>
        <w:pStyle w:val="BExamplepara"/>
      </w:pPr>
      <w:r>
        <w:rPr>
          <w:rStyle w:val="BExamplehead"/>
          <w:rFonts w:eastAsiaTheme="minorHAnsi"/>
          <w:i/>
        </w:rPr>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34EE2747"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86"/>
        <w:gridCol w:w="2452"/>
        <w:gridCol w:w="2470"/>
        <w:gridCol w:w="1942"/>
      </w:tblGrid>
      <w:tr w:rsidR="00494B49" w14:paraId="2AD705B7" w14:textId="77777777">
        <w:trPr>
          <w:gridAfter w:val="1"/>
          <w:wAfter w:w="2520" w:type="dxa"/>
        </w:trPr>
        <w:tc>
          <w:tcPr>
            <w:tcW w:w="3360" w:type="dxa"/>
          </w:tcPr>
          <w:p w14:paraId="2F659C6C" w14:textId="77777777" w:rsidR="00494B49" w:rsidRDefault="00494B49"/>
        </w:tc>
        <w:tc>
          <w:tcPr>
            <w:tcW w:w="3360" w:type="dxa"/>
          </w:tcPr>
          <w:p w14:paraId="682E959A" w14:textId="77777777" w:rsidR="00494B49" w:rsidRDefault="00494B49">
            <w:r>
              <w:t>Regular Tax</w:t>
            </w:r>
          </w:p>
        </w:tc>
        <w:tc>
          <w:tcPr>
            <w:tcW w:w="3360" w:type="dxa"/>
          </w:tcPr>
          <w:p w14:paraId="5E2E21E4" w14:textId="77777777" w:rsidR="00494B49" w:rsidRDefault="00494B49">
            <w:r>
              <w:t xml:space="preserve">Net Investment </w:t>
            </w:r>
            <w:r>
              <w:br/>
              <w:t>Income</w:t>
            </w:r>
          </w:p>
        </w:tc>
      </w:tr>
      <w:tr w:rsidR="00494B49" w14:paraId="3E6E3143" w14:textId="77777777">
        <w:tc>
          <w:tcPr>
            <w:tcW w:w="2520" w:type="dxa"/>
          </w:tcPr>
          <w:p w14:paraId="160307D0" w14:textId="77777777" w:rsidR="00494B49" w:rsidRDefault="00494B49"/>
        </w:tc>
        <w:tc>
          <w:tcPr>
            <w:tcW w:w="2520" w:type="dxa"/>
          </w:tcPr>
          <w:p w14:paraId="0D4F713C" w14:textId="77777777" w:rsidR="00494B49" w:rsidRDefault="00494B49"/>
        </w:tc>
        <w:tc>
          <w:tcPr>
            <w:tcW w:w="2520" w:type="dxa"/>
          </w:tcPr>
          <w:p w14:paraId="3BB7C6E4"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455E63B" w14:textId="77777777" w:rsidR="00494B49" w:rsidRDefault="00494B49">
            <w:r>
              <w:t>Simplified Method</w:t>
            </w:r>
          </w:p>
        </w:tc>
      </w:tr>
      <w:tr w:rsidR="00494B49" w14:paraId="04C5114F" w14:textId="77777777">
        <w:tc>
          <w:tcPr>
            <w:tcW w:w="2520" w:type="dxa"/>
          </w:tcPr>
          <w:p w14:paraId="2464AA4A" w14:textId="77777777" w:rsidR="00494B49" w:rsidRDefault="00494B49">
            <w:r>
              <w:t>Interest / Dividends</w:t>
            </w:r>
          </w:p>
        </w:tc>
        <w:tc>
          <w:tcPr>
            <w:tcW w:w="2520" w:type="dxa"/>
          </w:tcPr>
          <w:p w14:paraId="44E58F48" w14:textId="77777777" w:rsidR="00494B49" w:rsidRDefault="00494B49">
            <w:r>
              <w:t>$100,000</w:t>
            </w:r>
          </w:p>
        </w:tc>
        <w:tc>
          <w:tcPr>
            <w:tcW w:w="2520" w:type="dxa"/>
          </w:tcPr>
          <w:p w14:paraId="35B6920D" w14:textId="77777777" w:rsidR="00494B49" w:rsidRDefault="00494B49">
            <w:r>
              <w:t>$100,000</w:t>
            </w:r>
          </w:p>
        </w:tc>
        <w:tc>
          <w:tcPr>
            <w:tcW w:w="2520" w:type="dxa"/>
          </w:tcPr>
          <w:p w14:paraId="380DCED8" w14:textId="77777777" w:rsidR="00494B49" w:rsidRDefault="00494B49">
            <w:r>
              <w:t>$100,000</w:t>
            </w:r>
          </w:p>
        </w:tc>
      </w:tr>
      <w:tr w:rsidR="00494B49" w14:paraId="16F8C368" w14:textId="77777777">
        <w:tc>
          <w:tcPr>
            <w:tcW w:w="2520" w:type="dxa"/>
          </w:tcPr>
          <w:p w14:paraId="1735B933" w14:textId="77777777" w:rsidR="00494B49" w:rsidRDefault="00494B49">
            <w:r>
              <w:t>Capital Loss</w:t>
            </w:r>
          </w:p>
        </w:tc>
        <w:tc>
          <w:tcPr>
            <w:tcW w:w="2520" w:type="dxa"/>
          </w:tcPr>
          <w:p w14:paraId="030EA788" w14:textId="77777777" w:rsidR="00494B49" w:rsidRDefault="00494B49">
            <w:r>
              <w:t>($175,000)</w:t>
            </w:r>
          </w:p>
        </w:tc>
        <w:tc>
          <w:tcPr>
            <w:tcW w:w="2520" w:type="dxa"/>
          </w:tcPr>
          <w:p w14:paraId="643DC340" w14:textId="77777777" w:rsidR="00494B49" w:rsidRDefault="00494B49">
            <w:r>
              <w:t>($175,000)</w:t>
            </w:r>
          </w:p>
        </w:tc>
        <w:tc>
          <w:tcPr>
            <w:tcW w:w="2520" w:type="dxa"/>
          </w:tcPr>
          <w:p w14:paraId="30786CF5" w14:textId="77777777" w:rsidR="00494B49" w:rsidRDefault="00494B49">
            <w:r>
              <w:t>($175,000)</w:t>
            </w:r>
          </w:p>
        </w:tc>
      </w:tr>
      <w:tr w:rsidR="00494B49" w14:paraId="489B4AD6" w14:textId="77777777">
        <w:tc>
          <w:tcPr>
            <w:tcW w:w="2520" w:type="dxa"/>
          </w:tcPr>
          <w:p w14:paraId="606D1C6F" w14:textId="77777777" w:rsidR="00494B49" w:rsidRDefault="00494B49">
            <w:r>
              <w:lastRenderedPageBreak/>
              <w:t>Net Investment Income Available for Distribution</w:t>
            </w:r>
          </w:p>
        </w:tc>
        <w:tc>
          <w:tcPr>
            <w:tcW w:w="2520" w:type="dxa"/>
          </w:tcPr>
          <w:p w14:paraId="54E8BC3E" w14:textId="77777777" w:rsidR="00494B49" w:rsidRDefault="00494B49"/>
        </w:tc>
        <w:tc>
          <w:tcPr>
            <w:tcW w:w="2520" w:type="dxa"/>
          </w:tcPr>
          <w:p w14:paraId="7F8A8244" w14:textId="77777777" w:rsidR="00494B49" w:rsidRDefault="00494B49">
            <w:r>
              <w:t>$100,000</w:t>
            </w:r>
          </w:p>
        </w:tc>
        <w:tc>
          <w:tcPr>
            <w:tcW w:w="2520" w:type="dxa"/>
          </w:tcPr>
          <w:p w14:paraId="7FB4728B" w14:textId="77777777" w:rsidR="00494B49" w:rsidRDefault="00494B49">
            <w:r>
              <w:t>($75,000)</w:t>
            </w:r>
          </w:p>
        </w:tc>
      </w:tr>
    </w:tbl>
    <w:p w14:paraId="0892D5D4" w14:textId="77777777" w:rsidR="00494B49" w:rsidRDefault="00494B49">
      <w:pPr>
        <w:pStyle w:val="BNormal"/>
      </w:pPr>
    </w:p>
    <w:p w14:paraId="0421D094"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204B77D6" w14:textId="77777777" w:rsidR="00494B49" w:rsidRDefault="00494B49" w:rsidP="00144640">
      <w:pPr>
        <w:pStyle w:val="BExamplepara"/>
      </w:pPr>
      <w:r>
        <w:t xml:space="preserve">In Year 2, assume that the CRAT has $100,000 of interest and dividend income in the current year and no capital losses. </w:t>
      </w:r>
    </w:p>
    <w:p w14:paraId="0A411DD1"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43A8532C" w14:textId="77777777">
        <w:trPr>
          <w:gridAfter w:val="1"/>
          <w:wAfter w:w="2520" w:type="dxa"/>
        </w:trPr>
        <w:tc>
          <w:tcPr>
            <w:tcW w:w="3360" w:type="dxa"/>
          </w:tcPr>
          <w:p w14:paraId="7F21A2EE" w14:textId="77777777" w:rsidR="00494B49" w:rsidRDefault="00494B49"/>
        </w:tc>
        <w:tc>
          <w:tcPr>
            <w:tcW w:w="3360" w:type="dxa"/>
          </w:tcPr>
          <w:p w14:paraId="487473A8" w14:textId="77777777" w:rsidR="00494B49" w:rsidRDefault="00494B49">
            <w:r>
              <w:t>Regular Tax</w:t>
            </w:r>
          </w:p>
        </w:tc>
        <w:tc>
          <w:tcPr>
            <w:tcW w:w="3360" w:type="dxa"/>
          </w:tcPr>
          <w:p w14:paraId="3685BCCA" w14:textId="77777777" w:rsidR="00494B49" w:rsidRDefault="00494B49">
            <w:r>
              <w:t xml:space="preserve">Net Investment </w:t>
            </w:r>
            <w:r>
              <w:br/>
              <w:t>Income</w:t>
            </w:r>
          </w:p>
        </w:tc>
      </w:tr>
      <w:tr w:rsidR="00494B49" w14:paraId="40892FCF" w14:textId="77777777">
        <w:tc>
          <w:tcPr>
            <w:tcW w:w="2520" w:type="dxa"/>
          </w:tcPr>
          <w:p w14:paraId="2B8B84E5" w14:textId="77777777" w:rsidR="00494B49" w:rsidRDefault="00494B49"/>
        </w:tc>
        <w:tc>
          <w:tcPr>
            <w:tcW w:w="2520" w:type="dxa"/>
          </w:tcPr>
          <w:p w14:paraId="22760ABA" w14:textId="77777777" w:rsidR="00494B49" w:rsidRDefault="00494B49"/>
        </w:tc>
        <w:tc>
          <w:tcPr>
            <w:tcW w:w="2520" w:type="dxa"/>
          </w:tcPr>
          <w:p w14:paraId="25864AA1"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2BE9B9C9" w14:textId="77777777" w:rsidR="00494B49" w:rsidRDefault="00494B49">
            <w:r>
              <w:t>Simplified Method</w:t>
            </w:r>
          </w:p>
        </w:tc>
      </w:tr>
      <w:tr w:rsidR="00494B49" w14:paraId="3BF984FC" w14:textId="77777777">
        <w:tc>
          <w:tcPr>
            <w:tcW w:w="2520" w:type="dxa"/>
          </w:tcPr>
          <w:p w14:paraId="69FBDF3B" w14:textId="77777777" w:rsidR="00494B49" w:rsidRDefault="00494B49">
            <w:r>
              <w:t>Carryover</w:t>
            </w:r>
          </w:p>
        </w:tc>
        <w:tc>
          <w:tcPr>
            <w:tcW w:w="2520" w:type="dxa"/>
          </w:tcPr>
          <w:p w14:paraId="7EAFBBC3" w14:textId="77777777" w:rsidR="00494B49" w:rsidRDefault="00494B49">
            <w:r>
              <w:t>($175,000)</w:t>
            </w:r>
          </w:p>
        </w:tc>
        <w:tc>
          <w:tcPr>
            <w:tcW w:w="2520" w:type="dxa"/>
          </w:tcPr>
          <w:p w14:paraId="36C3262B" w14:textId="77777777" w:rsidR="00494B49" w:rsidRDefault="00494B49">
            <w:r>
              <w:t>($175,000)</w:t>
            </w:r>
          </w:p>
        </w:tc>
        <w:tc>
          <w:tcPr>
            <w:tcW w:w="2520" w:type="dxa"/>
          </w:tcPr>
          <w:p w14:paraId="779C230C" w14:textId="77777777" w:rsidR="00494B49" w:rsidRDefault="00494B49">
            <w:r>
              <w:t>($75,000)</w:t>
            </w:r>
          </w:p>
        </w:tc>
      </w:tr>
      <w:tr w:rsidR="00494B49" w14:paraId="653DFB0F" w14:textId="77777777">
        <w:tc>
          <w:tcPr>
            <w:tcW w:w="2520" w:type="dxa"/>
          </w:tcPr>
          <w:p w14:paraId="6E6F9AAD" w14:textId="77777777" w:rsidR="00494B49" w:rsidRDefault="00494B49">
            <w:r>
              <w:t>Interest / Dividends</w:t>
            </w:r>
          </w:p>
        </w:tc>
        <w:tc>
          <w:tcPr>
            <w:tcW w:w="2520" w:type="dxa"/>
          </w:tcPr>
          <w:p w14:paraId="4A8DC49A" w14:textId="77777777" w:rsidR="00494B49" w:rsidRDefault="00494B49">
            <w:r>
              <w:t>$100,000</w:t>
            </w:r>
          </w:p>
        </w:tc>
        <w:tc>
          <w:tcPr>
            <w:tcW w:w="2520" w:type="dxa"/>
          </w:tcPr>
          <w:p w14:paraId="3BBC1532" w14:textId="77777777" w:rsidR="00494B49" w:rsidRDefault="00494B49">
            <w:r>
              <w:t>$100,000</w:t>
            </w:r>
          </w:p>
        </w:tc>
        <w:tc>
          <w:tcPr>
            <w:tcW w:w="2520" w:type="dxa"/>
          </w:tcPr>
          <w:p w14:paraId="3986036B" w14:textId="77777777" w:rsidR="00494B49" w:rsidRDefault="00494B49">
            <w:r>
              <w:t>$100,000</w:t>
            </w:r>
          </w:p>
        </w:tc>
      </w:tr>
      <w:tr w:rsidR="00494B49" w14:paraId="22027ED1" w14:textId="77777777">
        <w:tc>
          <w:tcPr>
            <w:tcW w:w="2520" w:type="dxa"/>
          </w:tcPr>
          <w:p w14:paraId="15D54A77" w14:textId="77777777" w:rsidR="00494B49" w:rsidRDefault="00494B49">
            <w:r>
              <w:t>Capital Loss</w:t>
            </w:r>
          </w:p>
        </w:tc>
        <w:tc>
          <w:tcPr>
            <w:tcW w:w="2520" w:type="dxa"/>
          </w:tcPr>
          <w:p w14:paraId="32966CCE" w14:textId="77777777" w:rsidR="00494B49" w:rsidRDefault="00494B49"/>
        </w:tc>
        <w:tc>
          <w:tcPr>
            <w:tcW w:w="2520" w:type="dxa"/>
          </w:tcPr>
          <w:p w14:paraId="4FD8EFCE" w14:textId="77777777" w:rsidR="00494B49" w:rsidRDefault="00494B49">
            <w:r>
              <w:t>($175,000)</w:t>
            </w:r>
          </w:p>
        </w:tc>
        <w:tc>
          <w:tcPr>
            <w:tcW w:w="2520" w:type="dxa"/>
          </w:tcPr>
          <w:p w14:paraId="50748AED" w14:textId="77777777" w:rsidR="00494B49" w:rsidRDefault="00494B49"/>
        </w:tc>
      </w:tr>
      <w:tr w:rsidR="00494B49" w14:paraId="56C2BA98" w14:textId="77777777">
        <w:tc>
          <w:tcPr>
            <w:tcW w:w="2520" w:type="dxa"/>
          </w:tcPr>
          <w:p w14:paraId="54C7CDCC" w14:textId="77777777" w:rsidR="00494B49" w:rsidRDefault="00494B49">
            <w:r>
              <w:t>Net Investment Income Available for Distribution</w:t>
            </w:r>
          </w:p>
        </w:tc>
        <w:tc>
          <w:tcPr>
            <w:tcW w:w="2520" w:type="dxa"/>
          </w:tcPr>
          <w:p w14:paraId="102EFBF4" w14:textId="77777777" w:rsidR="00494B49" w:rsidRDefault="00494B49"/>
        </w:tc>
        <w:tc>
          <w:tcPr>
            <w:tcW w:w="2520" w:type="dxa"/>
          </w:tcPr>
          <w:p w14:paraId="7584883E" w14:textId="77777777" w:rsidR="00494B49" w:rsidRDefault="00494B49">
            <w:r>
              <w:t>$100,000</w:t>
            </w:r>
          </w:p>
        </w:tc>
        <w:tc>
          <w:tcPr>
            <w:tcW w:w="2520" w:type="dxa"/>
          </w:tcPr>
          <w:p w14:paraId="786BB319" w14:textId="77777777" w:rsidR="00494B49" w:rsidRDefault="00494B49">
            <w:r>
              <w:t>$25,000</w:t>
            </w:r>
          </w:p>
        </w:tc>
      </w:tr>
    </w:tbl>
    <w:p w14:paraId="077D4472" w14:textId="77777777" w:rsidR="00494B49" w:rsidRDefault="00494B49">
      <w:pPr>
        <w:pStyle w:val="BNormal"/>
      </w:pPr>
    </w:p>
    <w:p w14:paraId="6BB77A1D"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78D4AD48" w14:textId="77777777" w:rsidR="00494B49" w:rsidRDefault="00494B49" w:rsidP="00144640">
      <w:pPr>
        <w:pStyle w:val="BExamplepara"/>
      </w:pPr>
      <w:r>
        <w:t xml:space="preserve">In Year 3, assume that the CRAT has $60,000 of interest and dividend income in the current year and $80,000 of long-term capital gain. </w:t>
      </w:r>
    </w:p>
    <w:p w14:paraId="1208A20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91"/>
        <w:gridCol w:w="2457"/>
        <w:gridCol w:w="2475"/>
        <w:gridCol w:w="1927"/>
      </w:tblGrid>
      <w:tr w:rsidR="00494B49" w14:paraId="1898DC5F" w14:textId="77777777">
        <w:trPr>
          <w:gridAfter w:val="1"/>
          <w:wAfter w:w="2520" w:type="dxa"/>
        </w:trPr>
        <w:tc>
          <w:tcPr>
            <w:tcW w:w="3360" w:type="dxa"/>
          </w:tcPr>
          <w:p w14:paraId="703C147E" w14:textId="77777777" w:rsidR="00494B49" w:rsidRDefault="00494B49"/>
        </w:tc>
        <w:tc>
          <w:tcPr>
            <w:tcW w:w="3360" w:type="dxa"/>
          </w:tcPr>
          <w:p w14:paraId="4BEB29F2" w14:textId="77777777" w:rsidR="00494B49" w:rsidRDefault="00494B49">
            <w:r>
              <w:t>Regular Tax</w:t>
            </w:r>
          </w:p>
        </w:tc>
        <w:tc>
          <w:tcPr>
            <w:tcW w:w="3360" w:type="dxa"/>
          </w:tcPr>
          <w:p w14:paraId="17B512A4" w14:textId="77777777" w:rsidR="00494B49" w:rsidRDefault="00494B49">
            <w:r>
              <w:t xml:space="preserve">Net Investment </w:t>
            </w:r>
            <w:r>
              <w:br/>
              <w:t>Income</w:t>
            </w:r>
          </w:p>
        </w:tc>
      </w:tr>
      <w:tr w:rsidR="00494B49" w14:paraId="36313DD7" w14:textId="77777777">
        <w:tc>
          <w:tcPr>
            <w:tcW w:w="2520" w:type="dxa"/>
          </w:tcPr>
          <w:p w14:paraId="3B4AE43B" w14:textId="77777777" w:rsidR="00494B49" w:rsidRDefault="00494B49"/>
        </w:tc>
        <w:tc>
          <w:tcPr>
            <w:tcW w:w="2520" w:type="dxa"/>
          </w:tcPr>
          <w:p w14:paraId="43227C5B" w14:textId="77777777" w:rsidR="00494B49" w:rsidRDefault="00494B49"/>
        </w:tc>
        <w:tc>
          <w:tcPr>
            <w:tcW w:w="2520" w:type="dxa"/>
          </w:tcPr>
          <w:p w14:paraId="1D098F7E" w14:textId="77777777" w:rsidR="00494B49" w:rsidRDefault="00494B49">
            <w:smartTag w:uri="http://www.bna.com/sgml2word/cite" w:element="cite.usc">
              <w:smartTagPr>
                <w:attr w:name="ref" w:val="USC\26\664"/>
              </w:smartTagPr>
              <w:r>
                <w:t>§664</w:t>
              </w:r>
            </w:smartTag>
            <w:r>
              <w:t xml:space="preserve"> Method</w:t>
            </w:r>
          </w:p>
        </w:tc>
        <w:tc>
          <w:tcPr>
            <w:tcW w:w="2520" w:type="dxa"/>
          </w:tcPr>
          <w:p w14:paraId="12D2A5D9" w14:textId="77777777" w:rsidR="00494B49" w:rsidRDefault="00494B49">
            <w:r>
              <w:t>Simplified Method</w:t>
            </w:r>
          </w:p>
        </w:tc>
      </w:tr>
      <w:tr w:rsidR="00494B49" w14:paraId="435AD382" w14:textId="77777777">
        <w:tc>
          <w:tcPr>
            <w:tcW w:w="2520" w:type="dxa"/>
          </w:tcPr>
          <w:p w14:paraId="1A1E29F0" w14:textId="77777777" w:rsidR="00494B49" w:rsidRDefault="00494B49">
            <w:r>
              <w:t>Carryover</w:t>
            </w:r>
          </w:p>
        </w:tc>
        <w:tc>
          <w:tcPr>
            <w:tcW w:w="2520" w:type="dxa"/>
          </w:tcPr>
          <w:p w14:paraId="123BA4F2" w14:textId="77777777" w:rsidR="00494B49" w:rsidRDefault="00494B49">
            <w:r>
              <w:t>($175,000)</w:t>
            </w:r>
          </w:p>
        </w:tc>
        <w:tc>
          <w:tcPr>
            <w:tcW w:w="2520" w:type="dxa"/>
          </w:tcPr>
          <w:p w14:paraId="153399B4" w14:textId="77777777" w:rsidR="00494B49" w:rsidRDefault="00494B49">
            <w:r>
              <w:t>($175,000)</w:t>
            </w:r>
          </w:p>
        </w:tc>
        <w:tc>
          <w:tcPr>
            <w:tcW w:w="2520" w:type="dxa"/>
          </w:tcPr>
          <w:p w14:paraId="779C544C" w14:textId="77777777" w:rsidR="00494B49" w:rsidRDefault="00494B49">
            <w:r>
              <w:t>None</w:t>
            </w:r>
          </w:p>
        </w:tc>
      </w:tr>
      <w:tr w:rsidR="00494B49" w14:paraId="35E07CEC" w14:textId="77777777">
        <w:tc>
          <w:tcPr>
            <w:tcW w:w="2520" w:type="dxa"/>
          </w:tcPr>
          <w:p w14:paraId="0E70EB49" w14:textId="77777777" w:rsidR="00494B49" w:rsidRDefault="00494B49">
            <w:r>
              <w:t>Interest / Dividends</w:t>
            </w:r>
          </w:p>
        </w:tc>
        <w:tc>
          <w:tcPr>
            <w:tcW w:w="2520" w:type="dxa"/>
          </w:tcPr>
          <w:p w14:paraId="1CFF06D2" w14:textId="77777777" w:rsidR="00494B49" w:rsidRDefault="00494B49">
            <w:r>
              <w:t>$60,000</w:t>
            </w:r>
          </w:p>
        </w:tc>
        <w:tc>
          <w:tcPr>
            <w:tcW w:w="2520" w:type="dxa"/>
          </w:tcPr>
          <w:p w14:paraId="7EB55BB6" w14:textId="77777777" w:rsidR="00494B49" w:rsidRDefault="00494B49">
            <w:r>
              <w:t>$60,000</w:t>
            </w:r>
          </w:p>
        </w:tc>
        <w:tc>
          <w:tcPr>
            <w:tcW w:w="2520" w:type="dxa"/>
          </w:tcPr>
          <w:p w14:paraId="0E8C4284" w14:textId="77777777" w:rsidR="00494B49" w:rsidRDefault="00494B49">
            <w:r>
              <w:t>$60,000</w:t>
            </w:r>
          </w:p>
        </w:tc>
      </w:tr>
      <w:tr w:rsidR="00494B49" w14:paraId="1D437DBB" w14:textId="77777777">
        <w:tc>
          <w:tcPr>
            <w:tcW w:w="2520" w:type="dxa"/>
          </w:tcPr>
          <w:p w14:paraId="002541B4" w14:textId="77777777" w:rsidR="00494B49" w:rsidRDefault="00494B49">
            <w:r>
              <w:t>Capital Gain</w:t>
            </w:r>
          </w:p>
        </w:tc>
        <w:tc>
          <w:tcPr>
            <w:tcW w:w="2520" w:type="dxa"/>
          </w:tcPr>
          <w:p w14:paraId="3056534F" w14:textId="77777777" w:rsidR="00494B49" w:rsidRDefault="00494B49">
            <w:r>
              <w:t>$80,000</w:t>
            </w:r>
          </w:p>
        </w:tc>
        <w:tc>
          <w:tcPr>
            <w:tcW w:w="2520" w:type="dxa"/>
          </w:tcPr>
          <w:p w14:paraId="7AC6CB06" w14:textId="77777777" w:rsidR="00494B49" w:rsidRDefault="00494B49">
            <w:r>
              <w:t>$80,000</w:t>
            </w:r>
          </w:p>
        </w:tc>
        <w:tc>
          <w:tcPr>
            <w:tcW w:w="2520" w:type="dxa"/>
          </w:tcPr>
          <w:p w14:paraId="37679ECA" w14:textId="77777777" w:rsidR="00494B49" w:rsidRDefault="00494B49">
            <w:r>
              <w:t>$80,000</w:t>
            </w:r>
          </w:p>
        </w:tc>
      </w:tr>
      <w:tr w:rsidR="00494B49" w14:paraId="48800421" w14:textId="77777777">
        <w:tc>
          <w:tcPr>
            <w:tcW w:w="2520" w:type="dxa"/>
          </w:tcPr>
          <w:p w14:paraId="413B3A50" w14:textId="77777777" w:rsidR="00494B49" w:rsidRDefault="00494B49">
            <w:r>
              <w:t>Net Investment Income Available for Distribution</w:t>
            </w:r>
          </w:p>
        </w:tc>
        <w:tc>
          <w:tcPr>
            <w:tcW w:w="2520" w:type="dxa"/>
          </w:tcPr>
          <w:p w14:paraId="1838DE90" w14:textId="77777777" w:rsidR="00494B49" w:rsidRDefault="00494B49">
            <w:r>
              <w:t>$60,000</w:t>
            </w:r>
          </w:p>
        </w:tc>
        <w:tc>
          <w:tcPr>
            <w:tcW w:w="2520" w:type="dxa"/>
          </w:tcPr>
          <w:p w14:paraId="58BF0970" w14:textId="77777777" w:rsidR="00494B49" w:rsidRDefault="00494B49">
            <w:r>
              <w:t>$60,000</w:t>
            </w:r>
          </w:p>
        </w:tc>
        <w:tc>
          <w:tcPr>
            <w:tcW w:w="2520" w:type="dxa"/>
          </w:tcPr>
          <w:p w14:paraId="33D9E056" w14:textId="77777777" w:rsidR="00494B49" w:rsidRDefault="00494B49">
            <w:r>
              <w:t>$140,000</w:t>
            </w:r>
          </w:p>
        </w:tc>
      </w:tr>
    </w:tbl>
    <w:p w14:paraId="722B4B5D" w14:textId="77777777" w:rsidR="00494B49" w:rsidRDefault="00494B49">
      <w:pPr>
        <w:pStyle w:val="BNormal"/>
      </w:pPr>
    </w:p>
    <w:p w14:paraId="01F725C7" w14:textId="77777777" w:rsidR="00494B49" w:rsidRDefault="00494B49">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w:t>
      </w:r>
      <w:r>
        <w:lastRenderedPageBreak/>
        <w:t xml:space="preserve">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0170E17E" w14:textId="77777777" w:rsidR="00494B49" w:rsidRDefault="00494B49">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628759F8" w14:textId="77777777" w:rsidR="00494B49" w:rsidRDefault="00494B49" w:rsidP="00144640">
      <w:pPr>
        <w:pStyle w:val="BExamplepara"/>
        <w:rPr>
          <w:i/>
        </w:rPr>
      </w:pPr>
      <w:r>
        <w:t xml:space="preserve"> </w:t>
      </w:r>
      <w:r>
        <w:rPr>
          <w:i/>
        </w:rPr>
        <w:t>Section 664 Method</w:t>
      </w:r>
    </w:p>
    <w:p w14:paraId="7D935C98"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2"/>
        <w:gridCol w:w="1883"/>
        <w:gridCol w:w="1883"/>
        <w:gridCol w:w="1883"/>
        <w:gridCol w:w="1859"/>
      </w:tblGrid>
      <w:tr w:rsidR="00494B49" w14:paraId="743A39E9" w14:textId="77777777">
        <w:tc>
          <w:tcPr>
            <w:tcW w:w="2016" w:type="dxa"/>
          </w:tcPr>
          <w:p w14:paraId="19543AB1" w14:textId="77777777" w:rsidR="00494B49" w:rsidRDefault="00494B49"/>
        </w:tc>
        <w:tc>
          <w:tcPr>
            <w:tcW w:w="2016" w:type="dxa"/>
          </w:tcPr>
          <w:p w14:paraId="4F5C5B5C" w14:textId="77777777" w:rsidR="00494B49" w:rsidRDefault="00494B49">
            <w:r>
              <w:t>NII</w:t>
            </w:r>
          </w:p>
        </w:tc>
        <w:tc>
          <w:tcPr>
            <w:tcW w:w="2016" w:type="dxa"/>
          </w:tcPr>
          <w:p w14:paraId="2529C811" w14:textId="77777777" w:rsidR="00494B49" w:rsidRDefault="00494B49">
            <w:r>
              <w:t>MAGI</w:t>
            </w:r>
          </w:p>
        </w:tc>
        <w:tc>
          <w:tcPr>
            <w:tcW w:w="2016" w:type="dxa"/>
          </w:tcPr>
          <w:p w14:paraId="4EED0061" w14:textId="77777777" w:rsidR="00494B49" w:rsidRDefault="00494B49">
            <w:r>
              <w:t>Lesser of</w:t>
            </w:r>
          </w:p>
        </w:tc>
        <w:tc>
          <w:tcPr>
            <w:tcW w:w="2016" w:type="dxa"/>
          </w:tcPr>
          <w:p w14:paraId="753458A9" w14:textId="77777777" w:rsidR="00494B49" w:rsidRDefault="00494B49">
            <w:r>
              <w:t>Tax @ 3.8%</w:t>
            </w:r>
          </w:p>
        </w:tc>
      </w:tr>
      <w:tr w:rsidR="00494B49" w14:paraId="70A00036" w14:textId="77777777">
        <w:tc>
          <w:tcPr>
            <w:tcW w:w="2016" w:type="dxa"/>
          </w:tcPr>
          <w:p w14:paraId="78CC9CD9" w14:textId="77777777" w:rsidR="00494B49" w:rsidRDefault="00494B49">
            <w:r>
              <w:t>Year 1</w:t>
            </w:r>
          </w:p>
        </w:tc>
        <w:tc>
          <w:tcPr>
            <w:tcW w:w="2016" w:type="dxa"/>
          </w:tcPr>
          <w:p w14:paraId="5CAA1EC0" w14:textId="77777777" w:rsidR="00494B49" w:rsidRDefault="00494B49">
            <w:r>
              <w:t>$100,000</w:t>
            </w:r>
          </w:p>
        </w:tc>
        <w:tc>
          <w:tcPr>
            <w:tcW w:w="2016" w:type="dxa"/>
          </w:tcPr>
          <w:p w14:paraId="056A9793" w14:textId="77777777" w:rsidR="00494B49" w:rsidRDefault="00494B49">
            <w:r>
              <w:t>$100,000</w:t>
            </w:r>
          </w:p>
        </w:tc>
        <w:tc>
          <w:tcPr>
            <w:tcW w:w="2016" w:type="dxa"/>
          </w:tcPr>
          <w:p w14:paraId="6545A47D" w14:textId="77777777" w:rsidR="00494B49" w:rsidRDefault="00494B49">
            <w:r>
              <w:t>$100,000</w:t>
            </w:r>
          </w:p>
        </w:tc>
        <w:tc>
          <w:tcPr>
            <w:tcW w:w="2016" w:type="dxa"/>
          </w:tcPr>
          <w:p w14:paraId="3BC43131" w14:textId="77777777" w:rsidR="00494B49" w:rsidRDefault="00494B49">
            <w:r>
              <w:t>$3,800</w:t>
            </w:r>
          </w:p>
        </w:tc>
      </w:tr>
      <w:tr w:rsidR="00494B49" w14:paraId="44E0C0E0" w14:textId="77777777">
        <w:tc>
          <w:tcPr>
            <w:tcW w:w="2016" w:type="dxa"/>
          </w:tcPr>
          <w:p w14:paraId="45350889" w14:textId="77777777" w:rsidR="00494B49" w:rsidRDefault="00494B49">
            <w:r>
              <w:t>Year 2</w:t>
            </w:r>
          </w:p>
        </w:tc>
        <w:tc>
          <w:tcPr>
            <w:tcW w:w="2016" w:type="dxa"/>
          </w:tcPr>
          <w:p w14:paraId="1E953F6C" w14:textId="77777777" w:rsidR="00494B49" w:rsidRDefault="00494B49">
            <w:r>
              <w:t>$100,000</w:t>
            </w:r>
          </w:p>
        </w:tc>
        <w:tc>
          <w:tcPr>
            <w:tcW w:w="2016" w:type="dxa"/>
          </w:tcPr>
          <w:p w14:paraId="5EAEC8EE" w14:textId="77777777" w:rsidR="00494B49" w:rsidRDefault="00494B49">
            <w:r>
              <w:t>$100,000</w:t>
            </w:r>
          </w:p>
        </w:tc>
        <w:tc>
          <w:tcPr>
            <w:tcW w:w="2016" w:type="dxa"/>
          </w:tcPr>
          <w:p w14:paraId="725F433A" w14:textId="77777777" w:rsidR="00494B49" w:rsidRDefault="00494B49">
            <w:r>
              <w:t>$100,000</w:t>
            </w:r>
          </w:p>
        </w:tc>
        <w:tc>
          <w:tcPr>
            <w:tcW w:w="2016" w:type="dxa"/>
          </w:tcPr>
          <w:p w14:paraId="4BA2F012" w14:textId="77777777" w:rsidR="00494B49" w:rsidRDefault="00494B49">
            <w:r>
              <w:t>$3,800</w:t>
            </w:r>
          </w:p>
        </w:tc>
      </w:tr>
      <w:tr w:rsidR="00494B49" w14:paraId="05629731" w14:textId="77777777">
        <w:tc>
          <w:tcPr>
            <w:tcW w:w="2016" w:type="dxa"/>
          </w:tcPr>
          <w:p w14:paraId="7D541F26" w14:textId="77777777" w:rsidR="00494B49" w:rsidRDefault="00494B49">
            <w:r>
              <w:t>Year 3</w:t>
            </w:r>
          </w:p>
        </w:tc>
        <w:tc>
          <w:tcPr>
            <w:tcW w:w="2016" w:type="dxa"/>
          </w:tcPr>
          <w:p w14:paraId="1F3BE37A" w14:textId="77777777" w:rsidR="00494B49" w:rsidRDefault="00494B49">
            <w:r>
              <w:t>$60,000</w:t>
            </w:r>
          </w:p>
        </w:tc>
        <w:tc>
          <w:tcPr>
            <w:tcW w:w="2016" w:type="dxa"/>
          </w:tcPr>
          <w:p w14:paraId="57927DBC" w14:textId="77777777" w:rsidR="00494B49" w:rsidRDefault="00494B49">
            <w:r>
              <w:t>$60,000</w:t>
            </w:r>
          </w:p>
        </w:tc>
        <w:tc>
          <w:tcPr>
            <w:tcW w:w="2016" w:type="dxa"/>
          </w:tcPr>
          <w:p w14:paraId="29EE7AE7" w14:textId="77777777" w:rsidR="00494B49" w:rsidRDefault="00494B49">
            <w:r>
              <w:t>$60,000</w:t>
            </w:r>
          </w:p>
        </w:tc>
        <w:tc>
          <w:tcPr>
            <w:tcW w:w="2016" w:type="dxa"/>
          </w:tcPr>
          <w:p w14:paraId="3CEDAF15" w14:textId="77777777" w:rsidR="00494B49" w:rsidRDefault="00494B49">
            <w:r>
              <w:t>$2,280</w:t>
            </w:r>
          </w:p>
        </w:tc>
      </w:tr>
      <w:tr w:rsidR="00494B49" w14:paraId="4BE81FB2" w14:textId="77777777">
        <w:tc>
          <w:tcPr>
            <w:tcW w:w="2016" w:type="dxa"/>
          </w:tcPr>
          <w:p w14:paraId="324EEF1F" w14:textId="77777777" w:rsidR="00494B49" w:rsidRDefault="00494B49">
            <w:r>
              <w:t>Total</w:t>
            </w:r>
          </w:p>
        </w:tc>
        <w:tc>
          <w:tcPr>
            <w:tcW w:w="2016" w:type="dxa"/>
          </w:tcPr>
          <w:p w14:paraId="19383435" w14:textId="77777777" w:rsidR="00494B49" w:rsidRDefault="00494B49"/>
        </w:tc>
        <w:tc>
          <w:tcPr>
            <w:tcW w:w="2016" w:type="dxa"/>
          </w:tcPr>
          <w:p w14:paraId="1C3794B8" w14:textId="77777777" w:rsidR="00494B49" w:rsidRDefault="00494B49"/>
        </w:tc>
        <w:tc>
          <w:tcPr>
            <w:tcW w:w="2016" w:type="dxa"/>
          </w:tcPr>
          <w:p w14:paraId="1B512AEA" w14:textId="77777777" w:rsidR="00494B49" w:rsidRDefault="00494B49"/>
        </w:tc>
        <w:tc>
          <w:tcPr>
            <w:tcW w:w="2016" w:type="dxa"/>
          </w:tcPr>
          <w:p w14:paraId="13E82535" w14:textId="77777777" w:rsidR="00494B49" w:rsidRDefault="00494B49">
            <w:r>
              <w:t>$9,880</w:t>
            </w:r>
          </w:p>
        </w:tc>
      </w:tr>
    </w:tbl>
    <w:p w14:paraId="2314C768" w14:textId="77777777" w:rsidR="00494B49" w:rsidRDefault="00494B49">
      <w:pPr>
        <w:pStyle w:val="BNormal"/>
      </w:pPr>
    </w:p>
    <w:p w14:paraId="6F32AF27" w14:textId="77777777" w:rsidR="00494B49" w:rsidRDefault="00494B49" w:rsidP="00144640">
      <w:pPr>
        <w:pStyle w:val="BExamplepara"/>
        <w:rPr>
          <w:i/>
        </w:rPr>
      </w:pPr>
      <w:r>
        <w:t xml:space="preserve"> </w:t>
      </w:r>
      <w:r>
        <w:rPr>
          <w:i/>
        </w:rPr>
        <w:t>Elective Simplified Method</w:t>
      </w:r>
    </w:p>
    <w:p w14:paraId="06766B3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4"/>
        <w:gridCol w:w="1885"/>
        <w:gridCol w:w="1885"/>
        <w:gridCol w:w="1874"/>
        <w:gridCol w:w="1862"/>
      </w:tblGrid>
      <w:tr w:rsidR="00494B49" w14:paraId="417EE103" w14:textId="77777777">
        <w:tc>
          <w:tcPr>
            <w:tcW w:w="2016" w:type="dxa"/>
          </w:tcPr>
          <w:p w14:paraId="07FC2D85" w14:textId="77777777" w:rsidR="00494B49" w:rsidRDefault="00494B49"/>
        </w:tc>
        <w:tc>
          <w:tcPr>
            <w:tcW w:w="2016" w:type="dxa"/>
          </w:tcPr>
          <w:p w14:paraId="706B098D" w14:textId="77777777" w:rsidR="00494B49" w:rsidRDefault="00494B49">
            <w:r>
              <w:t>NII</w:t>
            </w:r>
          </w:p>
        </w:tc>
        <w:tc>
          <w:tcPr>
            <w:tcW w:w="2016" w:type="dxa"/>
          </w:tcPr>
          <w:p w14:paraId="555A55F1" w14:textId="77777777" w:rsidR="00494B49" w:rsidRDefault="00494B49">
            <w:r>
              <w:t>MAGI</w:t>
            </w:r>
          </w:p>
        </w:tc>
        <w:tc>
          <w:tcPr>
            <w:tcW w:w="2016" w:type="dxa"/>
          </w:tcPr>
          <w:p w14:paraId="059FD1CD" w14:textId="77777777" w:rsidR="00494B49" w:rsidRDefault="00494B49">
            <w:r>
              <w:t>Lesser of</w:t>
            </w:r>
          </w:p>
        </w:tc>
        <w:tc>
          <w:tcPr>
            <w:tcW w:w="2016" w:type="dxa"/>
          </w:tcPr>
          <w:p w14:paraId="5F405161" w14:textId="77777777" w:rsidR="00494B49" w:rsidRDefault="00494B49">
            <w:r>
              <w:t>Tax @ 3.8%</w:t>
            </w:r>
          </w:p>
        </w:tc>
      </w:tr>
      <w:tr w:rsidR="00494B49" w14:paraId="4CFB3D1B" w14:textId="77777777">
        <w:tc>
          <w:tcPr>
            <w:tcW w:w="2016" w:type="dxa"/>
          </w:tcPr>
          <w:p w14:paraId="3B8B03B6" w14:textId="77777777" w:rsidR="00494B49" w:rsidRDefault="00494B49">
            <w:r>
              <w:t>Year 1</w:t>
            </w:r>
          </w:p>
        </w:tc>
        <w:tc>
          <w:tcPr>
            <w:tcW w:w="2016" w:type="dxa"/>
          </w:tcPr>
          <w:p w14:paraId="5F1A2BDE" w14:textId="77777777" w:rsidR="00494B49" w:rsidRDefault="00494B49">
            <w:r>
              <w:t>$0</w:t>
            </w:r>
          </w:p>
        </w:tc>
        <w:tc>
          <w:tcPr>
            <w:tcW w:w="2016" w:type="dxa"/>
          </w:tcPr>
          <w:p w14:paraId="0A11B9D2" w14:textId="77777777" w:rsidR="00494B49" w:rsidRDefault="00494B49">
            <w:r>
              <w:t>$100,000</w:t>
            </w:r>
          </w:p>
        </w:tc>
        <w:tc>
          <w:tcPr>
            <w:tcW w:w="2016" w:type="dxa"/>
          </w:tcPr>
          <w:p w14:paraId="65125C6B" w14:textId="77777777" w:rsidR="00494B49" w:rsidRDefault="00494B49">
            <w:r>
              <w:t>$0</w:t>
            </w:r>
          </w:p>
        </w:tc>
        <w:tc>
          <w:tcPr>
            <w:tcW w:w="2016" w:type="dxa"/>
          </w:tcPr>
          <w:p w14:paraId="0C705861" w14:textId="77777777" w:rsidR="00494B49" w:rsidRDefault="00494B49">
            <w:r>
              <w:t>$0</w:t>
            </w:r>
          </w:p>
        </w:tc>
      </w:tr>
      <w:tr w:rsidR="00494B49" w14:paraId="5B56EF6A" w14:textId="77777777">
        <w:tc>
          <w:tcPr>
            <w:tcW w:w="2016" w:type="dxa"/>
          </w:tcPr>
          <w:p w14:paraId="5D6413AB" w14:textId="77777777" w:rsidR="00494B49" w:rsidRDefault="00494B49">
            <w:r>
              <w:t>Year 2</w:t>
            </w:r>
          </w:p>
        </w:tc>
        <w:tc>
          <w:tcPr>
            <w:tcW w:w="2016" w:type="dxa"/>
          </w:tcPr>
          <w:p w14:paraId="63535F4F" w14:textId="77777777" w:rsidR="00494B49" w:rsidRDefault="00494B49">
            <w:r>
              <w:t>$25,000</w:t>
            </w:r>
          </w:p>
        </w:tc>
        <w:tc>
          <w:tcPr>
            <w:tcW w:w="2016" w:type="dxa"/>
          </w:tcPr>
          <w:p w14:paraId="107C51E3" w14:textId="77777777" w:rsidR="00494B49" w:rsidRDefault="00494B49">
            <w:r>
              <w:t>$100,000</w:t>
            </w:r>
          </w:p>
        </w:tc>
        <w:tc>
          <w:tcPr>
            <w:tcW w:w="2016" w:type="dxa"/>
          </w:tcPr>
          <w:p w14:paraId="0C5E326E" w14:textId="77777777" w:rsidR="00494B49" w:rsidRDefault="00494B49">
            <w:r>
              <w:t>$25,000</w:t>
            </w:r>
          </w:p>
        </w:tc>
        <w:tc>
          <w:tcPr>
            <w:tcW w:w="2016" w:type="dxa"/>
          </w:tcPr>
          <w:p w14:paraId="14C16BF2" w14:textId="77777777" w:rsidR="00494B49" w:rsidRDefault="00494B49">
            <w:r>
              <w:t>$950</w:t>
            </w:r>
          </w:p>
        </w:tc>
      </w:tr>
      <w:tr w:rsidR="00494B49" w14:paraId="2912BF62" w14:textId="77777777">
        <w:tc>
          <w:tcPr>
            <w:tcW w:w="2016" w:type="dxa"/>
          </w:tcPr>
          <w:p w14:paraId="312BA0CE" w14:textId="77777777" w:rsidR="00494B49" w:rsidRDefault="00494B49">
            <w:r>
              <w:t>Year 3</w:t>
            </w:r>
          </w:p>
        </w:tc>
        <w:tc>
          <w:tcPr>
            <w:tcW w:w="2016" w:type="dxa"/>
          </w:tcPr>
          <w:p w14:paraId="71C4DCDE" w14:textId="77777777" w:rsidR="00494B49" w:rsidRDefault="00494B49">
            <w:r>
              <w:t>$110,000</w:t>
            </w:r>
          </w:p>
        </w:tc>
        <w:tc>
          <w:tcPr>
            <w:tcW w:w="2016" w:type="dxa"/>
          </w:tcPr>
          <w:p w14:paraId="285A2F47" w14:textId="77777777" w:rsidR="00494B49" w:rsidRDefault="00494B49">
            <w:r>
              <w:t>$60,000</w:t>
            </w:r>
          </w:p>
        </w:tc>
        <w:tc>
          <w:tcPr>
            <w:tcW w:w="2016" w:type="dxa"/>
          </w:tcPr>
          <w:p w14:paraId="26D48FBC" w14:textId="77777777" w:rsidR="00494B49" w:rsidRDefault="00494B49">
            <w:r>
              <w:t>$60,000</w:t>
            </w:r>
          </w:p>
        </w:tc>
        <w:tc>
          <w:tcPr>
            <w:tcW w:w="2016" w:type="dxa"/>
          </w:tcPr>
          <w:p w14:paraId="439AEA13" w14:textId="77777777" w:rsidR="00494B49" w:rsidRDefault="00494B49">
            <w:r>
              <w:t>$2,280</w:t>
            </w:r>
          </w:p>
        </w:tc>
      </w:tr>
      <w:tr w:rsidR="00494B49" w14:paraId="75BC849A" w14:textId="77777777">
        <w:tc>
          <w:tcPr>
            <w:tcW w:w="2016" w:type="dxa"/>
          </w:tcPr>
          <w:p w14:paraId="4F44DC55" w14:textId="77777777" w:rsidR="00494B49" w:rsidRDefault="00494B49">
            <w:r>
              <w:t>Total</w:t>
            </w:r>
          </w:p>
        </w:tc>
        <w:tc>
          <w:tcPr>
            <w:tcW w:w="2016" w:type="dxa"/>
          </w:tcPr>
          <w:p w14:paraId="1FC57888" w14:textId="77777777" w:rsidR="00494B49" w:rsidRDefault="00494B49"/>
        </w:tc>
        <w:tc>
          <w:tcPr>
            <w:tcW w:w="2016" w:type="dxa"/>
          </w:tcPr>
          <w:p w14:paraId="75ADB01A" w14:textId="77777777" w:rsidR="00494B49" w:rsidRDefault="00494B49"/>
        </w:tc>
        <w:tc>
          <w:tcPr>
            <w:tcW w:w="2016" w:type="dxa"/>
          </w:tcPr>
          <w:p w14:paraId="2349C637" w14:textId="77777777" w:rsidR="00494B49" w:rsidRDefault="00494B49"/>
        </w:tc>
        <w:tc>
          <w:tcPr>
            <w:tcW w:w="2016" w:type="dxa"/>
          </w:tcPr>
          <w:p w14:paraId="6045EDB1" w14:textId="77777777" w:rsidR="00494B49" w:rsidRDefault="00494B49">
            <w:r>
              <w:t>$3,230</w:t>
            </w:r>
          </w:p>
        </w:tc>
      </w:tr>
    </w:tbl>
    <w:p w14:paraId="5C37F7F6" w14:textId="77777777" w:rsidR="00494B49" w:rsidRDefault="00494B49">
      <w:pPr>
        <w:pStyle w:val="BNormal"/>
      </w:pPr>
    </w:p>
    <w:p w14:paraId="6A30877C" w14:textId="77777777" w:rsidR="00494B49" w:rsidRDefault="00494B49">
      <w:pPr>
        <w:pStyle w:val="BHead3"/>
      </w:pPr>
      <w:r>
        <w:t>b. Differences in Distribution Ordering Rules and Loss Netting Rules</w:t>
      </w:r>
    </w:p>
    <w:p w14:paraId="62CA8832" w14:textId="77777777" w:rsidR="00494B49" w:rsidRDefault="00494B49">
      <w:pPr>
        <w:pStyle w:val="BHead4"/>
      </w:pPr>
      <w:r>
        <w:t xml:space="preserve">(1) Ordering of Distributions from Ordinary Income </w:t>
      </w:r>
    </w:p>
    <w:p w14:paraId="0ED7D270" w14:textId="77777777" w:rsidR="00494B49" w:rsidRDefault="00494B49" w:rsidP="00144640">
      <w:pPr>
        <w:pStyle w:val="BNormal"/>
      </w:pPr>
      <w:r>
        <w:t>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2017 Form 5227 Instructions,</w:t>
      </w:r>
      <w:r>
        <w:rPr>
          <w:rStyle w:val="FootnoteReference"/>
        </w:rPr>
        <w:footnoteReference w:id="1146"/>
      </w:r>
      <w:r>
        <w:t xml:space="preserve"> highlights the difference in distribution ordering rules depending on whether the CRT elects to use the Simplified Method (referred to as the “Simplified Net Investment Income Calculation” or SNIIC Election in the instructions):</w:t>
      </w:r>
    </w:p>
    <w:p w14:paraId="08B0D83A" w14:textId="77777777" w:rsidR="00494B49" w:rsidRDefault="00494B49" w:rsidP="00144640">
      <w:pPr>
        <w:pStyle w:val="BNormal"/>
      </w:pPr>
    </w:p>
    <w:tbl>
      <w:tblPr>
        <w:tblStyle w:val="TableGrid"/>
        <w:tblW w:w="9355" w:type="dxa"/>
        <w:tblLook w:val="04A0" w:firstRow="1" w:lastRow="0" w:firstColumn="1" w:lastColumn="0" w:noHBand="0" w:noVBand="1"/>
      </w:tblPr>
      <w:tblGrid>
        <w:gridCol w:w="4496"/>
        <w:gridCol w:w="1382"/>
        <w:gridCol w:w="1920"/>
        <w:gridCol w:w="7"/>
        <w:gridCol w:w="1550"/>
      </w:tblGrid>
      <w:tr w:rsidR="00494B49" w14:paraId="3D5B3E57" w14:textId="77777777" w:rsidTr="00F150FE">
        <w:tc>
          <w:tcPr>
            <w:tcW w:w="4496" w:type="dxa"/>
          </w:tcPr>
          <w:p w14:paraId="0363CBC4" w14:textId="77777777" w:rsidR="00494B49" w:rsidRDefault="00494B49"/>
        </w:tc>
        <w:tc>
          <w:tcPr>
            <w:tcW w:w="1382" w:type="dxa"/>
          </w:tcPr>
          <w:p w14:paraId="268CD581" w14:textId="77777777" w:rsidR="00494B49" w:rsidRDefault="00494B49"/>
        </w:tc>
        <w:tc>
          <w:tcPr>
            <w:tcW w:w="1927" w:type="dxa"/>
            <w:gridSpan w:val="2"/>
          </w:tcPr>
          <w:p w14:paraId="03E76B4B" w14:textId="77777777" w:rsidR="00494B49" w:rsidRDefault="00494B49">
            <w:r>
              <w:t xml:space="preserve"> </w:t>
            </w:r>
            <w:r>
              <w:rPr>
                <w:b/>
              </w:rPr>
              <w:t>Section 664 Method</w:t>
            </w:r>
          </w:p>
        </w:tc>
        <w:tc>
          <w:tcPr>
            <w:tcW w:w="1545" w:type="dxa"/>
          </w:tcPr>
          <w:p w14:paraId="600BBCEA" w14:textId="77777777" w:rsidR="00494B49" w:rsidRDefault="00494B49">
            <w:r>
              <w:t xml:space="preserve"> </w:t>
            </w:r>
            <w:r>
              <w:rPr>
                <w:b/>
              </w:rPr>
              <w:t>SNIIC Election Method</w:t>
            </w:r>
          </w:p>
        </w:tc>
      </w:tr>
      <w:tr w:rsidR="00494B49" w14:paraId="16592F52" w14:textId="77777777" w:rsidTr="00F150FE">
        <w:trPr>
          <w:gridAfter w:val="4"/>
          <w:wAfter w:w="4859" w:type="dxa"/>
        </w:trPr>
        <w:tc>
          <w:tcPr>
            <w:tcW w:w="4496" w:type="dxa"/>
          </w:tcPr>
          <w:p w14:paraId="70736792" w14:textId="77777777" w:rsidR="00494B49" w:rsidRDefault="00494B49">
            <w:r>
              <w:t>Distributions of all other ordinary income</w:t>
            </w:r>
          </w:p>
        </w:tc>
      </w:tr>
      <w:tr w:rsidR="00494B49" w14:paraId="0E9907E4" w14:textId="77777777" w:rsidTr="00F150FE">
        <w:tc>
          <w:tcPr>
            <w:tcW w:w="4496" w:type="dxa"/>
          </w:tcPr>
          <w:p w14:paraId="76792A30" w14:textId="77777777" w:rsidR="00494B49" w:rsidRDefault="00494B49"/>
        </w:tc>
        <w:tc>
          <w:tcPr>
            <w:tcW w:w="1382" w:type="dxa"/>
          </w:tcPr>
          <w:p w14:paraId="215465A1" w14:textId="77777777" w:rsidR="00494B49" w:rsidRDefault="00494B49"/>
        </w:tc>
        <w:tc>
          <w:tcPr>
            <w:tcW w:w="1927" w:type="dxa"/>
            <w:gridSpan w:val="2"/>
          </w:tcPr>
          <w:p w14:paraId="3DCBA46F" w14:textId="77777777" w:rsidR="00494B49" w:rsidRDefault="00494B49">
            <w:r>
              <w:t xml:space="preserve">First, ordinary income that is net investment </w:t>
            </w:r>
            <w:r>
              <w:lastRenderedPageBreak/>
              <w:t>income (43.4% rate), then</w:t>
            </w:r>
          </w:p>
        </w:tc>
        <w:tc>
          <w:tcPr>
            <w:tcW w:w="1545" w:type="dxa"/>
          </w:tcPr>
          <w:p w14:paraId="48701316" w14:textId="77777777" w:rsidR="00494B49" w:rsidRDefault="00494B49">
            <w:r>
              <w:lastRenderedPageBreak/>
              <w:t>All in ordinary income class</w:t>
            </w:r>
          </w:p>
        </w:tc>
      </w:tr>
      <w:tr w:rsidR="00F150FE" w14:paraId="6719F53D" w14:textId="63408590" w:rsidTr="00F150FE">
        <w:tc>
          <w:tcPr>
            <w:tcW w:w="4496" w:type="dxa"/>
          </w:tcPr>
          <w:p w14:paraId="1FD06197" w14:textId="77777777" w:rsidR="00494B49" w:rsidRDefault="00494B49"/>
        </w:tc>
        <w:tc>
          <w:tcPr>
            <w:tcW w:w="1382" w:type="dxa"/>
          </w:tcPr>
          <w:p w14:paraId="183C9455" w14:textId="77777777" w:rsidR="00494B49" w:rsidRDefault="00494B49"/>
        </w:tc>
        <w:tc>
          <w:tcPr>
            <w:tcW w:w="1927" w:type="dxa"/>
            <w:gridSpan w:val="2"/>
          </w:tcPr>
          <w:p w14:paraId="67133660" w14:textId="77777777" w:rsidR="00494B49" w:rsidRDefault="00494B49">
            <w:r>
              <w:t>Ordinary income that is Excluded Income (39.6% rate)</w:t>
            </w:r>
          </w:p>
        </w:tc>
        <w:tc>
          <w:tcPr>
            <w:tcW w:w="1545" w:type="dxa"/>
            <w:shd w:val="clear" w:color="auto" w:fill="auto"/>
          </w:tcPr>
          <w:p w14:paraId="3D50D076" w14:textId="77777777" w:rsidR="00F150FE" w:rsidRDefault="00F150FE"/>
        </w:tc>
      </w:tr>
      <w:tr w:rsidR="00F150FE" w14:paraId="1E81CEDB" w14:textId="1548CF72" w:rsidTr="00F150FE">
        <w:tc>
          <w:tcPr>
            <w:tcW w:w="4496" w:type="dxa"/>
          </w:tcPr>
          <w:p w14:paraId="69E2025E" w14:textId="77777777" w:rsidR="00494B49" w:rsidRDefault="00494B49">
            <w:r>
              <w:t>Distributions from the qualified dividend class:</w:t>
            </w:r>
          </w:p>
        </w:tc>
        <w:tc>
          <w:tcPr>
            <w:tcW w:w="1382" w:type="dxa"/>
            <w:shd w:val="clear" w:color="auto" w:fill="auto"/>
          </w:tcPr>
          <w:p w14:paraId="79FCFA3C" w14:textId="77777777" w:rsidR="00F150FE" w:rsidRDefault="00F150FE"/>
        </w:tc>
        <w:tc>
          <w:tcPr>
            <w:tcW w:w="1920" w:type="dxa"/>
            <w:shd w:val="clear" w:color="auto" w:fill="auto"/>
          </w:tcPr>
          <w:p w14:paraId="47AB64DA" w14:textId="77777777" w:rsidR="00F150FE" w:rsidRDefault="00F150FE"/>
        </w:tc>
        <w:tc>
          <w:tcPr>
            <w:tcW w:w="1552" w:type="dxa"/>
            <w:gridSpan w:val="2"/>
            <w:shd w:val="clear" w:color="auto" w:fill="auto"/>
          </w:tcPr>
          <w:p w14:paraId="254B107F" w14:textId="77777777" w:rsidR="00F150FE" w:rsidRDefault="00F150FE"/>
        </w:tc>
      </w:tr>
      <w:tr w:rsidR="00494B49" w14:paraId="2E012017" w14:textId="77777777" w:rsidTr="00F150FE">
        <w:tc>
          <w:tcPr>
            <w:tcW w:w="4496" w:type="dxa"/>
          </w:tcPr>
          <w:p w14:paraId="74E960F3" w14:textId="77777777" w:rsidR="00494B49" w:rsidRDefault="00494B49"/>
        </w:tc>
        <w:tc>
          <w:tcPr>
            <w:tcW w:w="1382" w:type="dxa"/>
          </w:tcPr>
          <w:p w14:paraId="38394FBA" w14:textId="77777777" w:rsidR="00494B49" w:rsidRDefault="00494B49"/>
        </w:tc>
        <w:tc>
          <w:tcPr>
            <w:tcW w:w="1927" w:type="dxa"/>
            <w:gridSpan w:val="2"/>
          </w:tcPr>
          <w:p w14:paraId="09B45962" w14:textId="77777777" w:rsidR="00494B49" w:rsidRDefault="00494B49">
            <w:r>
              <w:t>First, qualified dividends that are net investment income (23.8% rate), then</w:t>
            </w:r>
          </w:p>
        </w:tc>
        <w:tc>
          <w:tcPr>
            <w:tcW w:w="1545" w:type="dxa"/>
          </w:tcPr>
          <w:p w14:paraId="66D5AAAA" w14:textId="77777777" w:rsidR="00494B49" w:rsidRDefault="00494B49">
            <w:r>
              <w:t>All qualified dividends</w:t>
            </w:r>
          </w:p>
        </w:tc>
      </w:tr>
      <w:tr w:rsidR="00F150FE" w14:paraId="16802724" w14:textId="4BC4A7EF" w:rsidTr="00F150FE">
        <w:tc>
          <w:tcPr>
            <w:tcW w:w="4496" w:type="dxa"/>
          </w:tcPr>
          <w:p w14:paraId="7C38CE25" w14:textId="77777777" w:rsidR="00494B49" w:rsidRDefault="00494B49"/>
        </w:tc>
        <w:tc>
          <w:tcPr>
            <w:tcW w:w="1382" w:type="dxa"/>
          </w:tcPr>
          <w:p w14:paraId="2A495FB2" w14:textId="77777777" w:rsidR="00494B49" w:rsidRDefault="00494B49"/>
        </w:tc>
        <w:tc>
          <w:tcPr>
            <w:tcW w:w="1927" w:type="dxa"/>
            <w:gridSpan w:val="2"/>
          </w:tcPr>
          <w:p w14:paraId="5BE90C0D" w14:textId="77777777" w:rsidR="00494B49" w:rsidRDefault="00494B49">
            <w:r>
              <w:t>Qualified dividends that are Excluded Income (20% rate)</w:t>
            </w:r>
          </w:p>
        </w:tc>
        <w:tc>
          <w:tcPr>
            <w:tcW w:w="1550" w:type="dxa"/>
            <w:shd w:val="clear" w:color="auto" w:fill="auto"/>
          </w:tcPr>
          <w:p w14:paraId="526B66D2" w14:textId="77777777" w:rsidR="00F150FE" w:rsidRDefault="00F150FE"/>
        </w:tc>
      </w:tr>
    </w:tbl>
    <w:p w14:paraId="4D6A5071" w14:textId="77777777" w:rsidR="00494B49" w:rsidRDefault="00494B49">
      <w:pPr>
        <w:pStyle w:val="BNormal"/>
      </w:pPr>
    </w:p>
    <w:p w14:paraId="029CDA05" w14:textId="77777777" w:rsidR="00494B49" w:rsidRDefault="00494B49">
      <w:pPr>
        <w:pStyle w:val="BHead4"/>
      </w:pPr>
      <w:r>
        <w:t xml:space="preserve">(2) Ordering of Distributions from Capital Gains </w:t>
      </w:r>
    </w:p>
    <w:p w14:paraId="5664928F" w14:textId="77777777" w:rsidR="00494B49" w:rsidRDefault="00494B49" w:rsidP="00144640">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7"/>
      </w:r>
      <w:r>
        <w:t xml:space="preserve"> highlights the difference in distribution ordering rules depending on whether the CRT elects to use the Simplified Method:</w:t>
      </w:r>
    </w:p>
    <w:p w14:paraId="6B576040" w14:textId="77777777" w:rsidR="00494B49" w:rsidRDefault="00494B49" w:rsidP="00144640">
      <w:pPr>
        <w:pStyle w:val="BNormal"/>
      </w:pPr>
    </w:p>
    <w:tbl>
      <w:tblPr>
        <w:tblStyle w:val="TableGrid"/>
        <w:tblW w:w="9356" w:type="dxa"/>
        <w:tblLook w:val="04A0" w:firstRow="1" w:lastRow="0" w:firstColumn="1" w:lastColumn="0" w:noHBand="0" w:noVBand="1"/>
      </w:tblPr>
      <w:tblGrid>
        <w:gridCol w:w="4392"/>
        <w:gridCol w:w="1380"/>
        <w:gridCol w:w="1944"/>
        <w:gridCol w:w="1634"/>
        <w:gridCol w:w="6"/>
      </w:tblGrid>
      <w:tr w:rsidR="00494B49" w14:paraId="4D225CA4" w14:textId="77777777" w:rsidTr="00F150FE">
        <w:trPr>
          <w:gridAfter w:val="1"/>
          <w:wAfter w:w="6" w:type="dxa"/>
        </w:trPr>
        <w:tc>
          <w:tcPr>
            <w:tcW w:w="4392" w:type="dxa"/>
          </w:tcPr>
          <w:p w14:paraId="1214621A" w14:textId="77777777" w:rsidR="00494B49" w:rsidRDefault="00494B49"/>
        </w:tc>
        <w:tc>
          <w:tcPr>
            <w:tcW w:w="1380" w:type="dxa"/>
          </w:tcPr>
          <w:p w14:paraId="330433D2" w14:textId="77777777" w:rsidR="00494B49" w:rsidRDefault="00494B49"/>
        </w:tc>
        <w:tc>
          <w:tcPr>
            <w:tcW w:w="1944" w:type="dxa"/>
          </w:tcPr>
          <w:p w14:paraId="4344D7DB" w14:textId="77777777" w:rsidR="00494B49" w:rsidRDefault="00494B49">
            <w:r>
              <w:t xml:space="preserve"> </w:t>
            </w:r>
            <w:r>
              <w:rPr>
                <w:b/>
              </w:rPr>
              <w:t>Section 664 Method</w:t>
            </w:r>
          </w:p>
        </w:tc>
        <w:tc>
          <w:tcPr>
            <w:tcW w:w="1634" w:type="dxa"/>
          </w:tcPr>
          <w:p w14:paraId="4319BADC" w14:textId="77777777" w:rsidR="00494B49" w:rsidRDefault="00494B49">
            <w:r>
              <w:t xml:space="preserve"> </w:t>
            </w:r>
            <w:r>
              <w:rPr>
                <w:b/>
              </w:rPr>
              <w:t>SNIIC Election Method</w:t>
            </w:r>
          </w:p>
        </w:tc>
      </w:tr>
      <w:tr w:rsidR="00494B49" w14:paraId="1AD78C5E" w14:textId="77777777" w:rsidTr="00F150FE">
        <w:trPr>
          <w:gridAfter w:val="4"/>
          <w:wAfter w:w="4964" w:type="dxa"/>
        </w:trPr>
        <w:tc>
          <w:tcPr>
            <w:tcW w:w="4392" w:type="dxa"/>
          </w:tcPr>
          <w:p w14:paraId="3A48EDCC" w14:textId="77777777" w:rsidR="00494B49" w:rsidRDefault="00494B49">
            <w:r>
              <w:t>Any short-term capital gains are deemed to be distributed in the following order:</w:t>
            </w:r>
          </w:p>
        </w:tc>
      </w:tr>
      <w:tr w:rsidR="00494B49" w14:paraId="0C3A5DDC" w14:textId="77777777" w:rsidTr="00F150FE">
        <w:trPr>
          <w:gridAfter w:val="1"/>
          <w:wAfter w:w="6" w:type="dxa"/>
        </w:trPr>
        <w:tc>
          <w:tcPr>
            <w:tcW w:w="4392" w:type="dxa"/>
          </w:tcPr>
          <w:p w14:paraId="5A30C325" w14:textId="77777777" w:rsidR="00494B49" w:rsidRDefault="00494B49"/>
        </w:tc>
        <w:tc>
          <w:tcPr>
            <w:tcW w:w="1380" w:type="dxa"/>
          </w:tcPr>
          <w:p w14:paraId="1BBB49D8" w14:textId="77777777" w:rsidR="00494B49" w:rsidRDefault="00494B49"/>
        </w:tc>
        <w:tc>
          <w:tcPr>
            <w:tcW w:w="1944" w:type="dxa"/>
          </w:tcPr>
          <w:p w14:paraId="7B0CB06B" w14:textId="77777777" w:rsidR="00494B49" w:rsidRDefault="00494B49">
            <w:r>
              <w:t>– First, short-term capital gain class that is net investment income (43.4% rate), then</w:t>
            </w:r>
          </w:p>
        </w:tc>
        <w:tc>
          <w:tcPr>
            <w:tcW w:w="1634" w:type="dxa"/>
          </w:tcPr>
          <w:p w14:paraId="30D8E79E" w14:textId="77777777" w:rsidR="00494B49" w:rsidRDefault="00494B49">
            <w:r>
              <w:t>Short-term capital gains</w:t>
            </w:r>
          </w:p>
        </w:tc>
      </w:tr>
      <w:tr w:rsidR="00F150FE" w14:paraId="333D4922" w14:textId="7D546ED0" w:rsidTr="00F150FE">
        <w:tc>
          <w:tcPr>
            <w:tcW w:w="4392" w:type="dxa"/>
          </w:tcPr>
          <w:p w14:paraId="362F8302" w14:textId="77777777" w:rsidR="00494B49" w:rsidRDefault="00494B49"/>
        </w:tc>
        <w:tc>
          <w:tcPr>
            <w:tcW w:w="1380" w:type="dxa"/>
          </w:tcPr>
          <w:p w14:paraId="57C1C582" w14:textId="77777777" w:rsidR="00494B49" w:rsidRDefault="00494B49"/>
        </w:tc>
        <w:tc>
          <w:tcPr>
            <w:tcW w:w="1944" w:type="dxa"/>
          </w:tcPr>
          <w:p w14:paraId="3FC2E7A4" w14:textId="77777777" w:rsidR="00494B49" w:rsidRDefault="00494B49">
            <w:r>
              <w:t>– Short-term capital gain class that is Excluded Income (39.6% rate)</w:t>
            </w:r>
          </w:p>
        </w:tc>
        <w:tc>
          <w:tcPr>
            <w:tcW w:w="1640" w:type="dxa"/>
            <w:gridSpan w:val="2"/>
            <w:shd w:val="clear" w:color="auto" w:fill="auto"/>
          </w:tcPr>
          <w:p w14:paraId="2B2C0A50" w14:textId="77777777" w:rsidR="00F150FE" w:rsidRDefault="00F150FE"/>
        </w:tc>
      </w:tr>
      <w:tr w:rsidR="00494B49" w14:paraId="09FE9632" w14:textId="77777777" w:rsidTr="00F150FE">
        <w:trPr>
          <w:gridAfter w:val="4"/>
          <w:wAfter w:w="4964" w:type="dxa"/>
        </w:trPr>
        <w:tc>
          <w:tcPr>
            <w:tcW w:w="4392" w:type="dxa"/>
          </w:tcPr>
          <w:p w14:paraId="512B6CED" w14:textId="77777777" w:rsidR="00494B49" w:rsidRDefault="00494B49">
            <w:r>
              <w:t>Any long-term capital gains are deemed to be distributed in the following order:</w:t>
            </w:r>
          </w:p>
        </w:tc>
      </w:tr>
      <w:tr w:rsidR="00494B49" w14:paraId="0443A6F3" w14:textId="77777777" w:rsidTr="00F150FE">
        <w:trPr>
          <w:gridAfter w:val="1"/>
          <w:wAfter w:w="6" w:type="dxa"/>
        </w:trPr>
        <w:tc>
          <w:tcPr>
            <w:tcW w:w="4392" w:type="dxa"/>
          </w:tcPr>
          <w:p w14:paraId="06D4A454" w14:textId="77777777" w:rsidR="00494B49" w:rsidRDefault="00494B49"/>
        </w:tc>
        <w:tc>
          <w:tcPr>
            <w:tcW w:w="1380" w:type="dxa"/>
          </w:tcPr>
          <w:p w14:paraId="26B0EBC8" w14:textId="77777777" w:rsidR="00494B49" w:rsidRDefault="00494B49"/>
        </w:tc>
        <w:tc>
          <w:tcPr>
            <w:tcW w:w="1944" w:type="dxa"/>
          </w:tcPr>
          <w:p w14:paraId="6C521326" w14:textId="77777777" w:rsidR="00494B49" w:rsidRDefault="00494B49">
            <w:r>
              <w:t>– The 28% long-term capital gain class that is net investment income (31.8% rate) is deemed distributed, then</w:t>
            </w:r>
          </w:p>
        </w:tc>
        <w:tc>
          <w:tcPr>
            <w:tcW w:w="1634" w:type="dxa"/>
          </w:tcPr>
          <w:p w14:paraId="23B57B30" w14:textId="77777777" w:rsidR="00494B49" w:rsidRDefault="00494B49">
            <w:r>
              <w:t>The 28% long-term capital gain class is deemed distributed, then</w:t>
            </w:r>
          </w:p>
        </w:tc>
      </w:tr>
      <w:tr w:rsidR="00F150FE" w14:paraId="41D8E676" w14:textId="53947681" w:rsidTr="00F150FE">
        <w:tc>
          <w:tcPr>
            <w:tcW w:w="4392" w:type="dxa"/>
          </w:tcPr>
          <w:p w14:paraId="326868D5" w14:textId="77777777" w:rsidR="00494B49" w:rsidRDefault="00494B49"/>
        </w:tc>
        <w:tc>
          <w:tcPr>
            <w:tcW w:w="1380" w:type="dxa"/>
          </w:tcPr>
          <w:p w14:paraId="6A8A81D4" w14:textId="77777777" w:rsidR="00494B49" w:rsidRDefault="00494B49"/>
        </w:tc>
        <w:tc>
          <w:tcPr>
            <w:tcW w:w="1944" w:type="dxa"/>
          </w:tcPr>
          <w:p w14:paraId="5EA382AC"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net investment income (28.8% rate) is deemed distributed, then </w:t>
            </w:r>
          </w:p>
        </w:tc>
        <w:tc>
          <w:tcPr>
            <w:tcW w:w="1640" w:type="dxa"/>
            <w:gridSpan w:val="2"/>
            <w:shd w:val="clear" w:color="auto" w:fill="auto"/>
          </w:tcPr>
          <w:p w14:paraId="01930BBB" w14:textId="77777777" w:rsidR="00F150FE" w:rsidRDefault="00F150FE"/>
        </w:tc>
      </w:tr>
      <w:tr w:rsidR="00494B49" w14:paraId="5B991E81" w14:textId="77777777" w:rsidTr="00F150FE">
        <w:trPr>
          <w:gridAfter w:val="1"/>
          <w:wAfter w:w="6" w:type="dxa"/>
        </w:trPr>
        <w:tc>
          <w:tcPr>
            <w:tcW w:w="4392" w:type="dxa"/>
          </w:tcPr>
          <w:p w14:paraId="390E1EE0" w14:textId="77777777" w:rsidR="00494B49" w:rsidRDefault="00494B49"/>
        </w:tc>
        <w:tc>
          <w:tcPr>
            <w:tcW w:w="1380" w:type="dxa"/>
          </w:tcPr>
          <w:p w14:paraId="6DC34154" w14:textId="77777777" w:rsidR="00494B49" w:rsidRDefault="00494B49"/>
        </w:tc>
        <w:tc>
          <w:tcPr>
            <w:tcW w:w="1944" w:type="dxa"/>
          </w:tcPr>
          <w:p w14:paraId="76AE1811" w14:textId="77777777" w:rsidR="00494B49" w:rsidRDefault="00494B49">
            <w:r>
              <w:t>– The 28% long-term capital gain class that is Excluded Income (28% rate) is deemed distributed, then</w:t>
            </w:r>
          </w:p>
        </w:tc>
        <w:tc>
          <w:tcPr>
            <w:tcW w:w="1634" w:type="dxa"/>
          </w:tcPr>
          <w:p w14:paraId="0FDE3B64" w14:textId="77777777" w:rsidR="00494B49" w:rsidRDefault="00494B49">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965E39" w14:paraId="79F7F966" w14:textId="2F6CED55" w:rsidTr="00965E39">
        <w:tc>
          <w:tcPr>
            <w:tcW w:w="4392" w:type="dxa"/>
          </w:tcPr>
          <w:p w14:paraId="1C341707" w14:textId="77777777" w:rsidR="00494B49" w:rsidRDefault="00494B49"/>
        </w:tc>
        <w:tc>
          <w:tcPr>
            <w:tcW w:w="1380" w:type="dxa"/>
          </w:tcPr>
          <w:p w14:paraId="15642B0E" w14:textId="77777777" w:rsidR="00494B49" w:rsidRDefault="00494B49"/>
        </w:tc>
        <w:tc>
          <w:tcPr>
            <w:tcW w:w="1944" w:type="dxa"/>
          </w:tcPr>
          <w:p w14:paraId="3ED484D0"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1640" w:type="dxa"/>
            <w:gridSpan w:val="2"/>
            <w:shd w:val="clear" w:color="auto" w:fill="auto"/>
          </w:tcPr>
          <w:p w14:paraId="00D9ACBA" w14:textId="77777777" w:rsidR="00965E39" w:rsidRDefault="00965E39"/>
        </w:tc>
      </w:tr>
      <w:tr w:rsidR="00494B49" w14:paraId="14B01DC5" w14:textId="77777777" w:rsidTr="00F150FE">
        <w:trPr>
          <w:gridAfter w:val="1"/>
          <w:wAfter w:w="6" w:type="dxa"/>
        </w:trPr>
        <w:tc>
          <w:tcPr>
            <w:tcW w:w="4392" w:type="dxa"/>
          </w:tcPr>
          <w:p w14:paraId="3927B617" w14:textId="77777777" w:rsidR="00494B49" w:rsidRDefault="00494B49"/>
        </w:tc>
        <w:tc>
          <w:tcPr>
            <w:tcW w:w="1380" w:type="dxa"/>
          </w:tcPr>
          <w:p w14:paraId="438169E5" w14:textId="77777777" w:rsidR="00494B49" w:rsidRDefault="00494B49"/>
        </w:tc>
        <w:tc>
          <w:tcPr>
            <w:tcW w:w="1944" w:type="dxa"/>
          </w:tcPr>
          <w:p w14:paraId="56C8525A" w14:textId="77777777" w:rsidR="00494B49" w:rsidRDefault="00494B49">
            <w:r>
              <w:t>– The all other long-term capital gain class that is net investment income (23.8% rate) is deemed distributed, then finally</w:t>
            </w:r>
          </w:p>
        </w:tc>
        <w:tc>
          <w:tcPr>
            <w:tcW w:w="1634" w:type="dxa"/>
          </w:tcPr>
          <w:p w14:paraId="5E0C3091" w14:textId="77777777" w:rsidR="00494B49" w:rsidRDefault="00494B49">
            <w:r>
              <w:t xml:space="preserve">All other long-term capital gain class. </w:t>
            </w:r>
          </w:p>
        </w:tc>
      </w:tr>
      <w:tr w:rsidR="00965E39" w14:paraId="42149DD1" w14:textId="058BFF6B" w:rsidTr="00965E39">
        <w:tc>
          <w:tcPr>
            <w:tcW w:w="4392" w:type="dxa"/>
          </w:tcPr>
          <w:p w14:paraId="4372C20B" w14:textId="77777777" w:rsidR="00494B49" w:rsidRDefault="00494B49"/>
        </w:tc>
        <w:tc>
          <w:tcPr>
            <w:tcW w:w="1380" w:type="dxa"/>
          </w:tcPr>
          <w:p w14:paraId="248AF1AC" w14:textId="77777777" w:rsidR="00494B49" w:rsidRDefault="00494B49"/>
        </w:tc>
        <w:tc>
          <w:tcPr>
            <w:tcW w:w="1944" w:type="dxa"/>
          </w:tcPr>
          <w:p w14:paraId="01660684" w14:textId="77777777" w:rsidR="00494B49" w:rsidRDefault="00494B49">
            <w:r>
              <w:t>– The all other long-term capital gain class is deemed distributed</w:t>
            </w:r>
          </w:p>
        </w:tc>
        <w:tc>
          <w:tcPr>
            <w:tcW w:w="1640" w:type="dxa"/>
            <w:gridSpan w:val="2"/>
            <w:shd w:val="clear" w:color="auto" w:fill="auto"/>
          </w:tcPr>
          <w:p w14:paraId="66D25DFF" w14:textId="77777777" w:rsidR="00965E39" w:rsidRDefault="00965E39"/>
        </w:tc>
      </w:tr>
    </w:tbl>
    <w:p w14:paraId="2BF726AE" w14:textId="77777777" w:rsidR="00494B49" w:rsidRDefault="00494B49">
      <w:pPr>
        <w:pStyle w:val="BNormal"/>
      </w:pPr>
    </w:p>
    <w:p w14:paraId="4393B8A7" w14:textId="77777777" w:rsidR="00494B49" w:rsidRDefault="00494B49">
      <w:pPr>
        <w:pStyle w:val="BHead4"/>
      </w:pPr>
      <w:r>
        <w:t xml:space="preserve">(3) Capital Gain and Loss Netting Rules </w:t>
      </w:r>
    </w:p>
    <w:p w14:paraId="151FB789" w14:textId="77777777" w:rsidR="00494B49" w:rsidRDefault="00494B49" w:rsidP="00144640">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48"/>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49"/>
      </w:r>
      <w:r>
        <w:t xml:space="preserve"> illustrates the differences in netting rules between the two methods: </w:t>
      </w:r>
    </w:p>
    <w:p w14:paraId="7CD0C694" w14:textId="77777777" w:rsidR="00494B49" w:rsidRDefault="00494B49" w:rsidP="00144640">
      <w:pPr>
        <w:pStyle w:val="BNormal"/>
      </w:pPr>
    </w:p>
    <w:tbl>
      <w:tblPr>
        <w:tblStyle w:val="TableGrid"/>
        <w:tblW w:w="0" w:type="auto"/>
        <w:tblLook w:val="04A0" w:firstRow="1" w:lastRow="0" w:firstColumn="1" w:lastColumn="0" w:noHBand="0" w:noVBand="1"/>
      </w:tblPr>
      <w:tblGrid>
        <w:gridCol w:w="2561"/>
        <w:gridCol w:w="2919"/>
        <w:gridCol w:w="2140"/>
        <w:gridCol w:w="1730"/>
      </w:tblGrid>
      <w:tr w:rsidR="00494B49" w14:paraId="239854D3" w14:textId="77777777" w:rsidTr="00965E39">
        <w:tc>
          <w:tcPr>
            <w:tcW w:w="2561" w:type="dxa"/>
          </w:tcPr>
          <w:p w14:paraId="705F045D" w14:textId="77777777" w:rsidR="00494B49" w:rsidRDefault="00494B49"/>
        </w:tc>
        <w:tc>
          <w:tcPr>
            <w:tcW w:w="2919" w:type="dxa"/>
          </w:tcPr>
          <w:p w14:paraId="08375382" w14:textId="77777777" w:rsidR="00494B49" w:rsidRDefault="00494B49"/>
        </w:tc>
        <w:tc>
          <w:tcPr>
            <w:tcW w:w="2140" w:type="dxa"/>
          </w:tcPr>
          <w:p w14:paraId="4D8B4F1C" w14:textId="77777777" w:rsidR="00494B49" w:rsidRDefault="00494B49">
            <w:r>
              <w:t xml:space="preserve"> </w:t>
            </w:r>
            <w:r>
              <w:rPr>
                <w:b/>
              </w:rPr>
              <w:t>Section 664 Method</w:t>
            </w:r>
          </w:p>
        </w:tc>
        <w:tc>
          <w:tcPr>
            <w:tcW w:w="1730" w:type="dxa"/>
          </w:tcPr>
          <w:p w14:paraId="7466B771" w14:textId="77777777" w:rsidR="00494B49" w:rsidRDefault="00494B49">
            <w:r>
              <w:t xml:space="preserve"> </w:t>
            </w:r>
            <w:r>
              <w:rPr>
                <w:b/>
              </w:rPr>
              <w:t>SNIIC Election Method</w:t>
            </w:r>
          </w:p>
        </w:tc>
      </w:tr>
      <w:tr w:rsidR="00965E39" w14:paraId="79C1E6C4" w14:textId="5C70ED8C" w:rsidTr="00965E39">
        <w:tc>
          <w:tcPr>
            <w:tcW w:w="2561" w:type="dxa"/>
          </w:tcPr>
          <w:p w14:paraId="25FAF659" w14:textId="77777777" w:rsidR="00494B49" w:rsidRDefault="00494B49">
            <w:r>
              <w:t>(1)</w:t>
            </w:r>
          </w:p>
        </w:tc>
        <w:tc>
          <w:tcPr>
            <w:tcW w:w="2919" w:type="dxa"/>
          </w:tcPr>
          <w:p w14:paraId="27C98A0D" w14:textId="77777777" w:rsidR="00494B49" w:rsidRDefault="00494B49">
            <w:r>
              <w:t xml:space="preserve">Among the long-term capital gain and loss classes: </w:t>
            </w:r>
          </w:p>
        </w:tc>
        <w:tc>
          <w:tcPr>
            <w:tcW w:w="2140" w:type="dxa"/>
            <w:shd w:val="clear" w:color="auto" w:fill="auto"/>
          </w:tcPr>
          <w:p w14:paraId="2EC1D0B8" w14:textId="77777777" w:rsidR="00965E39" w:rsidRDefault="00965E39"/>
        </w:tc>
        <w:tc>
          <w:tcPr>
            <w:tcW w:w="1730" w:type="dxa"/>
            <w:shd w:val="clear" w:color="auto" w:fill="auto"/>
          </w:tcPr>
          <w:p w14:paraId="7355F15E" w14:textId="77777777" w:rsidR="00965E39" w:rsidRDefault="00965E39"/>
        </w:tc>
      </w:tr>
      <w:tr w:rsidR="00965E39" w14:paraId="430C8F11" w14:textId="28B5F1E7" w:rsidTr="00965E39">
        <w:tc>
          <w:tcPr>
            <w:tcW w:w="2561" w:type="dxa"/>
          </w:tcPr>
          <w:p w14:paraId="1EBEE970" w14:textId="77777777" w:rsidR="00494B49" w:rsidRDefault="00494B49"/>
        </w:tc>
        <w:tc>
          <w:tcPr>
            <w:tcW w:w="2919" w:type="dxa"/>
          </w:tcPr>
          <w:p w14:paraId="1D0E2776" w14:textId="77777777" w:rsidR="00494B49" w:rsidRDefault="00494B49">
            <w:r>
              <w:t>(a) A net loss from the 28% long-term capital gain class that is net investment income (31.8% rate) reduces net gains in the following order:</w:t>
            </w:r>
          </w:p>
        </w:tc>
        <w:tc>
          <w:tcPr>
            <w:tcW w:w="2140" w:type="dxa"/>
            <w:shd w:val="clear" w:color="auto" w:fill="auto"/>
          </w:tcPr>
          <w:p w14:paraId="47D09A22" w14:textId="77777777" w:rsidR="00965E39" w:rsidRDefault="00965E39"/>
        </w:tc>
        <w:tc>
          <w:tcPr>
            <w:tcW w:w="1730" w:type="dxa"/>
            <w:shd w:val="clear" w:color="auto" w:fill="auto"/>
          </w:tcPr>
          <w:p w14:paraId="670E05CE" w14:textId="77777777" w:rsidR="00965E39" w:rsidRDefault="00965E39"/>
        </w:tc>
      </w:tr>
      <w:tr w:rsidR="00494B49" w14:paraId="12C77253" w14:textId="77777777" w:rsidTr="00965E39">
        <w:tc>
          <w:tcPr>
            <w:tcW w:w="2561" w:type="dxa"/>
          </w:tcPr>
          <w:p w14:paraId="53D957AA" w14:textId="77777777" w:rsidR="00494B49" w:rsidRDefault="00494B49"/>
        </w:tc>
        <w:tc>
          <w:tcPr>
            <w:tcW w:w="2919" w:type="dxa"/>
          </w:tcPr>
          <w:p w14:paraId="54050274" w14:textId="77777777" w:rsidR="00494B49" w:rsidRDefault="00494B49"/>
        </w:tc>
        <w:tc>
          <w:tcPr>
            <w:tcW w:w="2140" w:type="dxa"/>
          </w:tcPr>
          <w:p w14:paraId="5F3BF2FB" w14:textId="77777777" w:rsidR="00494B49" w:rsidRDefault="00494B49">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19E57508" w14:textId="77777777" w:rsidR="00494B49" w:rsidRDefault="00494B49">
            <w:r>
              <w:t>Not Applicable</w:t>
            </w:r>
          </w:p>
        </w:tc>
      </w:tr>
      <w:tr w:rsidR="00965E39" w14:paraId="44B2F794" w14:textId="3D6C8EBE" w:rsidTr="00965E39">
        <w:tc>
          <w:tcPr>
            <w:tcW w:w="2561" w:type="dxa"/>
          </w:tcPr>
          <w:p w14:paraId="08799965" w14:textId="77777777" w:rsidR="00494B49" w:rsidRDefault="00494B49"/>
        </w:tc>
        <w:tc>
          <w:tcPr>
            <w:tcW w:w="2919" w:type="dxa"/>
          </w:tcPr>
          <w:p w14:paraId="3BFE76DB" w14:textId="77777777" w:rsidR="00494B49" w:rsidRDefault="00494B49"/>
        </w:tc>
        <w:tc>
          <w:tcPr>
            <w:tcW w:w="2140" w:type="dxa"/>
          </w:tcPr>
          <w:p w14:paraId="2C228E1F" w14:textId="77777777" w:rsidR="00494B49" w:rsidRDefault="00494B49">
            <w:r>
              <w:t>– Net gain from the 28% long-term capital gain class that is Excluded Income (28% rate), then</w:t>
            </w:r>
          </w:p>
        </w:tc>
        <w:tc>
          <w:tcPr>
            <w:tcW w:w="1730" w:type="dxa"/>
            <w:shd w:val="clear" w:color="auto" w:fill="auto"/>
          </w:tcPr>
          <w:p w14:paraId="08ACD4C9" w14:textId="77777777" w:rsidR="00965E39" w:rsidRDefault="00965E39"/>
        </w:tc>
      </w:tr>
      <w:tr w:rsidR="00965E39" w14:paraId="30BA878B" w14:textId="172C18BE" w:rsidTr="00965E39">
        <w:tc>
          <w:tcPr>
            <w:tcW w:w="2561" w:type="dxa"/>
          </w:tcPr>
          <w:p w14:paraId="20D0CB13" w14:textId="77777777" w:rsidR="00494B49" w:rsidRDefault="00494B49"/>
        </w:tc>
        <w:tc>
          <w:tcPr>
            <w:tcW w:w="2919" w:type="dxa"/>
          </w:tcPr>
          <w:p w14:paraId="050B575F" w14:textId="77777777" w:rsidR="00494B49" w:rsidRDefault="00494B49"/>
        </w:tc>
        <w:tc>
          <w:tcPr>
            <w:tcW w:w="2140" w:type="dxa"/>
          </w:tcPr>
          <w:p w14:paraId="1F238538"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11BDE7A6" w14:textId="77777777" w:rsidR="00965E39" w:rsidRDefault="00965E39"/>
        </w:tc>
      </w:tr>
      <w:tr w:rsidR="00965E39" w14:paraId="398C2D4E" w14:textId="5B5EB371" w:rsidTr="00965E39">
        <w:tc>
          <w:tcPr>
            <w:tcW w:w="2561" w:type="dxa"/>
          </w:tcPr>
          <w:p w14:paraId="7EEE9CEF" w14:textId="77777777" w:rsidR="00494B49" w:rsidRDefault="00494B49"/>
        </w:tc>
        <w:tc>
          <w:tcPr>
            <w:tcW w:w="2919" w:type="dxa"/>
          </w:tcPr>
          <w:p w14:paraId="23077AEE" w14:textId="77777777" w:rsidR="00494B49" w:rsidRDefault="00494B49"/>
        </w:tc>
        <w:tc>
          <w:tcPr>
            <w:tcW w:w="2140" w:type="dxa"/>
          </w:tcPr>
          <w:p w14:paraId="7103CAE8" w14:textId="77777777" w:rsidR="00494B49" w:rsidRDefault="00494B49">
            <w:r>
              <w:t>– Net gain from the all other long-term capital gain class that is net investment income (23.8% rate), and finally</w:t>
            </w:r>
          </w:p>
        </w:tc>
        <w:tc>
          <w:tcPr>
            <w:tcW w:w="1730" w:type="dxa"/>
            <w:shd w:val="clear" w:color="auto" w:fill="auto"/>
          </w:tcPr>
          <w:p w14:paraId="5B16DD13" w14:textId="77777777" w:rsidR="00965E39" w:rsidRDefault="00965E39"/>
        </w:tc>
      </w:tr>
      <w:tr w:rsidR="00965E39" w14:paraId="0E80CCEB" w14:textId="244BCE6A" w:rsidTr="00965E39">
        <w:tc>
          <w:tcPr>
            <w:tcW w:w="2561" w:type="dxa"/>
          </w:tcPr>
          <w:p w14:paraId="51B2C919" w14:textId="77777777" w:rsidR="00494B49" w:rsidRDefault="00494B49"/>
        </w:tc>
        <w:tc>
          <w:tcPr>
            <w:tcW w:w="2919" w:type="dxa"/>
          </w:tcPr>
          <w:p w14:paraId="52D9B406" w14:textId="77777777" w:rsidR="00494B49" w:rsidRDefault="00494B49"/>
        </w:tc>
        <w:tc>
          <w:tcPr>
            <w:tcW w:w="2140" w:type="dxa"/>
          </w:tcPr>
          <w:p w14:paraId="04DC3242" w14:textId="77777777" w:rsidR="00494B49" w:rsidRDefault="00494B49">
            <w:r>
              <w:t>– Net gain from the all other long-term capital gain class that is Excluded Income (20% rate).</w:t>
            </w:r>
          </w:p>
        </w:tc>
        <w:tc>
          <w:tcPr>
            <w:tcW w:w="1730" w:type="dxa"/>
            <w:shd w:val="clear" w:color="auto" w:fill="auto"/>
          </w:tcPr>
          <w:p w14:paraId="0B3A6C70" w14:textId="77777777" w:rsidR="00965E39" w:rsidRDefault="00965E39"/>
        </w:tc>
      </w:tr>
      <w:tr w:rsidR="00965E39" w14:paraId="110B920B" w14:textId="044E3D1E" w:rsidTr="00965E39">
        <w:tc>
          <w:tcPr>
            <w:tcW w:w="2561" w:type="dxa"/>
          </w:tcPr>
          <w:p w14:paraId="7E421D06" w14:textId="77777777" w:rsidR="00494B49" w:rsidRDefault="00494B49"/>
        </w:tc>
        <w:tc>
          <w:tcPr>
            <w:tcW w:w="2919" w:type="dxa"/>
          </w:tcPr>
          <w:p w14:paraId="49605E39" w14:textId="77777777" w:rsidR="00494B49" w:rsidRDefault="00494B49">
            <w:r>
              <w:t>(b) A net loss from the 28% long-term capital gain class that is Excluded Income (28% rate) reduces net gains in the following order:</w:t>
            </w:r>
          </w:p>
        </w:tc>
        <w:tc>
          <w:tcPr>
            <w:tcW w:w="2140" w:type="dxa"/>
            <w:shd w:val="clear" w:color="auto" w:fill="auto"/>
          </w:tcPr>
          <w:p w14:paraId="77F14DA9" w14:textId="77777777" w:rsidR="00965E39" w:rsidRDefault="00965E39"/>
        </w:tc>
        <w:tc>
          <w:tcPr>
            <w:tcW w:w="1730" w:type="dxa"/>
            <w:shd w:val="clear" w:color="auto" w:fill="auto"/>
          </w:tcPr>
          <w:p w14:paraId="488B5514" w14:textId="77777777" w:rsidR="00965E39" w:rsidRDefault="00965E39"/>
        </w:tc>
      </w:tr>
      <w:tr w:rsidR="00494B49" w14:paraId="1DE42B43" w14:textId="77777777" w:rsidTr="00965E39">
        <w:tc>
          <w:tcPr>
            <w:tcW w:w="2561" w:type="dxa"/>
          </w:tcPr>
          <w:p w14:paraId="03EE619A" w14:textId="77777777" w:rsidR="00494B49" w:rsidRDefault="00494B49"/>
        </w:tc>
        <w:tc>
          <w:tcPr>
            <w:tcW w:w="2919" w:type="dxa"/>
          </w:tcPr>
          <w:p w14:paraId="6B230DDC" w14:textId="77777777" w:rsidR="00494B49" w:rsidRDefault="00494B49"/>
        </w:tc>
        <w:tc>
          <w:tcPr>
            <w:tcW w:w="2140" w:type="dxa"/>
          </w:tcPr>
          <w:p w14:paraId="3AD7A49D" w14:textId="77777777" w:rsidR="00494B49" w:rsidRDefault="00494B49">
            <w:r>
              <w:t>– First, net gain from the 28% long-term capital gain class that is net investment income (31.8% rate), then</w:t>
            </w:r>
          </w:p>
        </w:tc>
        <w:tc>
          <w:tcPr>
            <w:tcW w:w="1730" w:type="dxa"/>
          </w:tcPr>
          <w:p w14:paraId="7DD2DFE4" w14:textId="77777777" w:rsidR="00494B49" w:rsidRDefault="00494B49">
            <w:r>
              <w:t xml:space="preserve">First, gain from the </w:t>
            </w:r>
            <w:smartTag w:uri="http://www.bna.com/sgml2word/cite" w:element="cite.usc">
              <w:smartTagPr>
                <w:attr w:name="ref" w:val="USC\26\1250"/>
              </w:smartTagPr>
              <w:r>
                <w:t>§1250</w:t>
              </w:r>
            </w:smartTag>
            <w:r>
              <w:t xml:space="preserve"> long-term capital gain class, then</w:t>
            </w:r>
          </w:p>
        </w:tc>
      </w:tr>
      <w:tr w:rsidR="00965E39" w14:paraId="6C7C9AFB" w14:textId="696BDA9D" w:rsidTr="00965E39">
        <w:tc>
          <w:tcPr>
            <w:tcW w:w="2561" w:type="dxa"/>
          </w:tcPr>
          <w:p w14:paraId="555C5F83" w14:textId="77777777" w:rsidR="00494B49" w:rsidRDefault="00494B49"/>
        </w:tc>
        <w:tc>
          <w:tcPr>
            <w:tcW w:w="2919" w:type="dxa"/>
          </w:tcPr>
          <w:p w14:paraId="53C90AF1" w14:textId="77777777" w:rsidR="00494B49" w:rsidRDefault="00494B49"/>
        </w:tc>
        <w:tc>
          <w:tcPr>
            <w:tcW w:w="2140" w:type="dxa"/>
          </w:tcPr>
          <w:p w14:paraId="62B59E09"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9AEB0B2" w14:textId="77777777" w:rsidR="00965E39" w:rsidRDefault="00965E39"/>
        </w:tc>
      </w:tr>
      <w:tr w:rsidR="00494B49" w14:paraId="12E99517" w14:textId="77777777" w:rsidTr="00965E39">
        <w:tc>
          <w:tcPr>
            <w:tcW w:w="2561" w:type="dxa"/>
          </w:tcPr>
          <w:p w14:paraId="0352759D" w14:textId="77777777" w:rsidR="00494B49" w:rsidRDefault="00494B49"/>
        </w:tc>
        <w:tc>
          <w:tcPr>
            <w:tcW w:w="2919" w:type="dxa"/>
          </w:tcPr>
          <w:p w14:paraId="0D76C734" w14:textId="77777777" w:rsidR="00494B49" w:rsidRDefault="00494B49"/>
        </w:tc>
        <w:tc>
          <w:tcPr>
            <w:tcW w:w="2140" w:type="dxa"/>
          </w:tcPr>
          <w:p w14:paraId="20C4CE17"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tcPr>
          <w:p w14:paraId="39231BAD" w14:textId="77777777" w:rsidR="00494B49" w:rsidRDefault="00494B49">
            <w:r>
              <w:t>Net gain from the all other long-term capital gain class.</w:t>
            </w:r>
          </w:p>
        </w:tc>
      </w:tr>
      <w:tr w:rsidR="00965E39" w14:paraId="653A986E" w14:textId="6DBD7993" w:rsidTr="00965E39">
        <w:tc>
          <w:tcPr>
            <w:tcW w:w="2561" w:type="dxa"/>
          </w:tcPr>
          <w:p w14:paraId="260953A5" w14:textId="77777777" w:rsidR="00494B49" w:rsidRDefault="00494B49"/>
        </w:tc>
        <w:tc>
          <w:tcPr>
            <w:tcW w:w="2919" w:type="dxa"/>
          </w:tcPr>
          <w:p w14:paraId="4EDAB4EF" w14:textId="77777777" w:rsidR="00494B49" w:rsidRDefault="00494B49"/>
        </w:tc>
        <w:tc>
          <w:tcPr>
            <w:tcW w:w="2140" w:type="dxa"/>
          </w:tcPr>
          <w:p w14:paraId="375C266B" w14:textId="77777777" w:rsidR="00494B49" w:rsidRDefault="00494B49">
            <w:r>
              <w:t>– Net gain from the all other long-term capital gain class that is net investment income (23.8% rate), and finally</w:t>
            </w:r>
          </w:p>
        </w:tc>
        <w:tc>
          <w:tcPr>
            <w:tcW w:w="1730" w:type="dxa"/>
            <w:shd w:val="clear" w:color="auto" w:fill="auto"/>
          </w:tcPr>
          <w:p w14:paraId="18EDDF3C" w14:textId="77777777" w:rsidR="00965E39" w:rsidRDefault="00965E39"/>
        </w:tc>
      </w:tr>
      <w:tr w:rsidR="00965E39" w14:paraId="008739BC" w14:textId="5F8BE771" w:rsidTr="00965E39">
        <w:tc>
          <w:tcPr>
            <w:tcW w:w="2561" w:type="dxa"/>
          </w:tcPr>
          <w:p w14:paraId="13F6B1B2" w14:textId="77777777" w:rsidR="00494B49" w:rsidRDefault="00494B49"/>
        </w:tc>
        <w:tc>
          <w:tcPr>
            <w:tcW w:w="2919" w:type="dxa"/>
          </w:tcPr>
          <w:p w14:paraId="7A0BA532" w14:textId="77777777" w:rsidR="00494B49" w:rsidRDefault="00494B49"/>
        </w:tc>
        <w:tc>
          <w:tcPr>
            <w:tcW w:w="2140" w:type="dxa"/>
          </w:tcPr>
          <w:p w14:paraId="2BCD5D76" w14:textId="77777777" w:rsidR="00494B49" w:rsidRDefault="00494B49">
            <w:r>
              <w:t>– Net gain from the all other long-term capital gain class that is Excluded Income (20% rate).</w:t>
            </w:r>
          </w:p>
        </w:tc>
        <w:tc>
          <w:tcPr>
            <w:tcW w:w="1730" w:type="dxa"/>
            <w:shd w:val="clear" w:color="auto" w:fill="auto"/>
          </w:tcPr>
          <w:p w14:paraId="153AC4FA" w14:textId="77777777" w:rsidR="00965E39" w:rsidRDefault="00965E39"/>
        </w:tc>
      </w:tr>
      <w:tr w:rsidR="00965E39" w14:paraId="457206B7" w14:textId="0AA36604" w:rsidTr="00965E39">
        <w:tc>
          <w:tcPr>
            <w:tcW w:w="2561" w:type="dxa"/>
          </w:tcPr>
          <w:p w14:paraId="5EBE87CF" w14:textId="77777777" w:rsidR="00494B49" w:rsidRDefault="00494B49"/>
        </w:tc>
        <w:tc>
          <w:tcPr>
            <w:tcW w:w="2919" w:type="dxa"/>
          </w:tcPr>
          <w:p w14:paraId="4E6CF7FA" w14:textId="77777777" w:rsidR="00494B49" w:rsidRDefault="00494B49">
            <w:r>
              <w:t>(c) A net loss from the all other long-term capital gain class that is net investment income (23.8% rate) reduces net gains in the following order:</w:t>
            </w:r>
          </w:p>
        </w:tc>
        <w:tc>
          <w:tcPr>
            <w:tcW w:w="2140" w:type="dxa"/>
            <w:shd w:val="clear" w:color="auto" w:fill="auto"/>
          </w:tcPr>
          <w:p w14:paraId="6CBC0665" w14:textId="77777777" w:rsidR="00965E39" w:rsidRDefault="00965E39"/>
        </w:tc>
        <w:tc>
          <w:tcPr>
            <w:tcW w:w="1730" w:type="dxa"/>
            <w:shd w:val="clear" w:color="auto" w:fill="auto"/>
          </w:tcPr>
          <w:p w14:paraId="398D6DF6" w14:textId="77777777" w:rsidR="00965E39" w:rsidRDefault="00965E39"/>
        </w:tc>
      </w:tr>
      <w:tr w:rsidR="00494B49" w14:paraId="14019CB7" w14:textId="77777777" w:rsidTr="00965E39">
        <w:tc>
          <w:tcPr>
            <w:tcW w:w="2561" w:type="dxa"/>
          </w:tcPr>
          <w:p w14:paraId="42786C9A" w14:textId="77777777" w:rsidR="00494B49" w:rsidRDefault="00494B49"/>
        </w:tc>
        <w:tc>
          <w:tcPr>
            <w:tcW w:w="2919" w:type="dxa"/>
          </w:tcPr>
          <w:p w14:paraId="20EB2CC9" w14:textId="77777777" w:rsidR="00494B49" w:rsidRDefault="00494B49"/>
        </w:tc>
        <w:tc>
          <w:tcPr>
            <w:tcW w:w="2140" w:type="dxa"/>
          </w:tcPr>
          <w:p w14:paraId="7921D084" w14:textId="77777777" w:rsidR="00494B49" w:rsidRDefault="00494B49">
            <w:r>
              <w:t>– First, net gain from the 28% long-term capital gain class that is net investment income (31.8% rate), then</w:t>
            </w:r>
          </w:p>
        </w:tc>
        <w:tc>
          <w:tcPr>
            <w:tcW w:w="1730" w:type="dxa"/>
          </w:tcPr>
          <w:p w14:paraId="21494C52" w14:textId="77777777" w:rsidR="00494B49" w:rsidRDefault="00494B49">
            <w:r>
              <w:t>Not Applicable</w:t>
            </w:r>
          </w:p>
        </w:tc>
      </w:tr>
      <w:tr w:rsidR="00965E39" w14:paraId="75B37E2F" w14:textId="2E1B2F9A" w:rsidTr="00965E39">
        <w:tc>
          <w:tcPr>
            <w:tcW w:w="2561" w:type="dxa"/>
          </w:tcPr>
          <w:p w14:paraId="1CE5D16E" w14:textId="77777777" w:rsidR="00494B49" w:rsidRDefault="00494B49"/>
        </w:tc>
        <w:tc>
          <w:tcPr>
            <w:tcW w:w="2919" w:type="dxa"/>
          </w:tcPr>
          <w:p w14:paraId="37A01E3C" w14:textId="77777777" w:rsidR="00494B49" w:rsidRDefault="00494B49"/>
        </w:tc>
        <w:tc>
          <w:tcPr>
            <w:tcW w:w="2140" w:type="dxa"/>
          </w:tcPr>
          <w:p w14:paraId="14B4C342"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63FDE476" w14:textId="77777777" w:rsidR="00965E39" w:rsidRDefault="00965E39"/>
        </w:tc>
      </w:tr>
      <w:tr w:rsidR="00965E39" w14:paraId="41B2E9E5" w14:textId="359227EB" w:rsidTr="00965E39">
        <w:tc>
          <w:tcPr>
            <w:tcW w:w="2561" w:type="dxa"/>
          </w:tcPr>
          <w:p w14:paraId="01FCCEA8" w14:textId="77777777" w:rsidR="00494B49" w:rsidRDefault="00494B49"/>
        </w:tc>
        <w:tc>
          <w:tcPr>
            <w:tcW w:w="2919" w:type="dxa"/>
          </w:tcPr>
          <w:p w14:paraId="5A90C6FD" w14:textId="77777777" w:rsidR="00494B49" w:rsidRDefault="00494B49"/>
        </w:tc>
        <w:tc>
          <w:tcPr>
            <w:tcW w:w="2140" w:type="dxa"/>
          </w:tcPr>
          <w:p w14:paraId="7F2ECE72" w14:textId="77777777" w:rsidR="00494B49" w:rsidRDefault="00494B49">
            <w:r>
              <w:t>– Net gain from the 28% long-term capital gain class that is Excluded Income (28% rate), then</w:t>
            </w:r>
          </w:p>
        </w:tc>
        <w:tc>
          <w:tcPr>
            <w:tcW w:w="1730" w:type="dxa"/>
            <w:shd w:val="clear" w:color="auto" w:fill="auto"/>
          </w:tcPr>
          <w:p w14:paraId="43123F82" w14:textId="77777777" w:rsidR="00965E39" w:rsidRDefault="00965E39"/>
        </w:tc>
      </w:tr>
      <w:tr w:rsidR="00965E39" w14:paraId="3A7FE347" w14:textId="34A9D5A6" w:rsidTr="00965E39">
        <w:tc>
          <w:tcPr>
            <w:tcW w:w="2561" w:type="dxa"/>
          </w:tcPr>
          <w:p w14:paraId="07C3C10C" w14:textId="77777777" w:rsidR="00494B49" w:rsidRDefault="00494B49"/>
        </w:tc>
        <w:tc>
          <w:tcPr>
            <w:tcW w:w="2919" w:type="dxa"/>
          </w:tcPr>
          <w:p w14:paraId="7BD1AE71" w14:textId="77777777" w:rsidR="00494B49" w:rsidRDefault="00494B49"/>
        </w:tc>
        <w:tc>
          <w:tcPr>
            <w:tcW w:w="2140" w:type="dxa"/>
          </w:tcPr>
          <w:p w14:paraId="361E1106"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72760B08" w14:textId="77777777" w:rsidR="00965E39" w:rsidRDefault="00965E39"/>
        </w:tc>
      </w:tr>
      <w:tr w:rsidR="00965E39" w14:paraId="189474D0" w14:textId="08ACC5E1" w:rsidTr="00965E39">
        <w:tc>
          <w:tcPr>
            <w:tcW w:w="2561" w:type="dxa"/>
          </w:tcPr>
          <w:p w14:paraId="573EFB4D" w14:textId="77777777" w:rsidR="00494B49" w:rsidRDefault="00494B49"/>
        </w:tc>
        <w:tc>
          <w:tcPr>
            <w:tcW w:w="2919" w:type="dxa"/>
          </w:tcPr>
          <w:p w14:paraId="263B9104" w14:textId="77777777" w:rsidR="00494B49" w:rsidRDefault="00494B49"/>
        </w:tc>
        <w:tc>
          <w:tcPr>
            <w:tcW w:w="2140" w:type="dxa"/>
          </w:tcPr>
          <w:p w14:paraId="56370A56" w14:textId="77777777" w:rsidR="00494B49" w:rsidRDefault="00494B49">
            <w:r>
              <w:t>– Net gain from the all other long-term capital gain class that is Excluded Income (20% rate).</w:t>
            </w:r>
          </w:p>
        </w:tc>
        <w:tc>
          <w:tcPr>
            <w:tcW w:w="1730" w:type="dxa"/>
            <w:shd w:val="clear" w:color="auto" w:fill="auto"/>
          </w:tcPr>
          <w:p w14:paraId="672FED27" w14:textId="77777777" w:rsidR="00965E39" w:rsidRDefault="00965E39"/>
        </w:tc>
      </w:tr>
      <w:tr w:rsidR="00965E39" w14:paraId="521D59D0" w14:textId="44DB85C1" w:rsidTr="00965E39">
        <w:tc>
          <w:tcPr>
            <w:tcW w:w="2561" w:type="dxa"/>
          </w:tcPr>
          <w:p w14:paraId="125214CD" w14:textId="77777777" w:rsidR="00494B49" w:rsidRDefault="00494B49"/>
        </w:tc>
        <w:tc>
          <w:tcPr>
            <w:tcW w:w="2919" w:type="dxa"/>
          </w:tcPr>
          <w:p w14:paraId="71F4A9A7" w14:textId="77777777" w:rsidR="00494B49" w:rsidRDefault="00494B49">
            <w:r>
              <w:t>(d) A net loss from the all other long-term capital gain class that is Excluded Income (20% rate) reduces net gains in the following order:</w:t>
            </w:r>
          </w:p>
        </w:tc>
        <w:tc>
          <w:tcPr>
            <w:tcW w:w="2140" w:type="dxa"/>
            <w:shd w:val="clear" w:color="auto" w:fill="auto"/>
          </w:tcPr>
          <w:p w14:paraId="4961B7F8" w14:textId="77777777" w:rsidR="00965E39" w:rsidRDefault="00965E39"/>
        </w:tc>
        <w:tc>
          <w:tcPr>
            <w:tcW w:w="1730" w:type="dxa"/>
            <w:shd w:val="clear" w:color="auto" w:fill="auto"/>
          </w:tcPr>
          <w:p w14:paraId="34A713BB" w14:textId="77777777" w:rsidR="00965E39" w:rsidRDefault="00965E39"/>
        </w:tc>
      </w:tr>
      <w:tr w:rsidR="00494B49" w14:paraId="535F48BD" w14:textId="77777777" w:rsidTr="00965E39">
        <w:tc>
          <w:tcPr>
            <w:tcW w:w="2561" w:type="dxa"/>
          </w:tcPr>
          <w:p w14:paraId="4B0B5B00" w14:textId="77777777" w:rsidR="00494B49" w:rsidRDefault="00494B49"/>
        </w:tc>
        <w:tc>
          <w:tcPr>
            <w:tcW w:w="2919" w:type="dxa"/>
          </w:tcPr>
          <w:p w14:paraId="0DAEF20F" w14:textId="77777777" w:rsidR="00494B49" w:rsidRDefault="00494B49"/>
        </w:tc>
        <w:tc>
          <w:tcPr>
            <w:tcW w:w="2140" w:type="dxa"/>
          </w:tcPr>
          <w:p w14:paraId="0B88E1E0" w14:textId="77777777" w:rsidR="00494B49" w:rsidRDefault="00494B49">
            <w:r>
              <w:t>– First, net gain from the 28% long-term capital gain class that is net investment income (31.8% rate), then</w:t>
            </w:r>
          </w:p>
        </w:tc>
        <w:tc>
          <w:tcPr>
            <w:tcW w:w="1730" w:type="dxa"/>
          </w:tcPr>
          <w:p w14:paraId="1D4DF93D" w14:textId="77777777" w:rsidR="00494B49" w:rsidRDefault="00494B49">
            <w:r>
              <w:t>First, net gain from the 28% long-term capital gain class, then</w:t>
            </w:r>
          </w:p>
        </w:tc>
      </w:tr>
      <w:tr w:rsidR="00965E39" w14:paraId="5E2BB595" w14:textId="1E326194" w:rsidTr="00965E39">
        <w:tc>
          <w:tcPr>
            <w:tcW w:w="2561" w:type="dxa"/>
          </w:tcPr>
          <w:p w14:paraId="0976619E" w14:textId="77777777" w:rsidR="00494B49" w:rsidRDefault="00494B49"/>
        </w:tc>
        <w:tc>
          <w:tcPr>
            <w:tcW w:w="2919" w:type="dxa"/>
          </w:tcPr>
          <w:p w14:paraId="1D8B8D8B" w14:textId="77777777" w:rsidR="00494B49" w:rsidRDefault="00494B49"/>
        </w:tc>
        <w:tc>
          <w:tcPr>
            <w:tcW w:w="2140" w:type="dxa"/>
          </w:tcPr>
          <w:p w14:paraId="0DC1C83E"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0DD63506" w14:textId="77777777" w:rsidR="00965E39" w:rsidRDefault="00965E39"/>
        </w:tc>
      </w:tr>
      <w:tr w:rsidR="00494B49" w14:paraId="40C2FF8B" w14:textId="77777777" w:rsidTr="00965E39">
        <w:tc>
          <w:tcPr>
            <w:tcW w:w="2561" w:type="dxa"/>
          </w:tcPr>
          <w:p w14:paraId="4DE204C6" w14:textId="77777777" w:rsidR="00494B49" w:rsidRDefault="00494B49"/>
        </w:tc>
        <w:tc>
          <w:tcPr>
            <w:tcW w:w="2919" w:type="dxa"/>
          </w:tcPr>
          <w:p w14:paraId="72DDEC21" w14:textId="77777777" w:rsidR="00494B49" w:rsidRDefault="00494B49"/>
        </w:tc>
        <w:tc>
          <w:tcPr>
            <w:tcW w:w="2140" w:type="dxa"/>
          </w:tcPr>
          <w:p w14:paraId="46B8A3C7" w14:textId="77777777" w:rsidR="00494B49" w:rsidRDefault="00494B49">
            <w:r>
              <w:t>– Net gain from the 28% long-term capital gain class that is Excluded Income (28% rate), then</w:t>
            </w:r>
          </w:p>
        </w:tc>
        <w:tc>
          <w:tcPr>
            <w:tcW w:w="1730" w:type="dxa"/>
          </w:tcPr>
          <w:p w14:paraId="346FD173"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5894858F" w14:textId="6DBCDAE1" w:rsidTr="00965E39">
        <w:tc>
          <w:tcPr>
            <w:tcW w:w="2561" w:type="dxa"/>
          </w:tcPr>
          <w:p w14:paraId="13D25E60" w14:textId="77777777" w:rsidR="00494B49" w:rsidRDefault="00494B49"/>
        </w:tc>
        <w:tc>
          <w:tcPr>
            <w:tcW w:w="2919" w:type="dxa"/>
          </w:tcPr>
          <w:p w14:paraId="087B4B6A" w14:textId="77777777" w:rsidR="00494B49" w:rsidRDefault="00494B49"/>
        </w:tc>
        <w:tc>
          <w:tcPr>
            <w:tcW w:w="2140" w:type="dxa"/>
          </w:tcPr>
          <w:p w14:paraId="7D08E05F"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tcPr>
          <w:p w14:paraId="0125D052" w14:textId="77777777" w:rsidR="00965E39" w:rsidRDefault="00965E39"/>
        </w:tc>
      </w:tr>
      <w:tr w:rsidR="00965E39" w14:paraId="5D8A8C8F" w14:textId="22B58087" w:rsidTr="00965E39">
        <w:tc>
          <w:tcPr>
            <w:tcW w:w="2561" w:type="dxa"/>
          </w:tcPr>
          <w:p w14:paraId="54D4B243" w14:textId="77777777" w:rsidR="00494B49" w:rsidRDefault="00494B49"/>
        </w:tc>
        <w:tc>
          <w:tcPr>
            <w:tcW w:w="2919" w:type="dxa"/>
          </w:tcPr>
          <w:p w14:paraId="7EC7A315" w14:textId="77777777" w:rsidR="00494B49" w:rsidRDefault="00494B49"/>
        </w:tc>
        <w:tc>
          <w:tcPr>
            <w:tcW w:w="2140" w:type="dxa"/>
          </w:tcPr>
          <w:p w14:paraId="4BC8484D" w14:textId="77777777" w:rsidR="00494B49" w:rsidRDefault="00494B49">
            <w:r>
              <w:t xml:space="preserve">– Net gain from the all other long-term capital gain class that is net investment income (23.8% rate). </w:t>
            </w:r>
          </w:p>
        </w:tc>
        <w:tc>
          <w:tcPr>
            <w:tcW w:w="1730" w:type="dxa"/>
            <w:shd w:val="clear" w:color="auto" w:fill="auto"/>
          </w:tcPr>
          <w:p w14:paraId="2810915D" w14:textId="77777777" w:rsidR="00965E39" w:rsidRDefault="00965E39"/>
        </w:tc>
      </w:tr>
      <w:tr w:rsidR="00965E39" w14:paraId="048798B2" w14:textId="64540CB4" w:rsidTr="00965E39">
        <w:tc>
          <w:tcPr>
            <w:tcW w:w="2561" w:type="dxa"/>
          </w:tcPr>
          <w:p w14:paraId="273F3AF1" w14:textId="77777777" w:rsidR="00494B49" w:rsidRDefault="00494B49">
            <w:r>
              <w:t>(2)</w:t>
            </w:r>
          </w:p>
        </w:tc>
        <w:tc>
          <w:tcPr>
            <w:tcW w:w="2919" w:type="dxa"/>
          </w:tcPr>
          <w:p w14:paraId="3FC50618" w14:textId="77777777" w:rsidR="00494B49" w:rsidRDefault="00494B49">
            <w:r>
              <w:t xml:space="preserve">Among the short-term and long-term gain and loss classes: </w:t>
            </w:r>
          </w:p>
        </w:tc>
        <w:tc>
          <w:tcPr>
            <w:tcW w:w="2140" w:type="dxa"/>
            <w:shd w:val="clear" w:color="auto" w:fill="auto"/>
          </w:tcPr>
          <w:p w14:paraId="4A2E179B" w14:textId="77777777" w:rsidR="00965E39" w:rsidRDefault="00965E39"/>
        </w:tc>
        <w:tc>
          <w:tcPr>
            <w:tcW w:w="1730" w:type="dxa"/>
            <w:shd w:val="clear" w:color="auto" w:fill="auto"/>
          </w:tcPr>
          <w:p w14:paraId="07783E25" w14:textId="77777777" w:rsidR="00965E39" w:rsidRDefault="00965E39"/>
        </w:tc>
      </w:tr>
      <w:tr w:rsidR="00965E39" w14:paraId="11D3311B" w14:textId="2AF4C25F" w:rsidTr="00965E39">
        <w:tc>
          <w:tcPr>
            <w:tcW w:w="2561" w:type="dxa"/>
          </w:tcPr>
          <w:p w14:paraId="60F98D33" w14:textId="77777777" w:rsidR="00494B49" w:rsidRDefault="00494B49"/>
        </w:tc>
        <w:tc>
          <w:tcPr>
            <w:tcW w:w="2919" w:type="dxa"/>
          </w:tcPr>
          <w:p w14:paraId="60AAC1A1" w14:textId="77777777" w:rsidR="00494B49" w:rsidRDefault="00494B49">
            <w:r>
              <w:t>(a) A net short-term capital loss that is net investment income (43.4% rate) is applied to reduce the net short-term and net long-term capital gain classes as follows:</w:t>
            </w:r>
          </w:p>
        </w:tc>
        <w:tc>
          <w:tcPr>
            <w:tcW w:w="2140" w:type="dxa"/>
            <w:shd w:val="clear" w:color="auto" w:fill="auto"/>
          </w:tcPr>
          <w:p w14:paraId="41BF5606" w14:textId="77777777" w:rsidR="00965E39" w:rsidRDefault="00965E39"/>
        </w:tc>
        <w:tc>
          <w:tcPr>
            <w:tcW w:w="1730" w:type="dxa"/>
            <w:shd w:val="clear" w:color="auto" w:fill="auto"/>
          </w:tcPr>
          <w:p w14:paraId="0AD18172" w14:textId="77777777" w:rsidR="00965E39" w:rsidRDefault="00965E39"/>
        </w:tc>
      </w:tr>
      <w:tr w:rsidR="00494B49" w14:paraId="49B28F7A" w14:textId="77777777" w:rsidTr="00965E39">
        <w:tc>
          <w:tcPr>
            <w:tcW w:w="2561" w:type="dxa"/>
          </w:tcPr>
          <w:p w14:paraId="6E0F96B2" w14:textId="77777777" w:rsidR="00494B49" w:rsidRDefault="00494B49"/>
        </w:tc>
        <w:tc>
          <w:tcPr>
            <w:tcW w:w="2919" w:type="dxa"/>
          </w:tcPr>
          <w:p w14:paraId="67152C37" w14:textId="77777777" w:rsidR="00494B49" w:rsidRDefault="00494B49"/>
        </w:tc>
        <w:tc>
          <w:tcPr>
            <w:tcW w:w="2140" w:type="dxa"/>
          </w:tcPr>
          <w:p w14:paraId="324E1612" w14:textId="77777777" w:rsidR="00494B49" w:rsidRDefault="00494B49">
            <w:r>
              <w:t xml:space="preserve">– First, short-term capital gain class that is </w:t>
            </w:r>
            <w:r>
              <w:lastRenderedPageBreak/>
              <w:t xml:space="preserve">Excluded Income (39.6% rate), then </w:t>
            </w:r>
          </w:p>
        </w:tc>
        <w:tc>
          <w:tcPr>
            <w:tcW w:w="1730" w:type="dxa"/>
          </w:tcPr>
          <w:p w14:paraId="78B16D14" w14:textId="77777777" w:rsidR="00494B49" w:rsidRDefault="00494B49">
            <w:r>
              <w:lastRenderedPageBreak/>
              <w:t xml:space="preserve">First, net gain from the 28% long-term </w:t>
            </w:r>
            <w:r>
              <w:lastRenderedPageBreak/>
              <w:t>capital gain class, then</w:t>
            </w:r>
          </w:p>
        </w:tc>
      </w:tr>
      <w:tr w:rsidR="00965E39" w14:paraId="19626CAB" w14:textId="225F981B" w:rsidTr="00965E39">
        <w:tc>
          <w:tcPr>
            <w:tcW w:w="2561" w:type="dxa"/>
          </w:tcPr>
          <w:p w14:paraId="623714DC" w14:textId="77777777" w:rsidR="00494B49" w:rsidRDefault="00494B49"/>
        </w:tc>
        <w:tc>
          <w:tcPr>
            <w:tcW w:w="2919" w:type="dxa"/>
          </w:tcPr>
          <w:p w14:paraId="76281815" w14:textId="77777777" w:rsidR="00494B49" w:rsidRDefault="00494B49"/>
        </w:tc>
        <w:tc>
          <w:tcPr>
            <w:tcW w:w="2140" w:type="dxa"/>
          </w:tcPr>
          <w:p w14:paraId="7B30C780" w14:textId="77777777" w:rsidR="00494B49" w:rsidRDefault="00494B49">
            <w:r>
              <w:t>– Net gain from the 28% long-term capital gain class that is net investment income (31.8% rate), then</w:t>
            </w:r>
          </w:p>
        </w:tc>
        <w:tc>
          <w:tcPr>
            <w:tcW w:w="1730" w:type="dxa"/>
            <w:shd w:val="clear" w:color="auto" w:fill="auto"/>
          </w:tcPr>
          <w:p w14:paraId="485B054C" w14:textId="77777777" w:rsidR="00965E39" w:rsidRDefault="00965E39"/>
        </w:tc>
      </w:tr>
      <w:tr w:rsidR="00494B49" w14:paraId="6C5E2E4B" w14:textId="77777777" w:rsidTr="00965E39">
        <w:tc>
          <w:tcPr>
            <w:tcW w:w="2561" w:type="dxa"/>
          </w:tcPr>
          <w:p w14:paraId="6FEF96A3" w14:textId="77777777" w:rsidR="00494B49" w:rsidRDefault="00494B49"/>
        </w:tc>
        <w:tc>
          <w:tcPr>
            <w:tcW w:w="2919" w:type="dxa"/>
          </w:tcPr>
          <w:p w14:paraId="5572E619" w14:textId="77777777" w:rsidR="00494B49" w:rsidRDefault="00494B49"/>
        </w:tc>
        <w:tc>
          <w:tcPr>
            <w:tcW w:w="2140" w:type="dxa"/>
          </w:tcPr>
          <w:p w14:paraId="33F222BA"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
          <w:p w14:paraId="6B2B04A5"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4BC026AE" w14:textId="66E70501" w:rsidTr="00965E39">
        <w:tc>
          <w:tcPr>
            <w:tcW w:w="2561" w:type="dxa"/>
          </w:tcPr>
          <w:p w14:paraId="7422D2ED" w14:textId="77777777" w:rsidR="00494B49" w:rsidRDefault="00494B49"/>
        </w:tc>
        <w:tc>
          <w:tcPr>
            <w:tcW w:w="2919" w:type="dxa"/>
          </w:tcPr>
          <w:p w14:paraId="7702CCA6" w14:textId="77777777" w:rsidR="00494B49" w:rsidRDefault="00494B49"/>
        </w:tc>
        <w:tc>
          <w:tcPr>
            <w:tcW w:w="2140" w:type="dxa"/>
          </w:tcPr>
          <w:p w14:paraId="4171F491" w14:textId="77777777" w:rsidR="00494B49" w:rsidRDefault="00494B49">
            <w:r>
              <w:t>– Net gain from the 28% long-term capital gain class that is Excluded Income (28% rate), then</w:t>
            </w:r>
          </w:p>
        </w:tc>
        <w:tc>
          <w:tcPr>
            <w:tcW w:w="1730" w:type="dxa"/>
            <w:shd w:val="clear" w:color="auto" w:fill="auto"/>
          </w:tcPr>
          <w:p w14:paraId="47B7F3BE" w14:textId="77777777" w:rsidR="00965E39" w:rsidRDefault="00965E39"/>
        </w:tc>
      </w:tr>
      <w:tr w:rsidR="00965E39" w14:paraId="57F754CB" w14:textId="770EADF1" w:rsidTr="00965E39">
        <w:tc>
          <w:tcPr>
            <w:tcW w:w="2561" w:type="dxa"/>
          </w:tcPr>
          <w:p w14:paraId="2598D068" w14:textId="77777777" w:rsidR="00494B49" w:rsidRDefault="00494B49"/>
        </w:tc>
        <w:tc>
          <w:tcPr>
            <w:tcW w:w="2919" w:type="dxa"/>
          </w:tcPr>
          <w:p w14:paraId="727FEE89" w14:textId="77777777" w:rsidR="00494B49" w:rsidRDefault="00494B49"/>
        </w:tc>
        <w:tc>
          <w:tcPr>
            <w:tcW w:w="2140" w:type="dxa"/>
          </w:tcPr>
          <w:p w14:paraId="30EEE5EC"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0933E24D" w14:textId="77777777" w:rsidR="00965E39" w:rsidRDefault="00965E39"/>
        </w:tc>
      </w:tr>
      <w:tr w:rsidR="00494B49" w14:paraId="3BA8B9CB" w14:textId="77777777" w:rsidTr="00965E39">
        <w:tc>
          <w:tcPr>
            <w:tcW w:w="2561" w:type="dxa"/>
          </w:tcPr>
          <w:p w14:paraId="467CC337" w14:textId="77777777" w:rsidR="00494B49" w:rsidRDefault="00494B49"/>
        </w:tc>
        <w:tc>
          <w:tcPr>
            <w:tcW w:w="2919" w:type="dxa"/>
          </w:tcPr>
          <w:p w14:paraId="3B59FC28" w14:textId="77777777" w:rsidR="00494B49" w:rsidRDefault="00494B49"/>
        </w:tc>
        <w:tc>
          <w:tcPr>
            <w:tcW w:w="2140" w:type="dxa"/>
          </w:tcPr>
          <w:p w14:paraId="062B68F2" w14:textId="77777777" w:rsidR="00494B49" w:rsidRDefault="00494B49">
            <w:r>
              <w:t>– Net gain from the all other long-term capital gain class that is net investment income (23.8% rate), and finally</w:t>
            </w:r>
          </w:p>
        </w:tc>
        <w:tc>
          <w:tcPr>
            <w:tcW w:w="1730" w:type="dxa"/>
          </w:tcPr>
          <w:p w14:paraId="4A65BA4B" w14:textId="77777777" w:rsidR="00494B49" w:rsidRDefault="00494B49">
            <w:r>
              <w:t>Net gain from the all other long-term capital gain class, and finally</w:t>
            </w:r>
          </w:p>
        </w:tc>
      </w:tr>
      <w:tr w:rsidR="00965E39" w14:paraId="34E9CEF2" w14:textId="267D5F3E" w:rsidTr="00965E39">
        <w:tc>
          <w:tcPr>
            <w:tcW w:w="2561" w:type="dxa"/>
          </w:tcPr>
          <w:p w14:paraId="52EC85D3" w14:textId="77777777" w:rsidR="00494B49" w:rsidRDefault="00494B49"/>
        </w:tc>
        <w:tc>
          <w:tcPr>
            <w:tcW w:w="2919" w:type="dxa"/>
          </w:tcPr>
          <w:p w14:paraId="56D6CAC4" w14:textId="77777777" w:rsidR="00494B49" w:rsidRDefault="00494B49"/>
        </w:tc>
        <w:tc>
          <w:tcPr>
            <w:tcW w:w="2140" w:type="dxa"/>
          </w:tcPr>
          <w:p w14:paraId="092D9640" w14:textId="77777777" w:rsidR="00494B49" w:rsidRDefault="00494B49">
            <w:r>
              <w:t>– Net gain from the all other long-term capital gain class that is Excluded Income (20% rate).</w:t>
            </w:r>
          </w:p>
        </w:tc>
        <w:tc>
          <w:tcPr>
            <w:tcW w:w="1730" w:type="dxa"/>
            <w:shd w:val="clear" w:color="auto" w:fill="auto"/>
          </w:tcPr>
          <w:p w14:paraId="32BB9B00" w14:textId="77777777" w:rsidR="00965E39" w:rsidRDefault="00965E39"/>
        </w:tc>
      </w:tr>
      <w:tr w:rsidR="00965E39" w14:paraId="3E9B7810" w14:textId="1C0F76F6" w:rsidTr="00965E39">
        <w:tc>
          <w:tcPr>
            <w:tcW w:w="2561" w:type="dxa"/>
          </w:tcPr>
          <w:p w14:paraId="08B4EE83" w14:textId="77777777" w:rsidR="00494B49" w:rsidRDefault="00494B49"/>
        </w:tc>
        <w:tc>
          <w:tcPr>
            <w:tcW w:w="2919" w:type="dxa"/>
          </w:tcPr>
          <w:p w14:paraId="202ECDD7" w14:textId="77777777" w:rsidR="00494B49" w:rsidRDefault="00494B49">
            <w:r>
              <w:t>(b) A net short-term capital loss that is Excluded Income (39.6% rate) is applied to reduce the net short-term and net long-term capital gain classes as follows:</w:t>
            </w:r>
          </w:p>
        </w:tc>
        <w:tc>
          <w:tcPr>
            <w:tcW w:w="2140" w:type="dxa"/>
            <w:shd w:val="clear" w:color="auto" w:fill="auto"/>
          </w:tcPr>
          <w:p w14:paraId="51BB5DEF" w14:textId="77777777" w:rsidR="00965E39" w:rsidRDefault="00965E39"/>
        </w:tc>
        <w:tc>
          <w:tcPr>
            <w:tcW w:w="1730" w:type="dxa"/>
            <w:shd w:val="clear" w:color="auto" w:fill="auto"/>
          </w:tcPr>
          <w:p w14:paraId="18538CBE" w14:textId="77777777" w:rsidR="00965E39" w:rsidRDefault="00965E39"/>
        </w:tc>
      </w:tr>
      <w:tr w:rsidR="00494B49" w14:paraId="197DDC84" w14:textId="77777777" w:rsidTr="00965E39">
        <w:tc>
          <w:tcPr>
            <w:tcW w:w="2561" w:type="dxa"/>
          </w:tcPr>
          <w:p w14:paraId="6D59D82C" w14:textId="77777777" w:rsidR="00494B49" w:rsidRDefault="00494B49"/>
        </w:tc>
        <w:tc>
          <w:tcPr>
            <w:tcW w:w="2919" w:type="dxa"/>
          </w:tcPr>
          <w:p w14:paraId="2AC71270" w14:textId="77777777" w:rsidR="00494B49" w:rsidRDefault="00494B49"/>
        </w:tc>
        <w:tc>
          <w:tcPr>
            <w:tcW w:w="2140" w:type="dxa"/>
          </w:tcPr>
          <w:p w14:paraId="321B0F4E" w14:textId="77777777" w:rsidR="00494B49" w:rsidRDefault="00494B49">
            <w:r>
              <w:t xml:space="preserve">– First, short-term capital gain class that is net investment income (43.4% rate), then </w:t>
            </w:r>
          </w:p>
        </w:tc>
        <w:tc>
          <w:tcPr>
            <w:tcW w:w="1730" w:type="dxa"/>
          </w:tcPr>
          <w:p w14:paraId="5326FB27" w14:textId="77777777" w:rsidR="00494B49" w:rsidRDefault="00494B49"/>
        </w:tc>
      </w:tr>
      <w:tr w:rsidR="00494B49" w14:paraId="61870D8B" w14:textId="77777777" w:rsidTr="00965E39">
        <w:tc>
          <w:tcPr>
            <w:tcW w:w="2561" w:type="dxa"/>
          </w:tcPr>
          <w:p w14:paraId="0C816329" w14:textId="77777777" w:rsidR="00494B49" w:rsidRDefault="00494B49"/>
        </w:tc>
        <w:tc>
          <w:tcPr>
            <w:tcW w:w="2919" w:type="dxa"/>
          </w:tcPr>
          <w:p w14:paraId="5AC5E001" w14:textId="77777777" w:rsidR="00494B49" w:rsidRDefault="00494B49"/>
        </w:tc>
        <w:tc>
          <w:tcPr>
            <w:tcW w:w="2140" w:type="dxa"/>
          </w:tcPr>
          <w:p w14:paraId="742F6478" w14:textId="77777777" w:rsidR="00494B49" w:rsidRDefault="00494B49">
            <w:r>
              <w:t>– Net gain from the 28% long-term capital gain class that is net investment income (31.8% rate), then</w:t>
            </w:r>
          </w:p>
        </w:tc>
        <w:tc>
          <w:tcPr>
            <w:tcW w:w="1730" w:type="dxa"/>
          </w:tcPr>
          <w:p w14:paraId="592E5531" w14:textId="77777777" w:rsidR="00494B49" w:rsidRDefault="00494B49">
            <w:r>
              <w:t>First, net gain from the 28% long-term capital gain class, then</w:t>
            </w:r>
          </w:p>
        </w:tc>
      </w:tr>
      <w:tr w:rsidR="00965E39" w14:paraId="5BE14D7F" w14:textId="584B128A" w:rsidTr="00965E39">
        <w:tc>
          <w:tcPr>
            <w:tcW w:w="2561" w:type="dxa"/>
          </w:tcPr>
          <w:p w14:paraId="151F780C" w14:textId="77777777" w:rsidR="00494B49" w:rsidRDefault="00494B49"/>
        </w:tc>
        <w:tc>
          <w:tcPr>
            <w:tcW w:w="2919" w:type="dxa"/>
          </w:tcPr>
          <w:p w14:paraId="734D2312" w14:textId="77777777" w:rsidR="00494B49" w:rsidRDefault="00494B49"/>
        </w:tc>
        <w:tc>
          <w:tcPr>
            <w:tcW w:w="2140" w:type="dxa"/>
          </w:tcPr>
          <w:p w14:paraId="71476B03"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tcPr>
          <w:p w14:paraId="531316D7" w14:textId="77777777" w:rsidR="00965E39" w:rsidRDefault="00965E39"/>
        </w:tc>
      </w:tr>
      <w:tr w:rsidR="00494B49" w14:paraId="28FB2994" w14:textId="77777777" w:rsidTr="00965E39">
        <w:tc>
          <w:tcPr>
            <w:tcW w:w="2561" w:type="dxa"/>
          </w:tcPr>
          <w:p w14:paraId="6D66E144" w14:textId="77777777" w:rsidR="00494B49" w:rsidRDefault="00494B49"/>
        </w:tc>
        <w:tc>
          <w:tcPr>
            <w:tcW w:w="2919" w:type="dxa"/>
          </w:tcPr>
          <w:p w14:paraId="1EDCEFA2" w14:textId="77777777" w:rsidR="00494B49" w:rsidRDefault="00494B49"/>
        </w:tc>
        <w:tc>
          <w:tcPr>
            <w:tcW w:w="2140" w:type="dxa"/>
          </w:tcPr>
          <w:p w14:paraId="1CE1CC22" w14:textId="77777777" w:rsidR="00494B49" w:rsidRDefault="00494B49">
            <w:r>
              <w:t>– Net gain from the 28% long-term capital gain class that is Excluded Income (28% rate), then</w:t>
            </w:r>
          </w:p>
        </w:tc>
        <w:tc>
          <w:tcPr>
            <w:tcW w:w="1730" w:type="dxa"/>
          </w:tcPr>
          <w:p w14:paraId="1D60E342"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 finally</w:t>
            </w:r>
          </w:p>
        </w:tc>
      </w:tr>
      <w:tr w:rsidR="00965E39" w14:paraId="600C52FA" w14:textId="1E6026BA" w:rsidTr="00965E39">
        <w:tc>
          <w:tcPr>
            <w:tcW w:w="2561" w:type="dxa"/>
          </w:tcPr>
          <w:p w14:paraId="4676DAFF" w14:textId="77777777" w:rsidR="00494B49" w:rsidRDefault="00494B49"/>
        </w:tc>
        <w:tc>
          <w:tcPr>
            <w:tcW w:w="2919" w:type="dxa"/>
          </w:tcPr>
          <w:p w14:paraId="58BC465F" w14:textId="77777777" w:rsidR="00494B49" w:rsidRDefault="00494B49"/>
        </w:tc>
        <w:tc>
          <w:tcPr>
            <w:tcW w:w="2140" w:type="dxa"/>
          </w:tcPr>
          <w:p w14:paraId="49E48D44"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
          <w:p w14:paraId="69BA6145" w14:textId="77777777" w:rsidR="00965E39" w:rsidRDefault="00965E39"/>
        </w:tc>
      </w:tr>
      <w:tr w:rsidR="00494B49" w14:paraId="4014676A" w14:textId="77777777" w:rsidTr="00965E39">
        <w:tc>
          <w:tcPr>
            <w:tcW w:w="2561" w:type="dxa"/>
          </w:tcPr>
          <w:p w14:paraId="53D82287" w14:textId="77777777" w:rsidR="00494B49" w:rsidRDefault="00494B49"/>
        </w:tc>
        <w:tc>
          <w:tcPr>
            <w:tcW w:w="2919" w:type="dxa"/>
          </w:tcPr>
          <w:p w14:paraId="25B1697D" w14:textId="77777777" w:rsidR="00494B49" w:rsidRDefault="00494B49"/>
        </w:tc>
        <w:tc>
          <w:tcPr>
            <w:tcW w:w="2140" w:type="dxa"/>
          </w:tcPr>
          <w:p w14:paraId="2228AF16" w14:textId="77777777" w:rsidR="00494B49" w:rsidRDefault="00494B49">
            <w:r>
              <w:t>– Net gain from the all other long-term capital gain class that is net investment income (23.8% rate), and finally</w:t>
            </w:r>
          </w:p>
        </w:tc>
        <w:tc>
          <w:tcPr>
            <w:tcW w:w="1730" w:type="dxa"/>
          </w:tcPr>
          <w:p w14:paraId="0DD1AE32" w14:textId="77777777" w:rsidR="00494B49" w:rsidRDefault="00494B49">
            <w:r>
              <w:t>Net gain from the all other long-term capital gain class.</w:t>
            </w:r>
          </w:p>
        </w:tc>
      </w:tr>
      <w:tr w:rsidR="00965E39" w14:paraId="394D618F" w14:textId="2E327AA5" w:rsidTr="00965E39">
        <w:tc>
          <w:tcPr>
            <w:tcW w:w="2561" w:type="dxa"/>
          </w:tcPr>
          <w:p w14:paraId="69D030A3" w14:textId="77777777" w:rsidR="00494B49" w:rsidRDefault="00494B49"/>
        </w:tc>
        <w:tc>
          <w:tcPr>
            <w:tcW w:w="2919" w:type="dxa"/>
          </w:tcPr>
          <w:p w14:paraId="72E6C2F7" w14:textId="77777777" w:rsidR="00494B49" w:rsidRDefault="00494B49"/>
        </w:tc>
        <w:tc>
          <w:tcPr>
            <w:tcW w:w="2140" w:type="dxa"/>
          </w:tcPr>
          <w:p w14:paraId="19D27133" w14:textId="77777777" w:rsidR="00494B49" w:rsidRDefault="00494B49">
            <w:r>
              <w:t>– Net gain from the all other long-term capital gain class that is Excluded Income (20% rate).</w:t>
            </w:r>
          </w:p>
        </w:tc>
        <w:tc>
          <w:tcPr>
            <w:tcW w:w="1730" w:type="dxa"/>
            <w:shd w:val="clear" w:color="auto" w:fill="auto"/>
          </w:tcPr>
          <w:p w14:paraId="6197D8F7" w14:textId="77777777" w:rsidR="00965E39" w:rsidRDefault="00965E39"/>
        </w:tc>
      </w:tr>
      <w:tr w:rsidR="00965E39" w14:paraId="1FB5934B" w14:textId="798765D5" w:rsidTr="00965E39">
        <w:tc>
          <w:tcPr>
            <w:tcW w:w="2561" w:type="dxa"/>
          </w:tcPr>
          <w:p w14:paraId="68A46EFB" w14:textId="77777777" w:rsidR="00494B49" w:rsidRDefault="00494B49">
            <w:r>
              <w:t>(3)</w:t>
            </w:r>
          </w:p>
        </w:tc>
        <w:tc>
          <w:tcPr>
            <w:tcW w:w="2919" w:type="dxa"/>
          </w:tcPr>
          <w:p w14:paraId="074290B1" w14:textId="77777777" w:rsidR="00494B49" w:rsidRDefault="00494B49">
            <w:r>
              <w:t>An overall net long-term capital loss reduces any net short-term capital gain as follows:</w:t>
            </w:r>
          </w:p>
        </w:tc>
        <w:tc>
          <w:tcPr>
            <w:tcW w:w="2140" w:type="dxa"/>
            <w:shd w:val="clear" w:color="auto" w:fill="auto"/>
          </w:tcPr>
          <w:p w14:paraId="49EBE39A" w14:textId="77777777" w:rsidR="00965E39" w:rsidRDefault="00965E39"/>
        </w:tc>
        <w:tc>
          <w:tcPr>
            <w:tcW w:w="1730" w:type="dxa"/>
            <w:shd w:val="clear" w:color="auto" w:fill="auto"/>
          </w:tcPr>
          <w:p w14:paraId="5A5A82E1" w14:textId="77777777" w:rsidR="00965E39" w:rsidRDefault="00965E39"/>
        </w:tc>
      </w:tr>
      <w:tr w:rsidR="00494B49" w14:paraId="2097D75B" w14:textId="77777777" w:rsidTr="00965E39">
        <w:tc>
          <w:tcPr>
            <w:tcW w:w="2561" w:type="dxa"/>
          </w:tcPr>
          <w:p w14:paraId="13E0788B" w14:textId="77777777" w:rsidR="00494B49" w:rsidRDefault="00494B49"/>
        </w:tc>
        <w:tc>
          <w:tcPr>
            <w:tcW w:w="2919" w:type="dxa"/>
          </w:tcPr>
          <w:p w14:paraId="257D2D3C" w14:textId="77777777" w:rsidR="00494B49" w:rsidRDefault="00494B49"/>
        </w:tc>
        <w:tc>
          <w:tcPr>
            <w:tcW w:w="2140" w:type="dxa"/>
          </w:tcPr>
          <w:p w14:paraId="4E3D2E3D" w14:textId="77777777" w:rsidR="00494B49" w:rsidRDefault="00494B49">
            <w:r>
              <w:t>– First, any net short-term capital gain that is net investment income (43.4% rate), then</w:t>
            </w:r>
          </w:p>
        </w:tc>
        <w:tc>
          <w:tcPr>
            <w:tcW w:w="1730" w:type="dxa"/>
          </w:tcPr>
          <w:p w14:paraId="1C23B307" w14:textId="77777777" w:rsidR="00494B49" w:rsidRDefault="00494B49">
            <w:r>
              <w:t>Overall net long-term capital loss reduces any net short-term capital gain</w:t>
            </w:r>
          </w:p>
        </w:tc>
      </w:tr>
      <w:tr w:rsidR="00965E39" w14:paraId="4D6B132A" w14:textId="5D5BDE28" w:rsidTr="00965E39">
        <w:tc>
          <w:tcPr>
            <w:tcW w:w="2561" w:type="dxa"/>
          </w:tcPr>
          <w:p w14:paraId="7C2D804B" w14:textId="77777777" w:rsidR="00494B49" w:rsidRDefault="00494B49"/>
        </w:tc>
        <w:tc>
          <w:tcPr>
            <w:tcW w:w="2919" w:type="dxa"/>
          </w:tcPr>
          <w:p w14:paraId="789FACF6" w14:textId="77777777" w:rsidR="00494B49" w:rsidRDefault="00494B49"/>
        </w:tc>
        <w:tc>
          <w:tcPr>
            <w:tcW w:w="2140" w:type="dxa"/>
          </w:tcPr>
          <w:p w14:paraId="20BB52FA" w14:textId="77777777" w:rsidR="00494B49" w:rsidRDefault="00494B49">
            <w:r>
              <w:t>– Any net short-term capital gain that is Excluded Income (39.6% rate).</w:t>
            </w:r>
          </w:p>
        </w:tc>
        <w:tc>
          <w:tcPr>
            <w:tcW w:w="1730" w:type="dxa"/>
            <w:shd w:val="clear" w:color="auto" w:fill="auto"/>
          </w:tcPr>
          <w:p w14:paraId="28669E5E" w14:textId="77777777" w:rsidR="00965E39" w:rsidRDefault="00965E39"/>
        </w:tc>
      </w:tr>
    </w:tbl>
    <w:p w14:paraId="1FCB2400" w14:textId="77777777" w:rsidR="00494B49" w:rsidRDefault="00494B49">
      <w:pPr>
        <w:pStyle w:val="BNormal"/>
      </w:pPr>
    </w:p>
    <w:p w14:paraId="4F30E380" w14:textId="77777777" w:rsidR="00494B49" w:rsidRDefault="00494B49">
      <w:pPr>
        <w:pStyle w:val="BHead4"/>
      </w:pPr>
      <w:r>
        <w:t>(4) Application of the Loss Carryover Rules</w:t>
      </w:r>
    </w:p>
    <w:p w14:paraId="219474A0" w14:textId="77777777" w:rsidR="00494B49" w:rsidRDefault="00494B49" w:rsidP="00144640">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50"/>
      </w:r>
      <w:r>
        <w:t xml:space="preserve"> illustrates the differences in the loss carryover rules between the two methods:</w:t>
      </w:r>
    </w:p>
    <w:p w14:paraId="574AF0C5" w14:textId="77777777" w:rsidR="00494B49" w:rsidRDefault="00494B49" w:rsidP="00144640">
      <w:pPr>
        <w:pStyle w:val="BNormal"/>
      </w:pPr>
    </w:p>
    <w:tbl>
      <w:tblPr>
        <w:tblStyle w:val="TableGrid"/>
        <w:tblW w:w="0" w:type="auto"/>
        <w:tblLook w:val="04A0" w:firstRow="1" w:lastRow="0" w:firstColumn="1" w:lastColumn="0" w:noHBand="0" w:noVBand="1"/>
      </w:tblPr>
      <w:tblGrid>
        <w:gridCol w:w="4314"/>
        <w:gridCol w:w="1416"/>
        <w:gridCol w:w="1970"/>
        <w:gridCol w:w="1650"/>
      </w:tblGrid>
      <w:tr w:rsidR="00494B49" w14:paraId="44AC3B8C" w14:textId="77777777" w:rsidTr="00965E39">
        <w:tc>
          <w:tcPr>
            <w:tcW w:w="4314" w:type="dxa"/>
          </w:tcPr>
          <w:p w14:paraId="71039CD1" w14:textId="77777777" w:rsidR="00494B49" w:rsidRDefault="00494B49"/>
        </w:tc>
        <w:tc>
          <w:tcPr>
            <w:tcW w:w="1416" w:type="dxa"/>
          </w:tcPr>
          <w:p w14:paraId="32A3E34E" w14:textId="77777777" w:rsidR="00494B49" w:rsidRDefault="00494B49"/>
        </w:tc>
        <w:tc>
          <w:tcPr>
            <w:tcW w:w="1970" w:type="dxa"/>
          </w:tcPr>
          <w:p w14:paraId="5453F808" w14:textId="77777777" w:rsidR="00494B49" w:rsidRDefault="00494B49">
            <w:r>
              <w:t xml:space="preserve"> </w:t>
            </w:r>
            <w:r>
              <w:rPr>
                <w:b/>
              </w:rPr>
              <w:t>Section 664 Method</w:t>
            </w:r>
          </w:p>
        </w:tc>
        <w:tc>
          <w:tcPr>
            <w:tcW w:w="1650" w:type="dxa"/>
          </w:tcPr>
          <w:p w14:paraId="345F3CCC" w14:textId="77777777" w:rsidR="00494B49" w:rsidRDefault="00494B49">
            <w:r>
              <w:t xml:space="preserve"> </w:t>
            </w:r>
            <w:r>
              <w:rPr>
                <w:b/>
              </w:rPr>
              <w:t>SNIIC Election Method</w:t>
            </w:r>
          </w:p>
        </w:tc>
      </w:tr>
      <w:tr w:rsidR="00494B49" w14:paraId="10DBBC6C" w14:textId="77777777" w:rsidTr="00965E39">
        <w:trPr>
          <w:gridAfter w:val="3"/>
          <w:wAfter w:w="5036" w:type="dxa"/>
        </w:trPr>
        <w:tc>
          <w:tcPr>
            <w:tcW w:w="4314" w:type="dxa"/>
          </w:tcPr>
          <w:p w14:paraId="1E7530BE" w14:textId="77777777" w:rsidR="00494B49" w:rsidRDefault="00494B49">
            <w:r>
              <w:t xml:space="preserve">If the trust has capital losses that exceed capital gains for any tax year: </w:t>
            </w:r>
          </w:p>
        </w:tc>
      </w:tr>
      <w:tr w:rsidR="00494B49" w14:paraId="18CAED64" w14:textId="77777777" w:rsidTr="00965E39">
        <w:tc>
          <w:tcPr>
            <w:tcW w:w="4314" w:type="dxa"/>
          </w:tcPr>
          <w:p w14:paraId="58D83514" w14:textId="77777777" w:rsidR="00494B49" w:rsidRDefault="00494B49"/>
        </w:tc>
        <w:tc>
          <w:tcPr>
            <w:tcW w:w="1416" w:type="dxa"/>
          </w:tcPr>
          <w:p w14:paraId="797922CB" w14:textId="77777777" w:rsidR="00494B49" w:rsidRDefault="00494B49"/>
        </w:tc>
        <w:tc>
          <w:tcPr>
            <w:tcW w:w="1970" w:type="dxa"/>
          </w:tcPr>
          <w:p w14:paraId="3738C07B" w14:textId="77777777" w:rsidR="00494B49" w:rsidRDefault="00494B49">
            <w:r>
              <w:t xml:space="preserve">– The excess of the 43.4% rate net short-term capital loss over the net long-term capital gain for that year is a 43.4% rate short-term capital </w:t>
            </w:r>
            <w:r>
              <w:lastRenderedPageBreak/>
              <w:t>loss carryover to the next tax year.</w:t>
            </w:r>
          </w:p>
        </w:tc>
        <w:tc>
          <w:tcPr>
            <w:tcW w:w="1650" w:type="dxa"/>
          </w:tcPr>
          <w:p w14:paraId="173CF68B" w14:textId="77777777" w:rsidR="00494B49" w:rsidRDefault="00494B49">
            <w:r>
              <w:lastRenderedPageBreak/>
              <w:t xml:space="preserve">The excess of the net short-term capital loss over the net long-term capital gain for that year is a short-term capital </w:t>
            </w:r>
            <w:r>
              <w:lastRenderedPageBreak/>
              <w:t xml:space="preserve">loss carryover to the next tax year. </w:t>
            </w:r>
          </w:p>
        </w:tc>
      </w:tr>
      <w:tr w:rsidR="00965E39" w14:paraId="24548784" w14:textId="03D63CF7" w:rsidTr="00965E39">
        <w:tc>
          <w:tcPr>
            <w:tcW w:w="4314" w:type="dxa"/>
          </w:tcPr>
          <w:p w14:paraId="3C01E654" w14:textId="77777777" w:rsidR="00494B49" w:rsidRDefault="00494B49"/>
        </w:tc>
        <w:tc>
          <w:tcPr>
            <w:tcW w:w="1416" w:type="dxa"/>
          </w:tcPr>
          <w:p w14:paraId="2FEDE58E" w14:textId="77777777" w:rsidR="00494B49" w:rsidRDefault="00494B49"/>
        </w:tc>
        <w:tc>
          <w:tcPr>
            <w:tcW w:w="1970" w:type="dxa"/>
          </w:tcPr>
          <w:p w14:paraId="548C4589" w14:textId="77777777" w:rsidR="00494B49" w:rsidRDefault="00494B49">
            <w:r>
              <w:t xml:space="preserve">– The excess of the 39.6% rate net short-term capital loss over the net long-term capital gain for that year is a 39.6% rate short-term capital loss carryover to the next tax year. </w:t>
            </w:r>
          </w:p>
        </w:tc>
        <w:tc>
          <w:tcPr>
            <w:tcW w:w="1650" w:type="dxa"/>
            <w:shd w:val="clear" w:color="auto" w:fill="auto"/>
          </w:tcPr>
          <w:p w14:paraId="4CED87C7" w14:textId="77777777" w:rsidR="00965E39" w:rsidRDefault="00965E39"/>
        </w:tc>
      </w:tr>
      <w:tr w:rsidR="00494B49" w14:paraId="6D326A31" w14:textId="77777777" w:rsidTr="00965E39">
        <w:tc>
          <w:tcPr>
            <w:tcW w:w="4314" w:type="dxa"/>
          </w:tcPr>
          <w:p w14:paraId="59DF9843" w14:textId="77777777" w:rsidR="00494B49" w:rsidRDefault="00494B49"/>
        </w:tc>
        <w:tc>
          <w:tcPr>
            <w:tcW w:w="1416" w:type="dxa"/>
          </w:tcPr>
          <w:p w14:paraId="71E11CDA" w14:textId="77777777" w:rsidR="00494B49" w:rsidRDefault="00494B49"/>
        </w:tc>
        <w:tc>
          <w:tcPr>
            <w:tcW w:w="1970" w:type="dxa"/>
          </w:tcPr>
          <w:p w14:paraId="641CC138" w14:textId="77777777" w:rsidR="00494B49" w:rsidRDefault="00494B49">
            <w:r>
              <w:t>– The excess of the 23.8% net long-term capital loss over the net short-term capital gain for that year is a 23.8% long-term capital loss carryover to the next tax year.</w:t>
            </w:r>
          </w:p>
        </w:tc>
        <w:tc>
          <w:tcPr>
            <w:tcW w:w="1650" w:type="dxa"/>
          </w:tcPr>
          <w:p w14:paraId="3E2D5C15" w14:textId="77777777" w:rsidR="00494B49" w:rsidRDefault="00494B49">
            <w:r>
              <w:t>The excess of the net long-term capital loss over the net short-term capital gain for that year is a long-term capital loss carryover to the next tax year.</w:t>
            </w:r>
          </w:p>
        </w:tc>
      </w:tr>
      <w:tr w:rsidR="00965E39" w14:paraId="78537048" w14:textId="4F7EB209" w:rsidTr="00965E39">
        <w:tc>
          <w:tcPr>
            <w:tcW w:w="4314" w:type="dxa"/>
          </w:tcPr>
          <w:p w14:paraId="4220CE77" w14:textId="77777777" w:rsidR="00494B49" w:rsidRDefault="00494B49"/>
        </w:tc>
        <w:tc>
          <w:tcPr>
            <w:tcW w:w="1416" w:type="dxa"/>
          </w:tcPr>
          <w:p w14:paraId="7F9D7E06" w14:textId="77777777" w:rsidR="00494B49" w:rsidRDefault="00494B49"/>
        </w:tc>
        <w:tc>
          <w:tcPr>
            <w:tcW w:w="1970" w:type="dxa"/>
          </w:tcPr>
          <w:p w14:paraId="57F8A15E" w14:textId="77777777" w:rsidR="00494B49" w:rsidRDefault="00494B49">
            <w:r>
              <w:t>– The excess of the 20% net long-term capital loss over the net short-term capital gain for that year is a 20% long-term capital loss carryover to the next tax year.</w:t>
            </w:r>
          </w:p>
        </w:tc>
        <w:tc>
          <w:tcPr>
            <w:tcW w:w="1650" w:type="dxa"/>
            <w:shd w:val="clear" w:color="auto" w:fill="auto"/>
          </w:tcPr>
          <w:p w14:paraId="4A80EDD1" w14:textId="77777777" w:rsidR="00965E39" w:rsidRDefault="00965E39"/>
        </w:tc>
      </w:tr>
      <w:tr w:rsidR="00494B49" w14:paraId="1CA91BDC" w14:textId="77777777" w:rsidTr="00965E39">
        <w:trPr>
          <w:gridAfter w:val="3"/>
          <w:wAfter w:w="5036" w:type="dxa"/>
        </w:trPr>
        <w:tc>
          <w:tcPr>
            <w:tcW w:w="4314" w:type="dxa"/>
          </w:tcPr>
          <w:p w14:paraId="340771E5" w14:textId="77777777" w:rsidR="00494B49" w:rsidRDefault="00494B49">
            <w:r>
              <w:t xml:space="preserve">If the trust has capital gains that exceed capital losses for any tax year: </w:t>
            </w:r>
          </w:p>
        </w:tc>
      </w:tr>
      <w:tr w:rsidR="00494B49" w14:paraId="72686F96" w14:textId="77777777" w:rsidTr="00965E39">
        <w:tc>
          <w:tcPr>
            <w:tcW w:w="4314" w:type="dxa"/>
          </w:tcPr>
          <w:p w14:paraId="1E9E8D35" w14:textId="77777777" w:rsidR="00494B49" w:rsidRDefault="00494B49"/>
        </w:tc>
        <w:tc>
          <w:tcPr>
            <w:tcW w:w="1416" w:type="dxa"/>
          </w:tcPr>
          <w:p w14:paraId="439BEC44" w14:textId="77777777" w:rsidR="00494B49" w:rsidRDefault="00494B49"/>
        </w:tc>
        <w:tc>
          <w:tcPr>
            <w:tcW w:w="1970" w:type="dxa"/>
          </w:tcPr>
          <w:p w14:paraId="4FC3C784" w14:textId="77777777" w:rsidR="00494B49" w:rsidRDefault="00494B49">
            <w:r>
              <w:t>– The excess of the 43.4% rate net short-term capital gain over the net long-term capital loss for that year is, to the extent not deemed distributed, a 43.4% rate short-term capital gain carryover to the next tax year.</w:t>
            </w:r>
          </w:p>
        </w:tc>
        <w:tc>
          <w:tcPr>
            <w:tcW w:w="1650" w:type="dxa"/>
          </w:tcPr>
          <w:p w14:paraId="24C9F27D" w14:textId="77777777" w:rsidR="00494B49" w:rsidRDefault="00494B49">
            <w:r>
              <w:t>The excess of the net short-term capital gain over the net long-term capital loss for that year is, to the extent not deemed distributed, a short-term capital gain carryover to the next tax year.</w:t>
            </w:r>
          </w:p>
        </w:tc>
      </w:tr>
      <w:tr w:rsidR="00965E39" w14:paraId="1FCD87B8" w14:textId="4F305001" w:rsidTr="00965E39">
        <w:tc>
          <w:tcPr>
            <w:tcW w:w="4314" w:type="dxa"/>
          </w:tcPr>
          <w:p w14:paraId="2B8DC6F4" w14:textId="77777777" w:rsidR="00494B49" w:rsidRDefault="00494B49"/>
        </w:tc>
        <w:tc>
          <w:tcPr>
            <w:tcW w:w="1416" w:type="dxa"/>
          </w:tcPr>
          <w:p w14:paraId="7916430C" w14:textId="77777777" w:rsidR="00494B49" w:rsidRDefault="00494B49"/>
        </w:tc>
        <w:tc>
          <w:tcPr>
            <w:tcW w:w="1970" w:type="dxa"/>
          </w:tcPr>
          <w:p w14:paraId="66171D57" w14:textId="77777777" w:rsidR="00494B49" w:rsidRDefault="00494B49">
            <w:r>
              <w:t>– The excess of the 39.6% rate net short-term capital gain over the net long-term capital loss for that year is, to the extent not deemed distributed, a 39.6% rate short-term capital gain carryover to the next tax year.</w:t>
            </w:r>
          </w:p>
        </w:tc>
        <w:tc>
          <w:tcPr>
            <w:tcW w:w="1650" w:type="dxa"/>
            <w:shd w:val="clear" w:color="auto" w:fill="auto"/>
          </w:tcPr>
          <w:p w14:paraId="0B7A117B" w14:textId="77777777" w:rsidR="00965E39" w:rsidRDefault="00965E39"/>
        </w:tc>
      </w:tr>
      <w:tr w:rsidR="00494B49" w14:paraId="4310347D" w14:textId="77777777" w:rsidTr="00965E39">
        <w:tc>
          <w:tcPr>
            <w:tcW w:w="4314" w:type="dxa"/>
          </w:tcPr>
          <w:p w14:paraId="2ADC7403" w14:textId="77777777" w:rsidR="00494B49" w:rsidRDefault="00494B49"/>
        </w:tc>
        <w:tc>
          <w:tcPr>
            <w:tcW w:w="1416" w:type="dxa"/>
          </w:tcPr>
          <w:p w14:paraId="665B6C95" w14:textId="77777777" w:rsidR="00494B49" w:rsidRDefault="00494B49"/>
        </w:tc>
        <w:tc>
          <w:tcPr>
            <w:tcW w:w="1970" w:type="dxa"/>
          </w:tcPr>
          <w:p w14:paraId="5C6173A2" w14:textId="77777777" w:rsidR="00494B49" w:rsidRDefault="00494B49">
            <w:r>
              <w:t xml:space="preserve">– The excess of the 31.8% rate net long-term capital gain over the net short-term capital loss for that </w:t>
            </w:r>
            <w:r>
              <w:lastRenderedPageBreak/>
              <w:t>year is, to the extent not deemed distributed, a 31.8% rate long-term capital gain carryover to the next tax year.</w:t>
            </w:r>
          </w:p>
        </w:tc>
        <w:tc>
          <w:tcPr>
            <w:tcW w:w="1650" w:type="dxa"/>
          </w:tcPr>
          <w:p w14:paraId="219DF016" w14:textId="77777777" w:rsidR="00494B49" w:rsidRDefault="00494B49">
            <w:r>
              <w:lastRenderedPageBreak/>
              <w:t xml:space="preserve">The excess of the net long-term capital gain over the net short-term capital loss for </w:t>
            </w:r>
            <w:r>
              <w:lastRenderedPageBreak/>
              <w:t>that year is, to the extent not deemed distributed, a long-term capital gain carryover to the next tax year.</w:t>
            </w:r>
          </w:p>
        </w:tc>
      </w:tr>
      <w:tr w:rsidR="00965E39" w14:paraId="0ABCB565" w14:textId="40D4E1B7" w:rsidTr="00965E39">
        <w:tc>
          <w:tcPr>
            <w:tcW w:w="4314" w:type="dxa"/>
          </w:tcPr>
          <w:p w14:paraId="5FBA7799" w14:textId="77777777" w:rsidR="00494B49" w:rsidRDefault="00494B49"/>
        </w:tc>
        <w:tc>
          <w:tcPr>
            <w:tcW w:w="1416" w:type="dxa"/>
          </w:tcPr>
          <w:p w14:paraId="0F8B20C5" w14:textId="77777777" w:rsidR="00494B49" w:rsidRDefault="00494B49"/>
        </w:tc>
        <w:tc>
          <w:tcPr>
            <w:tcW w:w="1970" w:type="dxa"/>
          </w:tcPr>
          <w:p w14:paraId="6774E687" w14:textId="77777777" w:rsidR="00494B49" w:rsidRDefault="00494B49">
            <w:r>
              <w:t>– The excess of the 28.8% rate net long-term capital gain over the net short-term capital loss for that year is, to the extent not deemed distributed, a 28.8% rate long-term capital gain carryover to the next tax year.</w:t>
            </w:r>
          </w:p>
        </w:tc>
        <w:tc>
          <w:tcPr>
            <w:tcW w:w="1650" w:type="dxa"/>
            <w:shd w:val="clear" w:color="auto" w:fill="auto"/>
          </w:tcPr>
          <w:p w14:paraId="41E408B7" w14:textId="77777777" w:rsidR="00965E39" w:rsidRDefault="00965E39"/>
        </w:tc>
      </w:tr>
      <w:tr w:rsidR="00965E39" w14:paraId="2C4E0359" w14:textId="0F61ED8C" w:rsidTr="00965E39">
        <w:tc>
          <w:tcPr>
            <w:tcW w:w="4314" w:type="dxa"/>
          </w:tcPr>
          <w:p w14:paraId="048789D5" w14:textId="77777777" w:rsidR="00494B49" w:rsidRDefault="00494B49"/>
        </w:tc>
        <w:tc>
          <w:tcPr>
            <w:tcW w:w="1416" w:type="dxa"/>
          </w:tcPr>
          <w:p w14:paraId="5EBF7550" w14:textId="77777777" w:rsidR="00494B49" w:rsidRDefault="00494B49"/>
        </w:tc>
        <w:tc>
          <w:tcPr>
            <w:tcW w:w="1970" w:type="dxa"/>
          </w:tcPr>
          <w:p w14:paraId="72045C18" w14:textId="77777777" w:rsidR="00494B49" w:rsidRDefault="00494B49">
            <w:r>
              <w:t>– The excess of the 28% rate net long-term capital gain over the net short-term capital loss for that year is, to the extent not deemed distributed, a 28% rate long-term capital gain carryover to the next tax year.</w:t>
            </w:r>
          </w:p>
        </w:tc>
        <w:tc>
          <w:tcPr>
            <w:tcW w:w="1650" w:type="dxa"/>
            <w:shd w:val="clear" w:color="auto" w:fill="auto"/>
          </w:tcPr>
          <w:p w14:paraId="3AE2CE9B" w14:textId="77777777" w:rsidR="00965E39" w:rsidRDefault="00965E39"/>
        </w:tc>
      </w:tr>
      <w:tr w:rsidR="00965E39" w14:paraId="5EE83D1A" w14:textId="2A1CD35F" w:rsidTr="00965E39">
        <w:tc>
          <w:tcPr>
            <w:tcW w:w="4314" w:type="dxa"/>
          </w:tcPr>
          <w:p w14:paraId="47E34646" w14:textId="77777777" w:rsidR="00494B49" w:rsidRDefault="00494B49"/>
        </w:tc>
        <w:tc>
          <w:tcPr>
            <w:tcW w:w="1416" w:type="dxa"/>
          </w:tcPr>
          <w:p w14:paraId="750BB635" w14:textId="77777777" w:rsidR="00494B49" w:rsidRDefault="00494B49"/>
        </w:tc>
        <w:tc>
          <w:tcPr>
            <w:tcW w:w="1970" w:type="dxa"/>
          </w:tcPr>
          <w:p w14:paraId="5D59F3BB" w14:textId="77777777" w:rsidR="00494B49" w:rsidRDefault="00494B49">
            <w:r>
              <w:t>– The excess of the 25% rate net long-term capital gain over the net short-term capital loss for that year is, to the extent not deemed distributed, a 25% rate long-term capital gain carryover to the next tax year.</w:t>
            </w:r>
          </w:p>
        </w:tc>
        <w:tc>
          <w:tcPr>
            <w:tcW w:w="1650" w:type="dxa"/>
            <w:shd w:val="clear" w:color="auto" w:fill="auto"/>
          </w:tcPr>
          <w:p w14:paraId="2EE5ACCB" w14:textId="77777777" w:rsidR="00965E39" w:rsidRDefault="00965E39"/>
        </w:tc>
      </w:tr>
      <w:tr w:rsidR="004F1258" w14:paraId="06705450" w14:textId="5AAEACB1" w:rsidTr="004F1258">
        <w:tc>
          <w:tcPr>
            <w:tcW w:w="4314" w:type="dxa"/>
          </w:tcPr>
          <w:p w14:paraId="0E7CE511" w14:textId="77777777" w:rsidR="00494B49" w:rsidRDefault="00494B49"/>
        </w:tc>
        <w:tc>
          <w:tcPr>
            <w:tcW w:w="1416" w:type="dxa"/>
          </w:tcPr>
          <w:p w14:paraId="686C6FC0" w14:textId="77777777" w:rsidR="00494B49" w:rsidRDefault="00494B49"/>
        </w:tc>
        <w:tc>
          <w:tcPr>
            <w:tcW w:w="1970" w:type="dxa"/>
          </w:tcPr>
          <w:p w14:paraId="230809E5" w14:textId="77777777" w:rsidR="00494B49" w:rsidRDefault="00494B49">
            <w:r>
              <w:t>– The excess of the 23.8% rate net long-term capital gain over the net short-term capital loss for that year is, to the extent not deemed distributed, a 23.8% rate long-term capital gain carryover to the next tax year.</w:t>
            </w:r>
          </w:p>
        </w:tc>
        <w:tc>
          <w:tcPr>
            <w:tcW w:w="1650" w:type="dxa"/>
            <w:shd w:val="clear" w:color="auto" w:fill="auto"/>
          </w:tcPr>
          <w:p w14:paraId="7A23FB3B" w14:textId="77777777" w:rsidR="004F1258" w:rsidRDefault="004F1258"/>
        </w:tc>
      </w:tr>
      <w:tr w:rsidR="004F1258" w14:paraId="4FBBB6B3" w14:textId="516A0D14" w:rsidTr="004F1258">
        <w:tc>
          <w:tcPr>
            <w:tcW w:w="4314" w:type="dxa"/>
          </w:tcPr>
          <w:p w14:paraId="1E5F246E" w14:textId="77777777" w:rsidR="00494B49" w:rsidRDefault="00494B49"/>
        </w:tc>
        <w:tc>
          <w:tcPr>
            <w:tcW w:w="1416" w:type="dxa"/>
          </w:tcPr>
          <w:p w14:paraId="43055F9C" w14:textId="77777777" w:rsidR="00494B49" w:rsidRDefault="00494B49"/>
        </w:tc>
        <w:tc>
          <w:tcPr>
            <w:tcW w:w="1970" w:type="dxa"/>
          </w:tcPr>
          <w:p w14:paraId="4031C0BC" w14:textId="77777777" w:rsidR="00494B49" w:rsidRDefault="00494B49">
            <w:r>
              <w:t xml:space="preserve">– The excess of the 20% rate net long-term capital gain over the net short-term capital loss for that year is, to the extent not deemed </w:t>
            </w:r>
            <w:r>
              <w:lastRenderedPageBreak/>
              <w:t>distributed, a 20% rate long-term capital gain carryover to the next tax year.</w:t>
            </w:r>
          </w:p>
        </w:tc>
        <w:tc>
          <w:tcPr>
            <w:tcW w:w="1650" w:type="dxa"/>
            <w:shd w:val="clear" w:color="auto" w:fill="auto"/>
          </w:tcPr>
          <w:p w14:paraId="6C84A1D6" w14:textId="77777777" w:rsidR="004F1258" w:rsidRDefault="004F1258"/>
        </w:tc>
      </w:tr>
    </w:tbl>
    <w:p w14:paraId="6F5CD906" w14:textId="77777777" w:rsidR="00494B49" w:rsidRDefault="00494B49">
      <w:pPr>
        <w:pStyle w:val="BNormal"/>
      </w:pPr>
    </w:p>
    <w:p w14:paraId="57FEBFE0" w14:textId="77777777" w:rsidR="00494B49" w:rsidRDefault="00494B49">
      <w:pPr>
        <w:pStyle w:val="BHead3"/>
      </w:pPr>
      <w:r>
        <w:t>c. Decision Factors for Simplified Method</w:t>
      </w:r>
    </w:p>
    <w:p w14:paraId="6313E896" w14:textId="77777777" w:rsidR="00494B49" w:rsidRDefault="00494B49">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0DCEB822" w14:textId="77777777" w:rsidR="00494B49" w:rsidRDefault="00494B49">
      <w:pPr>
        <w:pStyle w:val="BHead4"/>
      </w:pPr>
      <w:r>
        <w:t>(1) New CRTs — Current and Future Income Likely to Be Net Investment Income</w:t>
      </w:r>
    </w:p>
    <w:p w14:paraId="4E7AAA92" w14:textId="77777777" w:rsidR="00494B49" w:rsidRDefault="00494B49">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52EE820C" w14:textId="77777777" w:rsidR="00494B49" w:rsidRDefault="00494B49">
      <w:pPr>
        <w:pStyle w:val="BHead4"/>
      </w:pPr>
      <w:r>
        <w:t>(2) CRTs with Unrealized Losses</w:t>
      </w:r>
    </w:p>
    <w:p w14:paraId="22FFEC7D" w14:textId="77777777" w:rsidR="00494B49" w:rsidRDefault="00494B49">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4F2040FD" w14:textId="77777777" w:rsidR="00494B49" w:rsidRDefault="00494B49" w:rsidP="00144640">
      <w:pPr>
        <w:pStyle w:val="BExamplepara"/>
      </w:pPr>
      <w:r>
        <w:rPr>
          <w:rStyle w:val="BExamplehead"/>
          <w:rFonts w:eastAsiaTheme="minorHAnsi"/>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236A11FD"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74C3768E" w14:textId="77777777">
        <w:trPr>
          <w:gridAfter w:val="1"/>
          <w:wAfter w:w="2520" w:type="dxa"/>
        </w:trPr>
        <w:tc>
          <w:tcPr>
            <w:tcW w:w="3360" w:type="dxa"/>
          </w:tcPr>
          <w:p w14:paraId="3740D5DA" w14:textId="77777777" w:rsidR="00494B49" w:rsidRDefault="00494B49"/>
        </w:tc>
        <w:tc>
          <w:tcPr>
            <w:tcW w:w="3360" w:type="dxa"/>
          </w:tcPr>
          <w:p w14:paraId="4D58D5D9" w14:textId="77777777" w:rsidR="00494B49" w:rsidRDefault="00494B49">
            <w:r>
              <w:t xml:space="preserve"> </w:t>
            </w:r>
            <w:r>
              <w:rPr>
                <w:b/>
              </w:rPr>
              <w:t>Section 664 Method</w:t>
            </w:r>
          </w:p>
        </w:tc>
        <w:tc>
          <w:tcPr>
            <w:tcW w:w="3360" w:type="dxa"/>
          </w:tcPr>
          <w:p w14:paraId="6410D4E0" w14:textId="77777777" w:rsidR="00494B49" w:rsidRDefault="00494B49">
            <w:r>
              <w:t xml:space="preserve"> </w:t>
            </w:r>
            <w:r>
              <w:rPr>
                <w:b/>
              </w:rPr>
              <w:t>Simplified Method</w:t>
            </w:r>
          </w:p>
        </w:tc>
      </w:tr>
      <w:tr w:rsidR="00494B49" w14:paraId="417DEBC1" w14:textId="77777777">
        <w:tc>
          <w:tcPr>
            <w:tcW w:w="2520" w:type="dxa"/>
          </w:tcPr>
          <w:p w14:paraId="09A815FB" w14:textId="77777777" w:rsidR="00494B49" w:rsidRDefault="00494B49"/>
        </w:tc>
        <w:tc>
          <w:tcPr>
            <w:tcW w:w="2520" w:type="dxa"/>
          </w:tcPr>
          <w:p w14:paraId="10600358" w14:textId="77777777" w:rsidR="00494B49" w:rsidRDefault="00494B49">
            <w:r>
              <w:t>Excluded Income</w:t>
            </w:r>
          </w:p>
        </w:tc>
        <w:tc>
          <w:tcPr>
            <w:tcW w:w="2520" w:type="dxa"/>
          </w:tcPr>
          <w:p w14:paraId="4E6D138B" w14:textId="77777777" w:rsidR="00494B49" w:rsidRDefault="00494B49">
            <w:r>
              <w:t>Accumulated NII</w:t>
            </w:r>
          </w:p>
        </w:tc>
        <w:tc>
          <w:tcPr>
            <w:tcW w:w="2520" w:type="dxa"/>
          </w:tcPr>
          <w:p w14:paraId="4993ADC3" w14:textId="77777777" w:rsidR="00494B49" w:rsidRDefault="00494B49">
            <w:r>
              <w:t>Accumulated NII</w:t>
            </w:r>
          </w:p>
        </w:tc>
      </w:tr>
      <w:tr w:rsidR="00494B49" w14:paraId="1EAD3000" w14:textId="77777777">
        <w:tc>
          <w:tcPr>
            <w:tcW w:w="2520" w:type="dxa"/>
          </w:tcPr>
          <w:p w14:paraId="16CA23C2" w14:textId="77777777" w:rsidR="00494B49" w:rsidRDefault="00494B49">
            <w:r>
              <w:t>Beginning Balance 1/1/Year 1</w:t>
            </w:r>
          </w:p>
        </w:tc>
        <w:tc>
          <w:tcPr>
            <w:tcW w:w="2520" w:type="dxa"/>
          </w:tcPr>
          <w:p w14:paraId="63CA7861" w14:textId="77777777" w:rsidR="00494B49" w:rsidRDefault="00494B49">
            <w:r>
              <w:t>$5,000,000</w:t>
            </w:r>
          </w:p>
        </w:tc>
        <w:tc>
          <w:tcPr>
            <w:tcW w:w="2520" w:type="dxa"/>
          </w:tcPr>
          <w:p w14:paraId="69791633" w14:textId="77777777" w:rsidR="00494B49" w:rsidRDefault="00494B49">
            <w:r>
              <w:t>$0</w:t>
            </w:r>
          </w:p>
        </w:tc>
        <w:tc>
          <w:tcPr>
            <w:tcW w:w="2520" w:type="dxa"/>
          </w:tcPr>
          <w:p w14:paraId="6555911F" w14:textId="77777777" w:rsidR="00494B49" w:rsidRDefault="00494B49">
            <w:r>
              <w:t>$0</w:t>
            </w:r>
          </w:p>
        </w:tc>
      </w:tr>
      <w:tr w:rsidR="00494B49" w14:paraId="26C8E21A" w14:textId="77777777">
        <w:tc>
          <w:tcPr>
            <w:tcW w:w="2520" w:type="dxa"/>
          </w:tcPr>
          <w:p w14:paraId="75172C64" w14:textId="77777777" w:rsidR="00494B49" w:rsidRDefault="00494B49">
            <w:r>
              <w:t xml:space="preserve">Interest and </w:t>
            </w:r>
            <w:r>
              <w:br/>
              <w:t>Dividends</w:t>
            </w:r>
          </w:p>
        </w:tc>
        <w:tc>
          <w:tcPr>
            <w:tcW w:w="2520" w:type="dxa"/>
          </w:tcPr>
          <w:p w14:paraId="150EE19B" w14:textId="77777777" w:rsidR="00494B49" w:rsidRDefault="00494B49"/>
        </w:tc>
        <w:tc>
          <w:tcPr>
            <w:tcW w:w="2520" w:type="dxa"/>
          </w:tcPr>
          <w:p w14:paraId="76F1B2B9" w14:textId="77777777" w:rsidR="00494B49" w:rsidRDefault="00494B49">
            <w:r>
              <w:t>$100,000</w:t>
            </w:r>
          </w:p>
        </w:tc>
        <w:tc>
          <w:tcPr>
            <w:tcW w:w="2520" w:type="dxa"/>
          </w:tcPr>
          <w:p w14:paraId="316264FC" w14:textId="77777777" w:rsidR="00494B49" w:rsidRDefault="00494B49">
            <w:r>
              <w:t>$100,000</w:t>
            </w:r>
          </w:p>
        </w:tc>
      </w:tr>
      <w:tr w:rsidR="00494B49" w14:paraId="5974D0BE" w14:textId="77777777">
        <w:tc>
          <w:tcPr>
            <w:tcW w:w="2520" w:type="dxa"/>
          </w:tcPr>
          <w:p w14:paraId="0396CF06" w14:textId="77777777" w:rsidR="00494B49" w:rsidRDefault="00494B49">
            <w:r>
              <w:t>Realized Capital Losses</w:t>
            </w:r>
          </w:p>
        </w:tc>
        <w:tc>
          <w:tcPr>
            <w:tcW w:w="2520" w:type="dxa"/>
          </w:tcPr>
          <w:p w14:paraId="4B90C8E9" w14:textId="77777777" w:rsidR="00494B49" w:rsidRDefault="00494B49">
            <w:r>
              <w:t>($125,000)</w:t>
            </w:r>
          </w:p>
        </w:tc>
        <w:tc>
          <w:tcPr>
            <w:tcW w:w="2520" w:type="dxa"/>
          </w:tcPr>
          <w:p w14:paraId="0C78612C" w14:textId="77777777" w:rsidR="00494B49" w:rsidRDefault="00494B49">
            <w:r>
              <w:t>$0</w:t>
            </w:r>
          </w:p>
        </w:tc>
        <w:tc>
          <w:tcPr>
            <w:tcW w:w="2520" w:type="dxa"/>
          </w:tcPr>
          <w:p w14:paraId="01349640" w14:textId="77777777" w:rsidR="00494B49" w:rsidRDefault="00494B49">
            <w:r>
              <w:t>($125,000)</w:t>
            </w:r>
          </w:p>
        </w:tc>
      </w:tr>
      <w:tr w:rsidR="00494B49" w14:paraId="43EEB11A" w14:textId="77777777">
        <w:tc>
          <w:tcPr>
            <w:tcW w:w="2520" w:type="dxa"/>
          </w:tcPr>
          <w:p w14:paraId="7178EB67" w14:textId="77777777" w:rsidR="00494B49" w:rsidRDefault="00494B49">
            <w:r>
              <w:t>Ending Balance 12/31/Year 1</w:t>
            </w:r>
          </w:p>
        </w:tc>
        <w:tc>
          <w:tcPr>
            <w:tcW w:w="2520" w:type="dxa"/>
          </w:tcPr>
          <w:p w14:paraId="46EBC6AE" w14:textId="77777777" w:rsidR="00494B49" w:rsidRDefault="00494B49">
            <w:r>
              <w:t>$4,875,000</w:t>
            </w:r>
          </w:p>
        </w:tc>
        <w:tc>
          <w:tcPr>
            <w:tcW w:w="2520" w:type="dxa"/>
          </w:tcPr>
          <w:p w14:paraId="5E31C937" w14:textId="77777777" w:rsidR="00494B49" w:rsidRDefault="00494B49">
            <w:r>
              <w:t>$100,000</w:t>
            </w:r>
          </w:p>
        </w:tc>
        <w:tc>
          <w:tcPr>
            <w:tcW w:w="2520" w:type="dxa"/>
          </w:tcPr>
          <w:p w14:paraId="3701322D" w14:textId="77777777" w:rsidR="00494B49" w:rsidRDefault="00494B49">
            <w:r>
              <w:t>($25,000)</w:t>
            </w:r>
          </w:p>
        </w:tc>
      </w:tr>
      <w:tr w:rsidR="00494B49" w14:paraId="498D64C6" w14:textId="77777777">
        <w:tc>
          <w:tcPr>
            <w:tcW w:w="2520" w:type="dxa"/>
          </w:tcPr>
          <w:p w14:paraId="370D1A99" w14:textId="77777777" w:rsidR="00494B49" w:rsidRDefault="00494B49">
            <w:r>
              <w:t xml:space="preserve">Year 1 Beneficiary </w:t>
            </w:r>
            <w:r>
              <w:br/>
              <w:t xml:space="preserve">Distribution </w:t>
            </w:r>
          </w:p>
        </w:tc>
        <w:tc>
          <w:tcPr>
            <w:tcW w:w="2520" w:type="dxa"/>
          </w:tcPr>
          <w:p w14:paraId="0CC2257E" w14:textId="77777777" w:rsidR="00494B49" w:rsidRDefault="00494B49">
            <w:r>
              <w:t>$10,000</w:t>
            </w:r>
          </w:p>
        </w:tc>
        <w:tc>
          <w:tcPr>
            <w:tcW w:w="2520" w:type="dxa"/>
          </w:tcPr>
          <w:p w14:paraId="0F25184F" w14:textId="77777777" w:rsidR="00494B49" w:rsidRDefault="00494B49">
            <w:r>
              <w:t>$100,000</w:t>
            </w:r>
          </w:p>
        </w:tc>
        <w:tc>
          <w:tcPr>
            <w:tcW w:w="2520" w:type="dxa"/>
          </w:tcPr>
          <w:p w14:paraId="1D2257C2" w14:textId="77777777" w:rsidR="00494B49" w:rsidRDefault="00494B49">
            <w:r>
              <w:t>$0</w:t>
            </w:r>
          </w:p>
        </w:tc>
      </w:tr>
    </w:tbl>
    <w:p w14:paraId="505FDBB7" w14:textId="77777777" w:rsidR="00494B49" w:rsidRDefault="00494B49">
      <w:pPr>
        <w:pStyle w:val="BNormal"/>
      </w:pPr>
    </w:p>
    <w:p w14:paraId="087CE8E1" w14:textId="77777777" w:rsidR="00494B49" w:rsidRDefault="00494B49">
      <w:pPr>
        <w:pStyle w:val="BExamplepara"/>
      </w:pPr>
      <w:r>
        <w:lastRenderedPageBreak/>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3AFEBAB5"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594D89B8" w14:textId="77777777" w:rsidR="00494B49" w:rsidRDefault="00494B49">
      <w:pPr>
        <w:pStyle w:val="BExamplepara"/>
      </w:pPr>
      <w:r>
        <w:t xml:space="preserve">For regular income tax purposes in Year 1, the beneficiary would receive $100,000 of interest and dividend income and $10,000 of long-term capital gain under both methods. </w:t>
      </w:r>
    </w:p>
    <w:p w14:paraId="0EA93B21" w14:textId="77777777" w:rsidR="00494B49" w:rsidRDefault="00494B49" w:rsidP="00144640">
      <w:pPr>
        <w:pStyle w:val="BExamplepara"/>
      </w:pPr>
      <w:r>
        <w:t xml:space="preserve">Assume for Year 2, the CRAT receives another $100,000 of interest and dividends and recognizes $5,000 of long term capital gain. </w:t>
      </w:r>
    </w:p>
    <w:p w14:paraId="0D4E07F4"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438"/>
        <w:gridCol w:w="2420"/>
        <w:gridCol w:w="2492"/>
        <w:gridCol w:w="2000"/>
      </w:tblGrid>
      <w:tr w:rsidR="00494B49" w14:paraId="06C2663B" w14:textId="77777777">
        <w:trPr>
          <w:gridAfter w:val="1"/>
          <w:wAfter w:w="2520" w:type="dxa"/>
        </w:trPr>
        <w:tc>
          <w:tcPr>
            <w:tcW w:w="3360" w:type="dxa"/>
          </w:tcPr>
          <w:p w14:paraId="0593E081" w14:textId="77777777" w:rsidR="00494B49" w:rsidRDefault="00494B49"/>
        </w:tc>
        <w:tc>
          <w:tcPr>
            <w:tcW w:w="3360" w:type="dxa"/>
          </w:tcPr>
          <w:p w14:paraId="15186592" w14:textId="77777777" w:rsidR="00494B49" w:rsidRDefault="00494B49">
            <w:r>
              <w:t xml:space="preserve"> </w:t>
            </w:r>
            <w:r>
              <w:rPr>
                <w:b/>
              </w:rPr>
              <w:t>Section 664 Method</w:t>
            </w:r>
          </w:p>
        </w:tc>
        <w:tc>
          <w:tcPr>
            <w:tcW w:w="3360" w:type="dxa"/>
          </w:tcPr>
          <w:p w14:paraId="63FD480F" w14:textId="77777777" w:rsidR="00494B49" w:rsidRDefault="00494B49">
            <w:r>
              <w:t xml:space="preserve"> </w:t>
            </w:r>
            <w:r>
              <w:rPr>
                <w:b/>
              </w:rPr>
              <w:t>Simplified Method</w:t>
            </w:r>
          </w:p>
        </w:tc>
      </w:tr>
      <w:tr w:rsidR="00494B49" w14:paraId="3AEC6B2B" w14:textId="77777777">
        <w:tc>
          <w:tcPr>
            <w:tcW w:w="2520" w:type="dxa"/>
          </w:tcPr>
          <w:p w14:paraId="6AD8A5CB" w14:textId="77777777" w:rsidR="00494B49" w:rsidRDefault="00494B49"/>
        </w:tc>
        <w:tc>
          <w:tcPr>
            <w:tcW w:w="2520" w:type="dxa"/>
          </w:tcPr>
          <w:p w14:paraId="145D5E13" w14:textId="77777777" w:rsidR="00494B49" w:rsidRDefault="00494B49">
            <w:r>
              <w:t>Excluded Income</w:t>
            </w:r>
          </w:p>
        </w:tc>
        <w:tc>
          <w:tcPr>
            <w:tcW w:w="2520" w:type="dxa"/>
          </w:tcPr>
          <w:p w14:paraId="5CEEC628" w14:textId="77777777" w:rsidR="00494B49" w:rsidRDefault="00494B49">
            <w:r>
              <w:t>Accumulated NII</w:t>
            </w:r>
          </w:p>
        </w:tc>
        <w:tc>
          <w:tcPr>
            <w:tcW w:w="2520" w:type="dxa"/>
          </w:tcPr>
          <w:p w14:paraId="4F34E2C4" w14:textId="77777777" w:rsidR="00494B49" w:rsidRDefault="00494B49">
            <w:r>
              <w:t>Accumulated NII</w:t>
            </w:r>
          </w:p>
        </w:tc>
      </w:tr>
      <w:tr w:rsidR="00494B49" w14:paraId="4440D1CE" w14:textId="77777777">
        <w:tc>
          <w:tcPr>
            <w:tcW w:w="2520" w:type="dxa"/>
          </w:tcPr>
          <w:p w14:paraId="1AD83507" w14:textId="77777777" w:rsidR="00494B49" w:rsidRDefault="00494B49">
            <w:r>
              <w:t>Beginning Balance 1/1/Year 2</w:t>
            </w:r>
          </w:p>
        </w:tc>
        <w:tc>
          <w:tcPr>
            <w:tcW w:w="2520" w:type="dxa"/>
          </w:tcPr>
          <w:p w14:paraId="7377104D" w14:textId="77777777" w:rsidR="00494B49" w:rsidRDefault="00494B49">
            <w:r>
              <w:t>$4,865,000</w:t>
            </w:r>
          </w:p>
        </w:tc>
        <w:tc>
          <w:tcPr>
            <w:tcW w:w="2520" w:type="dxa"/>
          </w:tcPr>
          <w:p w14:paraId="39B9541B" w14:textId="77777777" w:rsidR="00494B49" w:rsidRDefault="00494B49">
            <w:r>
              <w:t>$0</w:t>
            </w:r>
          </w:p>
        </w:tc>
        <w:tc>
          <w:tcPr>
            <w:tcW w:w="2520" w:type="dxa"/>
          </w:tcPr>
          <w:p w14:paraId="15DC6CA6" w14:textId="77777777" w:rsidR="00494B49" w:rsidRDefault="00494B49">
            <w:r>
              <w:t>($25,000)</w:t>
            </w:r>
          </w:p>
        </w:tc>
      </w:tr>
      <w:tr w:rsidR="00494B49" w14:paraId="4AAC3FA2" w14:textId="77777777">
        <w:tc>
          <w:tcPr>
            <w:tcW w:w="2520" w:type="dxa"/>
          </w:tcPr>
          <w:p w14:paraId="05BD99D7" w14:textId="77777777" w:rsidR="00494B49" w:rsidRDefault="00494B49">
            <w:r>
              <w:t>Interest &amp; Dividends</w:t>
            </w:r>
          </w:p>
        </w:tc>
        <w:tc>
          <w:tcPr>
            <w:tcW w:w="2520" w:type="dxa"/>
          </w:tcPr>
          <w:p w14:paraId="55C383F4" w14:textId="77777777" w:rsidR="00494B49" w:rsidRDefault="00494B49"/>
        </w:tc>
        <w:tc>
          <w:tcPr>
            <w:tcW w:w="2520" w:type="dxa"/>
          </w:tcPr>
          <w:p w14:paraId="48A9FFFB" w14:textId="77777777" w:rsidR="00494B49" w:rsidRDefault="00494B49">
            <w:r>
              <w:t>$100,000</w:t>
            </w:r>
          </w:p>
        </w:tc>
        <w:tc>
          <w:tcPr>
            <w:tcW w:w="2520" w:type="dxa"/>
          </w:tcPr>
          <w:p w14:paraId="3CCE1FF1" w14:textId="77777777" w:rsidR="00494B49" w:rsidRDefault="00494B49">
            <w:r>
              <w:t>$100,000</w:t>
            </w:r>
          </w:p>
        </w:tc>
      </w:tr>
      <w:tr w:rsidR="00494B49" w14:paraId="599DBF08" w14:textId="77777777">
        <w:tc>
          <w:tcPr>
            <w:tcW w:w="2520" w:type="dxa"/>
          </w:tcPr>
          <w:p w14:paraId="4D1216F2" w14:textId="77777777" w:rsidR="00494B49" w:rsidRDefault="00494B49">
            <w:r>
              <w:t>Realized Capital Gains</w:t>
            </w:r>
          </w:p>
        </w:tc>
        <w:tc>
          <w:tcPr>
            <w:tcW w:w="2520" w:type="dxa"/>
          </w:tcPr>
          <w:p w14:paraId="4A072DBC" w14:textId="77777777" w:rsidR="00494B49" w:rsidRDefault="00494B49"/>
        </w:tc>
        <w:tc>
          <w:tcPr>
            <w:tcW w:w="2520" w:type="dxa"/>
          </w:tcPr>
          <w:p w14:paraId="10726DC0" w14:textId="77777777" w:rsidR="00494B49" w:rsidRDefault="00494B49">
            <w:r>
              <w:t>$5,000</w:t>
            </w:r>
          </w:p>
        </w:tc>
        <w:tc>
          <w:tcPr>
            <w:tcW w:w="2520" w:type="dxa"/>
          </w:tcPr>
          <w:p w14:paraId="10E91A2C" w14:textId="77777777" w:rsidR="00494B49" w:rsidRDefault="00494B49">
            <w:r>
              <w:t>$5,000</w:t>
            </w:r>
          </w:p>
        </w:tc>
      </w:tr>
      <w:tr w:rsidR="00494B49" w14:paraId="581E8048" w14:textId="77777777">
        <w:tc>
          <w:tcPr>
            <w:tcW w:w="2520" w:type="dxa"/>
          </w:tcPr>
          <w:p w14:paraId="13B686D4" w14:textId="77777777" w:rsidR="00494B49" w:rsidRDefault="00494B49">
            <w:r>
              <w:t>Ending Balance 12/31/Year 2</w:t>
            </w:r>
          </w:p>
        </w:tc>
        <w:tc>
          <w:tcPr>
            <w:tcW w:w="2520" w:type="dxa"/>
          </w:tcPr>
          <w:p w14:paraId="5C5F1C3A" w14:textId="77777777" w:rsidR="00494B49" w:rsidRDefault="00494B49">
            <w:r>
              <w:t>$4,865,000</w:t>
            </w:r>
          </w:p>
        </w:tc>
        <w:tc>
          <w:tcPr>
            <w:tcW w:w="2520" w:type="dxa"/>
          </w:tcPr>
          <w:p w14:paraId="47CAB32A" w14:textId="77777777" w:rsidR="00494B49" w:rsidRDefault="00494B49">
            <w:r>
              <w:t>$105,000</w:t>
            </w:r>
          </w:p>
        </w:tc>
        <w:tc>
          <w:tcPr>
            <w:tcW w:w="2520" w:type="dxa"/>
          </w:tcPr>
          <w:p w14:paraId="464820C8" w14:textId="77777777" w:rsidR="00494B49" w:rsidRDefault="00494B49">
            <w:r>
              <w:t>$80,000</w:t>
            </w:r>
          </w:p>
        </w:tc>
      </w:tr>
      <w:tr w:rsidR="00494B49" w14:paraId="68734F5D" w14:textId="77777777">
        <w:tc>
          <w:tcPr>
            <w:tcW w:w="2520" w:type="dxa"/>
          </w:tcPr>
          <w:p w14:paraId="252C2C04" w14:textId="77777777" w:rsidR="00494B49" w:rsidRDefault="00494B49">
            <w:r>
              <w:t xml:space="preserve">Year 2 Beneficiary </w:t>
            </w:r>
            <w:r>
              <w:br/>
              <w:t xml:space="preserve">Distribution </w:t>
            </w:r>
          </w:p>
        </w:tc>
        <w:tc>
          <w:tcPr>
            <w:tcW w:w="2520" w:type="dxa"/>
          </w:tcPr>
          <w:p w14:paraId="2AA15179" w14:textId="77777777" w:rsidR="00494B49" w:rsidRDefault="00494B49">
            <w:r>
              <w:t>$5,000</w:t>
            </w:r>
          </w:p>
        </w:tc>
        <w:tc>
          <w:tcPr>
            <w:tcW w:w="2520" w:type="dxa"/>
          </w:tcPr>
          <w:p w14:paraId="09BF5565" w14:textId="77777777" w:rsidR="00494B49" w:rsidRDefault="00494B49">
            <w:r>
              <w:t>$105,000</w:t>
            </w:r>
          </w:p>
        </w:tc>
        <w:tc>
          <w:tcPr>
            <w:tcW w:w="2520" w:type="dxa"/>
          </w:tcPr>
          <w:p w14:paraId="0C3BAD48" w14:textId="77777777" w:rsidR="00494B49" w:rsidRDefault="00494B49">
            <w:r>
              <w:t>$80,000</w:t>
            </w:r>
          </w:p>
        </w:tc>
      </w:tr>
    </w:tbl>
    <w:p w14:paraId="2AB88312" w14:textId="77777777" w:rsidR="00494B49" w:rsidRDefault="00494B49">
      <w:pPr>
        <w:pStyle w:val="BNormal"/>
      </w:pPr>
    </w:p>
    <w:p w14:paraId="03890CAE" w14:textId="77777777" w:rsidR="00494B49" w:rsidRDefault="00494B49">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3BB81919"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20A79C2A" w14:textId="77777777" w:rsidR="00494B49" w:rsidRDefault="00494B49">
      <w:pPr>
        <w:pStyle w:val="BExamplepara"/>
      </w:pPr>
      <w:r>
        <w:t>For regular income tax purposes in Year 2, similar to Year 1, the beneficiary would receive $100,000 of interest and dividend income and $10,000 of long-term capital gain under both methods.</w:t>
      </w:r>
    </w:p>
    <w:p w14:paraId="591EC70E" w14:textId="77777777" w:rsidR="00494B49" w:rsidRDefault="00494B49" w:rsidP="00144640">
      <w:pPr>
        <w:pStyle w:val="BExamplepara"/>
      </w:pPr>
      <w:r>
        <w:t xml:space="preserve">The following chart is a summary of the regular income tax and net investment income reported by the beneficiary over Year 1 and Year 2: </w:t>
      </w:r>
    </w:p>
    <w:p w14:paraId="0CC74F1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2152"/>
        <w:gridCol w:w="2127"/>
        <w:gridCol w:w="2184"/>
        <w:gridCol w:w="1468"/>
        <w:gridCol w:w="1419"/>
      </w:tblGrid>
      <w:tr w:rsidR="00494B49" w14:paraId="12E8DFC4" w14:textId="77777777">
        <w:trPr>
          <w:gridAfter w:val="2"/>
          <w:wAfter w:w="4032" w:type="dxa"/>
        </w:trPr>
        <w:tc>
          <w:tcPr>
            <w:tcW w:w="3360" w:type="dxa"/>
          </w:tcPr>
          <w:p w14:paraId="5531C127" w14:textId="77777777" w:rsidR="00494B49" w:rsidRDefault="00494B49"/>
        </w:tc>
        <w:tc>
          <w:tcPr>
            <w:tcW w:w="3360" w:type="dxa"/>
          </w:tcPr>
          <w:p w14:paraId="70CBDDEA" w14:textId="77777777" w:rsidR="00494B49" w:rsidRDefault="00494B49">
            <w:r>
              <w:t xml:space="preserve"> </w:t>
            </w:r>
            <w:r>
              <w:rPr>
                <w:b/>
              </w:rPr>
              <w:t>Section 664 Method</w:t>
            </w:r>
          </w:p>
        </w:tc>
        <w:tc>
          <w:tcPr>
            <w:tcW w:w="3360" w:type="dxa"/>
          </w:tcPr>
          <w:p w14:paraId="580D57A9" w14:textId="77777777" w:rsidR="00494B49" w:rsidRDefault="00494B49">
            <w:r>
              <w:t xml:space="preserve"> </w:t>
            </w:r>
            <w:r>
              <w:rPr>
                <w:b/>
              </w:rPr>
              <w:t>Simplified Method</w:t>
            </w:r>
          </w:p>
        </w:tc>
      </w:tr>
      <w:tr w:rsidR="00494B49" w14:paraId="75E1E679" w14:textId="77777777">
        <w:tc>
          <w:tcPr>
            <w:tcW w:w="2016" w:type="dxa"/>
          </w:tcPr>
          <w:p w14:paraId="0ADD0EDD" w14:textId="77777777" w:rsidR="00494B49" w:rsidRDefault="00494B49"/>
        </w:tc>
        <w:tc>
          <w:tcPr>
            <w:tcW w:w="2016" w:type="dxa"/>
          </w:tcPr>
          <w:p w14:paraId="5D8FF1A6" w14:textId="77777777" w:rsidR="00494B49" w:rsidRDefault="00494B49">
            <w:r>
              <w:t>Regular Tax</w:t>
            </w:r>
          </w:p>
        </w:tc>
        <w:tc>
          <w:tcPr>
            <w:tcW w:w="2016" w:type="dxa"/>
          </w:tcPr>
          <w:p w14:paraId="76366470" w14:textId="77777777" w:rsidR="00494B49" w:rsidRDefault="00494B49">
            <w:r>
              <w:t>NII</w:t>
            </w:r>
          </w:p>
        </w:tc>
        <w:tc>
          <w:tcPr>
            <w:tcW w:w="2016" w:type="dxa"/>
          </w:tcPr>
          <w:p w14:paraId="1FB8158D" w14:textId="77777777" w:rsidR="00494B49" w:rsidRDefault="00494B49">
            <w:r>
              <w:t>Regular Tax</w:t>
            </w:r>
          </w:p>
        </w:tc>
        <w:tc>
          <w:tcPr>
            <w:tcW w:w="2016" w:type="dxa"/>
          </w:tcPr>
          <w:p w14:paraId="741F753F" w14:textId="77777777" w:rsidR="00494B49" w:rsidRDefault="00494B49">
            <w:r>
              <w:t>NII</w:t>
            </w:r>
          </w:p>
        </w:tc>
      </w:tr>
      <w:tr w:rsidR="00494B49" w14:paraId="639DF855" w14:textId="77777777">
        <w:tc>
          <w:tcPr>
            <w:tcW w:w="2016" w:type="dxa"/>
          </w:tcPr>
          <w:p w14:paraId="7653A212" w14:textId="77777777" w:rsidR="00494B49" w:rsidRDefault="00494B49">
            <w:r>
              <w:lastRenderedPageBreak/>
              <w:t xml:space="preserve">Year 1 Interest &amp; </w:t>
            </w:r>
            <w:r>
              <w:br/>
              <w:t>Dividends</w:t>
            </w:r>
          </w:p>
        </w:tc>
        <w:tc>
          <w:tcPr>
            <w:tcW w:w="2016" w:type="dxa"/>
          </w:tcPr>
          <w:p w14:paraId="017D7EF5" w14:textId="77777777" w:rsidR="00494B49" w:rsidRDefault="00494B49">
            <w:r>
              <w:t>$100,000</w:t>
            </w:r>
          </w:p>
        </w:tc>
        <w:tc>
          <w:tcPr>
            <w:tcW w:w="2016" w:type="dxa"/>
          </w:tcPr>
          <w:p w14:paraId="467C3E91" w14:textId="77777777" w:rsidR="00494B49" w:rsidRDefault="00494B49">
            <w:r>
              <w:t>$100,000</w:t>
            </w:r>
          </w:p>
        </w:tc>
        <w:tc>
          <w:tcPr>
            <w:tcW w:w="2016" w:type="dxa"/>
          </w:tcPr>
          <w:p w14:paraId="2779180C" w14:textId="77777777" w:rsidR="00494B49" w:rsidRDefault="00494B49">
            <w:r>
              <w:t>$100,000</w:t>
            </w:r>
          </w:p>
        </w:tc>
        <w:tc>
          <w:tcPr>
            <w:tcW w:w="2016" w:type="dxa"/>
          </w:tcPr>
          <w:p w14:paraId="6B9C3B5B" w14:textId="77777777" w:rsidR="00494B49" w:rsidRDefault="00494B49">
            <w:r>
              <w:t>$0</w:t>
            </w:r>
          </w:p>
        </w:tc>
      </w:tr>
      <w:tr w:rsidR="00494B49" w14:paraId="24488DFF" w14:textId="77777777">
        <w:tc>
          <w:tcPr>
            <w:tcW w:w="2016" w:type="dxa"/>
          </w:tcPr>
          <w:p w14:paraId="3E4CD2D5" w14:textId="77777777" w:rsidR="00494B49" w:rsidRDefault="00494B49">
            <w:r>
              <w:t>Year 1 Long-term Capital Gains</w:t>
            </w:r>
          </w:p>
        </w:tc>
        <w:tc>
          <w:tcPr>
            <w:tcW w:w="2016" w:type="dxa"/>
          </w:tcPr>
          <w:p w14:paraId="24411C2F" w14:textId="77777777" w:rsidR="00494B49" w:rsidRDefault="00494B49">
            <w:r>
              <w:t>$10,000</w:t>
            </w:r>
          </w:p>
        </w:tc>
        <w:tc>
          <w:tcPr>
            <w:tcW w:w="2016" w:type="dxa"/>
          </w:tcPr>
          <w:p w14:paraId="70E2F2A4" w14:textId="77777777" w:rsidR="00494B49" w:rsidRDefault="00494B49"/>
        </w:tc>
        <w:tc>
          <w:tcPr>
            <w:tcW w:w="2016" w:type="dxa"/>
          </w:tcPr>
          <w:p w14:paraId="4D8366ED" w14:textId="77777777" w:rsidR="00494B49" w:rsidRDefault="00494B49">
            <w:r>
              <w:t>$10,000</w:t>
            </w:r>
          </w:p>
        </w:tc>
        <w:tc>
          <w:tcPr>
            <w:tcW w:w="2016" w:type="dxa"/>
          </w:tcPr>
          <w:p w14:paraId="45107AEC" w14:textId="77777777" w:rsidR="00494B49" w:rsidRDefault="00494B49">
            <w:r>
              <w:t>$0</w:t>
            </w:r>
          </w:p>
        </w:tc>
      </w:tr>
      <w:tr w:rsidR="00494B49" w14:paraId="21D730B7" w14:textId="77777777">
        <w:tc>
          <w:tcPr>
            <w:tcW w:w="2016" w:type="dxa"/>
          </w:tcPr>
          <w:p w14:paraId="0E7C3673" w14:textId="77777777" w:rsidR="00494B49" w:rsidRDefault="00494B49">
            <w:r>
              <w:t xml:space="preserve">Year 2 Interest &amp; </w:t>
            </w:r>
            <w:r>
              <w:br/>
              <w:t>Dividends</w:t>
            </w:r>
          </w:p>
        </w:tc>
        <w:tc>
          <w:tcPr>
            <w:tcW w:w="2016" w:type="dxa"/>
          </w:tcPr>
          <w:p w14:paraId="4E417FD7" w14:textId="77777777" w:rsidR="00494B49" w:rsidRDefault="00494B49">
            <w:r>
              <w:t>$100,000</w:t>
            </w:r>
          </w:p>
        </w:tc>
        <w:tc>
          <w:tcPr>
            <w:tcW w:w="2016" w:type="dxa"/>
          </w:tcPr>
          <w:p w14:paraId="41D23F6F" w14:textId="77777777" w:rsidR="00494B49" w:rsidRDefault="00494B49">
            <w:r>
              <w:t>$100,000</w:t>
            </w:r>
          </w:p>
        </w:tc>
        <w:tc>
          <w:tcPr>
            <w:tcW w:w="2016" w:type="dxa"/>
          </w:tcPr>
          <w:p w14:paraId="39D8677B" w14:textId="77777777" w:rsidR="00494B49" w:rsidRDefault="00494B49">
            <w:r>
              <w:t>$100,000</w:t>
            </w:r>
          </w:p>
        </w:tc>
        <w:tc>
          <w:tcPr>
            <w:tcW w:w="2016" w:type="dxa"/>
          </w:tcPr>
          <w:p w14:paraId="3E06B193" w14:textId="77777777" w:rsidR="00494B49" w:rsidRDefault="00494B49">
            <w:r>
              <w:t>$80,000</w:t>
            </w:r>
          </w:p>
        </w:tc>
      </w:tr>
      <w:tr w:rsidR="00494B49" w14:paraId="1B4BB166" w14:textId="77777777">
        <w:tc>
          <w:tcPr>
            <w:tcW w:w="2016" w:type="dxa"/>
          </w:tcPr>
          <w:p w14:paraId="5774ADED" w14:textId="77777777" w:rsidR="00494B49" w:rsidRDefault="00494B49">
            <w:r>
              <w:t>Year 2 Long-term Capital Gains</w:t>
            </w:r>
          </w:p>
        </w:tc>
        <w:tc>
          <w:tcPr>
            <w:tcW w:w="2016" w:type="dxa"/>
          </w:tcPr>
          <w:p w14:paraId="324147F2" w14:textId="77777777" w:rsidR="00494B49" w:rsidRDefault="00494B49">
            <w:r>
              <w:t>$10,000</w:t>
            </w:r>
          </w:p>
        </w:tc>
        <w:tc>
          <w:tcPr>
            <w:tcW w:w="2016" w:type="dxa"/>
          </w:tcPr>
          <w:p w14:paraId="0D71E981" w14:textId="77777777" w:rsidR="00494B49" w:rsidRDefault="00494B49">
            <w:r>
              <w:t>$5,000</w:t>
            </w:r>
          </w:p>
        </w:tc>
        <w:tc>
          <w:tcPr>
            <w:tcW w:w="2016" w:type="dxa"/>
          </w:tcPr>
          <w:p w14:paraId="6617C47D" w14:textId="77777777" w:rsidR="00494B49" w:rsidRDefault="00494B49">
            <w:r>
              <w:t>$10,000</w:t>
            </w:r>
          </w:p>
        </w:tc>
        <w:tc>
          <w:tcPr>
            <w:tcW w:w="2016" w:type="dxa"/>
          </w:tcPr>
          <w:p w14:paraId="38D9EC51" w14:textId="77777777" w:rsidR="00494B49" w:rsidRDefault="00494B49">
            <w:r>
              <w:t>$0</w:t>
            </w:r>
          </w:p>
        </w:tc>
      </w:tr>
      <w:tr w:rsidR="00494B49" w14:paraId="3FD6F98F" w14:textId="77777777">
        <w:tc>
          <w:tcPr>
            <w:tcW w:w="2016" w:type="dxa"/>
          </w:tcPr>
          <w:p w14:paraId="41E164F4" w14:textId="77777777" w:rsidR="00494B49" w:rsidRDefault="00494B49">
            <w:r>
              <w:t>Total Year 1–Year 2</w:t>
            </w:r>
          </w:p>
        </w:tc>
        <w:tc>
          <w:tcPr>
            <w:tcW w:w="2016" w:type="dxa"/>
          </w:tcPr>
          <w:p w14:paraId="7EEAC8BE" w14:textId="77777777" w:rsidR="00494B49" w:rsidRDefault="00494B49">
            <w:r>
              <w:t>$220,000</w:t>
            </w:r>
          </w:p>
        </w:tc>
        <w:tc>
          <w:tcPr>
            <w:tcW w:w="2016" w:type="dxa"/>
          </w:tcPr>
          <w:p w14:paraId="102414A4" w14:textId="77777777" w:rsidR="00494B49" w:rsidRDefault="00494B49">
            <w:r>
              <w:t>$205,000</w:t>
            </w:r>
          </w:p>
        </w:tc>
        <w:tc>
          <w:tcPr>
            <w:tcW w:w="2016" w:type="dxa"/>
          </w:tcPr>
          <w:p w14:paraId="5338958B" w14:textId="77777777" w:rsidR="00494B49" w:rsidRDefault="00494B49">
            <w:r>
              <w:t>$220,000</w:t>
            </w:r>
          </w:p>
        </w:tc>
        <w:tc>
          <w:tcPr>
            <w:tcW w:w="2016" w:type="dxa"/>
          </w:tcPr>
          <w:p w14:paraId="3CCDD7A7" w14:textId="77777777" w:rsidR="00494B49" w:rsidRDefault="00494B49">
            <w:r>
              <w:t>$80,000</w:t>
            </w:r>
          </w:p>
        </w:tc>
      </w:tr>
    </w:tbl>
    <w:p w14:paraId="3530BF43" w14:textId="77777777" w:rsidR="00494B49" w:rsidRDefault="00494B49">
      <w:pPr>
        <w:pStyle w:val="BNormal"/>
      </w:pPr>
    </w:p>
    <w:p w14:paraId="2A263ECA" w14:textId="77777777" w:rsidR="00494B49" w:rsidRDefault="00494B49">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18438FDF" w14:textId="77777777" w:rsidR="00494B49" w:rsidRDefault="00494B49">
      <w:pPr>
        <w:pStyle w:val="BHead4"/>
      </w:pPr>
      <w:r>
        <w:t>(3) CRTs with Direct or Indirect Ownership in CFCs/PFICs</w:t>
      </w:r>
    </w:p>
    <w:p w14:paraId="72F3123C" w14:textId="77777777" w:rsidR="00494B49" w:rsidRDefault="00494B49">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1"/>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720F78C9" w14:textId="77777777" w:rsidR="00494B49" w:rsidRDefault="00494B49">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699B3ED" w14:textId="77777777" w:rsidR="00494B49" w:rsidRDefault="00494B49">
      <w:pPr>
        <w:pStyle w:val="BHead4"/>
      </w:pPr>
      <w:r>
        <w:t xml:space="preserve">(4) NIMCRUTs Nearing End of Stated Term </w:t>
      </w:r>
    </w:p>
    <w:p w14:paraId="61985D24" w14:textId="77777777" w:rsidR="00494B49" w:rsidRDefault="00494B49">
      <w:pPr>
        <w:pStyle w:val="BNormal"/>
      </w:pPr>
      <w:r>
        <w:t>The traditional allure of a NIMCRUT is the ability to significantly defer the accumulated income distribution by closely managing trust accounting income.</w:t>
      </w:r>
      <w:r>
        <w:rPr>
          <w:rStyle w:val="FootnoteReference"/>
        </w:rPr>
        <w:footnoteReference w:id="1152"/>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2D3A2A50" w14:textId="77777777" w:rsidR="00494B49" w:rsidRDefault="00494B49" w:rsidP="00144640">
      <w:pPr>
        <w:pStyle w:val="BHead4"/>
        <w:keepNext/>
        <w:keepLines/>
      </w:pPr>
      <w:r>
        <w:lastRenderedPageBreak/>
        <w:t>(5) CRTs with No Undistributed Income</w:t>
      </w:r>
    </w:p>
    <w:p w14:paraId="2B75F8AF" w14:textId="77777777" w:rsidR="00494B49" w:rsidRDefault="00494B49" w:rsidP="00144640">
      <w:pPr>
        <w:pStyle w:val="BNormal"/>
        <w:keepNext/>
        <w:keepLines/>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7D21F33" w14:textId="77777777" w:rsidR="00494B49" w:rsidRDefault="00494B49">
      <w:pPr>
        <w:pStyle w:val="BNormal"/>
      </w:pPr>
      <w:r>
        <w:t>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303C844" w14:textId="77777777" w:rsidR="00494B49" w:rsidRDefault="00494B49">
      <w:pPr>
        <w:pStyle w:val="BHead4"/>
      </w:pPr>
      <w:r>
        <w:t xml:space="preserve">(6) CRTs with Non-Net-Investment Income Deductible Expenses and No Excluded Income </w:t>
      </w:r>
    </w:p>
    <w:p w14:paraId="432678EC" w14:textId="77777777" w:rsidR="00494B49" w:rsidRDefault="00494B49">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35F9D39F" w14:textId="77777777" w:rsidR="00494B49" w:rsidRDefault="00494B49">
      <w:pPr>
        <w:pStyle w:val="BHead2"/>
      </w:pPr>
      <w:r>
        <w:t>7. Compliance Considerations</w:t>
      </w:r>
    </w:p>
    <w:p w14:paraId="4C385C18" w14:textId="77777777" w:rsidR="00494B49" w:rsidRDefault="00494B49">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2931DCB0" w14:textId="77777777" w:rsidR="00494B49" w:rsidRDefault="00494B49">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w:t>
      </w:r>
      <w:r>
        <w:lastRenderedPageBreak/>
        <w:t xml:space="preserve">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78EC08DA" w14:textId="77777777" w:rsidR="00494B49" w:rsidRDefault="00494B49">
      <w:pPr>
        <w:pStyle w:val="BChapterName"/>
      </w:pPr>
      <w:r>
        <w:t>X. Application of §1411 Outside of Chapter 2A</w:t>
      </w:r>
    </w:p>
    <w:p w14:paraId="121C86E3" w14:textId="77777777" w:rsidR="00494B49" w:rsidRDefault="00494B49">
      <w:pPr>
        <w:pStyle w:val="BHead1"/>
      </w:pPr>
      <w:r>
        <w:t>A. Tax Penalties, Interest and Estimated Taxes</w:t>
      </w:r>
    </w:p>
    <w:p w14:paraId="6B6F7752" w14:textId="77777777" w:rsidR="00494B49" w:rsidRDefault="00494B49">
      <w:pPr>
        <w:pStyle w:val="BNormal"/>
      </w:pPr>
      <w:r>
        <w:t>The Code contains numerous provisions under which penalties and interest may be imposed on a taxpayer with a net investment income tax (NIIT) liability. Although a discussion of the application of each penalty to a NIIT liability is beyond the scope of this Portfolio, this section analyzes several common penalties and this discussion may aid in the analysis of other penalties not covered here.</w:t>
      </w:r>
    </w:p>
    <w:p w14:paraId="2E418238" w14:textId="77777777" w:rsidR="00494B49" w:rsidRDefault="00494B49">
      <w:pPr>
        <w:pStyle w:val="BHead2"/>
      </w:pPr>
      <w:r>
        <w:t>1. Interest and Estimated Taxes</w:t>
      </w:r>
    </w:p>
    <w:p w14:paraId="222D7AE2" w14:textId="77777777" w:rsidR="00494B49" w:rsidRDefault="00494B49">
      <w:pPr>
        <w:pStyle w:val="BHead3"/>
      </w:pPr>
      <w:r>
        <w:t xml:space="preserve">a. Estimated Taxes </w:t>
      </w:r>
    </w:p>
    <w:p w14:paraId="45CFF017" w14:textId="77777777" w:rsidR="00494B49" w:rsidRDefault="00494B49">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3"/>
      </w:r>
    </w:p>
    <w:p w14:paraId="553A80D7" w14:textId="77777777" w:rsidR="00494B49" w:rsidRDefault="00494B49">
      <w:pPr>
        <w:pStyle w:val="BHead3"/>
      </w:pPr>
      <w:r>
        <w:t>b. Interest on Underpayments</w:t>
      </w:r>
    </w:p>
    <w:p w14:paraId="406D93D1" w14:textId="77777777" w:rsidR="00494B49" w:rsidRDefault="00494B49">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4"/>
      </w:r>
    </w:p>
    <w:p w14:paraId="46CC9F5A" w14:textId="77777777" w:rsidR="00494B49" w:rsidRDefault="00494B49">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330A2526" w14:textId="77777777" w:rsidR="00494B49" w:rsidRDefault="00494B49">
      <w:pPr>
        <w:pStyle w:val="BHead3"/>
      </w:pPr>
      <w:r>
        <w:t>c. Interest on Overpayments</w:t>
      </w:r>
    </w:p>
    <w:p w14:paraId="273FFA66" w14:textId="77777777" w:rsidR="00494B49" w:rsidRDefault="00494B49">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5"/>
      </w:r>
      <w:r>
        <w:t xml:space="preserve"> However, any overpayment of tax imposed by Subtitle A of the Code that results from </w:t>
      </w:r>
      <w:r>
        <w:lastRenderedPageBreak/>
        <w:t>the carryback of net operating losses (NOLs) is deemed not to have been made before the end of the tax year in which the loss or credit arises.</w:t>
      </w:r>
      <w:r>
        <w:rPr>
          <w:rStyle w:val="FootnoteReference"/>
        </w:rPr>
        <w:footnoteReference w:id="1156"/>
      </w:r>
    </w:p>
    <w:p w14:paraId="5C75DB7E" w14:textId="77777777" w:rsidR="00494B49" w:rsidRDefault="00494B49">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307252B5" w14:textId="77777777" w:rsidR="00494B49" w:rsidRDefault="00494B49">
      <w:pPr>
        <w:pStyle w:val="BHead2"/>
      </w:pPr>
      <w:r>
        <w:t>2. Penalties</w:t>
      </w:r>
    </w:p>
    <w:p w14:paraId="2CDBACBE" w14:textId="77777777" w:rsidR="00494B49" w:rsidRDefault="00494B49">
      <w:pPr>
        <w:pStyle w:val="BHead3"/>
      </w:pPr>
      <w:r>
        <w:t xml:space="preserve">a. Section 6662 Accuracy-Related Penalty </w:t>
      </w:r>
    </w:p>
    <w:p w14:paraId="027EB757" w14:textId="77777777" w:rsidR="00494B49" w:rsidRDefault="00494B49">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7"/>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58"/>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524C2E91" w14:textId="77777777" w:rsidR="00494B49" w:rsidRDefault="00494B49">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w:t>
      </w:r>
      <w:proofErr w:type="spellStart"/>
      <w:r>
        <w:t>i</w:t>
      </w:r>
      <w:proofErr w:type="spellEnd"/>
      <w:r>
        <w:t>) the amount shown as the tax on the taxpayer’s return</w:t>
      </w:r>
      <w:r>
        <w:rPr>
          <w:rStyle w:val="FootnoteReference"/>
        </w:rPr>
        <w:footnoteReference w:id="1159"/>
      </w:r>
      <w:r>
        <w:t xml:space="preserve"> plus (ii) amounts not shown as tax on the return that have been previously assessed (or collected without assessment),</w:t>
      </w:r>
      <w:r>
        <w:rPr>
          <w:rStyle w:val="FootnoteReference"/>
        </w:rPr>
        <w:footnoteReference w:id="1160"/>
      </w:r>
      <w:r>
        <w:t xml:space="preserve"> over (2) the amount of rebates</w:t>
      </w:r>
      <w:r>
        <w:rPr>
          <w:rStyle w:val="FootnoteReference"/>
        </w:rPr>
        <w:footnoteReference w:id="1161"/>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2"/>
      </w:r>
    </w:p>
    <w:p w14:paraId="4FA33FBA" w14:textId="77777777" w:rsidR="00494B49" w:rsidRDefault="00494B49">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w:t>
      </w:r>
      <w:r>
        <w:lastRenderedPageBreak/>
        <w:t xml:space="preserve">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44D0A540" w14:textId="77777777" w:rsidR="00494B49" w:rsidRDefault="00494B49">
      <w:pPr>
        <w:pStyle w:val="BHead3"/>
      </w:pPr>
      <w:r>
        <w:t>b. Tax Return Preparer Penalty Under Section 6694</w:t>
      </w:r>
    </w:p>
    <w:p w14:paraId="13606A8F" w14:textId="77777777" w:rsidR="00494B49" w:rsidRDefault="00494B49">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3"/>
      </w:r>
    </w:p>
    <w:p w14:paraId="74E4AF69" w14:textId="77777777" w:rsidR="00494B49" w:rsidRDefault="00494B49">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known) the position was unreasonable is subject to a penalty for each return or claim for refund in an amount equal to the greater of $1,000 or 50% of the income derived (or to be derived).</w:t>
      </w:r>
      <w:r>
        <w:rPr>
          <w:rStyle w:val="FootnoteReference"/>
        </w:rPr>
        <w:footnoteReference w:id="1164"/>
      </w:r>
      <w:r>
        <w:t xml:space="preserve"> In this context, an “unreasonable tax position” generally lacks substantial authority, is not disclosed, and does not have a reasonable basis, or is a tax shelter</w:t>
      </w:r>
      <w:r>
        <w:rPr>
          <w:rStyle w:val="FootnoteReference"/>
        </w:rPr>
        <w:footnoteReference w:id="1165"/>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6"/>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7"/>
      </w:r>
    </w:p>
    <w:p w14:paraId="042A4995" w14:textId="77777777" w:rsidR="00494B49" w:rsidRDefault="00494B49">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6555851C" w14:textId="77777777" w:rsidR="00494B49" w:rsidRDefault="00494B49">
      <w:pPr>
        <w:pStyle w:val="BHead1"/>
      </w:pPr>
      <w:r>
        <w:t>B. Deferred Interest Charge Regimes</w:t>
      </w:r>
    </w:p>
    <w:p w14:paraId="1CE074EA" w14:textId="77777777" w:rsidR="00494B49" w:rsidRDefault="00494B49">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69F20481" w14:textId="77777777" w:rsidR="00494B49" w:rsidRDefault="00494B49">
      <w:pPr>
        <w:pStyle w:val="BHead2"/>
      </w:pPr>
      <w:r>
        <w:t xml:space="preserve">1. Interest Charge — Domestic International Sales Corporations (IC-DISCs) </w:t>
      </w:r>
    </w:p>
    <w:p w14:paraId="04A3BE5B" w14:textId="77777777" w:rsidR="00494B49" w:rsidRDefault="00494B49">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68"/>
      </w:r>
      <w:r>
        <w:t xml:space="preserve"> An IC-DISC pays no federal income taxes, but its shareholders are subject to tax on actual or deemed distributions of the IC-DISC’s income.</w:t>
      </w:r>
      <w:r>
        <w:rPr>
          <w:rStyle w:val="FootnoteReference"/>
        </w:rPr>
        <w:footnoteReference w:id="1169"/>
      </w:r>
    </w:p>
    <w:p w14:paraId="18CA5558" w14:textId="77777777" w:rsidR="00494B49" w:rsidRDefault="00494B49">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70"/>
      </w:r>
      <w:r>
        <w:t xml:space="preserve"> The term “shareholder’s DISC-related deferred tax liability” means the excess of (</w:t>
      </w:r>
      <w:proofErr w:type="spellStart"/>
      <w:r>
        <w:t>i</w:t>
      </w:r>
      <w:proofErr w:type="spellEnd"/>
      <w:r>
        <w:t xml:space="preserve">) the amount that the shareholder’s tax liability for the tax year would be if the shareholder’s deferred DISC income were included in gross income as ordinary income, over (ii) the </w:t>
      </w:r>
      <w:r>
        <w:lastRenderedPageBreak/>
        <w:t>shareholder’s actual tax liability for the tax year.</w:t>
      </w:r>
      <w:r>
        <w:rPr>
          <w:rStyle w:val="FootnoteReference"/>
        </w:rPr>
        <w:footnoteReference w:id="1171"/>
      </w:r>
      <w:r>
        <w:t xml:space="preserve"> The term “tax liability” means the amount of the tax imposed by Chapter 1 for the tax year reduced by credits allowable against the tax.</w:t>
      </w:r>
      <w:r>
        <w:rPr>
          <w:rStyle w:val="FootnoteReference"/>
        </w:rPr>
        <w:footnoteReference w:id="1172"/>
      </w:r>
    </w:p>
    <w:p w14:paraId="2538D1DC" w14:textId="77777777" w:rsidR="00494B49" w:rsidRDefault="00494B49">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0FD7A3F1" w14:textId="77777777" w:rsidR="00494B49" w:rsidRDefault="00494B49">
      <w:pPr>
        <w:pStyle w:val="BHead2"/>
      </w:pPr>
      <w:r>
        <w:t>2. Nondealer Installment Sales Under Section 453A</w:t>
      </w:r>
    </w:p>
    <w:p w14:paraId="5EB8FECF" w14:textId="77777777" w:rsidR="00494B49" w:rsidRDefault="00494B49">
      <w:pPr>
        <w:pStyle w:val="BNormal"/>
      </w:pPr>
      <w:r>
        <w:t>An installment sale is a sale of property in which a taxpayer receives at least one payment after the tax year of the sale.</w:t>
      </w:r>
      <w:r>
        <w:rPr>
          <w:rStyle w:val="FootnoteReference"/>
        </w:rPr>
        <w:footnoteReference w:id="1173"/>
      </w:r>
      <w:r>
        <w:t xml:space="preserve"> In some cases, the payments outstanding after the tax year of the sale can be substantial and, therefore, can trigger interest charges.</w:t>
      </w:r>
    </w:p>
    <w:p w14:paraId="7A14361E" w14:textId="77777777" w:rsidR="00494B49" w:rsidRDefault="00494B49">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4"/>
      </w:r>
    </w:p>
    <w:p w14:paraId="746D24D1" w14:textId="77777777" w:rsidR="00494B49" w:rsidRDefault="00494B49">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5"/>
      </w:r>
    </w:p>
    <w:p w14:paraId="1A2A52F3" w14:textId="77777777" w:rsidR="00494B49" w:rsidRDefault="00494B49">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64BCF2D7" w14:textId="77777777" w:rsidR="00494B49" w:rsidRDefault="00494B49">
      <w:pPr>
        <w:pStyle w:val="BHead2"/>
      </w:pPr>
      <w:r>
        <w:t xml:space="preserve">3. Section 1291 Funds </w:t>
      </w:r>
    </w:p>
    <w:p w14:paraId="3FBD15A5" w14:textId="77777777" w:rsidR="00494B49" w:rsidRDefault="00494B49">
      <w:pPr>
        <w:pStyle w:val="BNormal"/>
      </w:pPr>
      <w:r>
        <w:t>A foreign corporation is a PFIC if either 75% or more of its gross income is passive in nature</w:t>
      </w:r>
      <w:r>
        <w:rPr>
          <w:rStyle w:val="FootnoteReference"/>
        </w:rPr>
        <w:footnoteReference w:id="1176"/>
      </w:r>
      <w:r>
        <w:t xml:space="preserve"> or 50% or more of its assets produce passive income.</w:t>
      </w:r>
      <w:r>
        <w:rPr>
          <w:rStyle w:val="FootnoteReference"/>
        </w:rPr>
        <w:footnoteReference w:id="1177"/>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78"/>
      </w:r>
    </w:p>
    <w:p w14:paraId="53F4383A" w14:textId="77777777" w:rsidR="00494B49" w:rsidRDefault="00494B49">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w:t>
      </w:r>
      <w:r>
        <w:lastRenderedPageBreak/>
        <w:t xml:space="preserve">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B1DE861" w14:textId="77777777" w:rsidR="00494B49" w:rsidRDefault="00494B49">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79"/>
      </w:r>
    </w:p>
    <w:p w14:paraId="2568ACE1" w14:textId="77777777" w:rsidR="00494B49" w:rsidRDefault="00494B49">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80"/>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1"/>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w:t>
      </w:r>
      <w:proofErr w:type="spellStart"/>
      <w:r>
        <w:t>i</w:t>
      </w:r>
      <w:proofErr w:type="spellEnd"/>
      <w:r>
        <w:t xml:space="preserve">)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2"/>
      </w:r>
    </w:p>
    <w:p w14:paraId="3BBCECD6" w14:textId="77777777" w:rsidR="00494B49" w:rsidRDefault="00494B49">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59D690F4" w14:textId="77777777" w:rsidR="00494B49" w:rsidRDefault="00494B49" w:rsidP="00144640">
      <w:pPr>
        <w:pStyle w:val="BHead2"/>
        <w:keepNext/>
        <w:keepLines/>
      </w:pPr>
      <w:r>
        <w:lastRenderedPageBreak/>
        <w:t>4. Accumulation Distributions from Foreign Trusts</w:t>
      </w:r>
    </w:p>
    <w:p w14:paraId="1783B7DC" w14:textId="77777777" w:rsidR="00494B49" w:rsidRDefault="00494B49" w:rsidP="00144640">
      <w:pPr>
        <w:pStyle w:val="BNormal"/>
        <w:keepNext/>
        <w:keepLines/>
      </w:pPr>
      <w:r>
        <w:t>A foreign</w:t>
      </w:r>
      <w:r>
        <w:rPr>
          <w:rStyle w:val="FootnoteReference"/>
        </w:rPr>
        <w:footnoteReference w:id="1183"/>
      </w:r>
      <w:r>
        <w:t xml:space="preserve"> </w:t>
      </w:r>
      <w:proofErr w:type="spellStart"/>
      <w:r>
        <w:t>nongrantor</w:t>
      </w:r>
      <w:proofErr w:type="spellEnd"/>
      <w:r>
        <w:t xml:space="preserve"> trust</w:t>
      </w:r>
      <w:r>
        <w:rPr>
          <w:rStyle w:val="FootnoteReference"/>
        </w:rPr>
        <w:footnoteReference w:id="1184"/>
      </w:r>
      <w:r>
        <w:t xml:space="preserve"> is taxed in much the same manner as a non-U.S. person.</w:t>
      </w:r>
      <w:r>
        <w:rPr>
          <w:rStyle w:val="FootnoteReference"/>
        </w:rPr>
        <w:footnoteReference w:id="1185"/>
      </w:r>
    </w:p>
    <w:p w14:paraId="333136E2" w14:textId="77777777" w:rsidR="00494B49" w:rsidRDefault="00494B49">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6"/>
      </w:r>
      <w:r>
        <w:t xml:space="preserve"> and (2) income effectively connected with the conduct of a U.S. trade or business (ECI).</w:t>
      </w:r>
      <w:r>
        <w:rPr>
          <w:rStyle w:val="FootnoteReference"/>
        </w:rPr>
        <w:footnoteReference w:id="1187"/>
      </w:r>
      <w:r>
        <w:t xml:space="preserve"> A U.S. beneficiary of a </w:t>
      </w:r>
      <w:proofErr w:type="spellStart"/>
      <w:r>
        <w:t>nongrantor</w:t>
      </w:r>
      <w:proofErr w:type="spellEnd"/>
      <w:r>
        <w:t xml:space="preserve"> trust is subject to U.S. federal income taxation on distributions to the extent of the beneficiary’s pro-rata share of the trust’s distributable net income (DNI) for the year of the distribution.</w:t>
      </w:r>
      <w:r>
        <w:rPr>
          <w:rStyle w:val="FootnoteReference"/>
        </w:rPr>
        <w:footnoteReference w:id="1188"/>
      </w:r>
    </w:p>
    <w:p w14:paraId="02134C47" w14:textId="77777777" w:rsidR="00494B49" w:rsidRDefault="00494B49">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89"/>
      </w:r>
      <w:r>
        <w:t xml:space="preserve"> Typically, distributions (wholly or partially) composed of UNI that are made to a U.S. beneficiary of a foreign </w:t>
      </w:r>
      <w:proofErr w:type="spellStart"/>
      <w:r>
        <w:t>nongrantor</w:t>
      </w:r>
      <w:proofErr w:type="spellEnd"/>
      <w:r>
        <w:t xml:space="preserve">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90"/>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1"/>
      </w:r>
    </w:p>
    <w:p w14:paraId="396200E8" w14:textId="77777777" w:rsidR="00494B49" w:rsidRDefault="00494B49">
      <w:pPr>
        <w:pStyle w:val="BNormal"/>
      </w:pPr>
      <w:r>
        <w:lastRenderedPageBreak/>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2"/>
      </w:r>
    </w:p>
    <w:p w14:paraId="7FC99833" w14:textId="77777777" w:rsidR="00494B49" w:rsidRDefault="00494B49">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73E0DE27" w14:textId="77777777" w:rsidR="00494B49" w:rsidRDefault="00494B49">
      <w:pPr>
        <w:pStyle w:val="BNormal"/>
      </w:pPr>
      <w:r>
        <w:t xml:space="preserve">Note that an alternative method (Default Method) of approaching </w:t>
      </w:r>
      <w:proofErr w:type="spellStart"/>
      <w:r>
        <w:t>nongrantor</w:t>
      </w:r>
      <w:proofErr w:type="spellEnd"/>
      <w:r>
        <w:t xml:space="preserve"> trust distributions is the default method of calculating accumulation distributions –- a more standardized and predictable method that can minimize or avoid the accumulation distribution (and interest charge) altogether. The calculation can be found in the </w:t>
      </w:r>
      <w:hyperlink r:id="rId23" w:history="1">
        <w:r>
          <w:rPr>
            <w:rStyle w:val="Hyperlink"/>
          </w:rPr>
          <w:t>Instructions for Form 3520</w:t>
        </w:r>
      </w:hyperlink>
      <w:r>
        <w:t xml:space="preserve">, </w:t>
      </w:r>
      <w:r>
        <w:rPr>
          <w:i/>
        </w:rPr>
        <w:t>Annual Return to Report Transactions With Foreign Trusts and Receipt of Certain Foreign Gifts</w:t>
      </w:r>
      <w:r>
        <w:t>.</w:t>
      </w:r>
    </w:p>
    <w:p w14:paraId="14B7614D" w14:textId="77777777" w:rsidR="00494B49" w:rsidRDefault="00494B49">
      <w:pPr>
        <w:pStyle w:val="BNormal"/>
      </w:pPr>
      <w:r>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5A1C8670" w14:textId="77777777" w:rsidR="00494B49" w:rsidRDefault="00494B49">
      <w:pPr>
        <w:pStyle w:val="BHead2"/>
      </w:pPr>
      <w:r>
        <w:t xml:space="preserve">5. Look-Back Rules — Sections 460(b) and 167(g) </w:t>
      </w:r>
    </w:p>
    <w:p w14:paraId="135E4AC3" w14:textId="77777777" w:rsidR="00494B49" w:rsidRDefault="00494B49">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2366C6AD" w14:textId="77777777" w:rsidR="00494B49" w:rsidRDefault="00494B49">
      <w:pPr>
        <w:pStyle w:val="BHead3"/>
      </w:pPr>
      <w:r>
        <w:t>a. Section 460(b) — Long-Term Contracts</w:t>
      </w:r>
    </w:p>
    <w:p w14:paraId="38E0984A" w14:textId="77777777" w:rsidR="00494B49" w:rsidRDefault="00494B49">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3"/>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4"/>
      </w:r>
    </w:p>
    <w:p w14:paraId="1B3F26A0" w14:textId="77777777" w:rsidR="00494B49" w:rsidRDefault="00494B49">
      <w:pPr>
        <w:pStyle w:val="BNormal"/>
      </w:pPr>
      <w:r>
        <w:t xml:space="preserve">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w:t>
      </w:r>
      <w:r>
        <w:lastRenderedPageBreak/>
        <w:t>either overestimating the total contract price or underestimating total contract costs.</w:t>
      </w:r>
      <w:r>
        <w:rPr>
          <w:rStyle w:val="FootnoteReference"/>
        </w:rPr>
        <w:footnoteReference w:id="1195"/>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6"/>
      </w:r>
      <w:r>
        <w:t xml:space="preserve"> The design of the look-back method is intended to correct for timing differences, not permanent differences, in tax liability that result from overestimation or underestimation of contract price and costs.</w:t>
      </w:r>
    </w:p>
    <w:p w14:paraId="60B99680" w14:textId="77777777" w:rsidR="00494B49" w:rsidRDefault="00494B49">
      <w:pPr>
        <w:pStyle w:val="BNormal"/>
      </w:pPr>
      <w:r>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7"/>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198"/>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199"/>
      </w:r>
    </w:p>
    <w:p w14:paraId="4ACF8630" w14:textId="77777777" w:rsidR="00494B49" w:rsidRDefault="00494B49">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200"/>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1"/>
      </w:r>
      <w:r>
        <w:t xml:space="preserve"> The taxpayer then </w:t>
      </w:r>
      <w:r>
        <w:lastRenderedPageBreak/>
        <w:t xml:space="preserve">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2"/>
      </w:r>
    </w:p>
    <w:p w14:paraId="165BC98A" w14:textId="77777777" w:rsidR="00494B49" w:rsidRDefault="00494B49">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3"/>
      </w:r>
      <w:r>
        <w:t xml:space="preserve"> If, at all times during the year, more than 50% of the interests of the pass-through 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4"/>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5"/>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6"/>
      </w:r>
    </w:p>
    <w:p w14:paraId="5A4F6E66" w14:textId="77777777" w:rsidR="00494B49" w:rsidRDefault="00494B49">
      <w:pPr>
        <w:pStyle w:val="BHead4"/>
      </w:pPr>
      <w:r>
        <w:t xml:space="preserve">(1) Inclusion of NIIT in Section 460(b) Look-Back </w:t>
      </w:r>
      <w:r>
        <w:br/>
        <w:t>Calculation</w:t>
      </w:r>
    </w:p>
    <w:p w14:paraId="344B32E5" w14:textId="77777777" w:rsidR="00494B49" w:rsidRDefault="00494B49">
      <w:pPr>
        <w:pStyle w:val="BHead5"/>
      </w:pPr>
      <w:r>
        <w:t>(a) Traditional Method</w:t>
      </w:r>
    </w:p>
    <w:p w14:paraId="43EC4DFD" w14:textId="77777777" w:rsidR="00494B49" w:rsidRDefault="00494B49">
      <w:pPr>
        <w:pStyle w:val="BNormal"/>
      </w:pPr>
      <w:r>
        <w:t>For individuals, estates, and trusts using the traditional look-back calculation method, step two requires a recalculation of tax liability,</w:t>
      </w:r>
      <w:r>
        <w:rPr>
          <w:rStyle w:val="FootnoteReference"/>
        </w:rPr>
        <w:footnoteReference w:id="1207"/>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08"/>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w:t>
      </w:r>
      <w:r>
        <w:lastRenderedPageBreak/>
        <w:t>abuse tax (BEAT)) must be taken into account.</w:t>
      </w:r>
      <w:r>
        <w:rPr>
          <w:rStyle w:val="FootnoteReference"/>
        </w:rPr>
        <w:footnoteReference w:id="1209"/>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5B78B1BC" w14:textId="77777777" w:rsidR="00494B49" w:rsidRDefault="00494B49">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10"/>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so granular as to state that AGI and all items associated with AGI must be recalculated, the instructions to </w:t>
      </w:r>
      <w:smartTag w:uri="http://www.bna.com/sgml2word/cite" w:element="cite.fed.form">
        <w:smartTagPr>
          <w:attr w:name="ref" w:val="irs\form8697"/>
        </w:smartTagPr>
        <w:r>
          <w:t>Form 8697</w:t>
        </w:r>
      </w:smartTag>
      <w:r>
        <w:t xml:space="preserve">, Line 2 state: </w:t>
      </w:r>
    </w:p>
    <w:p w14:paraId="4047566F" w14:textId="77777777" w:rsidR="00494B49" w:rsidRDefault="00494B49">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1"/>
      </w:r>
      <w:r>
        <w:t xml:space="preserve"> </w:t>
      </w:r>
    </w:p>
    <w:p w14:paraId="0BCBB1B3" w14:textId="77777777" w:rsidR="00494B49" w:rsidRDefault="00494B49">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206CDD8C" w14:textId="77777777" w:rsidR="00494B49" w:rsidRDefault="00494B49">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2"/>
      </w:r>
    </w:p>
    <w:p w14:paraId="0B7BFC36" w14:textId="77777777" w:rsidR="00494B49" w:rsidRDefault="00494B49">
      <w:pPr>
        <w:pStyle w:val="BHead5"/>
      </w:pPr>
      <w:r>
        <w:t>(b) Simplified Marginal Impact Method</w:t>
      </w:r>
    </w:p>
    <w:p w14:paraId="2E874782" w14:textId="77777777" w:rsidR="00494B49" w:rsidRDefault="00494B49">
      <w:pPr>
        <w:pStyle w:val="BNormal"/>
      </w:pPr>
      <w:r>
        <w:lastRenderedPageBreak/>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3"/>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16CF204B" w14:textId="77777777" w:rsidR="00494B49" w:rsidRDefault="00494B49">
      <w:pPr>
        <w:pStyle w:val="BHead4"/>
      </w:pPr>
      <w:r>
        <w:t xml:space="preserve">(2) Interest Received and Interest Paid </w:t>
      </w:r>
    </w:p>
    <w:p w14:paraId="23169D76" w14:textId="77777777" w:rsidR="00494B49" w:rsidRDefault="00494B49">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4"/>
      </w:r>
      <w:r>
        <w:t xml:space="preserve"> Therefore, it is included in gross income for regular income tax purposes and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p>
    <w:p w14:paraId="35A384E5" w14:textId="77777777" w:rsidR="00494B49" w:rsidRDefault="00494B49">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5"/>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5D2E148A" w14:textId="77777777" w:rsidR="00494B49" w:rsidRDefault="00494B49">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6"/>
      </w:r>
    </w:p>
    <w:p w14:paraId="4BD6D9AF" w14:textId="77777777" w:rsidR="00494B49" w:rsidRDefault="00494B49">
      <w:pPr>
        <w:pStyle w:val="BHead3"/>
      </w:pPr>
      <w:r>
        <w:t xml:space="preserve">b. Section 167(g) Income Forecast Method of </w:t>
      </w:r>
      <w:r>
        <w:br/>
        <w:t>Depreciation</w:t>
      </w:r>
    </w:p>
    <w:p w14:paraId="0C69E977" w14:textId="77777777" w:rsidR="00494B49" w:rsidRDefault="00494B49">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7"/>
      </w:r>
    </w:p>
    <w:p w14:paraId="562E3A5E" w14:textId="77777777" w:rsidR="00494B49" w:rsidRDefault="00494B49">
      <w:pPr>
        <w:pStyle w:val="BNormal"/>
      </w:pPr>
      <w:smartTag w:uri="http://www.bna.com/sgml2word/cite" w:element="cite.usc">
        <w:smartTagPr>
          <w:attr w:name="ref" w:val="USC\26\167(g)"/>
        </w:smartTagPr>
        <w:r>
          <w:lastRenderedPageBreak/>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18"/>
      </w:r>
      <w:r>
        <w:t xml:space="preserve"> The </w:t>
      </w:r>
      <w:smartTag w:uri="http://www.bna.com/sgml2word/cite" w:element="cite.usc">
        <w:smartTagPr>
          <w:attr w:name="ref" w:val="USC\26\167(g)(2)"/>
        </w:smartTagPr>
        <w:r>
          <w:t>§167(g)(2)</w:t>
        </w:r>
      </w:smartTag>
      <w:r>
        <w:t xml:space="preserve"> look-back method is applied in any “</w:t>
      </w:r>
      <w:proofErr w:type="spellStart"/>
      <w:r>
        <w:t>recomputation</w:t>
      </w:r>
      <w:proofErr w:type="spellEnd"/>
      <w:r>
        <w:t xml:space="preserve">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19"/>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20"/>
      </w:r>
      <w:r>
        <w:t xml:space="preserve"> As a result of recalculating depreciation under this method, a taxpayer may owe interest, or be entitled to receive it.</w:t>
      </w:r>
    </w:p>
    <w:p w14:paraId="46821492" w14:textId="77777777" w:rsidR="00494B49" w:rsidRDefault="00494B49">
      <w:pPr>
        <w:pStyle w:val="BHead4"/>
      </w:pPr>
      <w:r>
        <w:t>(1) Inclusion of NIIT in Section 167(g)(2) Look-Back Calculation</w:t>
      </w:r>
    </w:p>
    <w:p w14:paraId="075BF883" w14:textId="77777777" w:rsidR="00494B49" w:rsidRDefault="00494B49">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6E597A66" w14:textId="77777777" w:rsidR="00494B49" w:rsidRDefault="00494B49">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w:t>
      </w:r>
      <w:proofErr w:type="spellStart"/>
      <w:r>
        <w:t>recomputation</w:t>
      </w:r>
      <w:proofErr w:type="spellEnd"/>
      <w:r>
        <w:t xml:space="preserve"> required by </w:t>
      </w:r>
      <w:smartTag w:uri="http://www.bna.com/sgml2word/cite" w:element="cite.usc">
        <w:smartTagPr>
          <w:attr w:name="ref" w:val="USC\26\167(g)(2)(B)"/>
        </w:smartTagPr>
        <w:r>
          <w:t>§167(g)(2)(B)</w:t>
        </w:r>
      </w:smartTag>
      <w:r>
        <w:t>.</w:t>
      </w:r>
      <w:r>
        <w:rPr>
          <w:rStyle w:val="FootnoteReference"/>
        </w:rPr>
        <w:footnoteReference w:id="1221"/>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79B99FD3" w14:textId="77777777" w:rsidR="00494B49" w:rsidRDefault="00494B49">
      <w:pPr>
        <w:pStyle w:val="BNormal"/>
      </w:pPr>
      <w:r>
        <w:t xml:space="preserve">Prop. Reg. </w:t>
      </w:r>
      <w:smartTag w:uri="http://www.bna.com/sgml2word/cite" w:element="cite.cfr">
        <w:smartTagPr>
          <w:attr w:name="ref" w:val="prule\cfr\26\1.167(n)-6(d)(2)(i)"/>
        </w:smartTagPr>
        <w:r>
          <w:t>§1.167(n)-6(d)(2)(</w:t>
        </w:r>
        <w:proofErr w:type="spellStart"/>
        <w:r>
          <w:t>i</w:t>
        </w:r>
        <w:proofErr w:type="spellEnd"/>
        <w:r>
          <w:t>)</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61355CC2" w14:textId="77777777" w:rsidR="00494B49" w:rsidRDefault="00494B49">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2"/>
      </w:r>
      <w:r>
        <w:t xml:space="preserve"> coupled with the statement in the 1996 </w:t>
      </w:r>
      <w:r>
        <w:lastRenderedPageBreak/>
        <w:t xml:space="preserve">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57346919" w14:textId="77777777" w:rsidR="00494B49" w:rsidRDefault="00494B49">
      <w:pPr>
        <w:pStyle w:val="BNormal"/>
      </w:pPr>
      <w:r>
        <w:t xml:space="preserve">As noted above, the language in Prop. Reg. </w:t>
      </w:r>
      <w:smartTag w:uri="http://www.bna.com/sgml2word/cite" w:element="cite.cfr">
        <w:smartTagPr>
          <w:attr w:name="ref" w:val="prule\cfr\26\1.167(n)-6(d)(2)(i)"/>
        </w:smartTagPr>
        <w:r>
          <w:t>§1.167(n)-6(d)(2)(</w:t>
        </w:r>
        <w:proofErr w:type="spellStart"/>
        <w:r>
          <w:t>i</w:t>
        </w:r>
        <w:proofErr w:type="spellEnd"/>
        <w:r>
          <w:t>)</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w:t>
      </w:r>
      <w:proofErr w:type="spellStart"/>
      <w:r>
        <w:t>recomputation</w:t>
      </w:r>
      <w:proofErr w:type="spellEnd"/>
      <w:r>
        <w:t xml:space="preserve"> of a taxpayer’s NIIT liability if the </w:t>
      </w:r>
      <w:proofErr w:type="spellStart"/>
      <w:r>
        <w:t>recomputation</w:t>
      </w:r>
      <w:proofErr w:type="spellEnd"/>
      <w:r>
        <w:t xml:space="preserve"> year (as defined in </w:t>
      </w:r>
      <w:smartTag w:uri="http://www.bna.com/sgml2word/cite" w:element="cite.usc">
        <w:smartTagPr>
          <w:attr w:name="ref" w:val="USC\26\167(g)(4)"/>
        </w:smartTagPr>
        <w:r>
          <w:t>§167(g)(4)</w:t>
        </w:r>
      </w:smartTag>
      <w:r>
        <w:t>) begins after December 31, 2012.</w:t>
      </w:r>
      <w:r>
        <w:rPr>
          <w:rStyle w:val="FootnoteReference"/>
        </w:rPr>
        <w:footnoteReference w:id="1223"/>
      </w:r>
      <w:r>
        <w:t xml:space="preserve"> For this purpose, the </w:t>
      </w:r>
      <w:proofErr w:type="spellStart"/>
      <w:r>
        <w:t>recomputation</w:t>
      </w:r>
      <w:proofErr w:type="spellEnd"/>
      <w:r>
        <w:t xml:space="preserve"> of the NIIT liability would require both a </w:t>
      </w:r>
      <w:proofErr w:type="spellStart"/>
      <w:r>
        <w:t>recomputation</w:t>
      </w:r>
      <w:proofErr w:type="spellEnd"/>
      <w:r>
        <w:t xml:space="preserve">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10B0D022" w14:textId="77777777" w:rsidR="00494B49" w:rsidRDefault="00494B49">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4"/>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5"/>
      </w:r>
    </w:p>
    <w:p w14:paraId="6A2D58FA" w14:textId="77777777" w:rsidR="00494B49" w:rsidRDefault="00494B49">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6"/>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68BB6A9A" w14:textId="77777777" w:rsidR="00494B49" w:rsidRDefault="00494B49">
      <w:pPr>
        <w:pStyle w:val="BHead4"/>
      </w:pPr>
      <w:r>
        <w:lastRenderedPageBreak/>
        <w:t xml:space="preserve">(2) Interest Received and Interest Paid </w:t>
      </w:r>
    </w:p>
    <w:p w14:paraId="78F5727B" w14:textId="77777777" w:rsidR="00494B49" w:rsidRDefault="00494B49">
      <w:pPr>
        <w:pStyle w:val="BNormal"/>
      </w:pPr>
      <w:r>
        <w:t>If the look-back method results in interest being received by the taxpayer, the interest income</w:t>
      </w:r>
      <w:r>
        <w:rPr>
          <w:rStyle w:val="FootnoteReference"/>
        </w:rPr>
        <w:footnoteReference w:id="1227"/>
      </w:r>
      <w:r>
        <w:t xml:space="preserve"> will, in virtually all situations, be included in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1228"/>
      </w:r>
      <w:r>
        <w:t xml:space="preserve"> In the case of interest payments, the general rules in Chapter 1 will determine the deductibility of 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29"/>
      </w:r>
    </w:p>
    <w:p w14:paraId="7B35BF08" w14:textId="77777777" w:rsidR="00494B49" w:rsidRDefault="00494B49">
      <w:pPr>
        <w:pStyle w:val="BHead1"/>
      </w:pPr>
      <w:r>
        <w:t xml:space="preserve">C. Application of Income Tax Treaties and Totalization Agreements </w:t>
      </w:r>
    </w:p>
    <w:p w14:paraId="57EE9AE7" w14:textId="77777777" w:rsidR="00494B49" w:rsidRDefault="00494B49">
      <w:pPr>
        <w:pStyle w:val="BHead2"/>
      </w:pPr>
      <w:r>
        <w:t xml:space="preserve">1. Application of Income Tax Treaties </w:t>
      </w:r>
    </w:p>
    <w:p w14:paraId="77B979A4" w14:textId="77777777" w:rsidR="00494B49" w:rsidRDefault="00494B49">
      <w:pPr>
        <w:pStyle w:val="BHead3"/>
      </w:pPr>
      <w:r>
        <w:t>a. Overview of Income Tax Treaties and Tax Return Disclosures</w:t>
      </w:r>
    </w:p>
    <w:p w14:paraId="217C6DBC" w14:textId="77777777" w:rsidR="00494B49" w:rsidRDefault="00494B49">
      <w:pPr>
        <w:pStyle w:val="BNormal"/>
      </w:pPr>
      <w:r>
        <w:t>U.S. citizens and residents are subject to U.S. income tax on their worldwide income. The United States has income tax treaties with a number of foreign countries.</w:t>
      </w:r>
      <w:r>
        <w:rPr>
          <w:rStyle w:val="FootnoteReference"/>
        </w:rPr>
        <w:footnoteReference w:id="1230"/>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3D8A812A" w14:textId="77777777" w:rsidR="00494B49" w:rsidRDefault="00494B49">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1"/>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2"/>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058A071F" w14:textId="77777777" w:rsidR="00494B49" w:rsidRDefault="00494B49">
      <w:pPr>
        <w:pStyle w:val="BNormal"/>
      </w:pPr>
      <w:r>
        <w:lastRenderedPageBreak/>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1B3FE217" w14:textId="77777777" w:rsidR="00494B49" w:rsidRDefault="00494B49">
      <w:pPr>
        <w:pStyle w:val="BHead3"/>
      </w:pPr>
      <w:r>
        <w:t>b. Treatment of Foreign Tax Credit</w:t>
      </w:r>
    </w:p>
    <w:p w14:paraId="7CD15E2C" w14:textId="77777777" w:rsidR="00494B49" w:rsidRDefault="00494B49">
      <w:pPr>
        <w:pStyle w:val="BHead4"/>
      </w:pPr>
      <w:r>
        <w:t>(1) Preamble Statement Regarding U.S. Model Treaty</w:t>
      </w:r>
    </w:p>
    <w:p w14:paraId="0716CBAD" w14:textId="77777777" w:rsidR="00494B49" w:rsidRDefault="00494B49">
      <w:pPr>
        <w:pStyle w:val="BNormal"/>
      </w:pPr>
      <w:r>
        <w:t xml:space="preserve">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 </w:t>
      </w:r>
    </w:p>
    <w:p w14:paraId="109071E9" w14:textId="77777777" w:rsidR="00494B49" w:rsidRDefault="00494B49">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3"/>
      </w:r>
      <w:r>
        <w:t xml:space="preserve"> </w:t>
      </w:r>
    </w:p>
    <w:p w14:paraId="106EA4C1" w14:textId="77777777" w:rsidR="00494B49" w:rsidRDefault="00494B49">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4"/>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5"/>
      </w:r>
    </w:p>
    <w:p w14:paraId="7FB340EC" w14:textId="77777777" w:rsidR="00494B49" w:rsidRDefault="00494B49">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w:t>
      </w:r>
      <w:r>
        <w:lastRenderedPageBreak/>
        <w:t xml:space="preserve">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6"/>
      </w:r>
      <w:r>
        <w:t xml:space="preserve"> for a position contrary to Reg. </w:t>
      </w:r>
      <w:smartTag w:uri="http://www.bna.com/sgml2word/cite" w:element="cite.cfr">
        <w:smartTagPr>
          <w:attr w:name="ref" w:val="cfr\26\1.1411-1(e)"/>
        </w:smartTagPr>
        <w:r>
          <w:t>§1.1411-1(e)</w:t>
        </w:r>
      </w:smartTag>
      <w:r>
        <w:t xml:space="preserve">. </w:t>
      </w:r>
    </w:p>
    <w:p w14:paraId="1ACEA283" w14:textId="77777777" w:rsidR="00494B49" w:rsidRDefault="00494B49">
      <w:pPr>
        <w:pStyle w:val="BNormal"/>
      </w:pPr>
      <w:r>
        <w:t>In addition, the Treasury Department and IRS issued proposed revisions to the U.S. Model Income Tax Convention (more commonly referred to as the U.S. Model Treaty) on May 20, 2015 and issued the revised U.S. Model Treaty in February 2016.</w:t>
      </w:r>
      <w:r>
        <w:rPr>
          <w:rStyle w:val="FootnoteReference"/>
        </w:rPr>
        <w:footnoteReference w:id="1237"/>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043D29F9" w14:textId="77777777" w:rsidR="00494B49" w:rsidRDefault="00494B49">
      <w:pPr>
        <w:pStyle w:val="BHead4"/>
      </w:pPr>
      <w:r>
        <w:t xml:space="preserve">(2) Specific Model Treaty Language and Technical </w:t>
      </w:r>
      <w:r>
        <w:br/>
        <w:t>Explanation</w:t>
      </w:r>
    </w:p>
    <w:p w14:paraId="397FF9A4" w14:textId="77777777" w:rsidR="00494B49" w:rsidRDefault="00494B49">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38"/>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39"/>
      </w:r>
      <w:r>
        <w:t xml:space="preserve"> The 2016 U.S. Model Treaty was not accompanied by a technical explanation, but to the extent that the 2016 treaty mirrors the 2006 treaty, the 2006 model treaty technical explanation may serve as interpretational guidance.</w:t>
      </w:r>
    </w:p>
    <w:p w14:paraId="7D98EDA7" w14:textId="77777777" w:rsidR="00494B49" w:rsidRDefault="00494B49">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6EE22124" w14:textId="77777777" w:rsidR="00494B49" w:rsidRDefault="00494B49">
      <w:pPr>
        <w:pStyle w:val="BHead5"/>
      </w:pPr>
      <w:r>
        <w:t>(a) Covered Tax</w:t>
      </w:r>
    </w:p>
    <w:p w14:paraId="741E5D7B" w14:textId="77777777" w:rsidR="00494B49" w:rsidRDefault="00494B49">
      <w:pPr>
        <w:pStyle w:val="BNormal"/>
      </w:pPr>
      <w:r>
        <w:lastRenderedPageBreak/>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 </w:t>
      </w:r>
    </w:p>
    <w:p w14:paraId="4BF53E2E" w14:textId="77777777" w:rsidR="00494B49" w:rsidRDefault="00494B49">
      <w:pPr>
        <w:pStyle w:val="BQuotelong"/>
      </w:pPr>
      <w:r>
        <w:t>(2) There shall be regarded as taxes on income all taxes imposed on total income, or on elements of income, including taxes on gains from the alienation of property.</w:t>
      </w:r>
      <w:r>
        <w:rPr>
          <w:rStyle w:val="FootnoteReference"/>
        </w:rPr>
        <w:footnoteReference w:id="1240"/>
      </w:r>
      <w:r>
        <w:t xml:space="preserve"> </w:t>
      </w:r>
    </w:p>
    <w:p w14:paraId="1A5F465A" w14:textId="77777777" w:rsidR="00494B49" w:rsidRDefault="00494B49">
      <w:pPr>
        <w:pStyle w:val="BNormal"/>
      </w:pPr>
    </w:p>
    <w:p w14:paraId="541AA3CA" w14:textId="77777777" w:rsidR="00494B49" w:rsidRDefault="00494B49">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1D0A65F6" w14:textId="77777777" w:rsidR="00494B49" w:rsidRDefault="00494B49">
      <w:pPr>
        <w:pStyle w:val="BNormal"/>
      </w:pPr>
      <w:r>
        <w:t>The 2006 U.S. Model Treaty Technical Explanation</w:t>
      </w:r>
      <w:r>
        <w:rPr>
          <w:rStyle w:val="FootnoteReference"/>
        </w:rPr>
        <w:footnoteReference w:id="1241"/>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2"/>
      </w:r>
    </w:p>
    <w:p w14:paraId="32F63F39" w14:textId="77777777" w:rsidR="00494B49" w:rsidRDefault="00494B49">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2BE431AB" w14:textId="77777777" w:rsidR="00494B49" w:rsidRDefault="00494B49">
      <w:pPr>
        <w:pStyle w:val="BHead5"/>
      </w:pPr>
      <w:r>
        <w:t>(b) Article 23</w:t>
      </w:r>
    </w:p>
    <w:p w14:paraId="6C523D4B" w14:textId="77777777" w:rsidR="00494B49" w:rsidRDefault="00494B49">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2A064DB9" w14:textId="77777777" w:rsidR="00494B49" w:rsidRDefault="00494B49" w:rsidP="00144640">
      <w:pPr>
        <w:pStyle w:val="BQuotelong"/>
      </w:pPr>
      <w:r>
        <w:t xml:space="preserve">In accordance with the provisions and subject to the limitations of the law of the United States (as it may be amended from time to time without changing the general principle hereof), the United States shall allow to a resident or </w:t>
      </w:r>
      <w:r>
        <w:lastRenderedPageBreak/>
        <w:t xml:space="preserve">citizen of the United States as a credit against the United States tax on income applicable to residents and citizens: </w:t>
      </w:r>
    </w:p>
    <w:p w14:paraId="4EE08633" w14:textId="77777777" w:rsidR="00494B49" w:rsidRDefault="00494B49">
      <w:pPr>
        <w:pStyle w:val="BQuotelong"/>
      </w:pPr>
      <w:r>
        <w:t>a) the income tax paid or accrued to ... by or on behalf of such resident or citizen.</w:t>
      </w:r>
      <w:r>
        <w:rPr>
          <w:rStyle w:val="FootnoteReference"/>
        </w:rPr>
        <w:footnoteReference w:id="1243"/>
      </w:r>
      <w:r>
        <w:t xml:space="preserve"> </w:t>
      </w:r>
    </w:p>
    <w:p w14:paraId="1689441F" w14:textId="77777777" w:rsidR="00494B49" w:rsidRDefault="00494B49">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4"/>
      </w:r>
      <w:r>
        <w:t xml:space="preserve"> Specifically, it states: </w:t>
      </w:r>
    </w:p>
    <w:p w14:paraId="2B071AD3" w14:textId="77777777" w:rsidR="00494B49" w:rsidRDefault="00494B49">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4A9CE805" w14:textId="77777777" w:rsidR="00494B49" w:rsidRDefault="00494B49">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007DD9B8" w14:textId="77777777" w:rsidR="00494B49" w:rsidRDefault="00494B49">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77160969" w14:textId="77777777" w:rsidR="00494B49" w:rsidRDefault="00494B49">
      <w:pPr>
        <w:pStyle w:val="BHead5"/>
      </w:pPr>
      <w:r>
        <w:t>(c) Article 24</w:t>
      </w:r>
    </w:p>
    <w:p w14:paraId="2373E95F" w14:textId="77777777" w:rsidR="00494B49" w:rsidRDefault="00494B49">
      <w:pPr>
        <w:pStyle w:val="BNormal"/>
      </w:pPr>
      <w:r>
        <w:t>The 2016 U.S. Model Treaty also includes a nondiscrimination article.</w:t>
      </w:r>
      <w:r>
        <w:rPr>
          <w:rStyle w:val="FootnoteReference"/>
        </w:rPr>
        <w:footnoteReference w:id="1245"/>
      </w:r>
      <w:r>
        <w:t xml:space="preserve"> It states that citizens of a country living in the other contracting country should not be subject to more burdensome taxes than citizens of the contracting country living in the contracting country’s territory. Article 24(1) provides: </w:t>
      </w:r>
    </w:p>
    <w:p w14:paraId="30CCBA01" w14:textId="77777777" w:rsidR="00494B49" w:rsidRDefault="00494B49">
      <w:pPr>
        <w:pStyle w:val="BQuotelong"/>
      </w:pPr>
      <w:r>
        <w:t xml:space="preserve">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 </w:t>
      </w:r>
    </w:p>
    <w:p w14:paraId="39087FB2" w14:textId="77777777" w:rsidR="00494B49" w:rsidRDefault="00494B49">
      <w:pPr>
        <w:pStyle w:val="BNormal"/>
      </w:pPr>
      <w:r>
        <w:lastRenderedPageBreak/>
        <w:t>The 2006 U.S. Model Treaty Technical Explanation provides the following explanation of Article 24 in general:</w:t>
      </w:r>
      <w:r>
        <w:rPr>
          <w:rStyle w:val="FootnoteReference"/>
        </w:rPr>
        <w:footnoteReference w:id="1246"/>
      </w:r>
      <w:r>
        <w:t xml:space="preserve"> </w:t>
      </w:r>
    </w:p>
    <w:p w14:paraId="1617A682" w14:textId="77777777" w:rsidR="00494B49" w:rsidRDefault="00494B49" w:rsidP="00144640">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245B90B6" w14:textId="77777777" w:rsidR="00494B49" w:rsidRDefault="00494B49" w:rsidP="00144640">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67CB5488" w14:textId="77777777" w:rsidR="00494B49" w:rsidRDefault="00494B49">
      <w:pPr>
        <w:pStyle w:val="BQuotelong"/>
      </w:pPr>
      <w:r>
        <w:t>[O]</w:t>
      </w:r>
      <w:proofErr w:type="spellStart"/>
      <w:r>
        <w:t>nly</w:t>
      </w:r>
      <w:proofErr w:type="spellEnd"/>
      <w:r>
        <w:t xml:space="preserve"> differences in tax treatment that materially disadvantage the foreign person relative to the domestic person are properly the subject of the Article. </w:t>
      </w:r>
    </w:p>
    <w:p w14:paraId="7E76CB01" w14:textId="77777777" w:rsidR="00494B49" w:rsidRDefault="00494B49">
      <w:pPr>
        <w:pStyle w:val="BNormal"/>
      </w:pPr>
      <w:r>
        <w:t>In explaining paragraph 1 of Article 24, the 2006 U.S. Model Treaty Technical Explanation states:</w:t>
      </w:r>
      <w:r>
        <w:rPr>
          <w:rStyle w:val="FootnoteReference"/>
        </w:rPr>
        <w:footnoteReference w:id="1247"/>
      </w:r>
      <w:r>
        <w:t xml:space="preserve"> </w:t>
      </w:r>
    </w:p>
    <w:p w14:paraId="2E56F141" w14:textId="77777777" w:rsidR="00494B49" w:rsidRDefault="00494B49">
      <w:pPr>
        <w:pStyle w:val="BQuotelong"/>
      </w:pPr>
      <w:r>
        <w:t xml:space="preserve">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 </w:t>
      </w:r>
    </w:p>
    <w:p w14:paraId="5872293F" w14:textId="77777777" w:rsidR="00494B49" w:rsidRDefault="00494B49">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48"/>
      </w:r>
      <w:r>
        <w:t xml:space="preserve"> As such, a foreign national who is a U.S. tax resident should not be able to rely on Article 24 of the U.S. Model Treaty for relief from the NIIT.</w:t>
      </w:r>
    </w:p>
    <w:p w14:paraId="2EA53F89" w14:textId="77777777" w:rsidR="00494B49" w:rsidRDefault="00494B49">
      <w:pPr>
        <w:pStyle w:val="BNormal"/>
      </w:pPr>
      <w:r>
        <w:lastRenderedPageBreak/>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148348F5" w14:textId="77777777" w:rsidR="00494B49" w:rsidRDefault="00494B49">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B929ED9" w14:textId="77777777" w:rsidR="00494B49" w:rsidRDefault="00494B49">
      <w:pPr>
        <w:pStyle w:val="BHead4"/>
      </w:pPr>
      <w:r>
        <w:t xml:space="preserve">(3) Sample Analysis of Income Tax Treaty Without Model Language </w:t>
      </w:r>
    </w:p>
    <w:p w14:paraId="12E49505" w14:textId="77777777" w:rsidR="00494B49" w:rsidRDefault="00494B49">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49"/>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50"/>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6359E68" w14:textId="77777777" w:rsidR="00494B49" w:rsidRDefault="00494B49">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1"/>
      </w:r>
      <w:r>
        <w:t xml:space="preserve"> Residents of the United States who were citizens of a foreign country would receive credit for taxes paid to the foreign country to the extent the foreign country reciprocated with a credit in similar situations,</w:t>
      </w:r>
      <w:r>
        <w:rPr>
          <w:rStyle w:val="FootnoteReference"/>
        </w:rPr>
        <w:footnoteReference w:id="1252"/>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3"/>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20AE176" w14:textId="77777777" w:rsidR="00494B49" w:rsidRDefault="00494B49">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4"/>
      </w:r>
    </w:p>
    <w:p w14:paraId="66783200" w14:textId="77777777" w:rsidR="00494B49" w:rsidRDefault="00494B49">
      <w:pPr>
        <w:pStyle w:val="BNormal"/>
      </w:pPr>
      <w:r>
        <w:t xml:space="preserve">The United States asserts primary taxing jurisdiction over all income with a sufficient nexus between the income derived and the U.S. and, therefore, only credits foreign taxes imposed on foreign-source income. In general, interest and dividend income is sourced based on the location </w:t>
      </w:r>
      <w:r>
        <w:lastRenderedPageBreak/>
        <w:t>of the obligor</w:t>
      </w:r>
      <w:r>
        <w:rPr>
          <w:rStyle w:val="FootnoteReference"/>
        </w:rPr>
        <w:footnoteReference w:id="1255"/>
      </w:r>
      <w:r>
        <w:t xml:space="preserve"> or payor,</w:t>
      </w:r>
      <w:r>
        <w:rPr>
          <w:rStyle w:val="FootnoteReference"/>
        </w:rPr>
        <w:footnoteReference w:id="1256"/>
      </w:r>
      <w:r>
        <w:t xml:space="preserve"> while rental income is sourced based on the location of the property from which rent is derived.</w:t>
      </w:r>
      <w:r>
        <w:rPr>
          <w:rStyle w:val="FootnoteReference"/>
        </w:rPr>
        <w:footnoteReference w:id="1257"/>
      </w:r>
      <w:r>
        <w:t xml:space="preserve"> Compensation for services performed is generally sourced to the location where the services were performed.</w:t>
      </w:r>
      <w:r>
        <w:rPr>
          <w:rStyle w:val="FootnoteReference"/>
        </w:rPr>
        <w:footnoteReference w:id="1258"/>
      </w:r>
    </w:p>
    <w:p w14:paraId="2C230471" w14:textId="77777777" w:rsidR="00494B49" w:rsidRDefault="00494B49">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59"/>
      </w:r>
    </w:p>
    <w:p w14:paraId="566E1FBE" w14:textId="77777777" w:rsidR="00494B49" w:rsidRDefault="00494B49">
      <w:pPr>
        <w:pStyle w:val="BExamplepara"/>
      </w:pPr>
      <w:r>
        <w:rPr>
          <w:rStyle w:val="BExamplehead"/>
          <w:rFonts w:eastAsiaTheme="minorHAnsi"/>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60"/>
      </w:r>
    </w:p>
    <w:p w14:paraId="59C49ACE" w14:textId="77777777" w:rsidR="00494B49" w:rsidRDefault="00494B49">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1"/>
      </w:r>
      <w:r>
        <w:t xml:space="preserve"> of the $646 NIIT liability is attributable to foreign source income. Assuming the taxpayer is taking a treaty position that foreign tax credits are creditable taxes, it would be appropriate to claim $456 of Greek taxes against the NIIT.</w:t>
      </w:r>
    </w:p>
    <w:p w14:paraId="6673C86B" w14:textId="77777777" w:rsidR="00494B49" w:rsidRDefault="00494B49">
      <w:pPr>
        <w:pStyle w:val="BExamplepara"/>
      </w:pPr>
      <w:r>
        <w:rPr>
          <w:rStyle w:val="BExamplehead"/>
          <w:rFonts w:eastAsiaTheme="minorHAnsi"/>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2"/>
      </w:r>
    </w:p>
    <w:p w14:paraId="02DCAD2E" w14:textId="77777777" w:rsidR="00494B49" w:rsidRDefault="00494B49">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66EC7E4C" w14:textId="77777777" w:rsidR="00494B49" w:rsidRDefault="00494B49">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19B6197B" w14:textId="77777777" w:rsidR="00494B49" w:rsidRDefault="00494B49">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79FC556D" w14:textId="77777777" w:rsidR="00494B49" w:rsidRDefault="00494B49">
      <w:pPr>
        <w:pStyle w:val="BExamplepara"/>
      </w:pPr>
      <w:r>
        <w:rPr>
          <w:rStyle w:val="BExamplehead"/>
          <w:rFonts w:eastAsiaTheme="minorHAnsi"/>
          <w:i/>
        </w:rPr>
        <w:lastRenderedPageBreak/>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3"/>
      </w:r>
    </w:p>
    <w:p w14:paraId="60663D51" w14:textId="77777777" w:rsidR="00494B49" w:rsidRDefault="00494B49">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4D4B3D0B" w14:textId="77777777" w:rsidR="00494B49" w:rsidRDefault="00494B49">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5A71A90F" w14:textId="77777777" w:rsidR="00494B49" w:rsidRDefault="00494B49">
      <w:pPr>
        <w:pStyle w:val="BExamplepara"/>
      </w:pPr>
      <w:r>
        <w:t>What differentiates C from A and B? In C’s case, the $7,000 of tax base is income in excess of MAGI;</w:t>
      </w:r>
      <w:r>
        <w:rPr>
          <w:rStyle w:val="FootnoteReference"/>
        </w:rPr>
        <w:footnoteReference w:id="1264"/>
      </w:r>
      <w:r>
        <w:t xml:space="preserve"> whereas A is on the net investment income tax base</w:t>
      </w:r>
      <w:r>
        <w:rPr>
          <w:rStyle w:val="FootnoteReference"/>
        </w:rPr>
        <w:footnoteReference w:id="1265"/>
      </w:r>
      <w:r>
        <w:t xml:space="preserve"> and B is unsure which base he is being taxed on because both are the same. Should there be different sourcing rules for each of these scenarios? If so, how is it done? These are all unanswered questions. </w:t>
      </w:r>
    </w:p>
    <w:p w14:paraId="556F8B06" w14:textId="77777777" w:rsidR="00494B49" w:rsidRDefault="00494B49">
      <w:pPr>
        <w:pStyle w:val="BHead4"/>
      </w:pPr>
      <w:r>
        <w:t xml:space="preserve">(4) Reporting the Treaty Position </w:t>
      </w:r>
    </w:p>
    <w:p w14:paraId="33355892" w14:textId="77777777" w:rsidR="00494B49" w:rsidRDefault="00494B49">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6"/>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093A864" w14:textId="77777777" w:rsidR="00494B49" w:rsidRDefault="00494B49">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7"/>
      </w:r>
    </w:p>
    <w:p w14:paraId="5BAFC584" w14:textId="77777777" w:rsidR="00494B49" w:rsidRDefault="00494B49">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w:t>
      </w:r>
      <w:r>
        <w:lastRenderedPageBreak/>
        <w:t xml:space="preserve">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013933D8" w14:textId="77777777" w:rsidR="00494B49" w:rsidRDefault="00494B49">
      <w:pPr>
        <w:pStyle w:val="BHead4"/>
      </w:pPr>
      <w:r>
        <w:t>(5) Toulouse v. Commissioner</w:t>
      </w:r>
    </w:p>
    <w:p w14:paraId="0A86A59C" w14:textId="77777777" w:rsidR="00494B49" w:rsidRDefault="00494B49">
      <w:pPr>
        <w:pStyle w:val="BNormal"/>
      </w:pPr>
      <w:r>
        <w:t xml:space="preserve">On August 16, 2021, the Tax Court held in </w:t>
      </w:r>
      <w:r>
        <w:rPr>
          <w:rStyle w:val="BCasenamefull"/>
        </w:rPr>
        <w:t>Toulouse v. Commissioner</w:t>
      </w:r>
      <w:r>
        <w:t>,</w:t>
      </w:r>
      <w:r>
        <w:rPr>
          <w:rStyle w:val="FootnoteReference"/>
        </w:rPr>
        <w:footnoteReference w:id="1268"/>
      </w:r>
      <w:r>
        <w:t xml:space="preserve"> that U.S. tax treaties with France and Italy do not enable a U.S. citizen who lives abroad to use foreign tax credits to offset the net investment income tax (NIIT).</w:t>
      </w:r>
    </w:p>
    <w:p w14:paraId="6A8C17BB" w14:textId="77777777" w:rsidR="00494B49" w:rsidRDefault="00494B49">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1B773FE8" w14:textId="77777777" w:rsidR="00494B49" w:rsidRDefault="00494B49">
      <w:pPr>
        <w:pStyle w:val="BNormal"/>
      </w:pPr>
      <w:r>
        <w:t>Toulouse filed several other forms along with her 2013 Form 1040:</w:t>
      </w:r>
    </w:p>
    <w:p w14:paraId="48DB76B4" w14:textId="77777777" w:rsidR="00494B49" w:rsidRDefault="00494B49">
      <w:pPr>
        <w:pStyle w:val="BListitembul"/>
      </w:pPr>
      <w:r>
        <w:t xml:space="preserve">Form 1116, </w:t>
      </w:r>
      <w:r>
        <w:rPr>
          <w:i/>
        </w:rPr>
        <w:t>Foreign Tax Credit</w:t>
      </w:r>
      <w:r>
        <w:t>, reported that for 2013 she had paid $51,456 in tax to Italy and France.</w:t>
      </w:r>
    </w:p>
    <w:p w14:paraId="2665C5E9" w14:textId="77777777" w:rsidR="00494B49" w:rsidRDefault="00494B49">
      <w:pPr>
        <w:pStyle w:val="BListitembul"/>
      </w:pPr>
      <w:r>
        <w:t xml:space="preserve">Form 8960, </w:t>
      </w:r>
      <w:r>
        <w:rPr>
          <w:i/>
        </w:rPr>
        <w:t>Net Investment Income Tax — Individuals, Estates, and Trusts</w:t>
      </w:r>
      <w:r>
        <w:t>, reported NIIT of $11,540 (Line 17) and added two lines under Line 17, that read:</w:t>
      </w:r>
    </w:p>
    <w:p w14:paraId="2966526A" w14:textId="77777777" w:rsidR="00494B49" w:rsidRDefault="00494B49">
      <w:pPr>
        <w:pStyle w:val="BListitembul"/>
      </w:pPr>
      <w:r>
        <w:t>o Less: Foreign Tax Credit $11,540</w:t>
      </w:r>
    </w:p>
    <w:p w14:paraId="55746D05" w14:textId="77777777" w:rsidR="00494B49" w:rsidRDefault="00494B49">
      <w:pPr>
        <w:pStyle w:val="BListitembul"/>
      </w:pPr>
      <w:r>
        <w:t>o Net Investment Income Tax Due $0</w:t>
      </w:r>
      <w:r>
        <w:rPr>
          <w:rStyle w:val="FootnoteReference"/>
        </w:rPr>
        <w:footnoteReference w:id="1269"/>
      </w:r>
    </w:p>
    <w:p w14:paraId="6E8741B7" w14:textId="77777777" w:rsidR="00494B49" w:rsidRDefault="00494B49">
      <w:pPr>
        <w:pStyle w:val="BListitembul"/>
      </w:pPr>
      <w:r>
        <w:t xml:space="preserve">Two Forms 8833, </w:t>
      </w:r>
      <w:r>
        <w:rPr>
          <w:i/>
        </w:rPr>
        <w:t>Treaty-Based Return Position Disclosure Under Section 6114 or 7701(b)</w:t>
      </w:r>
      <w:r>
        <w:t>, asserted that Toulouse had used a foreign tax credit carryover to offset NIIT.</w:t>
      </w:r>
    </w:p>
    <w:p w14:paraId="55F0EEB5" w14:textId="77777777" w:rsidR="00494B49" w:rsidRDefault="00494B49">
      <w:pPr>
        <w:pStyle w:val="BListitembul"/>
      </w:pPr>
      <w:r>
        <w:t xml:space="preserve">Form 8275, </w:t>
      </w:r>
      <w:r>
        <w:rPr>
          <w:i/>
        </w:rPr>
        <w:t>Disclosure Statement</w:t>
      </w:r>
      <w:r>
        <w:t>, asserted that article 24(2)(a) of the U.S. income tax treaties with France and Italy permit a foreign tax credit to offset NIIT.</w:t>
      </w:r>
    </w:p>
    <w:p w14:paraId="17027EE2" w14:textId="77777777" w:rsidR="00494B49" w:rsidRDefault="00494B49">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55CA5182" w14:textId="77777777" w:rsidR="00494B49" w:rsidRDefault="00494B49">
      <w:pPr>
        <w:pStyle w:val="BNormal"/>
      </w:pPr>
      <w:r>
        <w:t>The court first found that Toulouse did not have the opportunity to challenge the underlying tax liability before the CDP hearing; therefore, the court reviewed liability for the tax de novo.</w:t>
      </w:r>
    </w:p>
    <w:p w14:paraId="4DA5C4EA" w14:textId="77777777" w:rsidR="00494B49" w:rsidRDefault="00494B49">
      <w:pPr>
        <w:pStyle w:val="BNormal"/>
      </w:pPr>
      <w:r>
        <w:t xml:space="preserve">Citing </w:t>
      </w:r>
      <w:r>
        <w:rPr>
          <w:rStyle w:val="BCasenamefull"/>
        </w:rPr>
        <w:t>Crow v. Commissioner</w:t>
      </w:r>
      <w:r>
        <w:t>,</w:t>
      </w:r>
      <w:r>
        <w:rPr>
          <w:rStyle w:val="FootnoteReference"/>
        </w:rPr>
        <w:footnoteReference w:id="1270"/>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w:t>
      </w:r>
      <w:r>
        <w:lastRenderedPageBreak/>
        <w:t xml:space="preserve">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6B8012EE" w14:textId="77777777" w:rsidR="00494B49" w:rsidRDefault="00494B49">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2B633111" w14:textId="77777777" w:rsidR="00494B49" w:rsidRDefault="00494B49">
      <w:pPr>
        <w:pStyle w:val="BNormal"/>
      </w:pPr>
      <w:r>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175E35B7" w14:textId="77777777" w:rsidR="00494B49" w:rsidRDefault="00494B49">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143F6D79" w14:textId="77777777" w:rsidR="00494B49" w:rsidRDefault="00494B49">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60577314" w14:textId="77777777" w:rsidR="00494B49" w:rsidRDefault="00494B49">
      <w:pPr>
        <w:pStyle w:val="BHead4"/>
      </w:pPr>
      <w:r>
        <w:t>(6) Christensen v. Commissioner</w:t>
      </w:r>
    </w:p>
    <w:p w14:paraId="15E6A1FB" w14:textId="77777777" w:rsidR="00494B49" w:rsidRDefault="00494B49">
      <w:pPr>
        <w:pStyle w:val="BNormal"/>
      </w:pPr>
      <w:r>
        <w:t xml:space="preserve">In September 2023, the U.S. Court of Federal Claims (court) held in </w:t>
      </w:r>
      <w:r>
        <w:rPr>
          <w:rStyle w:val="BCasenamefull"/>
        </w:rPr>
        <w:t>Christensen v. United States</w:t>
      </w:r>
      <w:r>
        <w:t>,</w:t>
      </w:r>
      <w:r>
        <w:rPr>
          <w:rStyle w:val="FootnoteReference"/>
        </w:rPr>
        <w:footnoteReference w:id="1271"/>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4BE0DA3F" w14:textId="77777777" w:rsidR="00494B49" w:rsidRDefault="00494B49">
      <w:pPr>
        <w:pStyle w:val="BNormal"/>
      </w:pPr>
      <w:r>
        <w:lastRenderedPageBreak/>
        <w:t xml:space="preserve">The </w:t>
      </w:r>
      <w:proofErr w:type="spellStart"/>
      <w:r>
        <w:t>Christensens</w:t>
      </w:r>
      <w:proofErr w:type="spellEnd"/>
      <w:r>
        <w:t xml:space="preserve">,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xml:space="preserve">, U.S. Individual Income Tax Return: earned income of $369,373; U.S.-source passive income of $7,976; and foreign-source passive income of $101,353. Before the FTC, the </w:t>
      </w:r>
      <w:proofErr w:type="spellStart"/>
      <w:r>
        <w:t>Christensens</w:t>
      </w:r>
      <w:proofErr w:type="spellEnd"/>
      <w:r>
        <w:t xml:space="preserve"> had a $76,376 U.S. federal income tax liability under Chapter 1 of the Internal Revenue Code (Code). They also paid a NIIT of 3.8% on $7,976 of U.S.-source passive income and $101,353 of foreign-source passive income, for a total NIIT of $4,155. In addition, the </w:t>
      </w:r>
      <w:proofErr w:type="spellStart"/>
      <w:r>
        <w:t>Christensens</w:t>
      </w:r>
      <w:proofErr w:type="spellEnd"/>
      <w:r>
        <w:t xml:space="preserve"> paid French income tax of approximately $26,653 on their foreign-source passive income.</w:t>
      </w:r>
    </w:p>
    <w:p w14:paraId="0C218858" w14:textId="77777777" w:rsidR="00494B49" w:rsidRDefault="00494B49">
      <w:pPr>
        <w:pStyle w:val="BNormal"/>
      </w:pPr>
      <w:r>
        <w:t xml:space="preserve">In 2020, the </w:t>
      </w:r>
      <w:proofErr w:type="spellStart"/>
      <w:r>
        <w:t>Christensens</w:t>
      </w:r>
      <w:proofErr w:type="spellEnd"/>
      <w:r>
        <w:t xml:space="preserve">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7D784931" w14:textId="77777777" w:rsidR="00494B49" w:rsidRDefault="00494B49">
      <w:pPr>
        <w:pStyle w:val="BNormal"/>
      </w:pPr>
      <w:r>
        <w:t xml:space="preserve">The court restricted the case to the parties' cross-motions for partial summary judgment on the question of whether the Treaty, as amended, provides a FTC against the NIIT imposed on the </w:t>
      </w:r>
      <w:proofErr w:type="spellStart"/>
      <w:r>
        <w:t>Christensens's</w:t>
      </w:r>
      <w:proofErr w:type="spellEnd"/>
      <w:r>
        <w:t xml:space="preserve"> foreign-source passive income under </w:t>
      </w:r>
      <w:smartTag w:uri="http://www.bna.com/sgml2word/cite" w:element="cite.usc">
        <w:smartTagPr>
          <w:attr w:name="ref" w:val="USC\26\1411"/>
        </w:smartTagPr>
        <w:r>
          <w:t>§1411</w:t>
        </w:r>
      </w:smartTag>
      <w:r>
        <w:t xml:space="preserve">. Following the 72-page decision, the parties still need to resolve whether the </w:t>
      </w:r>
      <w:proofErr w:type="spellStart"/>
      <w:r>
        <w:t>Christensens</w:t>
      </w:r>
      <w:proofErr w:type="spellEnd"/>
      <w:r>
        <w:t xml:space="preserve"> properly computed their U.S. FTC under the Treaty.</w:t>
      </w:r>
    </w:p>
    <w:p w14:paraId="0A9CE9F8" w14:textId="77777777" w:rsidR="00494B49" w:rsidRDefault="00494B49">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40C88AA9" w14:textId="77777777" w:rsidR="00494B49" w:rsidRDefault="00494B49">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687C5EBE" w14:textId="77777777" w:rsidR="00494B49" w:rsidRDefault="00494B49">
      <w:pPr>
        <w:pStyle w:val="BListitembul"/>
      </w:pPr>
      <w:r>
        <w:t xml:space="preserve"> The individual pays U.S. tax on certain U.S.-source income to the extent permitted under the Treaty if the individual were only a resident of France (the "first bite").</w:t>
      </w:r>
    </w:p>
    <w:p w14:paraId="064B87B4" w14:textId="77777777" w:rsidR="00494B49" w:rsidRDefault="00494B49">
      <w:pPr>
        <w:pStyle w:val="BListitembul"/>
      </w:pPr>
      <w:r>
        <w:t xml:space="preserve"> France taxes the individual as a French resident but must provide a credit for U.S. tax (as determined under the first bite) on certain U.S.-source income (including dividends and interest) (the "second bite").</w:t>
      </w:r>
    </w:p>
    <w:p w14:paraId="1AA1AE5A" w14:textId="77777777" w:rsidR="00494B49" w:rsidRDefault="00494B49">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47AA81BF" w14:textId="77777777" w:rsidR="00494B49" w:rsidRDefault="00494B49">
      <w:pPr>
        <w:pStyle w:val="BNormal"/>
      </w:pPr>
      <w:r>
        <w:t xml:space="preserve">After analyzing the Treaty, the court held that the </w:t>
      </w:r>
      <w:proofErr w:type="spellStart"/>
      <w:r>
        <w:t>Christensens</w:t>
      </w:r>
      <w:proofErr w:type="spellEnd"/>
      <w:r>
        <w:t xml:space="preserve">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2"/>
      </w:r>
    </w:p>
    <w:p w14:paraId="73404810" w14:textId="77777777" w:rsidR="00494B49" w:rsidRDefault="00494B49">
      <w:pPr>
        <w:pStyle w:val="BNormal"/>
      </w:pPr>
      <w:r>
        <w:lastRenderedPageBreak/>
        <w:t>The court observed, however, that Article 24(2)(b) of the Treaty could be liberally interpreted to allow U.S. citizens who are residents of France to claim a treaty-based FTC against NIIT for French income tax imposed on foreign-source income.</w:t>
      </w:r>
    </w:p>
    <w:p w14:paraId="04197930" w14:textId="77777777" w:rsidR="00494B49" w:rsidRDefault="00494B49">
      <w:pPr>
        <w:pStyle w:val="BNormal"/>
      </w:pPr>
      <w:r>
        <w:t xml:space="preserve">Unlike Article 24(2)(a), the court noted, Article 24(2)(b) is not limited by the Code. Therefore, the court concluded that the </w:t>
      </w:r>
      <w:proofErr w:type="spellStart"/>
      <w:r>
        <w:t>Christensens</w:t>
      </w:r>
      <w:proofErr w:type="spellEnd"/>
      <w:r>
        <w:t xml:space="preserve"> could claim a treaty-based FTC under Article 24(2)(b) for French income tax imposed on their passive foreign-source income ($26,653) to offset the NIIT imposed on that income ($3,851).</w:t>
      </w:r>
    </w:p>
    <w:p w14:paraId="604AE527" w14:textId="77777777" w:rsidR="00494B49" w:rsidRDefault="00494B49">
      <w:pPr>
        <w:pStyle w:val="BNormal"/>
      </w:pPr>
      <w:r>
        <w:t xml:space="preserve">On its face, Christensen is a taxpayer victory, although U.S. taxpayers should not assume it is necessarily far-reaching. The holding only applies to U.S. citizens who are tax residents in a country that has an income tax treaty with the United States. Even then, the holding applies to a 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w:t>
      </w:r>
      <w:proofErr w:type="spellStart"/>
      <w:r>
        <w:t>Christensens</w:t>
      </w:r>
      <w:proofErr w:type="spellEnd"/>
      <w:r>
        <w:t xml:space="preserve"> only claimed a treaty-based FTC under Article 24(2)(b) against NIIT imposed on foreign-source income and did not attempt to claim a treaty-based FTC against NIIT imposed on U.S.-source income.</w:t>
      </w:r>
      <w:r>
        <w:rPr>
          <w:rStyle w:val="FootnoteReference"/>
        </w:rPr>
        <w:footnoteReference w:id="1273"/>
      </w:r>
    </w:p>
    <w:p w14:paraId="3445E448" w14:textId="77777777" w:rsidR="00494B49" w:rsidRDefault="00494B49">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78537332" w14:textId="77777777" w:rsidR="00494B49" w:rsidRDefault="00494B49">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34774B96" w14:textId="77777777" w:rsidR="00494B49" w:rsidRDefault="00494B49">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w:t>
      </w:r>
      <w:r>
        <w:lastRenderedPageBreak/>
        <w:t xml:space="preserve">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5F9B8E3C" w14:textId="77777777" w:rsidR="00494B49" w:rsidRDefault="00494B49">
      <w:pPr>
        <w:pStyle w:val="BHead3"/>
      </w:pPr>
      <w:r>
        <w:t xml:space="preserve">c. Residency Treaty Tiebreakers </w:t>
      </w:r>
    </w:p>
    <w:p w14:paraId="6DAC7E58" w14:textId="77777777" w:rsidR="00494B49" w:rsidRDefault="00494B49">
      <w:pPr>
        <w:pStyle w:val="BHead4"/>
      </w:pPr>
      <w:r>
        <w:t>(1) General Rule — Nonresidents</w:t>
      </w:r>
    </w:p>
    <w:p w14:paraId="0D77DB0D"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4"/>
      </w:r>
      <w:r>
        <w:t xml:space="preserve"> Even if the nonresident alien earns effectively connected income</w:t>
      </w:r>
      <w:r>
        <w:rPr>
          <w:rStyle w:val="FootnoteReference"/>
        </w:rPr>
        <w:footnoteReference w:id="1275"/>
      </w:r>
      <w:r>
        <w:t xml:space="preserve"> or fixed and determinable annual or periodical (FDAP)</w:t>
      </w:r>
      <w:r>
        <w:rPr>
          <w:rStyle w:val="FootnoteReference"/>
        </w:rPr>
        <w:footnoteReference w:id="1276"/>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7"/>
      </w:r>
    </w:p>
    <w:p w14:paraId="4A1B368C" w14:textId="77777777" w:rsidR="00494B49" w:rsidRDefault="00494B49">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78"/>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79"/>
      </w:r>
      <w:r>
        <w:t xml:space="preserve"> However, the preamble to the 2013 Final Regulations states that “[t]he Treasury Department and the IRS may reconsider this rule if taxpayers are applying it inappropriately.”</w:t>
      </w:r>
      <w:r>
        <w:rPr>
          <w:rStyle w:val="FootnoteReference"/>
        </w:rPr>
        <w:footnoteReference w:id="1280"/>
      </w:r>
    </w:p>
    <w:p w14:paraId="110874E0" w14:textId="77777777" w:rsidR="00494B49" w:rsidRDefault="00494B49">
      <w:pPr>
        <w:pStyle w:val="BHead4"/>
      </w:pPr>
      <w:r>
        <w:t xml:space="preserve">(2) General Residency Tiebreaker in Income Tax </w:t>
      </w:r>
      <w:r>
        <w:br/>
        <w:t>Treaties</w:t>
      </w:r>
    </w:p>
    <w:p w14:paraId="0C786AF4" w14:textId="77777777" w:rsidR="00494B49" w:rsidRDefault="00494B49">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1"/>
      </w:r>
      <w:r>
        <w:t xml:space="preserve"> The tiebreaker tests are applied in the following order (as necessary):</w:t>
      </w:r>
      <w:r>
        <w:rPr>
          <w:rStyle w:val="FootnoteReference"/>
        </w:rPr>
        <w:footnoteReference w:id="1282"/>
      </w:r>
    </w:p>
    <w:p w14:paraId="02ABC140" w14:textId="77777777" w:rsidR="00494B49" w:rsidRDefault="00494B49">
      <w:pPr>
        <w:pStyle w:val="BListitemorig"/>
      </w:pPr>
      <w:r>
        <w:t xml:space="preserve">1. Location of a permanent home. </w:t>
      </w:r>
    </w:p>
    <w:p w14:paraId="122166FB" w14:textId="77777777" w:rsidR="00494B49" w:rsidRDefault="00494B49">
      <w:pPr>
        <w:pStyle w:val="BListitemorig"/>
      </w:pPr>
      <w:r>
        <w:t>2. Jurisdiction in which individual has closer personal and economic relations (center of vital interests).</w:t>
      </w:r>
    </w:p>
    <w:p w14:paraId="26785D8A" w14:textId="77777777" w:rsidR="00494B49" w:rsidRDefault="00494B49">
      <w:pPr>
        <w:pStyle w:val="BListitemorig"/>
      </w:pPr>
      <w:r>
        <w:lastRenderedPageBreak/>
        <w:t>3. Location of a habitual abode.</w:t>
      </w:r>
    </w:p>
    <w:p w14:paraId="72A94402" w14:textId="77777777" w:rsidR="00494B49" w:rsidRDefault="00494B49">
      <w:pPr>
        <w:pStyle w:val="BListitemorig"/>
      </w:pPr>
      <w:r>
        <w:t>4. Nationality.</w:t>
      </w:r>
    </w:p>
    <w:p w14:paraId="62A2E880" w14:textId="77777777" w:rsidR="00494B49" w:rsidRDefault="00494B49">
      <w:pPr>
        <w:pStyle w:val="BListitemorig"/>
      </w:pPr>
      <w:r>
        <w:t>5. Competent authority decision.</w:t>
      </w:r>
    </w:p>
    <w:p w14:paraId="1EBE665F" w14:textId="77777777" w:rsidR="00494B49" w:rsidRDefault="00494B49">
      <w:pPr>
        <w:pStyle w:val="BNormal"/>
      </w:pPr>
      <w:r>
        <w:t>Each test is applied independently. If one test does not break the residency tie, the individual applies the next test until the residency tie is broken.</w:t>
      </w:r>
    </w:p>
    <w:p w14:paraId="096A0542" w14:textId="77777777" w:rsidR="00494B49" w:rsidRDefault="00494B49">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3"/>
      </w:r>
      <w:r>
        <w:t xml:space="preserve"> Under Reg. </w:t>
      </w:r>
      <w:smartTag w:uri="http://www.bna.com/sgml2word/cite" w:element="cite.cfr">
        <w:smartTagPr>
          <w:attr w:name="ref" w:val="cfr\26\1.1411-2(a)(2)(i)"/>
        </w:smartTagPr>
        <w:r>
          <w:t>§1.1411-2(a)(2)(</w:t>
        </w:r>
        <w:proofErr w:type="spellStart"/>
        <w:r>
          <w:t>i</w:t>
        </w:r>
        <w:proofErr w:type="spellEnd"/>
        <w:r>
          <w:t>)</w:t>
        </w:r>
      </w:smartTag>
      <w:r>
        <w:t>, a dual-resident taxpayer</w:t>
      </w:r>
      <w:r>
        <w:rPr>
          <w:rStyle w:val="FootnoteReference"/>
        </w:rPr>
        <w:footnoteReference w:id="1284"/>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5"/>
      </w:r>
    </w:p>
    <w:p w14:paraId="4358780A" w14:textId="77777777" w:rsidR="00494B49" w:rsidRDefault="00494B49">
      <w:pPr>
        <w:pStyle w:val="BHead3"/>
      </w:pPr>
      <w:r>
        <w:t>d. Income Exclusions</w:t>
      </w:r>
    </w:p>
    <w:p w14:paraId="3401E0EA" w14:textId="77777777" w:rsidR="00494B49" w:rsidRDefault="00494B49">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6"/>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7"/>
      </w:r>
    </w:p>
    <w:p w14:paraId="471E3D36" w14:textId="77777777" w:rsidR="00494B49" w:rsidRDefault="00494B49">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88"/>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89"/>
      </w:r>
      <w:r>
        <w:t xml:space="preserve"> Items excluded from U.S. taxation under an income tax treaty would not be subject to NIIT because the NIIT only applies to items included in U.S. federal taxable income.</w:t>
      </w:r>
      <w:r>
        <w:rPr>
          <w:rStyle w:val="FootnoteReference"/>
        </w:rPr>
        <w:footnoteReference w:id="1290"/>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6E1F100A" w14:textId="77777777" w:rsidR="00494B49" w:rsidRDefault="00494B49">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xml:space="preserve">, for deductions to be properly allocable to net investment income, they </w:t>
      </w:r>
      <w:r>
        <w:lastRenderedPageBreak/>
        <w:t>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1"/>
      </w:r>
    </w:p>
    <w:p w14:paraId="38B73E27" w14:textId="77777777" w:rsidR="00494B49" w:rsidRDefault="00494B49">
      <w:pPr>
        <w:pStyle w:val="BHead2"/>
      </w:pPr>
      <w:r>
        <w:t>2. Totalization Agreements</w:t>
      </w:r>
    </w:p>
    <w:p w14:paraId="68D83502" w14:textId="77777777" w:rsidR="00494B49" w:rsidRDefault="00494B49">
      <w:pPr>
        <w:pStyle w:val="BNormal"/>
      </w:pPr>
      <w:r>
        <w:t>Some practitioners have suggested that U.S. Totalization Agreements may be used to relieve taxpayers from the NIIT.</w:t>
      </w:r>
      <w:r>
        <w:rPr>
          <w:rStyle w:val="FootnoteReference"/>
        </w:rPr>
        <w:footnoteReference w:id="1292"/>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hyperlink r:id="rId24" w:history="1">
        <w:r>
          <w:rPr>
            <w:rStyle w:val="Hyperlink"/>
          </w:rPr>
          <w:t>Instructions for Form 8960</w:t>
        </w:r>
      </w:hyperlink>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49767B92" w14:textId="77777777" w:rsidR="00494B49" w:rsidRDefault="00494B49">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616F74D1" w14:textId="77777777" w:rsidR="00494B49" w:rsidRDefault="00494B49">
      <w:pPr>
        <w:pStyle w:val="BHead3"/>
      </w:pPr>
      <w:r>
        <w:t>a. Overview</w:t>
      </w:r>
    </w:p>
    <w:p w14:paraId="0BE15B88" w14:textId="77777777" w:rsidR="00494B49" w:rsidRDefault="00494B49">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3"/>
      </w:r>
      <w:r>
        <w:t xml:space="preserve"> are subject to U.S. social security and Medicare taxes on earned income.</w:t>
      </w:r>
      <w:r>
        <w:rPr>
          <w:rStyle w:val="FootnoteReference"/>
        </w:rPr>
        <w:footnoteReference w:id="1294"/>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5F812F92" w14:textId="77777777" w:rsidR="00494B49" w:rsidRDefault="00494B49">
      <w:pPr>
        <w:pStyle w:val="BNormal"/>
      </w:pPr>
      <w:r>
        <w:t xml:space="preserve">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w:t>
      </w:r>
      <w:r>
        <w:lastRenderedPageBreak/>
        <w:t>the employee may not meet the U.S.’s or foreign country’s minimum days worked in each country to merit future benefit payments at retirement. Therefore, all or a portion of the employee and employer premiums may be lost.</w:t>
      </w:r>
    </w:p>
    <w:p w14:paraId="7A0AD298" w14:textId="77777777" w:rsidR="00494B49" w:rsidRDefault="00494B49">
      <w:pPr>
        <w:pStyle w:val="BNormal"/>
      </w:pPr>
      <w:r>
        <w:t>The United States entered into bilateral, international social security agreements, known as Totalization Agreements, with many foreign (mostly European) countries to mitigate the risk of double social taxation and potential lapses in benefits. Totalization Agreements generally cover social security taxes (including the U.S. Medicare portion) only;</w:t>
      </w:r>
      <w:r>
        <w:rPr>
          <w:rStyle w:val="FootnoteReference"/>
        </w:rPr>
        <w:footnoteReference w:id="1295"/>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6"/>
      </w:r>
    </w:p>
    <w:p w14:paraId="0C3E1A44" w14:textId="77777777" w:rsidR="00494B49" w:rsidRDefault="00494B49">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7"/>
      </w:r>
      <w:r>
        <w:t xml:space="preserve"> and FICA contributions</w:t>
      </w:r>
      <w:r>
        <w:rPr>
          <w:rStyle w:val="FootnoteReference"/>
        </w:rPr>
        <w:footnoteReference w:id="1298"/>
      </w:r>
      <w:r>
        <w:t xml:space="preserve"> are suspended on income earned after the initiation of a Totalization Agreement if the agreement assigns social tax jurisdiction to the foreign contracting country. </w:t>
      </w:r>
    </w:p>
    <w:p w14:paraId="45825EB8" w14:textId="77777777" w:rsidR="00494B49" w:rsidRDefault="00494B49">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299"/>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300"/>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1"/>
      </w:r>
      <w:r>
        <w:t xml:space="preserve"> In this author’s opinion, the only way for a Totalization Agreement to apply to </w:t>
      </w:r>
      <w:r>
        <w:lastRenderedPageBreak/>
        <w:t xml:space="preserve">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2"/>
      </w:r>
    </w:p>
    <w:p w14:paraId="3578A5A4" w14:textId="77777777" w:rsidR="00494B49" w:rsidRDefault="00494B49">
      <w:pPr>
        <w:pStyle w:val="BHead3"/>
      </w:pPr>
      <w:r>
        <w:t>b. Medicare Tax?</w:t>
      </w:r>
    </w:p>
    <w:p w14:paraId="70775486" w14:textId="77777777" w:rsidR="00494B49" w:rsidRDefault="00494B49">
      <w:pPr>
        <w:pStyle w:val="BNormal"/>
      </w:pPr>
      <w:r>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2CF2919E" w14:textId="77777777" w:rsidR="00494B49" w:rsidRDefault="00494B49">
      <w:pPr>
        <w:pStyle w:val="BHead4"/>
      </w:pPr>
      <w:r>
        <w:t>(1) Revenue Not Included in Medicare Trust Fund</w:t>
      </w:r>
    </w:p>
    <w:p w14:paraId="70C91477" w14:textId="77777777" w:rsidR="00494B49" w:rsidRDefault="00494B49">
      <w:pPr>
        <w:pStyle w:val="BNormal"/>
      </w:pPr>
      <w:r>
        <w:t>Although Chapter 2A of Subtitle A (Income Taxes) of the Code is titled “Unearned Income Medicare Contribution,” amounts collected under the NIIT are not designated for the Medicare Trust Fund. In 2011, the Joint Committee on Taxation stated that “[</w:t>
      </w:r>
      <w:proofErr w:type="spellStart"/>
      <w:r>
        <w:t>i</w:t>
      </w:r>
      <w:proofErr w:type="spellEnd"/>
      <w:r>
        <w:t>]n the case of an individual, estate, or trust an unearned income Medicare contribution tax is imposed. No provision is made for the transfer of the tax imposed by this provision from the General Fund of the United States Treasury to any Trust Fund.”</w:t>
      </w:r>
      <w:r>
        <w:rPr>
          <w:rStyle w:val="FootnoteReference"/>
        </w:rPr>
        <w:footnoteReference w:id="1303"/>
      </w:r>
    </w:p>
    <w:p w14:paraId="6D2310AA" w14:textId="77777777" w:rsidR="00494B49" w:rsidRDefault="00494B49">
      <w:pPr>
        <w:pStyle w:val="BNormal"/>
      </w:pPr>
      <w:r>
        <w:t xml:space="preserve">However, that was not always the case. 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4"/>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75433846" w14:textId="77777777" w:rsidR="00494B49" w:rsidRDefault="00494B49">
      <w:pPr>
        <w:pStyle w:val="BHead4"/>
      </w:pPr>
      <w:r>
        <w:t xml:space="preserve">(2) Analysis of Reading Title of Chapter 2A Into </w:t>
      </w:r>
      <w:r>
        <w:br/>
        <w:t>Statute</w:t>
      </w:r>
    </w:p>
    <w:p w14:paraId="2ED2D2A3" w14:textId="77777777" w:rsidR="00494B49" w:rsidRDefault="00494B49">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5"/>
      </w:r>
      <w:r>
        <w:t xml:space="preserve"> However, “the title of a statute or section can aid in resolving an ambiguity in the </w:t>
      </w:r>
      <w:r>
        <w:lastRenderedPageBreak/>
        <w:t>legislation’s text.”</w:t>
      </w:r>
      <w:r>
        <w:rPr>
          <w:rStyle w:val="FootnoteReference"/>
        </w:rPr>
        <w:footnoteReference w:id="1306"/>
      </w:r>
      <w:r>
        <w:t xml:space="preserve"> In the seminal case of </w:t>
      </w:r>
      <w:r>
        <w:rPr>
          <w:rStyle w:val="BCasenamefull"/>
        </w:rPr>
        <w:t>United States v. Fisher</w:t>
      </w:r>
      <w:r>
        <w:t>,</w:t>
      </w:r>
      <w:r>
        <w:rPr>
          <w:rStyle w:val="FootnoteReference"/>
        </w:rPr>
        <w:footnoteReference w:id="1307"/>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08"/>
      </w:r>
      <w:r>
        <w:t xml:space="preserve"> However, the title of an act or heading of a statute is only “a shorthand reference to the general subject matter involved … [and] not meant to take the place of the detailed provisions of the text.”</w:t>
      </w:r>
      <w:r>
        <w:rPr>
          <w:rStyle w:val="FootnoteReference"/>
        </w:rPr>
        <w:footnoteReference w:id="1309"/>
      </w:r>
      <w:r>
        <w:t xml:space="preserve"> Thus, although a title or heading may assist in construing the meaning of an ambiguous statute, it “cannot limit the plain meaning of the text.”</w:t>
      </w:r>
      <w:r>
        <w:rPr>
          <w:rStyle w:val="FootnoteReference"/>
        </w:rPr>
        <w:footnoteReference w:id="1310"/>
      </w:r>
    </w:p>
    <w:p w14:paraId="68E77EC5" w14:textId="77777777" w:rsidR="00494B49" w:rsidRDefault="00494B49">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13F73751" w14:textId="77777777" w:rsidR="00494B49" w:rsidRDefault="00494B49">
      <w:pPr>
        <w:pStyle w:val="BHead3"/>
      </w:pPr>
      <w:r>
        <w:t>c. Green Book Proposal</w:t>
      </w:r>
    </w:p>
    <w:p w14:paraId="0E11D98C" w14:textId="77777777" w:rsidR="00494B49" w:rsidRDefault="00494B49">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5DD38F66" w14:textId="77777777" w:rsidR="00494B49" w:rsidRDefault="00494B49">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1"/>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18311718" w14:textId="77777777" w:rsidR="00494B49" w:rsidRDefault="00494B49">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 xml:space="preserve">. </w:t>
      </w:r>
    </w:p>
    <w:p w14:paraId="2E4FC1CC" w14:textId="77777777" w:rsidR="00494B49" w:rsidRDefault="00494B49">
      <w:r>
        <w:br w:type="page"/>
      </w:r>
    </w:p>
    <w:p w14:paraId="44CA6CED" w14:textId="77777777" w:rsidR="00494B49" w:rsidRDefault="00494B49" w:rsidP="00F45B2B">
      <w:pPr>
        <w:pStyle w:val="BChapterName"/>
      </w:pPr>
      <w:r>
        <w:lastRenderedPageBreak/>
        <w:t>Table of Worksheets</w:t>
      </w:r>
    </w:p>
    <w:tbl>
      <w:tblPr>
        <w:tblStyle w:val="TableGrid"/>
        <w:tblW w:w="0" w:type="auto"/>
        <w:tblLook w:val="04A0" w:firstRow="1" w:lastRow="0" w:firstColumn="1" w:lastColumn="0" w:noHBand="0" w:noVBand="1"/>
      </w:tblPr>
      <w:tblGrid>
        <w:gridCol w:w="2273"/>
        <w:gridCol w:w="2304"/>
        <w:gridCol w:w="2374"/>
        <w:gridCol w:w="2399"/>
      </w:tblGrid>
      <w:tr w:rsidR="00494B49" w14:paraId="4C3372F6" w14:textId="77777777">
        <w:tc>
          <w:tcPr>
            <w:tcW w:w="2520" w:type="dxa"/>
          </w:tcPr>
          <w:p w14:paraId="24C19452" w14:textId="77777777" w:rsidR="00494B49" w:rsidRDefault="00494B49"/>
        </w:tc>
        <w:tc>
          <w:tcPr>
            <w:tcW w:w="2520" w:type="dxa"/>
          </w:tcPr>
          <w:p w14:paraId="3163C78F" w14:textId="77777777" w:rsidR="00494B49" w:rsidRDefault="00494B49">
            <w:r>
              <w:t xml:space="preserve"> B-101</w:t>
            </w:r>
          </w:p>
        </w:tc>
        <w:tc>
          <w:tcPr>
            <w:tcW w:w="2520" w:type="dxa"/>
          </w:tcPr>
          <w:p w14:paraId="5BEB9483" w14:textId="77777777" w:rsidR="00494B49" w:rsidRDefault="00494B49">
            <w:smartTag w:uri="http://www.bna.com/sgml2word/cite" w:element="cite.bna.reference">
              <w:smartTagPr>
                <w:attr w:name="bna.id.ref" w:val="TM\511\wks1"/>
              </w:smartTagPr>
              <w:r>
                <w:t>Worksheet 1</w:t>
              </w:r>
            </w:smartTag>
            <w:smartTag w:uri="http://www.bna.com/sgml2word/cite" w:element="cite.bna.reference">
              <w:smartTagPr>
                <w:attr w:name="bna.id.ref" w:val="TM\873\wks1"/>
              </w:smartTagPr>
              <w:r>
                <w:t>Worksheet 1</w:t>
              </w:r>
            </w:smartTag>
          </w:p>
        </w:tc>
        <w:tc>
          <w:tcPr>
            <w:tcW w:w="2520" w:type="dxa"/>
          </w:tcPr>
          <w:p w14:paraId="77AD3E14" w14:textId="77777777" w:rsidR="00494B49" w:rsidRDefault="00494B49">
            <w:r>
              <w:t xml:space="preserve"> Table of Federal Tax Credits Creditable Against NIIT.</w:t>
            </w:r>
          </w:p>
        </w:tc>
      </w:tr>
      <w:tr w:rsidR="00494B49" w14:paraId="7084EAFC" w14:textId="77777777">
        <w:tc>
          <w:tcPr>
            <w:tcW w:w="2520" w:type="dxa"/>
          </w:tcPr>
          <w:p w14:paraId="6CCE1E35" w14:textId="77777777" w:rsidR="00494B49" w:rsidRDefault="00494B49"/>
        </w:tc>
        <w:tc>
          <w:tcPr>
            <w:tcW w:w="2520" w:type="dxa"/>
          </w:tcPr>
          <w:p w14:paraId="3A69C519" w14:textId="77777777" w:rsidR="00494B49" w:rsidRDefault="00494B49">
            <w:r>
              <w:t xml:space="preserve"> B-201</w:t>
            </w:r>
          </w:p>
        </w:tc>
        <w:tc>
          <w:tcPr>
            <w:tcW w:w="2520" w:type="dxa"/>
          </w:tcPr>
          <w:p w14:paraId="06BB3504" w14:textId="77777777" w:rsidR="00494B49" w:rsidRDefault="00494B49">
            <w:smartTag w:uri="http://www.bna.com/sgml2word/cite" w:element="cite.bna.reference">
              <w:smartTagPr>
                <w:attr w:name="bna.id.ref" w:val="TM\511\wks2"/>
              </w:smartTagPr>
              <w:r>
                <w:t>Worksheet 2</w:t>
              </w:r>
            </w:smartTag>
            <w:smartTag w:uri="http://www.bna.com/sgml2word/cite" w:element="cite.bna.reference">
              <w:smartTagPr>
                <w:attr w:name="bna.id.ref" w:val="TM\873\wks2"/>
              </w:smartTagPr>
              <w:r>
                <w:t>Worksheet 2</w:t>
              </w:r>
            </w:smartTag>
          </w:p>
        </w:tc>
        <w:tc>
          <w:tcPr>
            <w:tcW w:w="2520" w:type="dxa"/>
          </w:tcPr>
          <w:p w14:paraId="56ED8144" w14:textId="77777777" w:rsidR="00494B49" w:rsidRDefault="00494B49">
            <w:r>
              <w:t xml:space="preserve"> Comparison of Self-Charged Rents, Self-Charged Interest, and Self-Charged Royalties.</w:t>
            </w:r>
          </w:p>
        </w:tc>
      </w:tr>
      <w:tr w:rsidR="00494B49" w14:paraId="504A6A62" w14:textId="77777777">
        <w:tc>
          <w:tcPr>
            <w:tcW w:w="2520" w:type="dxa"/>
          </w:tcPr>
          <w:p w14:paraId="3637CB38" w14:textId="77777777" w:rsidR="00494B49" w:rsidRDefault="00494B49"/>
        </w:tc>
        <w:tc>
          <w:tcPr>
            <w:tcW w:w="2520" w:type="dxa"/>
          </w:tcPr>
          <w:p w14:paraId="157BFEFC" w14:textId="77777777" w:rsidR="00494B49" w:rsidRDefault="00494B49">
            <w:r>
              <w:t xml:space="preserve"> B-301</w:t>
            </w:r>
          </w:p>
        </w:tc>
        <w:tc>
          <w:tcPr>
            <w:tcW w:w="2520" w:type="dxa"/>
          </w:tcPr>
          <w:p w14:paraId="50F1C2A4" w14:textId="77777777" w:rsidR="00494B49" w:rsidRDefault="00494B49">
            <w:smartTag w:uri="http://www.bna.com/sgml2word/cite" w:element="cite.bna.reference">
              <w:smartTagPr>
                <w:attr w:name="bna.id.ref" w:val="TM\511\wks3"/>
              </w:smartTagPr>
              <w:r>
                <w:t>Worksheet 3</w:t>
              </w:r>
            </w:smartTag>
            <w:smartTag w:uri="http://www.bna.com/sgml2word/cite" w:element="cite.bna.reference">
              <w:smartTagPr>
                <w:attr w:name="bna.id.ref" w:val="TM\873\wks3"/>
              </w:smartTagPr>
              <w:r>
                <w:t>Worksheet 3</w:t>
              </w:r>
            </w:smartTag>
          </w:p>
        </w:tc>
        <w:tc>
          <w:tcPr>
            <w:tcW w:w="2520" w:type="dxa"/>
          </w:tcPr>
          <w:p w14:paraId="65C4F726" w14:textId="77777777" w:rsidR="00494B49" w:rsidRDefault="00494B49">
            <w:r>
              <w:t xml:space="preserve"> Section 469/Section 1411 Interaction Charts.</w:t>
            </w:r>
          </w:p>
        </w:tc>
      </w:tr>
      <w:tr w:rsidR="00494B49" w14:paraId="0DB13222" w14:textId="77777777">
        <w:tc>
          <w:tcPr>
            <w:tcW w:w="2520" w:type="dxa"/>
          </w:tcPr>
          <w:p w14:paraId="51E01BED" w14:textId="77777777" w:rsidR="00494B49" w:rsidRDefault="00494B49"/>
        </w:tc>
        <w:tc>
          <w:tcPr>
            <w:tcW w:w="2520" w:type="dxa"/>
          </w:tcPr>
          <w:p w14:paraId="1D9C2346" w14:textId="77777777" w:rsidR="00494B49" w:rsidRDefault="00494B49">
            <w:r>
              <w:t xml:space="preserve"> B-401</w:t>
            </w:r>
          </w:p>
        </w:tc>
        <w:tc>
          <w:tcPr>
            <w:tcW w:w="2520" w:type="dxa"/>
          </w:tcPr>
          <w:p w14:paraId="0A01F58C" w14:textId="77777777" w:rsidR="00494B49" w:rsidRDefault="00494B49">
            <w:smartTag w:uri="http://www.bna.com/sgml2word/cite" w:element="cite.bna.reference">
              <w:smartTagPr>
                <w:attr w:name="bna.id.ref" w:val="TM\511\wks4"/>
              </w:smartTagPr>
              <w:r>
                <w:t>Worksheet 4</w:t>
              </w:r>
            </w:smartTag>
            <w:smartTag w:uri="http://www.bna.com/sgml2word/cite" w:element="cite.bna.reference">
              <w:smartTagPr>
                <w:attr w:name="bna.id.ref" w:val="TM\873\wks4"/>
              </w:smartTagPr>
              <w:r>
                <w:t>Worksheet 4</w:t>
              </w:r>
            </w:smartTag>
          </w:p>
        </w:tc>
        <w:tc>
          <w:tcPr>
            <w:tcW w:w="2520" w:type="dxa"/>
          </w:tcPr>
          <w:p w14:paraId="0835A96B" w14:textId="77777777" w:rsidR="00494B49" w:rsidRDefault="00494B49">
            <w:r>
              <w:t xml:space="preserve"> Estate and Trust Distribution Reconciliation.</w:t>
            </w:r>
          </w:p>
        </w:tc>
      </w:tr>
      <w:tr w:rsidR="00494B49" w14:paraId="3BCDBB71" w14:textId="77777777">
        <w:tc>
          <w:tcPr>
            <w:tcW w:w="2520" w:type="dxa"/>
          </w:tcPr>
          <w:p w14:paraId="61DD0808" w14:textId="77777777" w:rsidR="00494B49" w:rsidRDefault="00494B49"/>
        </w:tc>
        <w:tc>
          <w:tcPr>
            <w:tcW w:w="2520" w:type="dxa"/>
          </w:tcPr>
          <w:p w14:paraId="778A1842" w14:textId="77777777" w:rsidR="00494B49" w:rsidRDefault="00494B49">
            <w:r>
              <w:t xml:space="preserve"> B-501</w:t>
            </w:r>
          </w:p>
        </w:tc>
        <w:tc>
          <w:tcPr>
            <w:tcW w:w="2520" w:type="dxa"/>
          </w:tcPr>
          <w:p w14:paraId="07D197C3" w14:textId="77777777" w:rsidR="00494B49" w:rsidRDefault="00494B49">
            <w:smartTag w:uri="http://www.bna.com/sgml2word/cite" w:element="cite.bna.reference">
              <w:smartTagPr>
                <w:attr w:name="bna.id.ref" w:val="TM\511\wks5"/>
              </w:smartTagPr>
              <w:r>
                <w:t>Worksheet 5</w:t>
              </w:r>
            </w:smartTag>
            <w:smartTag w:uri="http://www.bna.com/sgml2word/cite" w:element="cite.bna.reference">
              <w:smartTagPr>
                <w:attr w:name="bna.id.ref" w:val="TM\873\wks5"/>
              </w:smartTagPr>
              <w:r>
                <w:t>Worksheet 5</w:t>
              </w:r>
            </w:smartTag>
          </w:p>
        </w:tc>
        <w:tc>
          <w:tcPr>
            <w:tcW w:w="2520" w:type="dxa"/>
          </w:tcPr>
          <w:p w14:paraId="0EB7CA04" w14:textId="77777777" w:rsidR="00494B49" w:rsidRDefault="00494B49">
            <w:r>
              <w:t xml:space="preserve"> Prop. Reg. §1.1411-7(g)(1) Entity Statement (Single Trade or Business — No Section 1411 Property).</w:t>
            </w:r>
          </w:p>
        </w:tc>
      </w:tr>
      <w:tr w:rsidR="00494B49" w14:paraId="55B754B7" w14:textId="77777777">
        <w:tc>
          <w:tcPr>
            <w:tcW w:w="2520" w:type="dxa"/>
          </w:tcPr>
          <w:p w14:paraId="5E9CBC89" w14:textId="77777777" w:rsidR="00494B49" w:rsidRDefault="00494B49"/>
        </w:tc>
        <w:tc>
          <w:tcPr>
            <w:tcW w:w="2520" w:type="dxa"/>
          </w:tcPr>
          <w:p w14:paraId="3DF9AF7B" w14:textId="77777777" w:rsidR="00494B49" w:rsidRDefault="00494B49">
            <w:r>
              <w:t xml:space="preserve"> B-601</w:t>
            </w:r>
          </w:p>
        </w:tc>
        <w:tc>
          <w:tcPr>
            <w:tcW w:w="2520" w:type="dxa"/>
          </w:tcPr>
          <w:p w14:paraId="2ECDE81D" w14:textId="77777777" w:rsidR="00494B49" w:rsidRDefault="00494B49">
            <w:smartTag w:uri="http://www.bna.com/sgml2word/cite" w:element="cite.bna.reference">
              <w:smartTagPr>
                <w:attr w:name="bna.id.ref" w:val="TM\511\wks6"/>
              </w:smartTagPr>
              <w:r>
                <w:t>Worksheet 6</w:t>
              </w:r>
            </w:smartTag>
            <w:smartTag w:uri="http://www.bna.com/sgml2word/cite" w:element="cite.bna.reference">
              <w:smartTagPr>
                <w:attr w:name="bna.id.ref" w:val="TM\873\wks6"/>
              </w:smartTagPr>
              <w:r>
                <w:t>Worksheet 6</w:t>
              </w:r>
            </w:smartTag>
          </w:p>
        </w:tc>
        <w:tc>
          <w:tcPr>
            <w:tcW w:w="2520" w:type="dxa"/>
          </w:tcPr>
          <w:p w14:paraId="2C4E5FA0" w14:textId="77777777" w:rsidR="00494B49" w:rsidRDefault="00494B49">
            <w:r>
              <w:t xml:space="preserve"> Sample Line 5c Statement for Tiered Entities.</w:t>
            </w:r>
          </w:p>
        </w:tc>
      </w:tr>
      <w:tr w:rsidR="00494B49" w14:paraId="21216E5F" w14:textId="77777777">
        <w:tc>
          <w:tcPr>
            <w:tcW w:w="2520" w:type="dxa"/>
          </w:tcPr>
          <w:p w14:paraId="7539D747" w14:textId="77777777" w:rsidR="00494B49" w:rsidRDefault="00494B49"/>
        </w:tc>
        <w:tc>
          <w:tcPr>
            <w:tcW w:w="2520" w:type="dxa"/>
          </w:tcPr>
          <w:p w14:paraId="4704C716" w14:textId="77777777" w:rsidR="00494B49" w:rsidRDefault="00494B49">
            <w:r>
              <w:t xml:space="preserve"> B-701</w:t>
            </w:r>
          </w:p>
        </w:tc>
        <w:tc>
          <w:tcPr>
            <w:tcW w:w="2520" w:type="dxa"/>
          </w:tcPr>
          <w:p w14:paraId="1D56806B" w14:textId="77777777" w:rsidR="00494B49" w:rsidRDefault="00494B49">
            <w:smartTag w:uri="http://www.bna.com/sgml2word/cite" w:element="cite.bna.reference">
              <w:smartTagPr>
                <w:attr w:name="bna.id.ref" w:val="TM\511\wks7"/>
              </w:smartTagPr>
              <w:r>
                <w:t>Worksheet 7</w:t>
              </w:r>
            </w:smartTag>
            <w:smartTag w:uri="http://www.bna.com/sgml2word/cite" w:element="cite.bna.reference">
              <w:smartTagPr>
                <w:attr w:name="bna.id.ref" w:val="TM\873\wks7"/>
              </w:smartTagPr>
              <w:r>
                <w:t>Worksheet 7</w:t>
              </w:r>
            </w:smartTag>
          </w:p>
        </w:tc>
        <w:tc>
          <w:tcPr>
            <w:tcW w:w="2520" w:type="dxa"/>
          </w:tcPr>
          <w:p w14:paraId="1A895227" w14:textId="77777777" w:rsidR="00494B49" w:rsidRDefault="00494B49">
            <w:r>
              <w:t xml:space="preserve"> Partnership Information Reporting for </w:t>
            </w:r>
            <w:proofErr w:type="spellStart"/>
            <w:r>
              <w:t>Installment</w:t>
            </w:r>
            <w:proofErr w:type="spellEnd"/>
            <w:r>
              <w:t xml:space="preserve"> Sales of LTP Interests.</w:t>
            </w:r>
          </w:p>
        </w:tc>
      </w:tr>
      <w:tr w:rsidR="00494B49" w14:paraId="7315A9E2" w14:textId="77777777">
        <w:tc>
          <w:tcPr>
            <w:tcW w:w="2520" w:type="dxa"/>
          </w:tcPr>
          <w:p w14:paraId="1A9401F0" w14:textId="77777777" w:rsidR="00494B49" w:rsidRDefault="00494B49"/>
        </w:tc>
        <w:tc>
          <w:tcPr>
            <w:tcW w:w="2520" w:type="dxa"/>
          </w:tcPr>
          <w:p w14:paraId="3B1B1C58" w14:textId="77777777" w:rsidR="00494B49" w:rsidRDefault="00494B49">
            <w:r>
              <w:t xml:space="preserve"> B-801</w:t>
            </w:r>
          </w:p>
        </w:tc>
        <w:tc>
          <w:tcPr>
            <w:tcW w:w="2520" w:type="dxa"/>
          </w:tcPr>
          <w:p w14:paraId="1A1B32BD" w14:textId="77777777" w:rsidR="00494B49" w:rsidRDefault="00494B49">
            <w:smartTag w:uri="http://www.bna.com/sgml2word/cite" w:element="cite.bna.reference">
              <w:smartTagPr>
                <w:attr w:name="bna.id.ref" w:val="TM\511\wks8"/>
              </w:smartTagPr>
              <w:r>
                <w:t>Worksheet 8</w:t>
              </w:r>
            </w:smartTag>
            <w:smartTag w:uri="http://www.bna.com/sgml2word/cite" w:element="cite.bna.reference">
              <w:smartTagPr>
                <w:attr w:name="bna.id.ref" w:val="TM\873\wks8"/>
              </w:smartTagPr>
              <w:r>
                <w:t>Worksheet 8</w:t>
              </w:r>
            </w:smartTag>
          </w:p>
        </w:tc>
        <w:tc>
          <w:tcPr>
            <w:tcW w:w="2520" w:type="dxa"/>
          </w:tcPr>
          <w:p w14:paraId="20763D2D" w14:textId="77777777" w:rsidR="00494B49" w:rsidRDefault="00494B49">
            <w:r>
              <w:t xml:space="preserve"> 10(g) Election — 2013 Taxable Year. </w:t>
            </w:r>
          </w:p>
        </w:tc>
      </w:tr>
      <w:tr w:rsidR="00494B49" w14:paraId="701016BD" w14:textId="77777777">
        <w:tc>
          <w:tcPr>
            <w:tcW w:w="2520" w:type="dxa"/>
          </w:tcPr>
          <w:p w14:paraId="21232855" w14:textId="77777777" w:rsidR="00494B49" w:rsidRDefault="00494B49"/>
        </w:tc>
        <w:tc>
          <w:tcPr>
            <w:tcW w:w="2520" w:type="dxa"/>
          </w:tcPr>
          <w:p w14:paraId="5CCF07A3" w14:textId="77777777" w:rsidR="00494B49" w:rsidRDefault="00494B49">
            <w:r>
              <w:t xml:space="preserve"> B-901</w:t>
            </w:r>
          </w:p>
        </w:tc>
        <w:tc>
          <w:tcPr>
            <w:tcW w:w="2520" w:type="dxa"/>
          </w:tcPr>
          <w:p w14:paraId="0D64F25A" w14:textId="77777777" w:rsidR="00494B49" w:rsidRDefault="00494B49">
            <w:smartTag w:uri="http://www.bna.com/sgml2word/cite" w:element="cite.bna.reference">
              <w:smartTagPr>
                <w:attr w:name="bna.id.ref" w:val="TM\511\wks9"/>
              </w:smartTagPr>
              <w:r>
                <w:t>Worksheet 9</w:t>
              </w:r>
            </w:smartTag>
            <w:smartTag w:uri="http://www.bna.com/sgml2word/cite" w:element="cite.bna.reference">
              <w:smartTagPr>
                <w:attr w:name="bna.id.ref" w:val="TM\873\wks9"/>
              </w:smartTagPr>
              <w:r>
                <w:t>Worksheet 9</w:t>
              </w:r>
            </w:smartTag>
          </w:p>
        </w:tc>
        <w:tc>
          <w:tcPr>
            <w:tcW w:w="2520" w:type="dxa"/>
          </w:tcPr>
          <w:p w14:paraId="74B21D04" w14:textId="77777777" w:rsidR="00494B49" w:rsidRDefault="00494B49">
            <w:r>
              <w:t xml:space="preserve"> 10(g) Election — Post-2013 Taxable Year.</w:t>
            </w:r>
          </w:p>
        </w:tc>
      </w:tr>
    </w:tbl>
    <w:p w14:paraId="34454D44" w14:textId="77777777" w:rsidR="00494B49" w:rsidRDefault="00494B49">
      <w:pPr>
        <w:pStyle w:val="BNormal"/>
      </w:pPr>
    </w:p>
    <w:p w14:paraId="61B2063D" w14:textId="77777777" w:rsidR="00494B49" w:rsidRDefault="00494B49">
      <w:pPr>
        <w:rPr>
          <w:rFonts w:ascii="Times New Roman" w:hAnsi="Times New Roman" w:cs="Times New Roman"/>
          <w:b/>
          <w:kern w:val="24"/>
          <w:sz w:val="28"/>
          <w:szCs w:val="28"/>
          <w:lang w:bidi="en-US"/>
          <w14:ligatures w14:val="none"/>
        </w:rPr>
      </w:pPr>
      <w:r>
        <w:br w:type="page"/>
      </w:r>
    </w:p>
    <w:sectPr w:rsidR="00494B49" w:rsidSect="00494B4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CFA82" w14:textId="77777777" w:rsidR="004D4741" w:rsidRDefault="004D4741" w:rsidP="00494B49">
      <w:pPr>
        <w:spacing w:after="0" w:line="240" w:lineRule="auto"/>
      </w:pPr>
      <w:r>
        <w:separator/>
      </w:r>
    </w:p>
  </w:endnote>
  <w:endnote w:type="continuationSeparator" w:id="0">
    <w:p w14:paraId="238AEC49" w14:textId="77777777" w:rsidR="004D4741" w:rsidRDefault="004D4741" w:rsidP="0049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758454032"/>
      <w:docPartObj>
        <w:docPartGallery w:val="Page Numbers (Bottom of Page)"/>
        <w:docPartUnique/>
      </w:docPartObj>
    </w:sdtPr>
    <w:sdtEndPr>
      <w:rPr>
        <w:noProof/>
      </w:rPr>
    </w:sdtEndPr>
    <w:sdtContent>
      <w:p w14:paraId="704ED0B1" w14:textId="46576275" w:rsidR="00494B49" w:rsidRPr="00494B49" w:rsidRDefault="00494B49">
        <w:pPr>
          <w:pStyle w:val="Footer"/>
          <w:jc w:val="center"/>
          <w:rPr>
            <w:rFonts w:ascii="Times New Roman" w:hAnsi="Times New Roman" w:cs="Times New Roman"/>
            <w:sz w:val="20"/>
            <w:szCs w:val="20"/>
          </w:rPr>
        </w:pPr>
        <w:r w:rsidRPr="00494B49">
          <w:rPr>
            <w:rFonts w:ascii="Times New Roman" w:hAnsi="Times New Roman" w:cs="Times New Roman"/>
            <w:sz w:val="20"/>
            <w:szCs w:val="20"/>
          </w:rPr>
          <w:fldChar w:fldCharType="begin"/>
        </w:r>
        <w:r w:rsidRPr="00494B49">
          <w:rPr>
            <w:rFonts w:ascii="Times New Roman" w:hAnsi="Times New Roman" w:cs="Times New Roman"/>
            <w:sz w:val="20"/>
            <w:szCs w:val="20"/>
          </w:rPr>
          <w:instrText xml:space="preserve"> PAGE   \* MERGEFORMAT </w:instrText>
        </w:r>
        <w:r w:rsidRPr="00494B49">
          <w:rPr>
            <w:rFonts w:ascii="Times New Roman" w:hAnsi="Times New Roman" w:cs="Times New Roman"/>
            <w:sz w:val="20"/>
            <w:szCs w:val="20"/>
          </w:rPr>
          <w:fldChar w:fldCharType="separate"/>
        </w:r>
        <w:r w:rsidRPr="00494B49">
          <w:rPr>
            <w:rFonts w:ascii="Times New Roman" w:hAnsi="Times New Roman" w:cs="Times New Roman"/>
            <w:noProof/>
            <w:sz w:val="20"/>
            <w:szCs w:val="20"/>
          </w:rPr>
          <w:t>2</w:t>
        </w:r>
        <w:r w:rsidRPr="00494B49">
          <w:rPr>
            <w:rFonts w:ascii="Times New Roman" w:hAnsi="Times New Roman" w:cs="Times New Roman"/>
            <w:noProof/>
            <w:sz w:val="20"/>
            <w:szCs w:val="20"/>
          </w:rPr>
          <w:fldChar w:fldCharType="end"/>
        </w:r>
      </w:p>
    </w:sdtContent>
  </w:sdt>
  <w:p w14:paraId="5E8F8C4E" w14:textId="77777777" w:rsidR="00494B49" w:rsidRDefault="0049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54E02" w14:textId="77777777" w:rsidR="004D4741" w:rsidRDefault="004D4741" w:rsidP="00494B49">
      <w:pPr>
        <w:spacing w:after="0" w:line="240" w:lineRule="auto"/>
      </w:pPr>
      <w:r>
        <w:separator/>
      </w:r>
    </w:p>
  </w:footnote>
  <w:footnote w:type="continuationSeparator" w:id="0">
    <w:p w14:paraId="485A679C" w14:textId="77777777" w:rsidR="004D4741" w:rsidRDefault="004D4741" w:rsidP="00494B49">
      <w:pPr>
        <w:spacing w:after="0" w:line="240" w:lineRule="auto"/>
      </w:pPr>
      <w:r>
        <w:continuationSeparator/>
      </w:r>
    </w:p>
  </w:footnote>
  <w:footnote w:id="1">
    <w:p w14:paraId="11E79F8E"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2">
    <w:p w14:paraId="7DE0BD29" w14:textId="77777777" w:rsidR="00494B49" w:rsidRDefault="00494B49">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3">
    <w:p w14:paraId="31C5BF0A" w14:textId="77777777" w:rsidR="00494B49" w:rsidRDefault="00494B49">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4">
    <w:p w14:paraId="0A3EA0E7" w14:textId="77777777" w:rsidR="00494B49" w:rsidRDefault="00494B49">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5">
    <w:p w14:paraId="1FAF6F39"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6">
    <w:p w14:paraId="284AA51E" w14:textId="77777777" w:rsidR="00494B49" w:rsidRDefault="00494B49">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7">
    <w:p w14:paraId="52AD2758" w14:textId="77777777" w:rsidR="00494B49" w:rsidRDefault="00494B49">
      <w:pPr>
        <w:pStyle w:val="FootnoteText"/>
      </w:pPr>
      <w:r>
        <w:rPr>
          <w:rStyle w:val="FootnoteReference"/>
        </w:rPr>
        <w:footnoteRef/>
      </w:r>
      <w:r>
        <w:t xml:space="preserve">The Joint Committee on Taxation (JCT) stated that “[i]n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8">
    <w:p w14:paraId="57CB44B1" w14:textId="77777777" w:rsidR="00494B49" w:rsidRDefault="00494B49">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9">
    <w:p w14:paraId="2C171F75" w14:textId="77777777" w:rsidR="00494B49" w:rsidRDefault="00494B49">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0">
    <w:p w14:paraId="0E1E873A" w14:textId="77777777" w:rsidR="00494B49" w:rsidRDefault="00494B49">
      <w:pPr>
        <w:pStyle w:val="FootnoteText"/>
      </w:pPr>
      <w:r>
        <w:rPr>
          <w:rStyle w:val="FootnoteReference"/>
        </w:rPr>
        <w:footnoteRef/>
      </w:r>
      <w:r>
        <w:t xml:space="preserve">Staff of the Joint Comm. on 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1">
    <w:p w14:paraId="443666A1" w14:textId="77777777" w:rsidR="00494B49" w:rsidRDefault="00494B49">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2">
    <w:p w14:paraId="760C0EEB"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3">
    <w:p w14:paraId="47A544CF" w14:textId="77777777" w:rsidR="00494B49" w:rsidRDefault="00494B49">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4">
    <w:p w14:paraId="2A4D815B"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5">
    <w:p w14:paraId="7A6856D3"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r>
        <w:t>, below.</w:t>
      </w:r>
    </w:p>
  </w:footnote>
  <w:footnote w:id="16">
    <w:p w14:paraId="0FD7C388"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w:t>
      </w:r>
    </w:p>
  </w:footnote>
  <w:footnote w:id="17">
    <w:p w14:paraId="6374FB04"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below.</w:t>
      </w:r>
    </w:p>
  </w:footnote>
  <w:footnote w:id="18">
    <w:p w14:paraId="19CEB4A7"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19">
    <w:p w14:paraId="29F5293C"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0">
    <w:p w14:paraId="3D3BAFF9"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1">
    <w:p w14:paraId="35DAC0BE" w14:textId="77777777" w:rsidR="00494B49" w:rsidRDefault="00494B49">
      <w:pPr>
        <w:pStyle w:val="FootnoteText"/>
      </w:pPr>
      <w:r>
        <w:rPr>
          <w:rStyle w:val="FootnoteReference"/>
        </w:rPr>
        <w:footnoteRef/>
      </w:r>
      <w:smartTag w:uri="http://www.bna.com/sgml2word/cite" w:element="cite.usc">
        <w:smartTagPr>
          <w:attr w:name="ref" w:val="USC\26\1411(c)(2)(A)"/>
        </w:smartTagPr>
        <w:r>
          <w:t>§1411(c)(2)(A)</w:t>
        </w:r>
      </w:smartTag>
      <w:r>
        <w:t>.</w:t>
      </w:r>
    </w:p>
  </w:footnote>
  <w:footnote w:id="22">
    <w:p w14:paraId="24211856"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w:t>
      </w:r>
    </w:p>
  </w:footnote>
  <w:footnote w:id="23">
    <w:p w14:paraId="24AF5085"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4">
    <w:p w14:paraId="74B0B769"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25">
    <w:p w14:paraId="3A7920B8"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6">
    <w:p w14:paraId="53E90A22"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7">
    <w:p w14:paraId="2E36ABA5"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8">
    <w:p w14:paraId="0263A4FF" w14:textId="77777777" w:rsidR="00494B49" w:rsidRDefault="00494B49">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29">
    <w:p w14:paraId="43BD8C20" w14:textId="77777777" w:rsidR="00494B49" w:rsidRDefault="00494B49">
      <w:pPr>
        <w:pStyle w:val="FootnoteText"/>
      </w:pPr>
      <w:r>
        <w:rPr>
          <w:rStyle w:val="FootnoteReference"/>
        </w:rPr>
        <w:footnoteRef/>
      </w:r>
      <w:r>
        <w:t>The posting has since been removed from https://www.whitehouse.gov.</w:t>
      </w:r>
    </w:p>
  </w:footnote>
  <w:footnote w:id="30">
    <w:p w14:paraId="59B57806" w14:textId="77777777" w:rsidR="00494B49" w:rsidRDefault="00494B49">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1">
    <w:p w14:paraId="21CA6B34" w14:textId="77777777" w:rsidR="00494B49" w:rsidRDefault="00494B49">
      <w:pPr>
        <w:pStyle w:val="FootnoteText"/>
      </w:pPr>
      <w:r>
        <w:rPr>
          <w:rStyle w:val="FootnoteReference"/>
        </w:rPr>
        <w:footnoteRef/>
      </w:r>
      <w:r>
        <w:t xml:space="preserve">Jt. Comm. on 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2">
    <w:p w14:paraId="6D7F6861" w14:textId="77777777" w:rsidR="00494B49" w:rsidRDefault="00494B49">
      <w:pPr>
        <w:pStyle w:val="FootnoteText"/>
      </w:pPr>
      <w:r>
        <w:rPr>
          <w:rStyle w:val="FootnoteReference"/>
        </w:rPr>
        <w:footnoteRef/>
      </w:r>
      <w:r>
        <w:t xml:space="preserve">JCX-17-10 is officially titled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3">
    <w:p w14:paraId="4BD43DCF" w14:textId="77777777" w:rsidR="00494B49" w:rsidRDefault="00494B49">
      <w:pPr>
        <w:pStyle w:val="FootnoteText"/>
      </w:pPr>
      <w:r>
        <w:rPr>
          <w:rStyle w:val="FootnoteReference"/>
        </w:rPr>
        <w:footnoteRef/>
      </w:r>
      <w:r>
        <w:t xml:space="preserve">CRS Report, </w:t>
      </w:r>
      <w:r>
        <w:rPr>
          <w:i/>
        </w:rPr>
        <w:t>The 3.8% Medicare Contribution Tax on Unearned Income, Including Real Estate Transactions</w:t>
      </w:r>
      <w:r>
        <w:t xml:space="preserve"> (Sept. 15, 2010 and Oct. 7, 2010), available on the Bloomberg Law: Tax website.</w:t>
      </w:r>
    </w:p>
  </w:footnote>
  <w:footnote w:id="34">
    <w:p w14:paraId="28540F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5">
    <w:p w14:paraId="3BEA6C1D" w14:textId="77777777" w:rsidR="00494B49" w:rsidRDefault="00494B49">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6">
    <w:p w14:paraId="2B426F93" w14:textId="77777777" w:rsidR="00494B49" w:rsidRDefault="00494B49">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7">
    <w:p w14:paraId="2EBF287B"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8">
    <w:p w14:paraId="7680B47F"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39">
    <w:p w14:paraId="429966B8" w14:textId="77777777" w:rsidR="00494B49" w:rsidRDefault="00494B49">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0">
    <w:p w14:paraId="120680FB"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1">
    <w:p w14:paraId="1E8ED26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2">
    <w:p w14:paraId="6829D21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276DAA0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footnote>
  <w:footnote w:id="44">
    <w:p w14:paraId="35218B9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r>
        <w:t>, below.</w:t>
      </w:r>
    </w:p>
  </w:footnote>
  <w:footnote w:id="45">
    <w:p w14:paraId="62F4012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46">
    <w:p w14:paraId="45DD404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below.</w:t>
      </w:r>
    </w:p>
  </w:footnote>
  <w:footnote w:id="47">
    <w:p w14:paraId="53F8FC4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III.E.2.</w:t>
        </w:r>
      </w:smartTag>
      <w:r>
        <w:t>, below.</w:t>
      </w:r>
    </w:p>
  </w:footnote>
  <w:footnote w:id="48">
    <w:p w14:paraId="11F3FB8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III.E.1.</w:t>
        </w:r>
      </w:smartTag>
      <w:r>
        <w:t>, below.</w:t>
      </w:r>
    </w:p>
  </w:footnote>
  <w:footnote w:id="49">
    <w:p w14:paraId="58043C0F"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0">
    <w:p w14:paraId="3580EE21" w14:textId="77777777" w:rsidR="00494B49" w:rsidRDefault="00494B49">
      <w:pPr>
        <w:pStyle w:val="FootnoteText"/>
      </w:pPr>
      <w:r>
        <w:rPr>
          <w:rStyle w:val="FootnoteReference"/>
        </w:rPr>
        <w:footnoteRef/>
      </w:r>
      <w:hyperlink r:id="rId1" w:history="1">
        <w:r>
          <w:rPr>
            <w:rStyle w:val="Hyperlink"/>
            <w:i/>
          </w:rPr>
          <w:t>Questions and Answers on the Net Investment Income Tax</w:t>
        </w:r>
      </w:hyperlink>
      <w:r>
        <w:t>.</w:t>
      </w:r>
    </w:p>
  </w:footnote>
  <w:footnote w:id="51">
    <w:p w14:paraId="2E3C4A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2">
    <w:p w14:paraId="59FB0513"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3">
    <w:p w14:paraId="0DFE7DFA"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4">
    <w:p w14:paraId="77338BA6" w14:textId="77777777" w:rsidR="00494B49" w:rsidRDefault="00494B49">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5">
    <w:p w14:paraId="0F81697A" w14:textId="77777777" w:rsidR="00494B49" w:rsidRDefault="00494B49">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6">
    <w:p w14:paraId="72B81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7">
    <w:p w14:paraId="1C7E8768" w14:textId="77777777" w:rsidR="00494B49" w:rsidRDefault="00494B49">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8">
    <w:p w14:paraId="3D1D5442" w14:textId="77777777" w:rsidR="00494B49" w:rsidRDefault="00494B49">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59">
    <w:p w14:paraId="293639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0">
    <w:p w14:paraId="204E6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1">
    <w:p w14:paraId="7BF970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2">
    <w:p w14:paraId="2B6CA69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3">
    <w:p w14:paraId="023F6E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4">
    <w:p w14:paraId="5672C2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5">
    <w:p w14:paraId="0B9EDE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6">
    <w:p w14:paraId="68D2D92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7">
    <w:p w14:paraId="7BE0F8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8">
    <w:p w14:paraId="00ACBF4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69">
    <w:p w14:paraId="7E31B55D" w14:textId="77777777" w:rsidR="00494B49" w:rsidRDefault="00494B49">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0">
    <w:p w14:paraId="5407BD0D" w14:textId="77777777" w:rsidR="00494B49" w:rsidRDefault="00494B49">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1">
    <w:p w14:paraId="47EC824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2">
    <w:p w14:paraId="574F90F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w:t>
      </w:r>
      <w:smartTag w:uri="http://www.bna.com/sgml2word/cite" w:element="cite.agency.doc">
        <w:smartTagPr>
          <w:attr w:name="ref" w:val="IRS\RevProc\2024-3"/>
        </w:smartTagPr>
        <w:r>
          <w:t>Rev. Proc. 2024-3</w:t>
        </w:r>
      </w:smartTag>
      <w:r>
        <w:t>, §3.01(35).</w:t>
      </w:r>
    </w:p>
  </w:footnote>
  <w:footnote w:id="73">
    <w:p w14:paraId="227A7C5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4">
    <w:p w14:paraId="500149E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5">
    <w:p w14:paraId="5C7C3DF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§1.1411-5(b)(1)(i)</w:t>
        </w:r>
      </w:smartTag>
      <w:r>
        <w:t xml:space="preserve">. </w:t>
      </w:r>
    </w:p>
  </w:footnote>
  <w:footnote w:id="76">
    <w:p w14:paraId="2562F96A"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77">
    <w:p w14:paraId="61071D90"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8">
    <w:p w14:paraId="69061725" w14:textId="77777777" w:rsidR="00494B49" w:rsidRDefault="00494B49">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79">
    <w:p w14:paraId="29B2CD9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0">
    <w:p w14:paraId="4B8704C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1">
    <w:p w14:paraId="15D04DF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w:t>
      </w:r>
    </w:p>
  </w:footnote>
  <w:footnote w:id="82">
    <w:p w14:paraId="734B011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3">
    <w:p w14:paraId="1F76012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4">
    <w:p w14:paraId="0D175D1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5">
    <w:p w14:paraId="545ACAA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6">
    <w:p w14:paraId="3A1CD1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7">
    <w:p w14:paraId="7E9E89E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8">
    <w:p w14:paraId="231DFBD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89">
    <w:p w14:paraId="5052A6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 xml:space="preserve">. </w:t>
      </w:r>
    </w:p>
  </w:footnote>
  <w:footnote w:id="90">
    <w:p w14:paraId="0DC82042" w14:textId="77777777" w:rsidR="00494B49" w:rsidRDefault="00494B49">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1">
    <w:p w14:paraId="518A4A55" w14:textId="77777777" w:rsidR="00494B49" w:rsidRDefault="00494B49">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2">
    <w:p w14:paraId="41528E39" w14:textId="77777777" w:rsidR="00494B49" w:rsidRDefault="00494B49">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3">
    <w:p w14:paraId="1726F767" w14:textId="77777777" w:rsidR="00494B49" w:rsidRDefault="00494B49">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4">
    <w:p w14:paraId="4CEDE3F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5">
    <w:p w14:paraId="5D4F4163" w14:textId="77777777" w:rsidR="00494B49" w:rsidRDefault="00494B49">
      <w:pPr>
        <w:pStyle w:val="FootnoteText"/>
      </w:pPr>
      <w:r>
        <w:rPr>
          <w:rStyle w:val="FootnoteReference"/>
        </w:rPr>
        <w:footnoteRef/>
      </w:r>
      <w:r>
        <w:t xml:space="preserve">The individual would materially participate if the taxpayer participates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6">
    <w:p w14:paraId="448C57D2" w14:textId="77777777" w:rsidR="00494B49" w:rsidRDefault="00494B49">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§1.469-1(f)(4)(i)(B)</w:t>
        </w:r>
      </w:smartTag>
      <w:r>
        <w:t>.</w:t>
      </w:r>
    </w:p>
  </w:footnote>
  <w:footnote w:id="97">
    <w:p w14:paraId="5711D97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i)(C)"/>
        </w:smartTagPr>
        <w:r>
          <w:t>§1.469-1T(f)(2)(i)(C)</w:t>
        </w:r>
      </w:smartTag>
      <w:r>
        <w:t xml:space="preserve">. </w:t>
      </w:r>
    </w:p>
  </w:footnote>
  <w:footnote w:id="98">
    <w:p w14:paraId="62D1BE8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§1.469-1T(f)(2)(i)(A)</w:t>
        </w:r>
      </w:smartTag>
      <w:r>
        <w:t>.</w:t>
      </w:r>
    </w:p>
  </w:footnote>
  <w:footnote w:id="99">
    <w:p w14:paraId="2387B96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0">
    <w:p w14:paraId="28E1901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1">
    <w:p w14:paraId="7062C2F6"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2">
    <w:p w14:paraId="17DE3F1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3">
    <w:p w14:paraId="44265800" w14:textId="77777777" w:rsidR="00494B49" w:rsidRDefault="00494B49">
      <w:pPr>
        <w:pStyle w:val="FootnoteText"/>
      </w:pPr>
      <w:r>
        <w:rPr>
          <w:rStyle w:val="FootnoteReference"/>
        </w:rPr>
        <w:footnoteRef/>
      </w:r>
      <w:r>
        <w:t>2010-4 I.R.B. 329.</w:t>
      </w:r>
    </w:p>
  </w:footnote>
  <w:footnote w:id="104">
    <w:p w14:paraId="0E0AD643"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5">
    <w:p w14:paraId="50CA8F2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6">
    <w:p w14:paraId="05E2713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7">
    <w:p w14:paraId="5B1EC8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8">
    <w:p w14:paraId="4708C2F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09">
    <w:p w14:paraId="362D888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0">
    <w:p w14:paraId="0BDB7F5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7EB19781" w14:textId="77777777" w:rsidR="00494B49" w:rsidRDefault="00494B49">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2">
    <w:p w14:paraId="7E0E1AB5"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3">
    <w:p w14:paraId="7E2392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4">
    <w:p w14:paraId="35C5B433"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take into account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5">
    <w:p w14:paraId="7C9EDDDE"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6">
    <w:p w14:paraId="75B2899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7">
    <w:p w14:paraId="5D54DD63" w14:textId="77777777" w:rsidR="00494B49" w:rsidRDefault="00494B49">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8">
    <w:p w14:paraId="1BBE0B17"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19">
    <w:p w14:paraId="64BC28F3" w14:textId="77777777" w:rsidR="00494B49" w:rsidRDefault="00494B49">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0">
    <w:p w14:paraId="217BE9F1" w14:textId="77777777" w:rsidR="00494B49" w:rsidRDefault="00494B49">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1">
    <w:p w14:paraId="29CA791A" w14:textId="77777777" w:rsidR="00494B49" w:rsidRDefault="00494B49">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2">
    <w:p w14:paraId="579496E9" w14:textId="77777777" w:rsidR="00494B49" w:rsidRDefault="00494B49">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3">
    <w:p w14:paraId="7A6E58E2" w14:textId="77777777" w:rsidR="00494B49" w:rsidRDefault="00494B49">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4">
    <w:p w14:paraId="7654DA0C" w14:textId="77777777" w:rsidR="00494B49" w:rsidRDefault="00494B49">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5">
    <w:p w14:paraId="303DF99E" w14:textId="77777777" w:rsidR="00494B49" w:rsidRDefault="00494B49">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6">
    <w:p w14:paraId="549DF498" w14:textId="77777777" w:rsidR="00494B49" w:rsidRDefault="00494B49">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7">
    <w:p w14:paraId="4ABD4F06" w14:textId="77777777" w:rsidR="00494B49" w:rsidRDefault="00494B49">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8">
    <w:p w14:paraId="5B8D70EB" w14:textId="77777777" w:rsidR="00494B49" w:rsidRDefault="00494B49">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w:t>
      </w:r>
    </w:p>
  </w:footnote>
  <w:footnote w:id="129">
    <w:p w14:paraId="5C31DC1C"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0">
    <w:p w14:paraId="7FD5F7DC" w14:textId="77777777" w:rsidR="00494B49" w:rsidRDefault="00494B49">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1">
    <w:p w14:paraId="4E929D0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2">
    <w:p w14:paraId="699EAA72" w14:textId="77777777" w:rsidR="00494B49" w:rsidRDefault="00494B49">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w:t>
      </w:r>
    </w:p>
  </w:footnote>
  <w:footnote w:id="133">
    <w:p w14:paraId="06FDCB4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4">
    <w:p w14:paraId="516B4F6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
        </w:smartTagPr>
        <w:r>
          <w:t>§1.469-1T(e)(6)(i)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5">
    <w:p w14:paraId="1CD23D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6">
    <w:p w14:paraId="48A0303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7">
    <w:p w14:paraId="446718CE"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38">
    <w:p w14:paraId="422F7AB7"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139">
    <w:p w14:paraId="32839D31"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0">
    <w:p w14:paraId="7E322B0D"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1">
    <w:p w14:paraId="65AA9226" w14:textId="77777777" w:rsidR="00494B49" w:rsidRDefault="00494B49">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2">
    <w:p w14:paraId="5BB5A288"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43">
    <w:p w14:paraId="6229165E" w14:textId="77777777" w:rsidR="00494B49" w:rsidRDefault="00494B49">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4">
    <w:p w14:paraId="5D4C019E" w14:textId="77777777" w:rsidR="00494B49" w:rsidRDefault="00494B49">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5">
    <w:p w14:paraId="47E6F2B3" w14:textId="77777777" w:rsidR="00494B49" w:rsidRDefault="00494B49">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6">
    <w:p w14:paraId="01F990E0"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7">
    <w:p w14:paraId="5E379E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
        </w:smartTagPr>
        <w:r>
          <w:t>§1.1411-4(a)(1)(i)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footnote>
  <w:footnote w:id="148">
    <w:p w14:paraId="16CECFE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49">
    <w:p w14:paraId="170BA4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t>
      </w:r>
    </w:p>
  </w:footnote>
  <w:footnote w:id="150">
    <w:p w14:paraId="34BAF6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1">
    <w:p w14:paraId="0397BC7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§1.1411-4(d)(4)(i)</w:t>
        </w:r>
      </w:smartTag>
      <w:r>
        <w:t xml:space="preserve">. </w:t>
      </w:r>
    </w:p>
  </w:footnote>
  <w:footnote w:id="152">
    <w:p w14:paraId="6F2545D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3">
    <w:p w14:paraId="03F44C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
        </w:smartTagPr>
        <w:r>
          <w:t>§1.1411-4(b)(2)(i)</w:t>
        </w:r>
      </w:smartTag>
      <w:r>
        <w:t>.</w:t>
      </w:r>
    </w:p>
  </w:footnote>
  <w:footnote w:id="154">
    <w:p w14:paraId="4E1662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5">
    <w:p w14:paraId="4BD0385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6">
    <w:p w14:paraId="0E0DDEB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7">
    <w:p w14:paraId="4524B63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8">
    <w:p w14:paraId="2C6E4E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59">
    <w:p w14:paraId="1ECF99CE" w14:textId="77777777" w:rsidR="00494B49" w:rsidRDefault="00494B49">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0">
    <w:p w14:paraId="1D4C31F4" w14:textId="77777777" w:rsidR="00494B49" w:rsidRDefault="00494B49">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1">
    <w:p w14:paraId="0F252760" w14:textId="77777777" w:rsidR="00494B49" w:rsidRDefault="00494B49">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2">
    <w:p w14:paraId="1F64372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3">
    <w:p w14:paraId="62A4FCF4" w14:textId="77777777" w:rsidR="00494B49" w:rsidRDefault="00494B49">
      <w:pPr>
        <w:pStyle w:val="FootnoteText"/>
      </w:pPr>
      <w:r>
        <w:rPr>
          <w:rStyle w:val="FootnoteReference"/>
        </w:rPr>
        <w:footnoteRef/>
      </w:r>
      <w:r>
        <w:t>S. Rep. No. 99-313, at 729.</w:t>
      </w:r>
    </w:p>
  </w:footnote>
  <w:footnote w:id="164">
    <w:p w14:paraId="6E890D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5">
    <w:p w14:paraId="1AD436C9" w14:textId="77777777" w:rsidR="00494B49" w:rsidRDefault="00494B49">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6">
    <w:p w14:paraId="5A4674FD" w14:textId="77777777" w:rsidR="00494B49" w:rsidRDefault="00494B49">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7">
    <w:p w14:paraId="5C03020C" w14:textId="77777777" w:rsidR="00494B49" w:rsidRDefault="00494B49">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8">
    <w:p w14:paraId="7A727506" w14:textId="77777777" w:rsidR="00494B49" w:rsidRDefault="00494B49">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69">
    <w:p w14:paraId="14007240" w14:textId="77777777" w:rsidR="00494B49" w:rsidRDefault="00494B49">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0">
    <w:p w14:paraId="702BB985" w14:textId="77777777" w:rsidR="00494B49" w:rsidRDefault="00494B49">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1">
    <w:p w14:paraId="58790CF7" w14:textId="77777777" w:rsidR="00494B49" w:rsidRDefault="00494B49">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2">
    <w:p w14:paraId="36F33E11" w14:textId="77777777" w:rsidR="00494B49" w:rsidRDefault="00494B49">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3">
    <w:p w14:paraId="2CA0DFF4" w14:textId="77777777" w:rsidR="00494B49" w:rsidRDefault="00494B49">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4">
    <w:p w14:paraId="32BC5BF3"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xml:space="preserve">, below. </w:t>
      </w:r>
    </w:p>
  </w:footnote>
  <w:footnote w:id="175">
    <w:p w14:paraId="7F20379D"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176">
    <w:p w14:paraId="12028709" w14:textId="77777777" w:rsidR="00494B49" w:rsidRDefault="00494B49">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7">
    <w:p w14:paraId="060327A2" w14:textId="77777777" w:rsidR="00494B49" w:rsidRDefault="00494B49">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8">
    <w:p w14:paraId="421430A4" w14:textId="77777777" w:rsidR="00494B49" w:rsidRDefault="00494B49">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79">
    <w:p w14:paraId="1B9AE5A9" w14:textId="77777777" w:rsidR="00494B49" w:rsidRDefault="00494B49">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0">
    <w:p w14:paraId="20695552" w14:textId="77777777" w:rsidR="00494B49" w:rsidRDefault="00494B49">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1">
    <w:p w14:paraId="03FAE4D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2">
    <w:p w14:paraId="4B2A9CFE" w14:textId="77777777" w:rsidR="00494B49" w:rsidRDefault="00494B49">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3">
    <w:p w14:paraId="3CD5AAA5" w14:textId="77777777" w:rsidR="00494B49" w:rsidRDefault="00494B49">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4">
    <w:p w14:paraId="6C0044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5">
    <w:p w14:paraId="615B28A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6">
    <w:p w14:paraId="0134A9C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7">
    <w:p w14:paraId="5C62EA59" w14:textId="77777777" w:rsidR="00494B49" w:rsidRDefault="00494B49">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8">
    <w:p w14:paraId="59C5401C" w14:textId="77777777" w:rsidR="00494B49" w:rsidRDefault="00494B49">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89">
    <w:p w14:paraId="7F394710" w14:textId="77777777" w:rsidR="00494B49" w:rsidRDefault="00494B49">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0">
    <w:p w14:paraId="5368294C" w14:textId="77777777" w:rsidR="00494B49" w:rsidRDefault="00494B49">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1">
    <w:p w14:paraId="5E0525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2">
    <w:p w14:paraId="067A6248" w14:textId="77777777" w:rsidR="00494B49" w:rsidRDefault="00494B49">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3">
    <w:p w14:paraId="20190BCC" w14:textId="77777777" w:rsidR="00494B49" w:rsidRDefault="00494B49">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4">
    <w:p w14:paraId="7BE647F4" w14:textId="77777777" w:rsidR="00494B49" w:rsidRDefault="00494B49">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5">
    <w:p w14:paraId="4C635A5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6">
    <w:p w14:paraId="1A8DC1C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7">
    <w:p w14:paraId="4B50BB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8">
    <w:p w14:paraId="7336ECA7"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199">
    <w:p w14:paraId="1D21AE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0">
    <w:p w14:paraId="303E3937" w14:textId="77777777" w:rsidR="00494B49" w:rsidRDefault="00494B49">
      <w:pPr>
        <w:pStyle w:val="FootnoteText"/>
      </w:pPr>
      <w:r>
        <w:rPr>
          <w:rStyle w:val="FootnoteReference"/>
        </w:rPr>
        <w:footnoteRef/>
      </w:r>
      <w:r>
        <w:t>Conf. Rep. at pp. II-145-47; 1986 Bluebook at 234.</w:t>
      </w:r>
    </w:p>
  </w:footnote>
  <w:footnote w:id="201">
    <w:p w14:paraId="5E25C028" w14:textId="77777777" w:rsidR="00494B49" w:rsidRDefault="00494B49">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2">
    <w:p w14:paraId="69499BD1" w14:textId="77777777" w:rsidR="00494B49" w:rsidRDefault="00494B49">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3">
    <w:p w14:paraId="47EB803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4">
    <w:p w14:paraId="30A3596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5">
    <w:p w14:paraId="05AAD6C9" w14:textId="77777777" w:rsidR="00494B49" w:rsidRDefault="00494B49">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Lessin v. 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6">
    <w:p w14:paraId="05FEA03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further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7">
    <w:p w14:paraId="1455CE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8">
    <w:p w14:paraId="3AE5A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
        </w:smartTagPr>
        <w:r>
          <w:t>§1.1411-1(d)(3)(i)</w:t>
        </w:r>
      </w:smartTag>
      <w:r>
        <w:t>.</w:t>
      </w:r>
    </w:p>
  </w:footnote>
  <w:footnote w:id="209">
    <w:p w14:paraId="165010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0">
    <w:p w14:paraId="189C0AE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1">
    <w:p w14:paraId="3559E0E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2">
    <w:p w14:paraId="5416F51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3">
    <w:p w14:paraId="0FC512A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4">
    <w:p w14:paraId="166A4DD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10(c)(1)(i)(A)(2)"/>
        </w:smartTagPr>
        <w:r>
          <w:t>§1.1411-10(c)(1)(i)(A)(2)</w:t>
        </w:r>
      </w:smartTag>
      <w:r>
        <w:t xml:space="preserve"> and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below, for a detailed discussion of these rules. </w:t>
      </w:r>
    </w:p>
  </w:footnote>
  <w:footnote w:id="215">
    <w:p w14:paraId="07390687" w14:textId="77777777" w:rsidR="00494B49" w:rsidRDefault="00494B49">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6">
    <w:p w14:paraId="31BC1F38" w14:textId="77777777" w:rsidR="00494B49" w:rsidRDefault="00494B49">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7">
    <w:p w14:paraId="19066756" w14:textId="77777777" w:rsidR="00494B49" w:rsidRDefault="00494B49">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8">
    <w:p w14:paraId="25B7065E" w14:textId="77777777" w:rsidR="00494B49" w:rsidRDefault="00494B49">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19">
    <w:p w14:paraId="797BF97F" w14:textId="77777777" w:rsidR="00494B49" w:rsidRDefault="00494B49">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0">
    <w:p w14:paraId="241F6391" w14:textId="77777777" w:rsidR="00494B49" w:rsidRDefault="00494B49">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1">
    <w:p w14:paraId="633B70D7" w14:textId="77777777" w:rsidR="00494B49" w:rsidRDefault="00494B49">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2">
    <w:p w14:paraId="7A64C6A9" w14:textId="77777777" w:rsidR="00494B49" w:rsidRDefault="00494B49">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3">
    <w:p w14:paraId="07264A71" w14:textId="77777777" w:rsidR="00494B49" w:rsidRDefault="00494B49">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4">
    <w:p w14:paraId="63028D11" w14:textId="77777777" w:rsidR="00494B49" w:rsidRDefault="00494B49">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5">
    <w:p w14:paraId="73EAB1F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6">
    <w:p w14:paraId="0DBA6D69"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w:t>
      </w:r>
    </w:p>
  </w:footnote>
  <w:footnote w:id="227">
    <w:p w14:paraId="440401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8">
    <w:p w14:paraId="68B799D9" w14:textId="77777777" w:rsidR="00494B49" w:rsidRDefault="00494B49">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29">
    <w:p w14:paraId="6695FF35" w14:textId="77777777" w:rsidR="00494B49" w:rsidRDefault="00494B49">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0">
    <w:p w14:paraId="236C8B3E" w14:textId="77777777" w:rsidR="00494B49" w:rsidRDefault="00494B49">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1">
    <w:p w14:paraId="16268E16" w14:textId="77777777" w:rsidR="00494B49" w:rsidRDefault="00494B49">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2">
    <w:p w14:paraId="60259D2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3">
    <w:p w14:paraId="1E0C00F3" w14:textId="77777777" w:rsidR="00494B49" w:rsidRDefault="00494B49">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4">
    <w:p w14:paraId="4D8D1AD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5">
    <w:p w14:paraId="394B2BD4" w14:textId="77777777" w:rsidR="00494B49" w:rsidRDefault="00494B49">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6">
    <w:p w14:paraId="13DD44A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7">
    <w:p w14:paraId="2AA06077"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below.</w:t>
      </w:r>
    </w:p>
  </w:footnote>
  <w:footnote w:id="238">
    <w:p w14:paraId="65A170D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39">
    <w:p w14:paraId="7D740B53" w14:textId="77777777" w:rsidR="00494B49" w:rsidRDefault="00494B49">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0">
    <w:p w14:paraId="67E37A11"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1">
    <w:p w14:paraId="1CCED564"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2">
    <w:p w14:paraId="45DD106E"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3">
    <w:p w14:paraId="4CCC2127"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4">
    <w:p w14:paraId="4E20C32A" w14:textId="77777777" w:rsidR="00494B49" w:rsidRDefault="00494B49">
      <w:pPr>
        <w:pStyle w:val="FootnoteText"/>
      </w:pPr>
      <w:r>
        <w:rPr>
          <w:rStyle w:val="FootnoteReference"/>
        </w:rPr>
        <w:footnoteRef/>
      </w:r>
      <w:r>
        <w:rPr>
          <w:i/>
        </w:rPr>
        <w:t>See</w:t>
      </w:r>
      <w:r>
        <w:t xml:space="preserve"> </w:t>
      </w:r>
      <w:r>
        <w:rPr>
          <w:rStyle w:val="BCasenamefull"/>
        </w:rPr>
        <w:t>Estate of 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5">
    <w:p w14:paraId="59EBEE9C" w14:textId="77777777" w:rsidR="00494B49" w:rsidRDefault="00494B49">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6">
    <w:p w14:paraId="4B2DB40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7">
    <w:p w14:paraId="33607D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17AF4B98" w14:textId="77777777" w:rsidR="00494B49" w:rsidRDefault="00494B49">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49">
    <w:p w14:paraId="3AF3BFB0" w14:textId="77777777" w:rsidR="00494B49" w:rsidRDefault="00494B49">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amount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0">
    <w:p w14:paraId="340DA8FE"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1">
    <w:p w14:paraId="0B18DA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2">
    <w:p w14:paraId="5391FC4C" w14:textId="77777777" w:rsidR="00494B49" w:rsidRDefault="00494B49">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3">
    <w:p w14:paraId="2288D48A" w14:textId="77777777" w:rsidR="00494B49" w:rsidRDefault="00494B49">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4">
    <w:p w14:paraId="764E7F4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5">
    <w:p w14:paraId="3C76D6FC"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6">
    <w:p w14:paraId="362260E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7">
    <w:p w14:paraId="5FED6D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
        </w:smartTagPr>
        <w:r>
          <w:t>§1.469-2T(c)(3)(iii)(B)(2)(i)</w:t>
        </w:r>
      </w:smartTag>
      <w:r>
        <w:t>.</w:t>
      </w:r>
    </w:p>
  </w:footnote>
  <w:footnote w:id="258">
    <w:p w14:paraId="327E00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59">
    <w:p w14:paraId="26E68B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758400D3"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1">
    <w:p w14:paraId="64209ABB" w14:textId="77777777" w:rsidR="00494B49" w:rsidRDefault="00494B49">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2">
    <w:p w14:paraId="51DCF058" w14:textId="77777777" w:rsidR="00494B49" w:rsidRDefault="00494B49">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3">
    <w:p w14:paraId="23FD35D7" w14:textId="77777777" w:rsidR="00494B49" w:rsidRDefault="00494B49">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4">
    <w:p w14:paraId="440732BA" w14:textId="77777777" w:rsidR="00494B49" w:rsidRDefault="00494B49">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(“[A]ll parts of a statute, if at all possible, are to be given effect.”).</w:t>
      </w:r>
    </w:p>
  </w:footnote>
  <w:footnote w:id="265">
    <w:p w14:paraId="6331D732" w14:textId="77777777" w:rsidR="00494B49" w:rsidRDefault="00494B49">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6">
    <w:p w14:paraId="0A1979E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7">
    <w:p w14:paraId="0E66332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01C4A39B" w14:textId="77777777" w:rsidR="00494B49" w:rsidRDefault="00494B49">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69">
    <w:p w14:paraId="6FC51546" w14:textId="77777777" w:rsidR="00494B49" w:rsidRDefault="00494B49">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0">
    <w:p w14:paraId="76CDFF76" w14:textId="77777777" w:rsidR="00494B49" w:rsidRDefault="00494B49">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§1411</w:t>
        </w:r>
      </w:smartTag>
      <w:r>
        <w:t>:The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1">
    <w:p w14:paraId="57CE4B53" w14:textId="77777777" w:rsidR="00494B49" w:rsidRDefault="00494B49">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2">
    <w:p w14:paraId="202C99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3">
    <w:p w14:paraId="6A19ECB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4">
    <w:p w14:paraId="7F9B1D9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5">
    <w:p w14:paraId="7CCB266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6">
    <w:p w14:paraId="188C799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(i) created such property, or (ii) performed substantial services or incurred substantial costs with respect to the development or marketing of such property. </w:t>
      </w:r>
    </w:p>
  </w:footnote>
  <w:footnote w:id="277">
    <w:p w14:paraId="602220D3" w14:textId="77777777" w:rsidR="00494B49" w:rsidRDefault="00494B49">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8">
    <w:p w14:paraId="18521F9D" w14:textId="77777777" w:rsidR="00494B49" w:rsidRDefault="00494B49">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NESE — none of which specifically excludes royalties.</w:t>
      </w:r>
    </w:p>
  </w:footnote>
  <w:footnote w:id="279">
    <w:p w14:paraId="21937F29" w14:textId="77777777" w:rsidR="00494B49" w:rsidRDefault="00494B49">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0">
    <w:p w14:paraId="3282196B" w14:textId="77777777" w:rsidR="00494B49" w:rsidRDefault="00494B49">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1">
    <w:p w14:paraId="4415E953" w14:textId="77777777" w:rsidR="00494B49" w:rsidRDefault="00494B49">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2">
    <w:p w14:paraId="17A4EB9F" w14:textId="77777777" w:rsidR="00494B49" w:rsidRDefault="00494B49">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3">
    <w:p w14:paraId="2CEFFDC4"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4">
    <w:p w14:paraId="0DE71B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5">
    <w:p w14:paraId="760C3D6F" w14:textId="77777777" w:rsidR="00494B49" w:rsidRDefault="00494B49">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6">
    <w:p w14:paraId="4E9DC276" w14:textId="77777777" w:rsidR="00494B49" w:rsidRDefault="00494B49">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7">
    <w:p w14:paraId="1539FB84" w14:textId="77777777" w:rsidR="00494B49" w:rsidRDefault="00494B49">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8">
    <w:p w14:paraId="6C72B7D7" w14:textId="77777777" w:rsidR="00494B49" w:rsidRDefault="00494B49">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89">
    <w:p w14:paraId="0803987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0">
    <w:p w14:paraId="0CFD9DC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1">
    <w:p w14:paraId="789973E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A)"/>
        </w:smartTagPr>
        <w:r>
          <w:t>§1.469-1T(e)(3)(i)(A)</w:t>
        </w:r>
      </w:smartTag>
      <w:r>
        <w:t>.</w:t>
      </w:r>
    </w:p>
  </w:footnote>
  <w:footnote w:id="292">
    <w:p w14:paraId="3200B57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293">
    <w:p w14:paraId="603D9D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4">
    <w:p w14:paraId="36CB1FE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5">
    <w:p w14:paraId="2992B0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6">
    <w:p w14:paraId="7B8881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7">
    <w:p w14:paraId="3EE759C7" w14:textId="77777777" w:rsidR="00494B49" w:rsidRDefault="00494B49">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8">
    <w:p w14:paraId="4C6C00D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299">
    <w:p w14:paraId="6668C7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0">
    <w:p w14:paraId="5CBBE301" w14:textId="77777777" w:rsidR="00494B49" w:rsidRDefault="00494B49">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1">
    <w:p w14:paraId="2F00907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2">
    <w:p w14:paraId="43B28BFB" w14:textId="77777777" w:rsidR="00494B49" w:rsidRDefault="00494B49">
      <w:pPr>
        <w:pStyle w:val="FootnoteText"/>
      </w:pPr>
      <w:r>
        <w:rPr>
          <w:rStyle w:val="FootnoteReference"/>
        </w:rPr>
        <w:footnoteRef/>
      </w:r>
      <w:r>
        <w:t xml:space="preserve">In fact, because the 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3">
    <w:p w14:paraId="33B0EDD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4">
    <w:p w14:paraId="25A1C3F3"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5">
    <w:p w14:paraId="49E70F8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6">
    <w:p w14:paraId="404A939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7">
    <w:p w14:paraId="080DE06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8">
    <w:p w14:paraId="1765A3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2)(i)(A)"/>
        </w:smartTagPr>
        <w:r>
          <w:t>§1.469-2T(c)(2)(i)(A)</w:t>
        </w:r>
      </w:smartTag>
      <w:r>
        <w:t xml:space="preserve">. </w:t>
      </w:r>
    </w:p>
  </w:footnote>
  <w:footnote w:id="309">
    <w:p w14:paraId="31481DFF" w14:textId="77777777" w:rsidR="00494B49" w:rsidRDefault="00494B49">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0">
    <w:p w14:paraId="36B39548" w14:textId="77777777" w:rsidR="00494B49" w:rsidRDefault="00494B49">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1">
    <w:p w14:paraId="2272B63D" w14:textId="77777777" w:rsidR="00494B49" w:rsidRDefault="00494B49">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2">
    <w:p w14:paraId="25C5F5CA" w14:textId="77777777" w:rsidR="00494B49" w:rsidRDefault="00494B49">
      <w:pPr>
        <w:pStyle w:val="FootnoteText"/>
      </w:pPr>
      <w:r>
        <w:rPr>
          <w:rStyle w:val="FootnoteReference"/>
        </w:rPr>
        <w:footnoteRef/>
      </w:r>
      <w:smartTag w:uri="http://www.bna.com/sgml2word/cite" w:element="cite.usc">
        <w:smartTagPr>
          <w:attr w:name="ref" w:val="USC\26\469(c)(7)(B)(i)"/>
        </w:smartTagPr>
        <w:r>
          <w:t>§469(c)(7)(B)(i)</w:t>
        </w:r>
      </w:smartTag>
      <w:r>
        <w:t xml:space="preserve">. </w:t>
      </w:r>
    </w:p>
  </w:footnote>
  <w:footnote w:id="313">
    <w:p w14:paraId="3672FFA1" w14:textId="77777777" w:rsidR="00494B49" w:rsidRDefault="00494B49">
      <w:pPr>
        <w:pStyle w:val="FootnoteText"/>
      </w:pPr>
      <w:r>
        <w:rPr>
          <w:rStyle w:val="FootnoteReference"/>
        </w:rPr>
        <w:footnoteRef/>
      </w:r>
      <w:smartTag w:uri="http://www.bna.com/sgml2word/cite" w:element="cite.usc">
        <w:smartTagPr>
          <w:attr w:name="ref" w:val="USC\26\469(c)(7)(B)(ii)"/>
        </w:smartTagPr>
        <w:r>
          <w:t>§469(c)(7)(B)(ii)</w:t>
        </w:r>
      </w:smartTag>
      <w:r>
        <w:t>.</w:t>
      </w:r>
    </w:p>
  </w:footnote>
  <w:footnote w:id="314">
    <w:p w14:paraId="74C594A2" w14:textId="77777777" w:rsidR="00494B49" w:rsidRDefault="00494B49">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5">
    <w:p w14:paraId="5AE4003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6">
    <w:p w14:paraId="77E81CA8" w14:textId="77777777" w:rsidR="00494B49" w:rsidRDefault="00494B49">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7">
    <w:p w14:paraId="1EA056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8">
    <w:p w14:paraId="0821C968"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19">
    <w:p w14:paraId="13385AC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0">
    <w:p w14:paraId="73FF160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1">
    <w:p w14:paraId="1BFDCC70" w14:textId="77777777" w:rsidR="00494B49" w:rsidRDefault="00494B49">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2">
    <w:p w14:paraId="7298A4C0" w14:textId="77777777" w:rsidR="00494B49" w:rsidRDefault="00494B49">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(taking into account all other persons involved in the activity) to establish material participation.</w:t>
      </w:r>
    </w:p>
  </w:footnote>
  <w:footnote w:id="323">
    <w:p w14:paraId="64F53F3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4">
    <w:p w14:paraId="2F8685A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25">
    <w:p w14:paraId="56C166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6">
    <w:p w14:paraId="547B98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7">
    <w:p w14:paraId="24A03494" w14:textId="77777777" w:rsidR="00494B49" w:rsidRDefault="00494B49">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§1.469-4(d)(1)(i)(A)</w:t>
        </w:r>
      </w:smartTag>
      <w:r>
        <w:t xml:space="preserve"> and </w:t>
      </w:r>
      <w:smartTag w:uri="http://www.bna.com/sgml2word/cite" w:element="cite.cfr">
        <w:smartTagPr>
          <w:attr w:name="ref" w:val="cfr\26\1.469-4(d)(1)(i)(C)"/>
        </w:smartTagPr>
        <w:r>
          <w:t>§1.469-4(d)(1)(i)(C)</w:t>
        </w:r>
      </w:smartTag>
      <w:r>
        <w:t>.</w:t>
      </w:r>
    </w:p>
  </w:footnote>
  <w:footnote w:id="328">
    <w:p w14:paraId="310DCD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9">
    <w:p w14:paraId="797F9F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30">
    <w:p w14:paraId="302035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1">
    <w:p w14:paraId="5EA51AF9" w14:textId="77777777" w:rsidR="00494B49" w:rsidRDefault="00494B49">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2">
    <w:p w14:paraId="7F08A68F"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3">
    <w:p w14:paraId="09EAAF91" w14:textId="77777777" w:rsidR="00494B49" w:rsidRDefault="00494B49">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4">
    <w:p w14:paraId="0B5E0BA5" w14:textId="77777777" w:rsidR="00494B49" w:rsidRDefault="00494B49">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5">
    <w:p w14:paraId="31F174BC" w14:textId="77777777" w:rsidR="00494B49" w:rsidRDefault="00494B49">
      <w:pPr>
        <w:pStyle w:val="FootnoteText"/>
      </w:pPr>
      <w:r>
        <w:rPr>
          <w:rStyle w:val="FootnoteReference"/>
        </w:rPr>
        <w:footnoteRef/>
      </w:r>
      <w:r>
        <w:t xml:space="preserve">In the dairy farm context, these are usually called share-milking arrangements. The discussion in this part refers to share-cropping but applies equally to share-milking. </w:t>
      </w:r>
    </w:p>
  </w:footnote>
  <w:footnote w:id="336">
    <w:p w14:paraId="17182831" w14:textId="77777777" w:rsidR="00494B49" w:rsidRDefault="00494B49">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nondepreciable property (such as farm land),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7">
    <w:p w14:paraId="14CA95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8">
    <w:p w14:paraId="3ADFB833" w14:textId="77777777" w:rsidR="00494B49" w:rsidRDefault="00494B49">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39">
    <w:p w14:paraId="33AA4103" w14:textId="77777777" w:rsidR="00494B49" w:rsidRDefault="00494B49">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0">
    <w:p w14:paraId="258CEAA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1">
    <w:p w14:paraId="2A13DFD7" w14:textId="77777777" w:rsidR="00494B49" w:rsidRDefault="00494B49">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nondepreciable land) does not apply because it is not a rental activity. </w:t>
      </w:r>
    </w:p>
  </w:footnote>
  <w:footnote w:id="342">
    <w:p w14:paraId="577F11A6" w14:textId="77777777" w:rsidR="00494B49" w:rsidRDefault="00494B49">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5-of-10 year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5-of-10 year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3">
    <w:p w14:paraId="40D4DF4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4">
    <w:p w14:paraId="418675B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5">
    <w:p w14:paraId="5E5DEB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6">
    <w:p w14:paraId="541CC20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7">
    <w:p w14:paraId="6E4C91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8">
    <w:p w14:paraId="0A69AD16" w14:textId="77777777" w:rsidR="00494B49" w:rsidRDefault="00494B49">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49">
    <w:p w14:paraId="1321DAB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0">
    <w:p w14:paraId="14D08164"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351">
    <w:p w14:paraId="1E0083D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2">
    <w:p w14:paraId="14CD9C08" w14:textId="77777777" w:rsidR="00494B49" w:rsidRDefault="00494B49">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3">
    <w:p w14:paraId="2EE78DBD" w14:textId="77777777" w:rsidR="00494B49" w:rsidRDefault="00494B49">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4">
    <w:p w14:paraId="0435534C" w14:textId="77777777" w:rsidR="00494B49" w:rsidRDefault="00494B49">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5">
    <w:p w14:paraId="0CC9309A"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6">
    <w:p w14:paraId="1D5A3AF2" w14:textId="77777777" w:rsidR="00494B49" w:rsidRDefault="00494B49">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§1.469-2T(c)(3)(i)</w:t>
        </w:r>
      </w:smartTag>
      <w:r>
        <w:t xml:space="preserve">, which addresses portfolio income. </w:t>
      </w:r>
    </w:p>
  </w:footnote>
  <w:footnote w:id="357">
    <w:p w14:paraId="299415D4" w14:textId="77777777" w:rsidR="00494B49" w:rsidRDefault="00494B49">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§1411(c)(1)(A)(i)</w:t>
        </w:r>
      </w:smartTag>
      <w:r>
        <w:t xml:space="preserve">. </w:t>
      </w:r>
    </w:p>
  </w:footnote>
  <w:footnote w:id="358">
    <w:p w14:paraId="31163D88" w14:textId="77777777" w:rsidR="00494B49" w:rsidRDefault="00494B49">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59">
    <w:p w14:paraId="3D436A3D"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0">
    <w:p w14:paraId="5E4F8C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III.D.4.</w:t>
        </w:r>
      </w:smartTag>
      <w:r>
        <w:t>, below.</w:t>
      </w:r>
    </w:p>
  </w:footnote>
  <w:footnote w:id="361">
    <w:p w14:paraId="2CC2DC9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2">
    <w:p w14:paraId="4A9579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3)(i)"/>
        </w:smartTagPr>
        <w:r>
          <w:t>§1.1411-4(d)(3)(i)</w:t>
        </w:r>
      </w:smartTag>
      <w:r>
        <w:t>.</w:t>
      </w:r>
    </w:p>
  </w:footnote>
  <w:footnote w:id="363">
    <w:p w14:paraId="6351CC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364">
    <w:p w14:paraId="5424EFD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5">
    <w:p w14:paraId="28120EC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6">
    <w:p w14:paraId="57CCE16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7">
    <w:p w14:paraId="69F0C7DF"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8">
    <w:p w14:paraId="5530957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69">
    <w:p w14:paraId="43E306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0">
    <w:p w14:paraId="777076D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1">
    <w:p w14:paraId="308BDA11"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2">
    <w:p w14:paraId="00398E6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3">
    <w:p w14:paraId="3B19B3A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4">
    <w:p w14:paraId="640EEA0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5">
    <w:p w14:paraId="2B34481D" w14:textId="77777777" w:rsidR="00494B49" w:rsidRDefault="00494B49">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6">
    <w:p w14:paraId="0FBF3DE8" w14:textId="77777777" w:rsidR="00494B49" w:rsidRDefault="00494B49">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7">
    <w:p w14:paraId="36B697B1"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8">
    <w:p w14:paraId="15E633C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79">
    <w:p w14:paraId="3B5DF26D" w14:textId="77777777" w:rsidR="00494B49" w:rsidRDefault="00494B49">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0">
    <w:p w14:paraId="1E2A06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1">
    <w:p w14:paraId="4D55CF6F" w14:textId="77777777" w:rsidR="00494B49" w:rsidRDefault="00494B49">
      <w:pPr>
        <w:pStyle w:val="FootnoteText"/>
      </w:pPr>
      <w:r>
        <w:rPr>
          <w:rStyle w:val="FootnoteReference"/>
        </w:rPr>
        <w:footnoteRef/>
      </w:r>
      <w:r>
        <w:rPr>
          <w:i/>
        </w:rPr>
        <w:t>See id.</w:t>
      </w:r>
    </w:p>
  </w:footnote>
  <w:footnote w:id="382">
    <w:p w14:paraId="7003A0E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3">
    <w:p w14:paraId="564188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4">
    <w:p w14:paraId="2B1E7FA0" w14:textId="77777777" w:rsidR="00494B49" w:rsidRDefault="00494B49">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taken into account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5">
    <w:p w14:paraId="4C12F0E5"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6">
    <w:p w14:paraId="0DB05DE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
        </w:smartTagPr>
        <w:r>
          <w:t>§1.1411-4(d)(4)(i)(B)</w:t>
        </w:r>
      </w:smartTag>
      <w:r>
        <w:t>.</w:t>
      </w:r>
    </w:p>
  </w:footnote>
  <w:footnote w:id="387">
    <w:p w14:paraId="420E4EA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8">
    <w:p w14:paraId="39ECA60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89">
    <w:p w14:paraId="46A92A76" w14:textId="77777777" w:rsidR="00494B49" w:rsidRDefault="00494B49">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taken into account under </w:t>
      </w:r>
      <w:smartTag w:uri="http://www.bna.com/sgml2word/cite" w:element="cite.usc">
        <w:smartTagPr>
          <w:attr w:name="ref" w:val="USC\26\1411(c)(1)(A)(iii)"/>
        </w:smartTagPr>
        <w:r>
          <w:t>§1411(c)(1)(A)(iii)</w:t>
        </w:r>
      </w:smartTag>
      <w:r>
        <w:t xml:space="preserve"> in determining net investment income. </w:t>
      </w:r>
    </w:p>
  </w:footnote>
  <w:footnote w:id="390">
    <w:p w14:paraId="62CED04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1">
    <w:p w14:paraId="331809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2">
    <w:p w14:paraId="3C3EF1E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3">
    <w:p w14:paraId="55D2C8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4">
    <w:p w14:paraId="1254E0C7"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§1411(c)(1)(A)(i)</w:t>
        </w:r>
      </w:smartTag>
      <w:r>
        <w:t xml:space="preserve"> royalty income. </w:t>
      </w:r>
    </w:p>
  </w:footnote>
  <w:footnote w:id="395">
    <w:p w14:paraId="5D3FE1A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6">
    <w:p w14:paraId="76C06F59" w14:textId="77777777" w:rsidR="00494B49" w:rsidRDefault="00494B49">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7">
    <w:p w14:paraId="4F7CA590" w14:textId="77777777" w:rsidR="00494B49" w:rsidRDefault="00494B49">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8">
    <w:p w14:paraId="7BE86571" w14:textId="77777777" w:rsidR="00494B49" w:rsidRDefault="00494B49">
      <w:pPr>
        <w:pStyle w:val="FootnoteText"/>
      </w:pPr>
      <w:r>
        <w:rPr>
          <w:rStyle w:val="FootnoteReference"/>
        </w:rPr>
        <w:footnoteRef/>
      </w:r>
      <w:r>
        <w:t xml:space="preserve">One question that arose after the 2013 Final Regulations ( </w:t>
      </w:r>
      <w:smartTag w:uri="http://www.bna.com/sgml2word/cite" w:element="cite.agency.doc">
        <w:smartTagPr>
          <w:attr w:name="ref" w:val="IRS\PREAMBLE\TD9644"/>
        </w:smartTagPr>
        <w:r>
          <w:t>T.D. 9644</w:t>
        </w:r>
      </w:smartTag>
      <w:r>
        <w:t xml:space="preserve">) were released was whether the broad reference in Reg. </w:t>
      </w:r>
      <w:smartTag w:uri="http://www.bna.com/sgml2word/cite" w:element="cite.cfr">
        <w:smartTagPr>
          <w:attr w:name="ref" w:val="cfr\26\1.1411-4(f)(4)(i)"/>
        </w:smartTagPr>
        <w:r>
          <w:t>§1.1411-4(f)(4)(i)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399">
    <w:p w14:paraId="1D88A1FB" w14:textId="77777777" w:rsidR="00494B49" w:rsidRDefault="00494B49">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0">
    <w:p w14:paraId="1DBACC7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1">
    <w:p w14:paraId="2242A023" w14:textId="77777777" w:rsidR="00494B49" w:rsidRDefault="00494B49">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taking into account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2">
    <w:p w14:paraId="71062D50" w14:textId="77777777" w:rsidR="00494B49" w:rsidRDefault="00494B49">
      <w:pPr>
        <w:pStyle w:val="FootnoteText"/>
      </w:pPr>
      <w:r>
        <w:rPr>
          <w:rStyle w:val="FootnoteReference"/>
        </w:rPr>
        <w:footnoteRef/>
      </w:r>
      <w:r>
        <w:t>Note that the text of the Example in the regulations refers to “T” here and not “B,” which is in error.</w:t>
      </w:r>
    </w:p>
  </w:footnote>
  <w:footnote w:id="403">
    <w:p w14:paraId="15054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404">
    <w:p w14:paraId="0627BE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2)"/>
        </w:smartTagPr>
        <w:r>
          <w:t>§1.1411-4(d)(4)(i)(B)(2)</w:t>
        </w:r>
      </w:smartTag>
      <w:r>
        <w:t xml:space="preserve">. </w:t>
      </w:r>
    </w:p>
  </w:footnote>
  <w:footnote w:id="405">
    <w:p w14:paraId="3DCE47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3)"/>
        </w:smartTagPr>
        <w:r>
          <w:t>§1.1411-4(d)(4)(i)(B)(3)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6">
    <w:p w14:paraId="2DAB6B48" w14:textId="77777777" w:rsidR="00494B49" w:rsidRDefault="00494B49">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7">
    <w:p w14:paraId="243F6480" w14:textId="77777777" w:rsidR="00494B49" w:rsidRDefault="00494B49">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8">
    <w:p w14:paraId="2EFF56F2" w14:textId="77777777" w:rsidR="00494B49" w:rsidRDefault="00494B49">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09">
    <w:p w14:paraId="14B75097" w14:textId="77777777" w:rsidR="00494B49" w:rsidRDefault="00494B49">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0">
    <w:p w14:paraId="579B800E" w14:textId="77777777" w:rsidR="00494B49" w:rsidRDefault="00494B49">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De 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1">
    <w:p w14:paraId="038C72B4" w14:textId="77777777" w:rsidR="00494B49" w:rsidRDefault="00494B49">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2">
    <w:p w14:paraId="3E1920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3">
    <w:p w14:paraId="64F3844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4">
    <w:p w14:paraId="6D26B19E" w14:textId="77777777" w:rsidR="00494B49" w:rsidRDefault="00494B49">
      <w:pPr>
        <w:pStyle w:val="FootnoteText"/>
      </w:pPr>
      <w:r>
        <w:rPr>
          <w:rStyle w:val="FootnoteReference"/>
        </w:rPr>
        <w:footnoteRef/>
      </w:r>
      <w:smartTag w:uri="http://www.bna.com/sgml2word/cite" w:element="cite.usc">
        <w:smartTagPr>
          <w:attr w:name="ref" w:val="USC\26\1221(a)(2)"/>
        </w:smartTagPr>
        <w:r>
          <w:t>§1221(a)(2)</w:t>
        </w:r>
      </w:smartTag>
      <w:r>
        <w:t>.</w:t>
      </w:r>
    </w:p>
  </w:footnote>
  <w:footnote w:id="415">
    <w:p w14:paraId="0078F715" w14:textId="77777777" w:rsidR="00494B49" w:rsidRDefault="00494B49">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6">
    <w:p w14:paraId="3BAB9DB2" w14:textId="77777777" w:rsidR="00494B49" w:rsidRDefault="00494B49">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7">
    <w:p w14:paraId="41CD90EE" w14:textId="77777777" w:rsidR="00494B49" w:rsidRDefault="00494B49">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8">
    <w:p w14:paraId="063DC28C"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19">
    <w:p w14:paraId="0A5D1E4C" w14:textId="77777777" w:rsidR="00494B49" w:rsidRDefault="00494B49">
      <w:pPr>
        <w:pStyle w:val="FootnoteText"/>
      </w:pPr>
      <w:r>
        <w:rPr>
          <w:rStyle w:val="FootnoteReference"/>
        </w:rPr>
        <w:footnoteRef/>
      </w:r>
      <w:smartTag w:uri="http://www.bna.com/sgml2word/cite" w:element="cite.parallel">
        <w:smartTagPr>
          <w:attr w:name="ref" w:val="TC\15\534"/>
        </w:smartTagPr>
        <w:r>
          <w:t>15 T.C. 534</w:t>
        </w:r>
      </w:smartTag>
      <w:r>
        <w:t xml:space="preserve"> (1950), acq., 1951-1 C.B. 1.</w:t>
      </w:r>
    </w:p>
  </w:footnote>
  <w:footnote w:id="420">
    <w:p w14:paraId="31600E3F"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1">
    <w:p w14:paraId="4D0F490C" w14:textId="77777777" w:rsidR="00494B49" w:rsidRDefault="00494B49">
      <w:pPr>
        <w:pStyle w:val="FootnoteText"/>
      </w:pPr>
      <w:r>
        <w:rPr>
          <w:rStyle w:val="FootnoteReference"/>
        </w:rPr>
        <w:footnoteRef/>
      </w:r>
      <w:smartTag w:uri="http://www.bna.com/sgml2word/cite" w:element="cite.parallel">
        <w:smartTagPr>
          <w:attr w:name="ref" w:val="TC\8\394"/>
        </w:smartTagPr>
        <w:r>
          <w:t>8 T.C. 394</w:t>
        </w:r>
      </w:smartTag>
      <w:r>
        <w:t xml:space="preserve"> (1947), acq., 1947-1 C.B. 4.</w:t>
      </w:r>
    </w:p>
  </w:footnote>
  <w:footnote w:id="422">
    <w:p w14:paraId="5E723A1C" w14:textId="77777777" w:rsidR="00494B49" w:rsidRDefault="00494B49">
      <w:pPr>
        <w:pStyle w:val="FootnoteText"/>
      </w:pPr>
      <w:r>
        <w:rPr>
          <w:rStyle w:val="FootnoteReference"/>
        </w:rPr>
        <w:footnoteRef/>
      </w:r>
      <w:smartTag w:uri="http://www.bna.com/sgml2word/cite" w:element="cite.parallel">
        <w:smartTagPr>
          <w:attr w:name="ref" w:val="TC\20\630"/>
        </w:smartTagPr>
        <w:r>
          <w:t>20 T.C. 630</w:t>
        </w:r>
      </w:smartTag>
      <w:r>
        <w:t xml:space="preserve"> (1953), acq., 1954-1 C.B. 6.</w:t>
      </w:r>
    </w:p>
  </w:footnote>
  <w:footnote w:id="423">
    <w:p w14:paraId="5F2C1B76" w14:textId="77777777" w:rsidR="00494B49" w:rsidRDefault="00494B49">
      <w:pPr>
        <w:pStyle w:val="FootnoteText"/>
      </w:pPr>
      <w:r>
        <w:rPr>
          <w:rStyle w:val="FootnoteReference"/>
        </w:rPr>
        <w:footnoteRef/>
      </w:r>
      <w:smartTag w:uri="http://www.bna.com/sgml2word/cite" w:element="cite.usc">
        <w:smartTagPr>
          <w:attr w:name="ref" w:val="USC\26\469(e)(1)(A)(i)"/>
        </w:smartTagPr>
        <w:r>
          <w:t>Section 469(e)(1)(A)(i)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4">
    <w:p w14:paraId="3A266F2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C)"/>
        </w:smartTagPr>
        <w:r>
          <w:t>§1.469-2T(c)(3)(i)(C)</w:t>
        </w:r>
      </w:smartTag>
      <w:r>
        <w:t xml:space="preserve">. </w:t>
      </w:r>
    </w:p>
  </w:footnote>
  <w:footnote w:id="425">
    <w:p w14:paraId="6F8343F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w:t>
      </w:r>
    </w:p>
  </w:footnote>
  <w:footnote w:id="426">
    <w:p w14:paraId="19D282C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7">
    <w:p w14:paraId="3BEF69C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8">
    <w:p w14:paraId="6AB8CEB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 xml:space="preserve">. </w:t>
      </w:r>
    </w:p>
  </w:footnote>
  <w:footnote w:id="429">
    <w:p w14:paraId="4EDEB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
        </w:smartTagPr>
        <w:r>
          <w:t>§1.469-2(f)(10)(i)</w:t>
        </w:r>
      </w:smartTag>
      <w:r>
        <w:t xml:space="preserve">. </w:t>
      </w:r>
    </w:p>
  </w:footnote>
  <w:footnote w:id="430">
    <w:p w14:paraId="50D539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1">
    <w:p w14:paraId="1F1255ED" w14:textId="77777777" w:rsidR="00494B49" w:rsidRDefault="00494B49">
      <w:pPr>
        <w:pStyle w:val="FootnoteText"/>
      </w:pPr>
      <w:r>
        <w:rPr>
          <w:rStyle w:val="FootnoteReference"/>
        </w:rPr>
        <w:footnoteRef/>
      </w:r>
      <w:r>
        <w:t>For purposes of this rule, property is substantially appreciated if its fair market value is more than 120% of its adjusted basis.</w:t>
      </w:r>
    </w:p>
  </w:footnote>
  <w:footnote w:id="432">
    <w:p w14:paraId="1D7721C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3">
    <w:p w14:paraId="7E58212A" w14:textId="77777777" w:rsidR="00494B49" w:rsidRDefault="00494B49">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4">
    <w:p w14:paraId="15FD3FD9"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A)"/>
        </w:smartTagPr>
        <w:r>
          <w:t>§1402(i)(2)(A)</w:t>
        </w:r>
      </w:smartTag>
      <w:r>
        <w:t>. The term “options dealer” means any person registered with an appropriate national securities exchange as a market maker or specialist in listed options.</w:t>
      </w:r>
    </w:p>
  </w:footnote>
  <w:footnote w:id="435">
    <w:p w14:paraId="2F87176A"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B)"/>
        </w:smartTagPr>
        <w:r>
          <w:t>§1402(i)(2)(B)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6">
    <w:p w14:paraId="6C99FE18" w14:textId="77777777" w:rsidR="00494B49" w:rsidRDefault="00494B49">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 </w:t>
      </w:r>
    </w:p>
  </w:footnote>
  <w:footnote w:id="437">
    <w:p w14:paraId="6AB5CE9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8">
    <w:p w14:paraId="5BC331AC"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39">
    <w:p w14:paraId="6A5583E0"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0">
    <w:p w14:paraId="6DB113E5"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1">
    <w:p w14:paraId="3D552B22" w14:textId="77777777" w:rsidR="00494B49" w:rsidRDefault="00494B49">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2">
    <w:p w14:paraId="07648368" w14:textId="77777777" w:rsidR="00494B49" w:rsidRDefault="00494B49">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recomputation of income that is commonly required with the AMT. </w:t>
      </w:r>
    </w:p>
  </w:footnote>
  <w:footnote w:id="443">
    <w:p w14:paraId="3611EE45" w14:textId="77777777" w:rsidR="00494B49" w:rsidRDefault="00494B49">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4">
    <w:p w14:paraId="68EE9D7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5">
    <w:p w14:paraId="251BB440"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§1.1411-4(a)(1)(i)</w:t>
        </w:r>
      </w:smartTag>
      <w:r>
        <w:t xml:space="preserve">] or net gain described [Reg. </w:t>
      </w:r>
      <w:smartTag w:uri="http://www.bna.com/sgml2word/cite" w:element="cite.cfr">
        <w:smartTagPr>
          <w:attr w:name="ref" w:val="cfr\26\1.1411-4(a)(1)(iii)"/>
        </w:smartTagPr>
        <w:r>
          <w:t>§1.1411-4(a)(1)(iii)</w:t>
        </w:r>
      </w:smartTag>
      <w:r>
        <w:t>.]”).</w:t>
      </w:r>
    </w:p>
  </w:footnote>
  <w:footnote w:id="446">
    <w:p w14:paraId="32DEC2C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7">
    <w:p w14:paraId="26E4449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8">
    <w:p w14:paraId="1E27E99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49">
    <w:p w14:paraId="7C39EB9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550F417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454E5A3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69E741A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3">
    <w:p w14:paraId="67CF59F2" w14:textId="77777777" w:rsidR="00494B49" w:rsidRDefault="00494B49">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4">
    <w:p w14:paraId="18BA796D" w14:textId="77777777" w:rsidR="00494B49" w:rsidRDefault="00494B49">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5">
    <w:p w14:paraId="44D0FC46" w14:textId="77777777" w:rsidR="00494B49" w:rsidRDefault="00494B49">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6">
    <w:p w14:paraId="206AF3AE" w14:textId="77777777" w:rsidR="00494B49" w:rsidRDefault="00494B49">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7">
    <w:p w14:paraId="4213236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A)"/>
        </w:smartTagPr>
        <w:r>
          <w:t>§1.469-2T(c)(3)(i)(A)</w:t>
        </w:r>
      </w:smartTag>
      <w:r>
        <w:t xml:space="preserve"> does not, however, differentiate between a regular interest and residual interest. </w:t>
      </w:r>
    </w:p>
  </w:footnote>
  <w:footnote w:id="458">
    <w:p w14:paraId="7342851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59">
    <w:p w14:paraId="59F9305A" w14:textId="77777777" w:rsidR="00494B49" w:rsidRDefault="00494B49">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0">
    <w:p w14:paraId="47C0DAEA" w14:textId="77777777" w:rsidR="00494B49" w:rsidRDefault="00494B49">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1">
    <w:p w14:paraId="4C9B2444" w14:textId="77777777" w:rsidR="00494B49" w:rsidRDefault="00494B49">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2">
    <w:p w14:paraId="76CB15B3" w14:textId="77777777" w:rsidR="00494B49" w:rsidRDefault="00494B49">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3">
    <w:p w14:paraId="680C5B6D"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4">
    <w:p w14:paraId="3D1C57EA"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5">
    <w:p w14:paraId="03657464" w14:textId="77777777" w:rsidR="00494B49" w:rsidRDefault="00494B49">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6">
    <w:p w14:paraId="662EE5A3" w14:textId="77777777" w:rsidR="00494B49" w:rsidRDefault="00494B49">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7">
    <w:p w14:paraId="302C78BB" w14:textId="77777777" w:rsidR="00494B49" w:rsidRDefault="00494B49">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and also under Reg. </w:t>
      </w:r>
      <w:smartTag w:uri="http://www.bna.com/sgml2word/cite" w:element="cite.cfr">
        <w:smartTagPr>
          <w:attr w:name="ref" w:val="cfr\26\1.469-7"/>
        </w:smartTagPr>
        <w:r>
          <w:t>§1.469-7</w:t>
        </w:r>
      </w:smartTag>
      <w:r>
        <w:t xml:space="preserve">. </w:t>
      </w:r>
    </w:p>
  </w:footnote>
  <w:footnote w:id="468">
    <w:p w14:paraId="35206198" w14:textId="77777777" w:rsidR="00494B49" w:rsidRDefault="00494B49">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69">
    <w:p w14:paraId="364CDEE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0">
    <w:p w14:paraId="3E0F55B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1">
    <w:p w14:paraId="6D578672"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2">
    <w:p w14:paraId="51CDBC1F"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3">
    <w:p w14:paraId="5CB6E314" w14:textId="77777777" w:rsidR="00494B49" w:rsidRDefault="00494B49">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4">
    <w:p w14:paraId="6F324CBB"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5">
    <w:p w14:paraId="77B6934C" w14:textId="77777777" w:rsidR="00494B49" w:rsidRDefault="00494B49">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6">
    <w:p w14:paraId="323DC412" w14:textId="77777777" w:rsidR="00494B49" w:rsidRDefault="00494B49">
      <w:pPr>
        <w:pStyle w:val="FootnoteText"/>
      </w:pPr>
      <w:r>
        <w:rPr>
          <w:rStyle w:val="FootnoteReference"/>
        </w:rPr>
        <w:footnoteRef/>
      </w:r>
      <w:r>
        <w:t xml:space="preserve">These increases and decreases in partner basis should generally offset each other. </w:t>
      </w:r>
    </w:p>
  </w:footnote>
  <w:footnote w:id="477">
    <w:p w14:paraId="0697AAF4" w14:textId="77777777" w:rsidR="00494B49" w:rsidRDefault="00494B49">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8">
    <w:p w14:paraId="0385FFE7" w14:textId="77777777" w:rsidR="00494B49" w:rsidRDefault="00494B49">
      <w:pPr>
        <w:pStyle w:val="FootnoteText"/>
      </w:pPr>
      <w:r>
        <w:rPr>
          <w:rStyle w:val="FootnoteReference"/>
        </w:rPr>
        <w:footnoteRef/>
      </w:r>
      <w:r>
        <w:t xml:space="preserve">The payments for (1)–(3)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79">
    <w:p w14:paraId="46B6E94E" w14:textId="77777777" w:rsidR="00494B49" w:rsidRDefault="00494B49">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0">
    <w:p w14:paraId="72212B80"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1">
    <w:p w14:paraId="7D8EC95A"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2">
    <w:p w14:paraId="69CF8BA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3">
    <w:p w14:paraId="5A2CD57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4">
    <w:p w14:paraId="0506FE1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5">
    <w:p w14:paraId="784F995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6">
    <w:p w14:paraId="20BA93A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7">
    <w:p w14:paraId="30BEF0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8">
    <w:p w14:paraId="28152E6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89">
    <w:p w14:paraId="4FA3333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0">
    <w:p w14:paraId="42F0851F" w14:textId="77777777" w:rsidR="00494B49" w:rsidRDefault="00494B49">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1">
    <w:p w14:paraId="202FBC5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2">
    <w:p w14:paraId="6258694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3">
    <w:p w14:paraId="74CAF02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4">
    <w:p w14:paraId="286BE6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
        </w:smartTagPr>
        <w:r>
          <w:t>§1.1411-1(d)(4)(i)</w:t>
        </w:r>
      </w:smartTag>
      <w:r>
        <w:t xml:space="preserve">. </w:t>
      </w:r>
    </w:p>
  </w:footnote>
  <w:footnote w:id="495">
    <w:p w14:paraId="4E79908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6">
    <w:p w14:paraId="28A9B5C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7">
    <w:p w14:paraId="11AF5203" w14:textId="77777777" w:rsidR="00494B49" w:rsidRDefault="00494B49">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8">
    <w:p w14:paraId="0DE9F1D8" w14:textId="77777777" w:rsidR="00494B49" w:rsidRDefault="00494B49">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499">
    <w:p w14:paraId="62EF9A26" w14:textId="77777777" w:rsidR="00494B49" w:rsidRDefault="00494B49">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0">
    <w:p w14:paraId="1CF983DD" w14:textId="77777777" w:rsidR="00494B49" w:rsidRDefault="00494B49">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1">
    <w:p w14:paraId="2B4489E1" w14:textId="77777777" w:rsidR="00494B49" w:rsidRDefault="00494B49">
      <w:pPr>
        <w:pStyle w:val="FootnoteText"/>
      </w:pPr>
      <w:r>
        <w:rPr>
          <w:rStyle w:val="FootnoteReference"/>
        </w:rPr>
        <w:footnoteRef/>
      </w:r>
      <w:smartTag w:uri="http://www.bna.com/sgml2word/cite" w:element="cite.usc">
        <w:smartTagPr>
          <w:attr w:name="ref" w:val="USC\26\135(a)"/>
        </w:smartTagPr>
        <w:r>
          <w:t>§135(a)</w:t>
        </w:r>
      </w:smartTag>
      <w:r>
        <w:t>.</w:t>
      </w:r>
    </w:p>
  </w:footnote>
  <w:footnote w:id="502">
    <w:p w14:paraId="7F6A5959" w14:textId="77777777" w:rsidR="00494B49" w:rsidRDefault="00494B49">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3">
    <w:p w14:paraId="2DF298A7" w14:textId="77777777" w:rsidR="00494B49" w:rsidRDefault="00494B49">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xml:space="preserve">, above). </w:t>
      </w:r>
    </w:p>
  </w:footnote>
  <w:footnote w:id="504">
    <w:p w14:paraId="4ED7191B" w14:textId="77777777" w:rsidR="00494B49" w:rsidRDefault="00494B49">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5">
    <w:p w14:paraId="2CEB03DE" w14:textId="77777777" w:rsidR="00494B49" w:rsidRDefault="00494B49">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4F001412" w14:textId="77777777" w:rsidR="00494B49" w:rsidRDefault="00494B49">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7">
    <w:p w14:paraId="510EC7C3" w14:textId="77777777" w:rsidR="00494B49" w:rsidRDefault="00494B49">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8">
    <w:p w14:paraId="3F1259C8" w14:textId="77777777" w:rsidR="00494B49" w:rsidRDefault="00494B49">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09">
    <w:p w14:paraId="3E0B349C" w14:textId="77777777" w:rsidR="00494B49" w:rsidRDefault="00494B49">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taken into account must occur at the time the deferred amount becomes reasonably ascertainable. In such a case, because it is the present value of the amount previously taken into account (and not the nominal amount) that is treated as having been subject to FICA tax, post-vesting earnings may also not be subject to FICA tax.</w:t>
      </w:r>
    </w:p>
  </w:footnote>
  <w:footnote w:id="510">
    <w:p w14:paraId="4EEE0E2D" w14:textId="77777777" w:rsidR="00494B49" w:rsidRDefault="00494B49">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1">
    <w:p w14:paraId="1DA2B575" w14:textId="77777777" w:rsidR="00494B49" w:rsidRDefault="00494B49">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2">
    <w:p w14:paraId="06180C92" w14:textId="77777777" w:rsidR="00494B49" w:rsidRDefault="00494B49">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3">
    <w:p w14:paraId="63A6DFF4" w14:textId="77777777" w:rsidR="00494B49" w:rsidRDefault="00494B49">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4">
    <w:p w14:paraId="13EA86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5">
    <w:p w14:paraId="272B6EAE" w14:textId="77777777" w:rsidR="00494B49" w:rsidRDefault="00494B49">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6">
    <w:p w14:paraId="4841D15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7">
    <w:p w14:paraId="2009D9EB" w14:textId="77777777" w:rsidR="00494B49" w:rsidRDefault="00494B49">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8">
    <w:p w14:paraId="34F9CC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9">
    <w:p w14:paraId="6E35E30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0">
    <w:p w14:paraId="24525C3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1">
    <w:p w14:paraId="06A90633" w14:textId="77777777" w:rsidR="00494B49" w:rsidRDefault="00494B49">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2">
    <w:p w14:paraId="1D5F7FF0" w14:textId="77777777" w:rsidR="00494B49" w:rsidRDefault="00494B49">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3">
    <w:p w14:paraId="73BBD082" w14:textId="77777777" w:rsidR="00494B49" w:rsidRDefault="00494B49">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1(d)(3)"/>
        </w:smartTagPr>
        <w:r>
          <w:t>§1.1411-1(d)(3)</w:t>
        </w:r>
      </w:smartTag>
      <w:r>
        <w:t xml:space="preserve">. </w:t>
      </w:r>
    </w:p>
  </w:footnote>
  <w:footnote w:id="524">
    <w:p w14:paraId="073AFF85" w14:textId="77777777" w:rsidR="00494B49" w:rsidRDefault="00494B49">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5">
    <w:p w14:paraId="7D694131" w14:textId="77777777" w:rsidR="00494B49" w:rsidRDefault="00494B49">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6">
    <w:p w14:paraId="49F6F7A0" w14:textId="77777777" w:rsidR="00494B49" w:rsidRDefault="00494B49">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7">
    <w:p w14:paraId="22869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8">
    <w:p w14:paraId="2001E193"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03379780" w14:textId="77777777" w:rsidR="00494B49" w:rsidRDefault="00494B49">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0">
    <w:p w14:paraId="06BBCDD7"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1">
    <w:p w14:paraId="6DD45765" w14:textId="77777777" w:rsidR="00494B49" w:rsidRDefault="00494B49">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2">
    <w:p w14:paraId="0629A78F" w14:textId="77777777" w:rsidR="00494B49" w:rsidRDefault="00494B49">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3">
    <w:p w14:paraId="070DD678" w14:textId="77777777" w:rsidR="00494B49" w:rsidRDefault="00494B49">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4">
    <w:p w14:paraId="38E971F1" w14:textId="77777777" w:rsidR="00494B49" w:rsidRDefault="00494B49">
      <w:pPr>
        <w:pStyle w:val="FootnoteText"/>
      </w:pPr>
      <w:r>
        <w:rPr>
          <w:rStyle w:val="FootnoteReference"/>
        </w:rPr>
        <w:footnoteRef/>
      </w:r>
      <w:r>
        <w:t xml:space="preserve">Note, however, that as part of its efforts to increase compliance with the self-employment tax by partnerships, LLCs, LLPs, and others, the IRS has increasingly litigated its position that limited partners who are "limited" in name only do not qualify for the §1402(a)(13) exception. </w:t>
      </w:r>
      <w:r>
        <w:rPr>
          <w:i/>
        </w:rPr>
        <w:t>See, e.g.,</w:t>
      </w:r>
      <w:r>
        <w:t xml:space="preserve"> </w:t>
      </w:r>
      <w:hyperlink r:id="rId3" w:history="1">
        <w:r>
          <w:rPr>
            <w:rStyle w:val="Hyperlink"/>
          </w:rPr>
          <w:t>IR-2024-09</w:t>
        </w:r>
      </w:hyperlink>
      <w:r>
        <w:t xml:space="preserve"> (Jan. 12, 2024) and </w:t>
      </w:r>
      <w:r>
        <w:rPr>
          <w:rStyle w:val="BCasenamefull"/>
        </w:rPr>
        <w:t>Soroban Capital Partners LP v. Commissioner</w:t>
      </w:r>
      <w:r>
        <w:t xml:space="preserve">, </w:t>
      </w:r>
      <w:smartTag w:uri="http://www.bna.com/sgml2word/cite" w:element="cite.parallel">
        <w:smartTagPr>
          <w:attr w:name="ref" w:val="TC\161\NO12"/>
        </w:smartTagPr>
        <w:r>
          <w:t>161 T.C. No. 12</w:t>
        </w:r>
      </w:smartTag>
      <w:r>
        <w:t xml:space="preserve"> (Nov. 28, 2023) (the limited partner exception in </w:t>
      </w:r>
      <w:smartTag w:uri="http://www.bna.com/sgml2word/cite" w:element="cite.usc">
        <w:smartTagPr>
          <w:attr w:name="ref" w:val="USC\26\1402(a)(13)"/>
        </w:smartTagPr>
        <w:r>
          <w:t>§1402(a)(13)</w:t>
        </w:r>
      </w:smartTag>
      <w:r>
        <w:t xml:space="preserve"> does not apply to a partner who is limited in name only; determining whether the exception applies requires analyzing the limited partner's functions and roles in the partnership). The </w:t>
      </w:r>
      <w:smartTag w:uri="http://www.bna.com/sgml2word/cite" w:element="cite.usc">
        <w:r>
          <w:t>§1402(a)(13)</w:t>
        </w:r>
      </w:smartTag>
      <w:r>
        <w:t xml:space="preserve"> exception as it may apply to partners and limited partners in private equity funds and hedge funds, and other court cases, is discussed further in </w:t>
      </w:r>
      <w:smartTag w:uri="http://www.bna.com/sgml2word/cite" w:element="cite.bna.reference">
        <w:smartTagPr>
          <w:attr w:name="bna.id.ref" w:val="TM\735"/>
        </w:smartTagPr>
        <w:r>
          <w:t>392 T.M.</w:t>
        </w:r>
      </w:smartTag>
      <w:r>
        <w:t xml:space="preserve">, </w:t>
      </w:r>
      <w:r>
        <w:rPr>
          <w:i/>
        </w:rPr>
        <w:t>Withholding, Social Security, and Unemployment Taxes on Compensation</w:t>
      </w:r>
      <w:r>
        <w:t xml:space="preserve">, </w:t>
      </w:r>
      <w:smartTag w:uri="http://www.bna.com/sgml2word/cite" w:element="cite.bna.reference">
        <w:smartTagPr>
          <w:attr w:name="bna.id.ref" w:val="TM\735"/>
        </w:smartTagPr>
        <w:r>
          <w:t>735 T.M.</w:t>
        </w:r>
      </w:smartTag>
      <w:r>
        <w:t xml:space="preserve">, </w:t>
      </w:r>
      <w:r>
        <w:rPr>
          <w:i/>
        </w:rPr>
        <w:t>Private Equity Funds</w:t>
      </w:r>
      <w:r>
        <w:t xml:space="preserve"> and </w:t>
      </w:r>
      <w:smartTag w:uri="http://www.bna.com/sgml2word/cite" w:element="cite.bna.reference">
        <w:smartTagPr>
          <w:attr w:name="bna.id.ref" w:val="TM\736"/>
        </w:smartTagPr>
        <w:r>
          <w:t>736 T.M.</w:t>
        </w:r>
      </w:smartTag>
      <w:r>
        <w:t xml:space="preserve">, </w:t>
      </w:r>
      <w:r>
        <w:rPr>
          <w:i/>
        </w:rPr>
        <w:t>Hedge Funds</w:t>
      </w:r>
      <w:r>
        <w:t>.</w:t>
      </w:r>
    </w:p>
  </w:footnote>
  <w:footnote w:id="535">
    <w:p w14:paraId="6EC4F4CD" w14:textId="77777777" w:rsidR="00494B49" w:rsidRDefault="00494B49">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6">
    <w:p w14:paraId="14F05CE7" w14:textId="77777777" w:rsidR="00494B49" w:rsidRDefault="00494B49">
      <w:pPr>
        <w:pStyle w:val="FootnoteText"/>
      </w:pPr>
      <w:r>
        <w:rPr>
          <w:rStyle w:val="FootnoteReference"/>
        </w:rPr>
        <w:footnoteRef/>
      </w:r>
      <w:smartTag w:uri="http://www.bna.com/sgml2word/cite" w:element="cite.usc">
        <w:smartTagPr>
          <w:attr w:name="ref" w:val="USC\26\1411(c)(1)(B)"/>
        </w:smartTagPr>
        <w:r>
          <w:t>§1411(c)(1)(B)</w:t>
        </w:r>
      </w:smartTag>
      <w:r>
        <w:t>.</w:t>
      </w:r>
    </w:p>
  </w:footnote>
  <w:footnote w:id="537">
    <w:p w14:paraId="6428CA48" w14:textId="77777777" w:rsidR="00494B49" w:rsidRDefault="00494B49">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8">
    <w:p w14:paraId="0BE5071F" w14:textId="77777777" w:rsidR="00494B49" w:rsidRDefault="00494B49">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39">
    <w:p w14:paraId="6C4EF75E" w14:textId="77777777" w:rsidR="00494B49" w:rsidRDefault="00494B49">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40">
    <w:p w14:paraId="2C74B973" w14:textId="77777777" w:rsidR="00494B49" w:rsidRDefault="00494B49">
      <w:pPr>
        <w:pStyle w:val="FootnoteText"/>
      </w:pPr>
      <w:r>
        <w:rPr>
          <w:rStyle w:val="FootnoteReference"/>
        </w:rPr>
        <w:footnoteRef/>
      </w:r>
      <w:r>
        <w:rPr>
          <w:i/>
        </w:rPr>
        <w:t xml:space="preserve">Note: </w:t>
      </w:r>
      <w:r>
        <w:t xml:space="preserve">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1">
    <w:p w14:paraId="14FB44A0" w14:textId="77777777" w:rsidR="00494B49" w:rsidRDefault="00494B49">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2">
    <w:p w14:paraId="06846B6C" w14:textId="77777777" w:rsidR="00494B49" w:rsidRDefault="00494B49">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3">
    <w:p w14:paraId="2119B1AD" w14:textId="77777777" w:rsidR="00494B49" w:rsidRDefault="00494B49">
      <w:pPr>
        <w:pStyle w:val="FootnoteText"/>
      </w:pPr>
      <w:r>
        <w:rPr>
          <w:rStyle w:val="FootnoteReference"/>
        </w:rPr>
        <w:footnoteRef/>
      </w:r>
      <w:smartTag w:uri="http://www.bna.com/sgml2word/cite" w:element="cite.cfr">
        <w:smartTagPr>
          <w:attr w:name="ref" w:val="cfr\26\1.1411-4(f)(1)(i)"/>
        </w:smartTagPr>
        <w:r>
          <w:t>Reg. §1.1411-4(f)(1)(i)</w:t>
        </w:r>
      </w:smartTag>
      <w:r>
        <w:t>.</w:t>
      </w:r>
    </w:p>
  </w:footnote>
  <w:footnote w:id="544">
    <w:p w14:paraId="71C21076" w14:textId="77777777" w:rsidR="00494B49" w:rsidRDefault="00494B49">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5">
    <w:p w14:paraId="3CFE7E2C" w14:textId="77777777" w:rsidR="00494B49" w:rsidRDefault="00494B49">
      <w:pPr>
        <w:pStyle w:val="FootnoteText"/>
      </w:pPr>
      <w:r>
        <w:rPr>
          <w:rStyle w:val="FootnoteReference"/>
        </w:rPr>
        <w:footnoteRef/>
      </w:r>
      <w:hyperlink r:id="rId4" w:history="1">
        <w:r>
          <w:rPr>
            <w:rStyle w:val="Hyperlink"/>
          </w:rPr>
          <w:t>Instructions for Form 8960</w:t>
        </w:r>
      </w:hyperlink>
      <w:r>
        <w:t>, Part II.[Footnotes 545–556 are reserved.]</w:t>
      </w:r>
    </w:p>
  </w:footnote>
  <w:footnote w:id="546">
    <w:p w14:paraId="0A3B28D7" w14:textId="77777777" w:rsidR="00494B49" w:rsidRDefault="00494B49">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7">
    <w:p w14:paraId="1A9A8531" w14:textId="77777777" w:rsidR="00494B49" w:rsidRDefault="00494B49">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8">
    <w:p w14:paraId="34F46E6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49">
    <w:p w14:paraId="203C822C"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50">
    <w:p w14:paraId="4C5A852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1">
    <w:p w14:paraId="47B3520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2">
    <w:p w14:paraId="455FCC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553">
    <w:p w14:paraId="0746C619"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54">
    <w:p w14:paraId="412A608F" w14:textId="77777777" w:rsidR="00494B49" w:rsidRDefault="00494B49">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5">
    <w:p w14:paraId="11C71FA0" w14:textId="77777777" w:rsidR="00494B49" w:rsidRDefault="00494B49">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6">
    <w:p w14:paraId="1F14F027" w14:textId="77777777" w:rsidR="00494B49" w:rsidRDefault="00494B49">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7">
    <w:p w14:paraId="014DD666" w14:textId="77777777" w:rsidR="00494B49" w:rsidRDefault="00494B49">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8">
    <w:p w14:paraId="2226AC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59">
    <w:p w14:paraId="40B25D6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60">
    <w:p w14:paraId="15B5B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1">
    <w:p w14:paraId="766F7652"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62">
    <w:p w14:paraId="2D1B1483" w14:textId="77777777" w:rsidR="00494B49" w:rsidRDefault="00494B49">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3">
    <w:p w14:paraId="02EEAEA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xml:space="preserve">, above, for a discussion of </w:t>
      </w:r>
      <w:smartTag w:uri="http://www.bna.com/sgml2word/cite" w:element="cite.usc">
        <w:smartTagPr>
          <w:attr w:name="ref" w:val="USC\26\1411(c)(1)(A)(ii)"/>
        </w:smartTagPr>
        <w:r>
          <w:t>§1411(c)(1)(A)(ii)</w:t>
        </w:r>
      </w:smartTag>
      <w:r>
        <w:t xml:space="preserve"> investment income.</w:t>
      </w:r>
    </w:p>
  </w:footnote>
  <w:footnote w:id="564">
    <w:p w14:paraId="19AECD9B"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5">
    <w:p w14:paraId="621268BC" w14:textId="77777777" w:rsidR="00494B49" w:rsidRDefault="00494B49">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6">
    <w:p w14:paraId="7748D254" w14:textId="77777777" w:rsidR="00494B49" w:rsidRDefault="00494B49">
      <w:pPr>
        <w:pStyle w:val="FootnoteText"/>
      </w:pPr>
      <w:r>
        <w:rPr>
          <w:rStyle w:val="FootnoteReference"/>
        </w:rPr>
        <w:footnoteRef/>
      </w:r>
      <w:smartTag w:uri="http://www.bna.com/sgml2word/cite" w:element="cite.usc">
        <w:smartTagPr>
          <w:attr w:name="ref" w:val="USC\26\1402(a)(3)(A)"/>
        </w:smartTagPr>
        <w:r>
          <w:t>§1402(a)(3)(A)</w:t>
        </w:r>
      </w:smartTag>
      <w:r>
        <w:t>.</w:t>
      </w:r>
    </w:p>
  </w:footnote>
  <w:footnote w:id="567">
    <w:p w14:paraId="3FB9DF25" w14:textId="77777777" w:rsidR="00494B49" w:rsidRDefault="00494B49">
      <w:pPr>
        <w:pStyle w:val="FootnoteText"/>
      </w:pPr>
      <w:r>
        <w:rPr>
          <w:rStyle w:val="FootnoteReference"/>
        </w:rPr>
        <w:footnoteRef/>
      </w:r>
      <w:smartTag w:uri="http://www.bna.com/sgml2word/cite" w:element="cite.usc">
        <w:smartTagPr>
          <w:attr w:name="ref" w:val="USC\26\1402(a)(3)(C)(i)"/>
        </w:smartTagPr>
        <w:r>
          <w:t>§1402(a)(3)(C)(i)</w:t>
        </w:r>
      </w:smartTag>
      <w:r>
        <w:t>.</w:t>
      </w:r>
    </w:p>
  </w:footnote>
  <w:footnote w:id="568">
    <w:p w14:paraId="58B26761" w14:textId="77777777" w:rsidR="00494B49" w:rsidRDefault="00494B49">
      <w:pPr>
        <w:pStyle w:val="FootnoteText"/>
      </w:pPr>
      <w:r>
        <w:rPr>
          <w:rStyle w:val="FootnoteReference"/>
        </w:rPr>
        <w:footnoteRef/>
      </w:r>
      <w:smartTag w:uri="http://www.bna.com/sgml2word/cite" w:element="cite.usc">
        <w:smartTagPr>
          <w:attr w:name="ref" w:val="USC\26\1402(a)(3)(C)(ii)"/>
        </w:smartTagPr>
        <w:r>
          <w:t>§1402(a)(3)(C)(ii)</w:t>
        </w:r>
      </w:smartTag>
      <w:r>
        <w:t>.</w:t>
      </w:r>
    </w:p>
  </w:footnote>
  <w:footnote w:id="569">
    <w:p w14:paraId="4F34E561"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70">
    <w:p w14:paraId="3B509EB8" w14:textId="77777777" w:rsidR="00494B49" w:rsidRDefault="00494B49">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1">
    <w:p w14:paraId="1EE5C293"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2">
    <w:p w14:paraId="6F66510C" w14:textId="77777777" w:rsidR="00494B49" w:rsidRDefault="00494B49">
      <w:pPr>
        <w:pStyle w:val="FootnoteText"/>
      </w:pPr>
      <w:r>
        <w:rPr>
          <w:rStyle w:val="FootnoteReference"/>
        </w:rPr>
        <w:footnoteRef/>
      </w:r>
      <w:r>
        <w:t>For this to occur, the individual must have net passive income from other sources.</w:t>
      </w:r>
    </w:p>
  </w:footnote>
  <w:footnote w:id="573">
    <w:p w14:paraId="43403C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4">
    <w:p w14:paraId="1268B5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5">
    <w:p w14:paraId="560A97FA" w14:textId="77777777" w:rsidR="00494B49" w:rsidRDefault="00494B49">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6">
    <w:p w14:paraId="6F7527E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7">
    <w:p w14:paraId="7C890A8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8">
    <w:p w14:paraId="3065EB0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79">
    <w:p w14:paraId="50F673D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80">
    <w:p w14:paraId="19C6C21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1">
    <w:p w14:paraId="7910D50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2">
    <w:p w14:paraId="15C9643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3">
    <w:p w14:paraId="6A16FA7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4">
    <w:p w14:paraId="0E9432BA" w14:textId="77777777" w:rsidR="00494B49" w:rsidRDefault="00494B49">
      <w:pPr>
        <w:pStyle w:val="FootnoteText"/>
      </w:pPr>
      <w:r>
        <w:rPr>
          <w:rStyle w:val="FootnoteReference"/>
        </w:rPr>
        <w:footnoteRef/>
      </w:r>
      <w:smartTag w:uri="http://www.bna.com/sgml2word/cite" w:element="cite.usc">
        <w:smartTagPr>
          <w:attr w:name="ref" w:val="USC\26\63(b)"/>
        </w:smartTagPr>
        <w:r>
          <w:t>§63(b)</w:t>
        </w:r>
      </w:smartTag>
      <w:r>
        <w:t>.</w:t>
      </w:r>
    </w:p>
  </w:footnote>
  <w:footnote w:id="585">
    <w:p w14:paraId="666ACE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6">
    <w:p w14:paraId="2A83E8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7">
    <w:p w14:paraId="2185A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8">
    <w:p w14:paraId="1E999C4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
        </w:smartTagPr>
        <w:r>
          <w:t>§1.1411-10(c)(5)(i)</w:t>
        </w:r>
      </w:smartTag>
      <w:r>
        <w:t>.</w:t>
      </w:r>
    </w:p>
  </w:footnote>
  <w:footnote w:id="589">
    <w:p w14:paraId="060D55D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90">
    <w:p w14:paraId="48A2F13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1">
    <w:p w14:paraId="2E0CE29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2">
    <w:p w14:paraId="3F5C736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3">
    <w:p w14:paraId="58C3D5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4">
    <w:p w14:paraId="6BE8AAC7" w14:textId="77777777" w:rsidR="00494B49" w:rsidRDefault="00494B49">
      <w:pPr>
        <w:pStyle w:val="FootnoteText"/>
      </w:pPr>
      <w:r>
        <w:rPr>
          <w:rStyle w:val="FootnoteReference"/>
        </w:rPr>
        <w:footnoteRef/>
      </w:r>
      <w:r>
        <w:t xml:space="preserve">For a detailed discussion on investment expenses taken into account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5">
    <w:p w14:paraId="57EC9432" w14:textId="77777777" w:rsidR="00494B49" w:rsidRDefault="00494B49">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6">
    <w:p w14:paraId="29FE1E67" w14:textId="77777777" w:rsidR="00494B49" w:rsidRDefault="00494B49">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income."[Footnote 608 reserved.]</w:t>
      </w:r>
    </w:p>
  </w:footnote>
  <w:footnote w:id="597">
    <w:p w14:paraId="14E11FE6" w14:textId="77777777" w:rsidR="00494B49" w:rsidRDefault="00494B49">
      <w:pPr>
        <w:pStyle w:val="FootnoteText"/>
      </w:pPr>
      <w:r>
        <w:rPr>
          <w:rStyle w:val="FootnoteReference"/>
        </w:rPr>
        <w:footnoteRef/>
      </w:r>
      <w:r>
        <w:t xml:space="preserve">Real estate taxes as investment expenses are specifically noted in the </w:t>
      </w:r>
      <w:hyperlink r:id="rId5"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8">
    <w:p w14:paraId="1B91832A" w14:textId="77777777" w:rsidR="00494B49" w:rsidRDefault="00494B49">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599">
    <w:p w14:paraId="3861961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estate’s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600">
    <w:p w14:paraId="12C87E53"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01">
    <w:p w14:paraId="30A2FA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2">
    <w:p w14:paraId="778199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3">
    <w:p w14:paraId="41E26607"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4">
    <w:p w14:paraId="2570F296" w14:textId="77777777" w:rsidR="00494B49" w:rsidRDefault="00494B49">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5">
    <w:p w14:paraId="7917286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6">
    <w:p w14:paraId="0874DA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7">
    <w:p w14:paraId="05ED0CBA" w14:textId="77777777" w:rsidR="00494B49" w:rsidRDefault="00494B49">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8">
    <w:p w14:paraId="720DEFB8"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09">
    <w:p w14:paraId="1BB24FDF" w14:textId="77777777" w:rsidR="00494B49" w:rsidRDefault="00494B49">
      <w:pPr>
        <w:pStyle w:val="FootnoteText"/>
      </w:pPr>
      <w:r>
        <w:rPr>
          <w:rStyle w:val="FootnoteReference"/>
        </w:rPr>
        <w:footnoteRef/>
      </w:r>
      <w:r>
        <w:t>$1,000,000 / $1,500,000 × $10,000 = $6,667.</w:t>
      </w:r>
    </w:p>
  </w:footnote>
  <w:footnote w:id="610">
    <w:p w14:paraId="22AED264" w14:textId="77777777" w:rsidR="00494B49" w:rsidRDefault="00494B49">
      <w:pPr>
        <w:pStyle w:val="FootnoteText"/>
      </w:pPr>
      <w:r>
        <w:rPr>
          <w:rStyle w:val="FootnoteReference"/>
        </w:rPr>
        <w:footnoteRef/>
      </w:r>
      <w:r>
        <w:t>($1,000,000 / $1,500,000) × ($80,000 / $100,000) × $10,000 = $5,333.</w:t>
      </w:r>
    </w:p>
  </w:footnote>
  <w:footnote w:id="611">
    <w:p w14:paraId="27C9F88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5"/>
        </w:smartTagPr>
        <w:r>
          <w:t>V.B.5.</w:t>
        </w:r>
      </w:smartTag>
      <w:smartTag w:uri="http://www.bna.com/sgml2word/cite" w:element="cite.bna.reference">
        <w:smartTagPr>
          <w:attr w:name="bna.id.ref" w:val="tm\873.V.B.5"/>
        </w:smartTagPr>
        <w:r>
          <w:t>V.B.5.</w:t>
        </w:r>
      </w:smartTag>
      <w:r>
        <w:t xml:space="preserve">, below, for a discussion of the mechanics of Reg. </w:t>
      </w:r>
      <w:smartTag w:uri="http://www.bna.com/sgml2word/cite" w:element="cite.cfr">
        <w:smartTagPr>
          <w:attr w:name="ref" w:val="cfr\26\1.1411-4(f)(7)"/>
        </w:smartTagPr>
        <w:r>
          <w:t>§1.1411-4(f)(7)</w:t>
        </w:r>
      </w:smartTag>
      <w:r>
        <w:t>.</w:t>
      </w:r>
    </w:p>
  </w:footnote>
  <w:footnote w:id="612">
    <w:p w14:paraId="0A5047B6" w14:textId="77777777" w:rsidR="00494B49" w:rsidRDefault="00494B49">
      <w:pPr>
        <w:pStyle w:val="FootnoteText"/>
      </w:pPr>
      <w:r>
        <w:rPr>
          <w:rStyle w:val="FootnoteReference"/>
        </w:rPr>
        <w:footnoteRef/>
      </w:r>
      <w:r>
        <w:t>$20,000 of real estate taxes and $80,000 of state income taxes are limited to $10,000 in total.</w:t>
      </w:r>
    </w:p>
  </w:footnote>
  <w:footnote w:id="613">
    <w:p w14:paraId="44DBBD7A" w14:textId="77777777" w:rsidR="00494B49" w:rsidRDefault="00494B49">
      <w:pPr>
        <w:pStyle w:val="FootnoteText"/>
      </w:pPr>
      <w:r>
        <w:rPr>
          <w:rStyle w:val="FootnoteReference"/>
        </w:rPr>
        <w:footnoteRef/>
      </w:r>
      <w:r>
        <w:t>$500,000 / $1,500,000 × $80,000 = $26,667.</w:t>
      </w:r>
    </w:p>
  </w:footnote>
  <w:footnote w:id="614">
    <w:p w14:paraId="3D00B9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5">
    <w:p w14:paraId="5FCCD49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6">
    <w:p w14:paraId="50050F4E" w14:textId="77777777" w:rsidR="00494B49" w:rsidRDefault="00494B49">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7">
    <w:p w14:paraId="6D290AB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Income in Respect of a Decedent</w:t>
      </w:r>
      <w:r>
        <w:t>(Estates, Gifts, and Trusts Series).</w:t>
      </w:r>
    </w:p>
  </w:footnote>
  <w:footnote w:id="618">
    <w:p w14:paraId="5A8DC19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19">
    <w:p w14:paraId="0B496C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20">
    <w:p w14:paraId="1AD3EA0E"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1">
    <w:p w14:paraId="4EC6CB1D"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22">
    <w:p w14:paraId="3B6B01EF" w14:textId="77777777" w:rsidR="00494B49" w:rsidRDefault="00494B49">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3">
    <w:p w14:paraId="133604F8" w14:textId="77777777" w:rsidR="00494B49" w:rsidRDefault="00494B49">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4">
    <w:p w14:paraId="1A695B1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5">
    <w:p w14:paraId="56D82F49"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6">
    <w:p w14:paraId="3E9AEA9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§1.171-2(a)(4)(i)(C)</w:t>
        </w:r>
      </w:smartTag>
      <w:r>
        <w:t xml:space="preserve">. </w:t>
      </w:r>
    </w:p>
  </w:footnote>
  <w:footnote w:id="627">
    <w:p w14:paraId="5827AD34"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i)"/>
        </w:smartTagPr>
        <w:r>
          <w:t>§1.212-1(i)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8">
    <w:p w14:paraId="052C7C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29">
    <w:p w14:paraId="16BAE24A"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0">
    <w:p w14:paraId="1A87F31F"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1">
    <w:p w14:paraId="6C86B59D" w14:textId="77777777" w:rsidR="00494B49" w:rsidRDefault="00494B49">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6"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2">
    <w:p w14:paraId="06F24193"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5.D.ii.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3">
    <w:p w14:paraId="16CA49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4">
    <w:p w14:paraId="69723D3D" w14:textId="77777777" w:rsidR="00494B49" w:rsidRDefault="00494B49">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5">
    <w:p w14:paraId="5EA43E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6">
    <w:p w14:paraId="5DFF9410"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7">
    <w:p w14:paraId="30E00D8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8">
    <w:p w14:paraId="1E745E45" w14:textId="77777777" w:rsidR="00494B49" w:rsidRDefault="00494B49">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39">
    <w:p w14:paraId="71514F8F" w14:textId="77777777" w:rsidR="00494B49" w:rsidRDefault="00494B49">
      <w:pPr>
        <w:pStyle w:val="FootnoteText"/>
      </w:pPr>
      <w:r>
        <w:rPr>
          <w:rStyle w:val="FootnoteReference"/>
        </w:rPr>
        <w:footnoteRef/>
      </w:r>
      <w:r>
        <w:rPr>
          <w:i/>
        </w:rPr>
        <w:t>See</w:t>
      </w:r>
      <w:r>
        <w:t xml:space="preserve"> </w:t>
      </w:r>
      <w:hyperlink r:id="rId8" w:history="1">
        <w:r>
          <w:rPr>
            <w:rStyle w:val="Hyperlink"/>
          </w:rPr>
          <w:t>Instructions for Form 8960</w:t>
        </w:r>
      </w:hyperlink>
      <w:r>
        <w:t>, Part II (reasonable method allocations).</w:t>
      </w:r>
    </w:p>
  </w:footnote>
  <w:footnote w:id="640">
    <w:p w14:paraId="576620A0" w14:textId="77777777" w:rsidR="00494B49" w:rsidRDefault="00494B49">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1">
    <w:p w14:paraId="03FE87C0"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2">
    <w:p w14:paraId="56AA7A42" w14:textId="77777777" w:rsidR="00494B49" w:rsidRDefault="00494B49">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3">
    <w:p w14:paraId="652127F1"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4">
    <w:p w14:paraId="44062CF4"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5">
    <w:p w14:paraId="3BF775C4"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§1.1411-4(f)(3)(i)(C)</w:t>
        </w:r>
      </w:smartTag>
      <w:r>
        <w:t xml:space="preserve"> for taxes under </w:t>
      </w:r>
      <w:smartTag w:uri="http://www.bna.com/sgml2word/cite" w:element="cite.usc">
        <w:smartTagPr>
          <w:attr w:name="ref" w:val="USC\26\164(a)(3)"/>
        </w:smartTagPr>
        <w:r>
          <w:t>§164(a)(3)</w:t>
        </w:r>
      </w:smartTag>
      <w:r>
        <w:t xml:space="preserve">.”). </w:t>
      </w:r>
    </w:p>
  </w:footnote>
  <w:footnote w:id="646">
    <w:p w14:paraId="1F6DB3FA" w14:textId="77777777" w:rsidR="00494B49" w:rsidRDefault="00494B49">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7">
    <w:p w14:paraId="4E9E3425" w14:textId="77777777" w:rsidR="00494B49" w:rsidRDefault="00494B49">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8">
    <w:p w14:paraId="26433D5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C.4"/>
        </w:smartTagPr>
        <w:r>
          <w:t>I.C.4.</w:t>
        </w:r>
      </w:smartTag>
      <w:smartTag w:uri="http://www.bna.com/sgml2word/cite" w:element="cite.bna.reference">
        <w:smartTagPr>
          <w:attr w:name="bna.id.ref" w:val="TM\873.I.C.4"/>
        </w:smartTagPr>
        <w:r>
          <w:t>I.C.4.</w:t>
        </w:r>
      </w:smartTag>
      <w:r>
        <w:t>, above.</w:t>
      </w:r>
    </w:p>
  </w:footnote>
  <w:footnote w:id="649">
    <w:p w14:paraId="7C961563" w14:textId="77777777" w:rsidR="00494B49" w:rsidRDefault="00494B49">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9" w:history="1">
        <w:r>
          <w:rPr>
            <w:rStyle w:val="Hyperlink"/>
            <w:i/>
          </w:rPr>
          <w:t>Instructions for Form 8960, Net Investment Income Tax Individuals, Estates, and Trusts</w:t>
        </w:r>
        <w:r>
          <w:rPr>
            <w:rStyle w:val="Hyperlink"/>
          </w:rPr>
          <w:t xml:space="preserve"> (2013)</w:t>
        </w:r>
      </w:hyperlink>
    </w:p>
  </w:footnote>
  <w:footnote w:id="650">
    <w:p w14:paraId="24BF79CB" w14:textId="77777777" w:rsidR="00494B49" w:rsidRDefault="00494B49">
      <w:pPr>
        <w:pStyle w:val="FootnoteText"/>
      </w:pPr>
      <w:r>
        <w:rPr>
          <w:rStyle w:val="FootnoteReference"/>
        </w:rPr>
        <w:footnoteRef/>
      </w:r>
      <w:r>
        <w:t>Pennsylvania excludes IRAs and Pensions from individual income tax. Tennessee excludes earned income from the individual income tax.</w:t>
      </w:r>
    </w:p>
  </w:footnote>
  <w:footnote w:id="651">
    <w:p w14:paraId="60B019E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2">
    <w:p w14:paraId="5EDF168C" w14:textId="77777777" w:rsidR="00494B49" w:rsidRDefault="00494B49">
      <w:pPr>
        <w:pStyle w:val="FootnoteText"/>
      </w:pPr>
      <w:r>
        <w:rPr>
          <w:rStyle w:val="FootnoteReference"/>
        </w:rPr>
        <w:footnoteRef/>
      </w:r>
      <w:r>
        <w:t xml:space="preserve">Aristotle. </w:t>
      </w:r>
    </w:p>
  </w:footnote>
  <w:footnote w:id="653">
    <w:p w14:paraId="2F70F252" w14:textId="77777777" w:rsidR="00494B49" w:rsidRDefault="00494B49">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4">
    <w:p w14:paraId="1B0CF82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5">
    <w:p w14:paraId="5B97B046" w14:textId="77777777" w:rsidR="00494B49" w:rsidRDefault="00494B49">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6">
    <w:p w14:paraId="655266A9" w14:textId="77777777" w:rsidR="00494B49" w:rsidRDefault="00494B49">
      <w:pPr>
        <w:pStyle w:val="FootnoteText"/>
      </w:pPr>
      <w:r>
        <w:rPr>
          <w:rStyle w:val="FootnoteReference"/>
        </w:rPr>
        <w:footnoteRef/>
      </w:r>
      <w:r>
        <w:rPr>
          <w:i/>
        </w:rPr>
        <w:t>See</w:t>
      </w:r>
      <w:r>
        <w:t xml:space="preserve"> </w:t>
      </w:r>
      <w:hyperlink r:id="rId10"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7">
    <w:p w14:paraId="25395D8D" w14:textId="77777777" w:rsidR="00494B49" w:rsidRDefault="00494B49">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8">
    <w:p w14:paraId="24C6C33D" w14:textId="77777777" w:rsidR="00494B49" w:rsidRDefault="00494B49">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9">
    <w:p w14:paraId="783CCC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60">
    <w:p w14:paraId="4F8DC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1">
    <w:p w14:paraId="0C241DD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2">
    <w:p w14:paraId="60994E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3">
    <w:p w14:paraId="74632BA0"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64">
    <w:p w14:paraId="1B8D8C84" w14:textId="77777777" w:rsidR="00494B49" w:rsidRDefault="00494B49">
      <w:pPr>
        <w:pStyle w:val="FootnoteText"/>
      </w:pPr>
      <w:r>
        <w:rPr>
          <w:rStyle w:val="FootnoteReference"/>
        </w:rPr>
        <w:footnoteRef/>
      </w:r>
      <w:smartTag w:uri="http://www.bna.com/sgml2word/cite" w:element="cite.usc">
        <w:smartTagPr>
          <w:attr w:name="ref" w:val="USC\26\68(f)"/>
        </w:smartTagPr>
        <w:r>
          <w:t>§68(f)</w:t>
        </w:r>
      </w:smartTag>
      <w:r>
        <w:t>.</w:t>
      </w:r>
    </w:p>
  </w:footnote>
  <w:footnote w:id="665">
    <w:p w14:paraId="2054734E" w14:textId="77777777" w:rsidR="00494B49" w:rsidRDefault="00494B49">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6">
    <w:p w14:paraId="62D838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
        </w:smartTagPr>
        <w:r>
          <w:t>§1.1411-4(f)(7)(i)</w:t>
        </w:r>
      </w:smartTag>
      <w:r>
        <w:t>.</w:t>
      </w:r>
    </w:p>
  </w:footnote>
  <w:footnote w:id="667">
    <w:p w14:paraId="1BFD479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8">
    <w:p w14:paraId="5EAF6C2D" w14:textId="77777777" w:rsidR="00494B49" w:rsidRDefault="00494B49">
      <w:pPr>
        <w:pStyle w:val="FootnoteText"/>
      </w:pPr>
      <w:r>
        <w:rPr>
          <w:rStyle w:val="FootnoteReference"/>
        </w:rPr>
        <w:footnoteRef/>
      </w:r>
      <w:r>
        <w:t>The applicable amount is adjusted for inflation.</w:t>
      </w:r>
    </w:p>
  </w:footnote>
  <w:footnote w:id="669">
    <w:p w14:paraId="0AD5E6C6" w14:textId="77777777" w:rsidR="00494B49" w:rsidRDefault="00494B49">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70">
    <w:p w14:paraId="4B02E7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1">
    <w:p w14:paraId="49662B7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2">
    <w:p w14:paraId="6F9D92D2" w14:textId="77777777" w:rsidR="00494B49" w:rsidRDefault="00494B49">
      <w:pPr>
        <w:pStyle w:val="FootnoteText"/>
      </w:pPr>
      <w:r>
        <w:rPr>
          <w:rStyle w:val="FootnoteReference"/>
        </w:rPr>
        <w:footnoteRef/>
      </w:r>
      <w:r>
        <w:t>The instructions apportion the amount lost to the 2% or 3% limitation on a pro-rata basis.</w:t>
      </w:r>
    </w:p>
  </w:footnote>
  <w:footnote w:id="673">
    <w:p w14:paraId="0B167D66" w14:textId="77777777" w:rsidR="00494B49" w:rsidRDefault="00494B49">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4">
    <w:p w14:paraId="78D57650" w14:textId="77777777" w:rsidR="00494B49" w:rsidRDefault="00494B49">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5">
    <w:p w14:paraId="3028C71C"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6">
    <w:p w14:paraId="276B545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smartTag>
      <w:r>
        <w:t xml:space="preserve"> </w:t>
      </w:r>
      <w:r>
        <w:rPr>
          <w:i/>
        </w:rPr>
        <w:t>Ex.</w:t>
      </w:r>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7">
    <w:p w14:paraId="5B8E646B" w14:textId="77777777" w:rsidR="00494B49" w:rsidRDefault="00494B49">
      <w:pPr>
        <w:pStyle w:val="FootnoteText"/>
      </w:pPr>
      <w:r>
        <w:rPr>
          <w:rStyle w:val="FootnoteReference"/>
        </w:rPr>
        <w:footnoteRef/>
      </w:r>
      <w:r>
        <w:t xml:space="preserve">The $20,000 was assumed to be allocable to net investment income for purposes of the example. </w:t>
      </w:r>
    </w:p>
  </w:footnote>
  <w:footnote w:id="678">
    <w:p w14:paraId="00AF312B" w14:textId="77777777" w:rsidR="00494B49" w:rsidRDefault="00494B49">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follows:$180,000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79">
    <w:p w14:paraId="5BFDFF5C" w14:textId="77777777" w:rsidR="00494B49" w:rsidRDefault="00494B49">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smartTag>
      <w:r>
        <w:t xml:space="preserve"> </w:t>
      </w:r>
      <w:r>
        <w:rPr>
          <w:i/>
        </w:rPr>
        <w:t>Ex.</w:t>
      </w:r>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80">
    <w:p w14:paraId="3A3A43DD" w14:textId="77777777" w:rsidR="00494B49" w:rsidRDefault="00494B49">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1">
    <w:p w14:paraId="684A599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2">
    <w:p w14:paraId="075CBE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3">
    <w:p w14:paraId="0BF935B2"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4">
    <w:p w14:paraId="728DA39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5">
    <w:p w14:paraId="3ECA8F7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6">
    <w:p w14:paraId="7BEF4C9A" w14:textId="77777777" w:rsidR="00494B49" w:rsidRDefault="00494B49">
      <w:pPr>
        <w:pStyle w:val="FootnoteText"/>
      </w:pPr>
      <w:r>
        <w:rPr>
          <w:rStyle w:val="FootnoteReference"/>
        </w:rPr>
        <w:footnoteRef/>
      </w:r>
      <w:smartTag w:uri="http://www.bna.com/sgml2word/cite" w:element="cite.usc">
        <w:smartTagPr>
          <w:attr w:name="ref" w:val="USC\26\67(b)(7)"/>
        </w:smartTagPr>
        <w:r>
          <w:t>§67(b)(7)</w:t>
        </w:r>
      </w:smartTag>
      <w:r>
        <w:t>.</w:t>
      </w:r>
    </w:p>
  </w:footnote>
  <w:footnote w:id="687">
    <w:p w14:paraId="265AB7DE" w14:textId="77777777" w:rsidR="00494B49" w:rsidRDefault="00494B49">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8">
    <w:p w14:paraId="014C864F" w14:textId="77777777" w:rsidR="00494B49" w:rsidRDefault="00494B49">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taken into account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89">
    <w:p w14:paraId="6FC94330" w14:textId="77777777" w:rsidR="00494B49" w:rsidRDefault="00494B49">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90">
    <w:p w14:paraId="172375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taken into account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1">
    <w:p w14:paraId="464CBABF"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2">
    <w:p w14:paraId="08A5163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§1.1411-4(g)(4)(i)</w:t>
        </w:r>
      </w:smartTag>
      <w:r>
        <w:t>–</w:t>
      </w:r>
      <w:smartTag w:uri="http://www.bna.com/sgml2word/cite" w:element="cite.cfr">
        <w:smartTagPr>
          <w:attr w:name="ref" w:val="cfr\26\1.1411-4(g)(4)(iii)"/>
        </w:smartTagPr>
        <w:r>
          <w:t>§1.1411-4(g)(4)(iii)</w:t>
        </w:r>
      </w:smartTag>
      <w:r>
        <w:t>.</w:t>
      </w:r>
    </w:p>
  </w:footnote>
  <w:footnote w:id="693">
    <w:p w14:paraId="40530EB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
        </w:smartTagPr>
        <w:r>
          <w:t>§1.1411-4(g)(4)(i)</w:t>
        </w:r>
      </w:smartTag>
      <w:r>
        <w:t xml:space="preserve">. </w:t>
      </w:r>
    </w:p>
  </w:footnote>
  <w:footnote w:id="694">
    <w:p w14:paraId="4D68FD57" w14:textId="77777777" w:rsidR="00494B49" w:rsidRDefault="00494B49">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§1.1411-4(g)(4)(i)</w:t>
        </w:r>
      </w:smartTag>
      <w:r>
        <w:t xml:space="preserve"> because the beneficiary would be able to take a capital loss into account in computing its net investment income when the terminating estate or trust would not be permitted to do so. </w:t>
      </w:r>
    </w:p>
  </w:footnote>
  <w:footnote w:id="695">
    <w:p w14:paraId="4FCBD18A" w14:textId="77777777" w:rsidR="00494B49" w:rsidRDefault="00494B49">
      <w:pPr>
        <w:pStyle w:val="FootnoteText"/>
      </w:pPr>
      <w:r>
        <w:rPr>
          <w:rStyle w:val="FootnoteReference"/>
        </w:rPr>
        <w:footnoteRef/>
      </w:r>
      <w:r>
        <w:t xml:space="preserve">For a more detailed discussion of the adjustment for capital loss carryforwards,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above.</w:t>
      </w:r>
    </w:p>
  </w:footnote>
  <w:footnote w:id="696">
    <w:p w14:paraId="59327A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7">
    <w:p w14:paraId="008A5CF3" w14:textId="77777777" w:rsidR="00494B49" w:rsidRDefault="00494B49">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8">
    <w:p w14:paraId="571C979D" w14:textId="77777777" w:rsidR="00494B49" w:rsidRDefault="00494B49">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699">
    <w:p w14:paraId="7EF14AD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700">
    <w:p w14:paraId="09D1C3A6" w14:textId="77777777" w:rsidR="00494B49" w:rsidRDefault="00494B49">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1">
    <w:p w14:paraId="4F4B762B" w14:textId="77777777" w:rsidR="00494B49" w:rsidRDefault="00494B49">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2">
    <w:p w14:paraId="1D0138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3">
    <w:p w14:paraId="52E7EB49" w14:textId="77777777" w:rsidR="00494B49" w:rsidRDefault="00494B49">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4">
    <w:p w14:paraId="263A305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5">
    <w:p w14:paraId="215CD41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6">
    <w:p w14:paraId="014069F2" w14:textId="77777777" w:rsidR="00494B49" w:rsidRDefault="00494B49">
      <w:pPr>
        <w:pStyle w:val="FootnoteText"/>
      </w:pPr>
      <w:r>
        <w:rPr>
          <w:rStyle w:val="FootnoteReference"/>
        </w:rPr>
        <w:footnoteRef/>
      </w:r>
      <w:smartTag w:uri="http://www.bna.com/sgml2word/cite" w:element="cite.usc">
        <w:smartTagPr>
          <w:attr w:name="ref" w:val="USC\26\465(a)(1)"/>
        </w:smartTagPr>
        <w:r>
          <w:t>§465(a)(1)</w:t>
        </w:r>
      </w:smartTag>
      <w:r>
        <w:t>.</w:t>
      </w:r>
    </w:p>
  </w:footnote>
  <w:footnote w:id="707">
    <w:p w14:paraId="1F2D0D42" w14:textId="77777777" w:rsidR="00494B49" w:rsidRDefault="00494B49">
      <w:pPr>
        <w:pStyle w:val="FootnoteText"/>
      </w:pPr>
      <w:r>
        <w:rPr>
          <w:rStyle w:val="FootnoteReference"/>
        </w:rPr>
        <w:footnoteRef/>
      </w:r>
      <w:smartTag w:uri="http://www.bna.com/sgml2word/cite" w:element="cite.usc">
        <w:smartTagPr>
          <w:attr w:name="ref" w:val="USC\26\465(d)"/>
        </w:smartTagPr>
        <w:r>
          <w:t>§465(d)</w:t>
        </w:r>
      </w:smartTag>
      <w:r>
        <w:t>.</w:t>
      </w:r>
    </w:p>
  </w:footnote>
  <w:footnote w:id="708">
    <w:p w14:paraId="1E62542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09">
    <w:p w14:paraId="3D4228FA" w14:textId="77777777" w:rsidR="00494B49" w:rsidRDefault="00494B49">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T.C. Memo 1988-166</w:t>
        </w:r>
      </w:smartTag>
      <w:r>
        <w:t xml:space="preserve">; Prop. Reg. </w:t>
      </w:r>
      <w:smartTag w:uri="http://www.bna.com/sgml2word/cite" w:element="cite.cfr">
        <w:smartTagPr>
          <w:attr w:name="ref" w:val="prule\cfr\26\1.465-12(a)"/>
        </w:smartTagPr>
        <w:r>
          <w:t>§1.465-12(a)</w:t>
        </w:r>
      </w:smartTag>
      <w:r>
        <w:t>.</w:t>
      </w:r>
    </w:p>
  </w:footnote>
  <w:footnote w:id="710">
    <w:p w14:paraId="2E2ADCB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1">
    <w:p w14:paraId="3D6345FB" w14:textId="77777777" w:rsidR="00494B49" w:rsidRDefault="00494B49">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allowed and all would be suspended. </w:t>
      </w:r>
    </w:p>
  </w:footnote>
  <w:footnote w:id="712">
    <w:p w14:paraId="248089AC"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3">
    <w:p w14:paraId="722E5D01" w14:textId="77777777" w:rsidR="00494B49" w:rsidRDefault="00494B49">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4">
    <w:p w14:paraId="77B2E1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5">
    <w:p w14:paraId="24757841" w14:textId="77777777" w:rsidR="00494B49" w:rsidRDefault="00494B49">
      <w:pPr>
        <w:pStyle w:val="FootnoteText"/>
      </w:pPr>
      <w:r>
        <w:rPr>
          <w:rStyle w:val="FootnoteReference"/>
        </w:rPr>
        <w:footnoteRef/>
      </w:r>
      <w:r>
        <w:t xml:space="preserve">The amount is not taken into account in computing the taxpayer’s MAGI or net investment income. </w:t>
      </w:r>
    </w:p>
  </w:footnote>
  <w:footnote w:id="716">
    <w:p w14:paraId="499327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7">
    <w:p w14:paraId="2D65544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8">
    <w:p w14:paraId="235E6E53" w14:textId="77777777" w:rsidR="00494B49" w:rsidRDefault="00494B49">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19">
    <w:p w14:paraId="78BB33C6" w14:textId="77777777" w:rsidR="00494B49" w:rsidRDefault="00494B49">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20">
    <w:p w14:paraId="40BE3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1">
    <w:p w14:paraId="5CC4E533"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2">
    <w:p w14:paraId="0899BA62"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3">
    <w:p w14:paraId="0C9007D0" w14:textId="77777777" w:rsidR="00494B49" w:rsidRDefault="00494B49">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4">
    <w:p w14:paraId="0C88719C" w14:textId="77777777" w:rsidR="00494B49" w:rsidRDefault="00494B49">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5">
    <w:p w14:paraId="697B263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6">
    <w:p w14:paraId="3476F7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7">
    <w:p w14:paraId="5308C246" w14:textId="77777777" w:rsidR="00494B49" w:rsidRDefault="00494B49">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1" w:history="1">
        <w:r>
          <w:rPr>
            <w:rStyle w:val="Hyperlink"/>
            <w:i/>
          </w:rPr>
          <w:t>Limitation on Excess Business Losses of Noncorporate Taxpayers</w:t>
        </w:r>
      </w:hyperlink>
      <w:r>
        <w:t>.</w:t>
      </w:r>
    </w:p>
  </w:footnote>
  <w:footnote w:id="728">
    <w:p w14:paraId="1211DF22" w14:textId="77777777" w:rsidR="00494B49" w:rsidRDefault="00494B49">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29">
    <w:p w14:paraId="52A9DDD0" w14:textId="77777777" w:rsidR="00494B49" w:rsidRDefault="00494B49">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30">
    <w:p w14:paraId="59AF52D2" w14:textId="77777777" w:rsidR="00494B49" w:rsidRDefault="00494B49">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1">
    <w:p w14:paraId="36092F76" w14:textId="77777777" w:rsidR="00494B49" w:rsidRDefault="00494B49">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2">
    <w:p w14:paraId="196E8E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w:t>
      </w:r>
    </w:p>
  </w:footnote>
  <w:footnote w:id="733">
    <w:p w14:paraId="4155B793" w14:textId="77777777" w:rsidR="00494B49" w:rsidRDefault="00494B49">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4">
    <w:p w14:paraId="10706490"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5">
    <w:p w14:paraId="42CE99D7"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6">
    <w:p w14:paraId="0AF0A96C" w14:textId="77777777" w:rsidR="00494B49" w:rsidRDefault="00494B49">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7">
    <w:p w14:paraId="4DA03F5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38">
    <w:p w14:paraId="17A9F14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39">
    <w:p w14:paraId="6D99E50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40">
    <w:p w14:paraId="43F3BB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1">
    <w:p w14:paraId="786ADA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42">
    <w:p w14:paraId="365EBAF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3">
    <w:p w14:paraId="6B37D7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4">
    <w:p w14:paraId="586151B0"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5">
    <w:p w14:paraId="2887B87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6">
    <w:p w14:paraId="79BC5371"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take into account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7">
    <w:p w14:paraId="48DA0851" w14:textId="77777777" w:rsidR="00494B49" w:rsidRDefault="00494B49">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8">
    <w:p w14:paraId="6F7DE569" w14:textId="77777777" w:rsidR="00494B49" w:rsidRDefault="00494B49">
      <w:pPr>
        <w:pStyle w:val="FootnoteText"/>
      </w:pPr>
      <w:r>
        <w:rPr>
          <w:rStyle w:val="FootnoteReference"/>
        </w:rPr>
        <w:footnoteRef/>
      </w:r>
      <w:r>
        <w:t xml:space="preserve">To generate a Section 1411 NOL, the taxpayer must (i)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49">
    <w:p w14:paraId="4BD6F31E" w14:textId="77777777" w:rsidR="00494B49" w:rsidRDefault="00494B49">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50">
    <w:p w14:paraId="103997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1">
    <w:p w14:paraId="0C647656" w14:textId="77777777" w:rsidR="00494B49" w:rsidRDefault="00494B49">
      <w:pPr>
        <w:pStyle w:val="FootnoteText"/>
      </w:pPr>
      <w:r>
        <w:rPr>
          <w:rStyle w:val="FootnoteReference"/>
        </w:rPr>
        <w:footnoteRef/>
      </w:r>
      <w:r>
        <w:t xml:space="preserve">This conclusion is confirmed in the </w:t>
      </w:r>
      <w:hyperlink r:id="rId12" w:history="1">
        <w:r>
          <w:rPr>
            <w:rStyle w:val="Hyperlink"/>
          </w:rPr>
          <w:t>Instructions for Form 8960</w:t>
        </w:r>
      </w:hyperlink>
      <w:r>
        <w:t>.</w:t>
      </w:r>
    </w:p>
  </w:footnote>
  <w:footnote w:id="752">
    <w:p w14:paraId="051C85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3">
    <w:p w14:paraId="324BAAC6" w14:textId="77777777" w:rsidR="00494B49" w:rsidRDefault="00494B49">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4">
    <w:p w14:paraId="1BE32C33"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above.</w:t>
      </w:r>
    </w:p>
  </w:footnote>
  <w:footnote w:id="755">
    <w:p w14:paraId="752351D4" w14:textId="77777777" w:rsidR="00494B49" w:rsidRDefault="00494B49">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6">
    <w:p w14:paraId="67071FC9"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w:t>
      </w:r>
    </w:p>
  </w:footnote>
  <w:footnote w:id="757">
    <w:p w14:paraId="175B3FE8"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8">
    <w:p w14:paraId="22AF719D"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59">
    <w:p w14:paraId="3FA64EB4"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referred to the intent as “achiev[ing] parity.” </w:t>
      </w:r>
      <w:r>
        <w:rPr>
          <w:i/>
        </w:rPr>
        <w:t>See</w:t>
      </w:r>
      <w:r>
        <w:t xml:space="preserve"> Preamble, 2012 Proposed Regulations, Part 8.</w:t>
      </w:r>
    </w:p>
  </w:footnote>
  <w:footnote w:id="760">
    <w:p w14:paraId="6A2631D8" w14:textId="77777777" w:rsidR="00494B49" w:rsidRDefault="00494B49">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1">
    <w:p w14:paraId="56531F3B" w14:textId="77777777" w:rsidR="00494B49" w:rsidRDefault="00494B49">
      <w:pPr>
        <w:pStyle w:val="FootnoteText"/>
      </w:pPr>
      <w:r>
        <w:rPr>
          <w:rStyle w:val="FootnoteReference"/>
        </w:rPr>
        <w:footnoteRef/>
      </w:r>
      <w:r>
        <w:t>2012 Prop. Reg. §1.1411-7.</w:t>
      </w:r>
    </w:p>
  </w:footnote>
  <w:footnote w:id="762">
    <w:p w14:paraId="4DE20CA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3">
    <w:p w14:paraId="740B2911" w14:textId="77777777" w:rsidR="00494B49" w:rsidRDefault="00494B49">
      <w:pPr>
        <w:pStyle w:val="FootnoteText"/>
      </w:pPr>
      <w:r>
        <w:rPr>
          <w:rStyle w:val="FootnoteReference"/>
        </w:rPr>
        <w:footnoteRef/>
      </w:r>
      <w:r>
        <w:t xml:space="preserve">See discussion in </w:t>
      </w:r>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VI.C.1.</w:t>
        </w:r>
      </w:smartTag>
      <w:r>
        <w:t>, below.</w:t>
      </w:r>
    </w:p>
  </w:footnote>
  <w:footnote w:id="764">
    <w:p w14:paraId="6B33744C" w14:textId="77777777" w:rsidR="00494B49" w:rsidRDefault="00494B49">
      <w:pPr>
        <w:pStyle w:val="FootnoteText"/>
      </w:pPr>
      <w:r>
        <w:rPr>
          <w:rStyle w:val="FootnoteReference"/>
        </w:rPr>
        <w:footnoteRef/>
      </w:r>
      <w:r>
        <w:t xml:space="preserve">Here is a link to the current version of </w:t>
      </w:r>
      <w:hyperlink r:id="rId13" w:history="1">
        <w:r>
          <w:rPr>
            <w:rStyle w:val="Hyperlink"/>
          </w:rPr>
          <w:t xml:space="preserve">Form 8960, </w:t>
        </w:r>
        <w:r>
          <w:rPr>
            <w:rStyle w:val="Hyperlink"/>
            <w:i/>
          </w:rPr>
          <w:t>Net Investment Income Tax Individuals, Estates, and Trusts</w:t>
        </w:r>
      </w:hyperlink>
      <w:r>
        <w:t>.</w:t>
      </w:r>
    </w:p>
  </w:footnote>
  <w:footnote w:id="765">
    <w:p w14:paraId="3001830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w:t>
      </w:r>
    </w:p>
  </w:footnote>
  <w:footnote w:id="766">
    <w:p w14:paraId="450C1096"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7">
    <w:p w14:paraId="7AE5260D" w14:textId="77777777" w:rsidR="00494B49" w:rsidRDefault="00494B49">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8">
    <w:p w14:paraId="43F1BF94" w14:textId="77777777" w:rsidR="00494B49" w:rsidRDefault="00494B49">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69">
    <w:p w14:paraId="2C4F582C" w14:textId="77777777" w:rsidR="00494B49" w:rsidRDefault="00494B49">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70">
    <w:p w14:paraId="7AF66DCB" w14:textId="77777777" w:rsidR="00494B49" w:rsidRDefault="00494B49">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1">
    <w:p w14:paraId="5ADEEE7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2">
    <w:p w14:paraId="356F56D3"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3">
    <w:p w14:paraId="0B629F58" w14:textId="77777777" w:rsidR="00494B49" w:rsidRDefault="00494B49">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4">
    <w:p w14:paraId="61879968"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5">
    <w:p w14:paraId="2A150B9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 xml:space="preserve"> (second sentence).</w:t>
      </w:r>
    </w:p>
  </w:footnote>
  <w:footnote w:id="776">
    <w:p w14:paraId="046A6D69" w14:textId="77777777" w:rsidR="00494B49" w:rsidRDefault="00494B49">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7">
    <w:p w14:paraId="01F4088D" w14:textId="77777777" w:rsidR="00494B49" w:rsidRDefault="00494B49">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8">
    <w:p w14:paraId="09F8AD91" w14:textId="77777777" w:rsidR="00494B49" w:rsidRDefault="00494B49">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79">
    <w:p w14:paraId="24274AD4"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80">
    <w:p w14:paraId="126E6580" w14:textId="77777777" w:rsidR="00494B49" w:rsidRDefault="00494B49">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1">
    <w:p w14:paraId="3038967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§1411(c)(1)(A)(i)</w:t>
        </w:r>
      </w:smartTag>
      <w:r>
        <w:t>).</w:t>
      </w:r>
    </w:p>
  </w:footnote>
  <w:footnote w:id="782">
    <w:p w14:paraId="05F0FC7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3">
    <w:p w14:paraId="0912C11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4">
    <w:p w14:paraId="2F85FBE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
        </w:smartTagPr>
        <w:r>
          <w:t>§1.1411-7(b)(1)(i)</w:t>
        </w:r>
      </w:smartTag>
      <w:r>
        <w:t>.</w:t>
      </w:r>
    </w:p>
  </w:footnote>
  <w:footnote w:id="785">
    <w:p w14:paraId="421E017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6">
    <w:p w14:paraId="142AC59A"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7">
    <w:p w14:paraId="47EB69E1"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8">
    <w:p w14:paraId="2D49BAC6"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89">
    <w:p w14:paraId="008F163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90">
    <w:p w14:paraId="0C5354F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1">
    <w:p w14:paraId="73EEF7D8" w14:textId="77777777" w:rsidR="00494B49" w:rsidRDefault="00494B49">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2">
    <w:p w14:paraId="31A711B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§1.469-4(d)(1)(i)(A)</w:t>
        </w:r>
      </w:smartTag>
      <w:r>
        <w:t>.</w:t>
      </w:r>
    </w:p>
  </w:footnote>
  <w:footnote w:id="793">
    <w:p w14:paraId="715E8B0A"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4">
    <w:p w14:paraId="5308F35F" w14:textId="77777777" w:rsidR="00494B49" w:rsidRDefault="00494B49">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5">
    <w:p w14:paraId="196D5D5A"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6">
    <w:p w14:paraId="13A317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7">
    <w:p w14:paraId="72C44A8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8">
    <w:p w14:paraId="6F6C5E5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9">
    <w:p w14:paraId="2B6CBB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055579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1">
    <w:p w14:paraId="3B1F25E8" w14:textId="77777777" w:rsidR="00494B49" w:rsidRDefault="00494B49">
      <w:pPr>
        <w:pStyle w:val="FootnoteText"/>
      </w:pPr>
      <w:r>
        <w:rPr>
          <w:rStyle w:val="FootnoteReference"/>
        </w:rPr>
        <w:footnoteRef/>
      </w:r>
      <w:smartTag w:uri="http://www.bna.com/sgml2word/cite" w:element="cite.usc">
        <w:smartTagPr>
          <w:attr w:name="ref" w:val="usc\26\704(d)(3)"/>
        </w:smartTagPr>
        <w:r>
          <w:t>§704(d)(3)</w:t>
        </w:r>
      </w:smartTag>
      <w:r>
        <w:t>.</w:t>
      </w:r>
    </w:p>
  </w:footnote>
  <w:footnote w:id="802">
    <w:p w14:paraId="34FE05AE"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3">
    <w:p w14:paraId="102CBA3B" w14:textId="77777777" w:rsidR="00494B49" w:rsidRDefault="00494B49">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4">
    <w:p w14:paraId="1EF130FE" w14:textId="77777777" w:rsidR="00494B49" w:rsidRDefault="00494B49">
      <w:pPr>
        <w:pStyle w:val="FootnoteText"/>
      </w:pPr>
      <w:r>
        <w:rPr>
          <w:rStyle w:val="FootnoteReference"/>
        </w:rPr>
        <w:footnoteRef/>
      </w:r>
      <w:r>
        <w:t xml:space="preserve">For a discussion of the information reporting requirements for A, see </w:t>
      </w:r>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VI.B.3.</w:t>
        </w:r>
      </w:smartTag>
      <w:r>
        <w:t xml:space="preserve">, below. </w:t>
      </w:r>
    </w:p>
  </w:footnote>
  <w:footnote w:id="805">
    <w:p w14:paraId="25F145A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6">
    <w:p w14:paraId="340A1F84" w14:textId="77777777" w:rsidR="00494B49" w:rsidRDefault="00494B49">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7">
    <w:p w14:paraId="0367CA7F" w14:textId="77777777" w:rsidR="00494B49" w:rsidRDefault="00494B49">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8">
    <w:p w14:paraId="3FD01ED0" w14:textId="77777777" w:rsidR="00494B49" w:rsidRDefault="00494B49">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09">
    <w:p w14:paraId="2E3ADFA4"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10">
    <w:p w14:paraId="23A254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1">
    <w:p w14:paraId="258C7AEA" w14:textId="77777777" w:rsidR="00494B49" w:rsidRDefault="00494B49">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2">
    <w:p w14:paraId="19541CC8"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3">
    <w:p w14:paraId="4AE0D9D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4">
    <w:p w14:paraId="2F127F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5">
    <w:p w14:paraId="73A0DD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
        </w:smartTagPr>
        <w:r>
          <w:t>§1.1411-7(c)(2)(i)</w:t>
        </w:r>
      </w:smartTag>
      <w:r>
        <w:t>.</w:t>
      </w:r>
    </w:p>
  </w:footnote>
  <w:footnote w:id="816">
    <w:p w14:paraId="7D4D38E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
        </w:smartTagPr>
        <w:r>
          <w:t>§1.1411-7(c)(3)(i)</w:t>
        </w:r>
      </w:smartTag>
      <w:r>
        <w:t xml:space="preserve">. </w:t>
      </w:r>
    </w:p>
  </w:footnote>
  <w:footnote w:id="817">
    <w:p w14:paraId="168DCA05" w14:textId="77777777" w:rsidR="00494B49" w:rsidRDefault="00494B49">
      <w:pPr>
        <w:pStyle w:val="FootnoteText"/>
      </w:pPr>
      <w:r>
        <w:rPr>
          <w:rStyle w:val="FootnoteReference"/>
        </w:rPr>
        <w:footnoteRef/>
      </w:r>
      <w:r>
        <w:t>For example, an acquisition of a partnership that was distributed from a C corporation and treated as a sale.</w:t>
      </w:r>
    </w:p>
  </w:footnote>
  <w:footnote w:id="818">
    <w:p w14:paraId="588BE7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19">
    <w:p w14:paraId="0A3450E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20">
    <w:p w14:paraId="140FA98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1">
    <w:p w14:paraId="37E72EBB" w14:textId="77777777" w:rsidR="00494B49" w:rsidRDefault="00494B49">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2">
    <w:p w14:paraId="3AF8867D" w14:textId="77777777" w:rsidR="00494B49" w:rsidRDefault="00494B49">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3">
    <w:p w14:paraId="6B4C38F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4">
    <w:p w14:paraId="6632F1A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5">
    <w:p w14:paraId="4B6CEF2D"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6">
    <w:p w14:paraId="2D207FF1"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7">
    <w:p w14:paraId="52D91E4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8">
    <w:p w14:paraId="6E6BB9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29">
    <w:p w14:paraId="35AF9BB4" w14:textId="77777777" w:rsidR="00494B49" w:rsidRDefault="00494B49">
      <w:pPr>
        <w:pStyle w:val="FootnoteText"/>
      </w:pPr>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p>
  </w:footnote>
  <w:footnote w:id="830">
    <w:p w14:paraId="2CF52A2C" w14:textId="77777777" w:rsidR="00494B49" w:rsidRDefault="00494B49">
      <w:pPr>
        <w:pStyle w:val="FootnoteText"/>
      </w:pPr>
      <w:r>
        <w:rPr>
          <w:rStyle w:val="FootnoteReference"/>
        </w:rPr>
        <w:footnoteRef/>
      </w:r>
      <w:r>
        <w:t xml:space="preserve">The use of the phrase “net income” is meant to follow the same logic as “net NII” in the preceding footnote. </w:t>
      </w:r>
    </w:p>
  </w:footnote>
  <w:footnote w:id="831">
    <w:p w14:paraId="545FB5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2">
    <w:p w14:paraId="76BED49B" w14:textId="77777777" w:rsidR="00494B49" w:rsidRDefault="00494B49">
      <w:pPr>
        <w:pStyle w:val="FootnoteText"/>
      </w:pPr>
      <w:r>
        <w:rPr>
          <w:rStyle w:val="FootnoteReference"/>
        </w:rPr>
        <w:footnoteRef/>
      </w:r>
      <w:r>
        <w:t xml:space="preserve">Under 2013 Prop. Reg. </w:t>
      </w:r>
      <w:smartTag w:uri="http://www.bna.com/sgml2word/cite" w:element="cite.cfr">
        <w:smartTagPr>
          <w:attr w:name="ref" w:val="prule\cfr\26\1.1411-7"/>
        </w:smartTagPr>
        <w:r>
          <w:t>§1.1411-7(c)(2)(i)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3">
    <w:p w14:paraId="11EF3440"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4">
    <w:p w14:paraId="20B42B2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5">
    <w:p w14:paraId="3AE76D7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6">
    <w:p w14:paraId="5B5EB429"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7">
    <w:p w14:paraId="5B326B80"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38">
    <w:p w14:paraId="3852E8D7"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39">
    <w:p w14:paraId="5FBB43B0"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40">
    <w:p w14:paraId="2E20B0FF" w14:textId="77777777" w:rsidR="00494B49" w:rsidRDefault="00494B49">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1">
    <w:p w14:paraId="3732FC5B" w14:textId="77777777" w:rsidR="00494B49" w:rsidRDefault="00494B49">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2">
    <w:p w14:paraId="3A08011B" w14:textId="77777777" w:rsidR="00494B49" w:rsidRDefault="00494B49">
      <w:pPr>
        <w:pStyle w:val="FootnoteText"/>
      </w:pPr>
      <w:r>
        <w:rPr>
          <w:rStyle w:val="FootnoteReference"/>
        </w:rPr>
        <w:footnoteRef/>
      </w:r>
      <w:smartTag w:uri="http://www.bna.com/sgml2word/cite" w:element="cite.usc">
        <w:smartTagPr>
          <w:attr w:name="ref" w:val="USC\26\1361(d)(1)(C)"/>
        </w:smartTagPr>
        <w:r>
          <w:t>§1361(d)(1)(C)</w:t>
        </w:r>
      </w:smartTag>
      <w:r>
        <w:t>.</w:t>
      </w:r>
    </w:p>
  </w:footnote>
  <w:footnote w:id="843">
    <w:p w14:paraId="601F3EA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4">
    <w:p w14:paraId="29B452D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5">
    <w:p w14:paraId="05DA830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6">
    <w:p w14:paraId="2AE09E19"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7">
    <w:p w14:paraId="061DEBA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48">
    <w:p w14:paraId="44E6B6A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49">
    <w:p w14:paraId="61F9A245" w14:textId="77777777" w:rsidR="00494B49" w:rsidRDefault="00494B49">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50">
    <w:p w14:paraId="40D31219" w14:textId="77777777" w:rsidR="00494B49" w:rsidRDefault="00494B49">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1">
    <w:p w14:paraId="7C6A2B89" w14:textId="77777777" w:rsidR="00494B49" w:rsidRDefault="00494B49">
      <w:pPr>
        <w:pStyle w:val="FootnoteText"/>
      </w:pPr>
      <w:r>
        <w:rPr>
          <w:rStyle w:val="FootnoteReference"/>
        </w:rPr>
        <w:footnoteRef/>
      </w:r>
      <w:r>
        <w:t>The 2013 Proposed Regulations refer to the lower-tier partnership as a “Subsidiary Passthrough Entity.”</w:t>
      </w:r>
    </w:p>
  </w:footnote>
  <w:footnote w:id="852">
    <w:p w14:paraId="10151A89" w14:textId="77777777" w:rsidR="00494B49" w:rsidRDefault="00494B49">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3">
    <w:p w14:paraId="14A7C5AD"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VI.B.2.</w:t>
        </w:r>
      </w:smartTag>
      <w:r>
        <w:t>, above.</w:t>
      </w:r>
    </w:p>
  </w:footnote>
  <w:footnote w:id="854">
    <w:p w14:paraId="035731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5">
    <w:p w14:paraId="430EEEB2"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6">
    <w:p w14:paraId="2EE7F7EF"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7">
    <w:p w14:paraId="141F5A6D"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58">
    <w:p w14:paraId="11DCCFD5"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59">
    <w:p w14:paraId="5F1DD5C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60">
    <w:p w14:paraId="169E0982" w14:textId="77777777" w:rsidR="00494B49" w:rsidRDefault="00494B49">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1">
    <w:p w14:paraId="47DF8323" w14:textId="77777777" w:rsidR="00494B49" w:rsidRDefault="00494B49">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2">
    <w:p w14:paraId="64B6B76B" w14:textId="77777777" w:rsidR="00494B49" w:rsidRDefault="00494B49">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3">
    <w:p w14:paraId="50A77EAE" w14:textId="77777777" w:rsidR="00494B49" w:rsidRDefault="00494B49">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4">
    <w:p w14:paraId="44B3A7E3"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5">
    <w:p w14:paraId="3B3C7EAA"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6">
    <w:p w14:paraId="1AD41960"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7">
    <w:p w14:paraId="55DE34A4"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68">
    <w:p w14:paraId="48965D55"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69">
    <w:p w14:paraId="4B8752FB" w14:textId="77777777" w:rsidR="00494B49" w:rsidRDefault="00494B49">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70">
    <w:p w14:paraId="21873D81"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1">
    <w:p w14:paraId="5C4F3AEE" w14:textId="77777777" w:rsidR="00494B49" w:rsidRDefault="00494B49">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2">
    <w:p w14:paraId="669497B9"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3">
    <w:p w14:paraId="6D8D772F"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4">
    <w:p w14:paraId="67224440"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5">
    <w:p w14:paraId="28A146F5"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6">
    <w:p w14:paraId="4E2BFA9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7">
    <w:p w14:paraId="08389D84" w14:textId="77777777" w:rsidR="00494B49" w:rsidRDefault="00494B49">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78">
    <w:p w14:paraId="7EFF88B2"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79">
    <w:p w14:paraId="2C2C1A43"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80">
    <w:p w14:paraId="32F85116" w14:textId="77777777" w:rsidR="00494B49" w:rsidRDefault="00494B49">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1">
    <w:p w14:paraId="7B4B7D2C"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2">
    <w:p w14:paraId="1A0E0C6E" w14:textId="77777777" w:rsidR="00494B49" w:rsidRDefault="00494B49">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3">
    <w:p w14:paraId="27FF8CCA" w14:textId="77777777" w:rsidR="00494B49" w:rsidRDefault="00494B49">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4">
    <w:p w14:paraId="11C8D709"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5">
    <w:p w14:paraId="60EE29D7" w14:textId="77777777" w:rsidR="00494B49" w:rsidRDefault="00494B49">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6">
    <w:p w14:paraId="2BC81870" w14:textId="77777777" w:rsidR="00494B49" w:rsidRDefault="00494B49">
      <w:pPr>
        <w:pStyle w:val="FootnoteText"/>
      </w:pPr>
      <w:r>
        <w:rPr>
          <w:rStyle w:val="FootnoteReference"/>
        </w:rPr>
        <w:footnoteRef/>
      </w:r>
      <w:smartTag w:uri="http://www.bna.com/sgml2word/cite" w:element="cite.usc">
        <w:smartTagPr>
          <w:attr w:name="ref" w:val="usc\26\961(d)"/>
        </w:smartTagPr>
        <w:r>
          <w:t>§961(d)</w:t>
        </w:r>
      </w:smartTag>
      <w:r>
        <w:t>.</w:t>
      </w:r>
    </w:p>
  </w:footnote>
  <w:footnote w:id="887">
    <w:p w14:paraId="365E59C7"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88">
    <w:p w14:paraId="5CA70002"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89">
    <w:p w14:paraId="0DB828F7"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w:t>
      </w:r>
    </w:p>
  </w:footnote>
  <w:footnote w:id="890">
    <w:p w14:paraId="6D08563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1">
    <w:p w14:paraId="73E01E38" w14:textId="77777777" w:rsidR="00494B49" w:rsidRDefault="00494B49">
      <w:pPr>
        <w:pStyle w:val="FootnoteText"/>
      </w:pPr>
      <w:r>
        <w:rPr>
          <w:rStyle w:val="FootnoteReference"/>
        </w:rPr>
        <w:footnoteRef/>
      </w:r>
      <w:smartTag w:uri="http://www.bna.com/sgml2word/cite" w:element="cite.usc">
        <w:smartTagPr>
          <w:attr w:name="ref" w:val="USC\26\1291(a)(1)(B)"/>
        </w:smartTagPr>
        <w:r>
          <w:t>§1291(a)(1)(B)</w:t>
        </w:r>
      </w:smartTag>
      <w:r>
        <w:t>.</w:t>
      </w:r>
    </w:p>
  </w:footnote>
  <w:footnote w:id="892">
    <w:p w14:paraId="77F44AFE" w14:textId="77777777" w:rsidR="00494B49" w:rsidRDefault="00494B49">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3">
    <w:p w14:paraId="71EDEDD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4">
    <w:p w14:paraId="4FC9CC1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5">
    <w:p w14:paraId="0BA73B64" w14:textId="77777777" w:rsidR="00494B49" w:rsidRDefault="00494B49">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6">
    <w:p w14:paraId="299E25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7">
    <w:p w14:paraId="3304EB84" w14:textId="77777777" w:rsidR="00494B49" w:rsidRDefault="00494B49">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898">
    <w:p w14:paraId="5ECBFB52" w14:textId="77777777" w:rsidR="00494B49" w:rsidRDefault="00494B49">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899">
    <w:p w14:paraId="527566D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295-1(i)"/>
        </w:smartTagPr>
        <w:r>
          <w:t>§1.1295-1(i)</w:t>
        </w:r>
      </w:smartTag>
      <w:r>
        <w:t xml:space="preserve"> for more detail on the termination or revocation of the QEF election, including situations where the QEF election is automatically terminated. </w:t>
      </w:r>
    </w:p>
  </w:footnote>
  <w:footnote w:id="900">
    <w:p w14:paraId="7CF7D93D" w14:textId="77777777" w:rsidR="00494B49" w:rsidRDefault="00494B49">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1">
    <w:p w14:paraId="4B55F8C3" w14:textId="77777777" w:rsidR="00494B49" w:rsidRDefault="00494B49">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2">
    <w:p w14:paraId="3C353791" w14:textId="77777777" w:rsidR="00494B49" w:rsidRDefault="00494B49">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3">
    <w:p w14:paraId="60A190A3" w14:textId="77777777" w:rsidR="00494B49" w:rsidRDefault="00494B49">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4">
    <w:p w14:paraId="3136AAB0" w14:textId="77777777" w:rsidR="00494B49" w:rsidRDefault="00494B49">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5">
    <w:p w14:paraId="193EE3E1" w14:textId="77777777" w:rsidR="00494B49" w:rsidRDefault="00494B49">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6">
    <w:p w14:paraId="1CB8DC39" w14:textId="77777777" w:rsidR="00494B49" w:rsidRDefault="00494B49">
      <w:pPr>
        <w:pStyle w:val="FootnoteText"/>
      </w:pPr>
      <w:r>
        <w:rPr>
          <w:rStyle w:val="FootnoteReference"/>
        </w:rPr>
        <w:footnoteRef/>
      </w:r>
      <w:r>
        <w:t xml:space="preserve">Reg. </w:t>
      </w:r>
      <w:smartTag w:uri="http://www.bna.com/sgml2word/cite" w:element="cite.cfr">
        <w:smartTagPr>
          <w:attr w:name="ref" w:val="cfr\26\1.1296-1(h)(3)(i)"/>
        </w:smartTagPr>
        <w:r>
          <w:t>§1.1296-1(h)(3)(i)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7">
    <w:p w14:paraId="7AE533FF" w14:textId="77777777" w:rsidR="00494B49" w:rsidRDefault="00494B49">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§1.1296-1(h)(3)(i)</w:t>
        </w:r>
      </w:smartTag>
      <w:r>
        <w:t>. Similar rules apply in the case of the revocation of a QEF election.</w:t>
      </w:r>
    </w:p>
  </w:footnote>
  <w:footnote w:id="908">
    <w:p w14:paraId="4608ADCE" w14:textId="77777777" w:rsidR="00494B49" w:rsidRDefault="00494B49">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09">
    <w:p w14:paraId="56008E87" w14:textId="77777777" w:rsidR="00494B49" w:rsidRDefault="00494B49">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10">
    <w:p w14:paraId="6E68B0F3" w14:textId="77777777" w:rsidR="00494B49" w:rsidRDefault="00494B49">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1">
    <w:p w14:paraId="4159474C" w14:textId="77777777" w:rsidR="00494B49" w:rsidRDefault="00494B49">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2">
    <w:p w14:paraId="191113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3">
    <w:p w14:paraId="3F27624F" w14:textId="77777777" w:rsidR="00494B49" w:rsidRDefault="00494B49">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X.B.4.</w:t>
        </w:r>
      </w:smartTag>
      <w:smartTag w:uri="http://www.bna.com/sgml2word/cite" w:element="cite.bna.reference">
        <w:smartTagPr>
          <w:attr w:name="bna.id.ref" w:val="TM\873.X.B.4"/>
        </w:smartTagPr>
        <w:r>
          <w:t>X.B.4.</w:t>
        </w:r>
      </w:smartTag>
      <w:r>
        <w:t>, below.</w:t>
      </w:r>
    </w:p>
  </w:footnote>
  <w:footnote w:id="914">
    <w:p w14:paraId="64F34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5">
    <w:p w14:paraId="65039BDB" w14:textId="77777777" w:rsidR="00494B49" w:rsidRDefault="00494B49">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6">
    <w:p w14:paraId="567EFC32" w14:textId="77777777" w:rsidR="00494B49" w:rsidRDefault="00494B49">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7">
    <w:p w14:paraId="609DE99F" w14:textId="77777777" w:rsidR="00494B49" w:rsidRDefault="00494B49">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§1411(c)(1)(A)(i)</w:t>
        </w:r>
      </w:smartTag>
      <w:r>
        <w:t xml:space="preserve">. Reg. </w:t>
      </w:r>
      <w:smartTag w:uri="http://www.bna.com/sgml2word/cite" w:element="cite.cfr">
        <w:smartTagPr>
          <w:attr w:name="ref" w:val="cfr\26\1.1411-10(c)(1)"/>
        </w:smartTagPr>
        <w:r>
          <w:t>§1.1411-10(c)(1)</w:t>
        </w:r>
      </w:smartTag>
      <w:r>
        <w:t>.</w:t>
      </w:r>
    </w:p>
  </w:footnote>
  <w:footnote w:id="918">
    <w:p w14:paraId="25186256" w14:textId="77777777" w:rsidR="00494B49" w:rsidRDefault="00494B49">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19">
    <w:p w14:paraId="33815476" w14:textId="77777777" w:rsidR="00494B49" w:rsidRDefault="00494B49">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20">
    <w:p w14:paraId="0391F6D5"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1">
    <w:p w14:paraId="11B6F331"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2">
    <w:p w14:paraId="329C5FEA" w14:textId="77777777" w:rsidR="00494B49" w:rsidRDefault="00494B49">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3">
    <w:p w14:paraId="341867EE"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Regulations, and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4">
    <w:p w14:paraId="2757D9B9" w14:textId="77777777" w:rsidR="00494B49" w:rsidRDefault="00494B49">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w:t>
      </w:r>
    </w:p>
  </w:footnote>
  <w:footnote w:id="925">
    <w:p w14:paraId="704853E3" w14:textId="77777777" w:rsidR="00494B49" w:rsidRDefault="00494B49">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6">
    <w:p w14:paraId="21C728D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§1.1411-10(c)(1)(i)(B)</w:t>
        </w:r>
      </w:smartTag>
      <w:r>
        <w:t xml:space="preserve">. </w:t>
      </w:r>
    </w:p>
  </w:footnote>
  <w:footnote w:id="927">
    <w:p w14:paraId="7075D5C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28">
    <w:p w14:paraId="73973D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29">
    <w:p w14:paraId="0C12302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0">
    <w:p w14:paraId="30CD1A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1">
    <w:p w14:paraId="4780BF1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2">
    <w:p w14:paraId="313062E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3">
    <w:p w14:paraId="284DEC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4">
    <w:p w14:paraId="507EEA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A)"/>
        </w:smartTagPr>
        <w:r>
          <w:t>§1.1411-10(d)(1)(i)(A)</w:t>
        </w:r>
      </w:smartTag>
      <w:r>
        <w:t xml:space="preserve">. </w:t>
      </w:r>
    </w:p>
  </w:footnote>
  <w:footnote w:id="935">
    <w:p w14:paraId="3007F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B)"/>
        </w:smartTagPr>
        <w:r>
          <w:t>§1.1411-10(d)(1)(i)(B)</w:t>
        </w:r>
      </w:smartTag>
      <w:r>
        <w:t>.</w:t>
      </w:r>
    </w:p>
  </w:footnote>
  <w:footnote w:id="936">
    <w:p w14:paraId="3DA0DB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7">
    <w:p w14:paraId="5F0C97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8">
    <w:p w14:paraId="012DB6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
        </w:smartTagPr>
        <w:r>
          <w:t>§1.1411-10(d)(1)(i)</w:t>
        </w:r>
      </w:smartTag>
      <w:r>
        <w:t>.</w:t>
      </w:r>
    </w:p>
  </w:footnote>
  <w:footnote w:id="939">
    <w:p w14:paraId="51BFC81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0">
    <w:p w14:paraId="456CB21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1">
    <w:p w14:paraId="75F7F796" w14:textId="77777777" w:rsidR="00494B49" w:rsidRDefault="00494B49">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2">
    <w:p w14:paraId="44E22549"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3">
    <w:p w14:paraId="32BD3BA9" w14:textId="77777777" w:rsidR="00494B49" w:rsidRDefault="00494B49">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4">
    <w:p w14:paraId="20A689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 xml:space="preserve">. </w:t>
      </w:r>
    </w:p>
  </w:footnote>
  <w:footnote w:id="945">
    <w:p w14:paraId="2FF8BBA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6">
    <w:p w14:paraId="7444853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w:t>
      </w:r>
    </w:p>
  </w:footnote>
  <w:footnote w:id="947">
    <w:p w14:paraId="03B726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48">
    <w:p w14:paraId="244484E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49">
    <w:p w14:paraId="73AA74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50">
    <w:p w14:paraId="6D4C8D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1">
    <w:p w14:paraId="2CDEA0C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2">
    <w:p w14:paraId="73C9D9D0" w14:textId="77777777" w:rsidR="00494B49" w:rsidRDefault="00494B49">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3">
    <w:p w14:paraId="21B5E844" w14:textId="77777777" w:rsidR="00494B49" w:rsidRDefault="00494B49">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4">
    <w:p w14:paraId="5A9C3B2A" w14:textId="77777777" w:rsidR="00494B49" w:rsidRDefault="00494B49">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5">
    <w:p w14:paraId="369698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6">
    <w:p w14:paraId="4A65ED20" w14:textId="77777777" w:rsidR="00494B49" w:rsidRDefault="00494B49">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7">
    <w:p w14:paraId="4346B10D" w14:textId="77777777" w:rsidR="00494B49" w:rsidRDefault="00494B49">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apparently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58">
    <w:p w14:paraId="0A0324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59">
    <w:p w14:paraId="358AE8E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960">
    <w:p w14:paraId="2D14D7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1">
    <w:p w14:paraId="13A117C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2">
    <w:p w14:paraId="261AE4EC" w14:textId="77777777" w:rsidR="00494B49" w:rsidRDefault="00494B49">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3">
    <w:p w14:paraId="70CCF637" w14:textId="77777777" w:rsidR="00494B49" w:rsidRDefault="00494B49">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4">
    <w:p w14:paraId="020E9CF0" w14:textId="77777777" w:rsidR="00494B49" w:rsidRDefault="00494B49">
      <w:pPr>
        <w:pStyle w:val="FootnoteText"/>
      </w:pPr>
      <w:r>
        <w:rPr>
          <w:rStyle w:val="FootnoteReference"/>
        </w:rPr>
        <w:footnoteRef/>
      </w:r>
      <w:hyperlink r:id="rId14" w:history="1">
        <w:r>
          <w:rPr>
            <w:rStyle w:val="Hyperlink"/>
          </w:rPr>
          <w:t>2021 Instructions for Form 1040</w:t>
        </w:r>
      </w:hyperlink>
      <w:r>
        <w:t>.</w:t>
      </w:r>
    </w:p>
  </w:footnote>
  <w:footnote w:id="965">
    <w:p w14:paraId="05A74788" w14:textId="77777777" w:rsidR="00494B49" w:rsidRDefault="00494B49">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6">
    <w:p w14:paraId="7D6FE38D"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7">
    <w:p w14:paraId="4879A36E"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68">
    <w:p w14:paraId="7D7F9065" w14:textId="77777777" w:rsidR="00494B49" w:rsidRDefault="00494B49">
      <w:pPr>
        <w:pStyle w:val="FootnoteText"/>
      </w:pPr>
      <w:r>
        <w:rPr>
          <w:rStyle w:val="FootnoteReference"/>
        </w:rPr>
        <w:footnoteRef/>
      </w:r>
      <w:r>
        <w:rPr>
          <w:i/>
        </w:rPr>
        <w:t>See</w:t>
      </w:r>
      <w:r>
        <w:t xml:space="preserve"> Jt. Comm. on 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69">
    <w:p w14:paraId="21D35FF0" w14:textId="77777777" w:rsidR="00494B49" w:rsidRDefault="00494B49">
      <w:pPr>
        <w:pStyle w:val="FootnoteText"/>
      </w:pPr>
      <w:r>
        <w:rPr>
          <w:rStyle w:val="FootnoteReference"/>
        </w:rPr>
        <w:footnoteRef/>
      </w:r>
      <w:r>
        <w:t xml:space="preserve">The Joint Committee on Taxation in 2011 stated that “[i]n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70">
    <w:p w14:paraId="45144DBC" w14:textId="77777777" w:rsidR="00494B49" w:rsidRDefault="00494B49">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below.</w:t>
      </w:r>
    </w:p>
  </w:footnote>
  <w:footnote w:id="971">
    <w:p w14:paraId="36F6ED1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2">
    <w:p w14:paraId="39F1F28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3">
    <w:p w14:paraId="11F306B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4">
    <w:p w14:paraId="33550E6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d)(2)(i)"/>
        </w:smartTagPr>
        <w:r>
          <w:t>§1.1411-2(d)(2)(i)</w:t>
        </w:r>
      </w:smartTag>
      <w:r>
        <w:t>.</w:t>
      </w:r>
    </w:p>
  </w:footnote>
  <w:footnote w:id="975">
    <w:p w14:paraId="6116EF58" w14:textId="77777777" w:rsidR="00494B49" w:rsidRDefault="00494B49">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6">
    <w:p w14:paraId="47E8DF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7">
    <w:p w14:paraId="4BE47D70"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78">
    <w:p w14:paraId="17AD1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979">
    <w:p w14:paraId="675D6C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80">
    <w:p w14:paraId="060B32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1">
    <w:p w14:paraId="76915EB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2">
    <w:p w14:paraId="41EB4EF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3">
    <w:p w14:paraId="7B408A3A" w14:textId="77777777" w:rsidR="00494B49" w:rsidRDefault="00494B49">
      <w:pPr>
        <w:pStyle w:val="FootnoteText"/>
      </w:pPr>
      <w:r>
        <w:rPr>
          <w:rStyle w:val="FootnoteReference"/>
        </w:rPr>
        <w:footnoteRef/>
      </w:r>
      <w:r>
        <w:rPr>
          <w:i/>
        </w:rPr>
        <w:t>See</w:t>
      </w:r>
      <w:r>
        <w:t xml:space="preserve"> </w:t>
      </w:r>
      <w:hyperlink r:id="rId15"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6"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check-box at the top of the form to make the </w:t>
      </w:r>
      <w:smartTag w:uri="http://www.bna.com/sgml2word/cite" w:element="cite.usc">
        <w:smartTagPr>
          <w:attr w:name="ref" w:val="USC\26\6013(h)"/>
        </w:smartTagPr>
        <w:r>
          <w:t>§6013(h)</w:t>
        </w:r>
      </w:smartTag>
      <w:r>
        <w:t xml:space="preserve"> election for NIIT purposes.</w:t>
      </w:r>
    </w:p>
  </w:footnote>
  <w:footnote w:id="984">
    <w:p w14:paraId="7603D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5">
    <w:p w14:paraId="0D6803C3" w14:textId="77777777" w:rsidR="00494B49" w:rsidRDefault="00494B49">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6">
    <w:p w14:paraId="6A6503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7">
    <w:p w14:paraId="40318C9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8">
    <w:p w14:paraId="47EC4CE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89">
    <w:p w14:paraId="4F4F53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90">
    <w:p w14:paraId="313E3D5A" w14:textId="77777777" w:rsidR="00494B49" w:rsidRDefault="00494B49">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1">
    <w:p w14:paraId="3BC4775E" w14:textId="77777777" w:rsidR="00494B49" w:rsidRDefault="00494B49">
      <w:pPr>
        <w:pStyle w:val="FootnoteText"/>
      </w:pPr>
      <w:r>
        <w:rPr>
          <w:rStyle w:val="FootnoteReference"/>
        </w:rPr>
        <w:footnoteRef/>
      </w:r>
      <w:r>
        <w:rPr>
          <w:i/>
        </w:rPr>
        <w:t>See</w:t>
      </w:r>
      <w:r>
        <w:t xml:space="preserve"> </w:t>
      </w:r>
      <w:hyperlink r:id="rId17"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check-box at the top of the form to make the </w:t>
      </w:r>
      <w:smartTag w:uri="http://www.bna.com/sgml2word/cite" w:element="cite.usc">
        <w:smartTagPr>
          <w:attr w:name="ref" w:val="USC\26\6013(g)"/>
        </w:smartTagPr>
        <w:r>
          <w:t>§6013(g)</w:t>
        </w:r>
      </w:smartTag>
      <w:r>
        <w:t xml:space="preserve"> election for NIIT purposes. </w:t>
      </w:r>
    </w:p>
  </w:footnote>
  <w:footnote w:id="992">
    <w:p w14:paraId="7B242A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3">
    <w:p w14:paraId="3580BE5C" w14:textId="77777777" w:rsidR="00494B49" w:rsidRDefault="00494B49">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4">
    <w:p w14:paraId="27139B2D" w14:textId="77777777" w:rsidR="00494B49" w:rsidRDefault="00494B49">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5">
    <w:p w14:paraId="3634D95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6">
    <w:p w14:paraId="24822609" w14:textId="77777777" w:rsidR="00494B49" w:rsidRDefault="00494B49">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7">
    <w:p w14:paraId="2FF9FBC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998">
    <w:p w14:paraId="243D4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999">
    <w:p w14:paraId="5E4DB99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1000">
    <w:p w14:paraId="66D6E2C0" w14:textId="77777777" w:rsidR="00494B49" w:rsidRDefault="00494B49">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1">
    <w:p w14:paraId="5CC5BF5B"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2">
    <w:p w14:paraId="294AFD92" w14:textId="77777777" w:rsidR="00494B49" w:rsidRDefault="00494B49">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3">
    <w:p w14:paraId="3CEE9904" w14:textId="77777777" w:rsidR="00494B49" w:rsidRDefault="00494B49">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4">
    <w:p w14:paraId="2870F32A" w14:textId="77777777" w:rsidR="00494B49" w:rsidRDefault="00494B49">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5">
    <w:p w14:paraId="102D5B6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6">
    <w:p w14:paraId="3717C99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7">
    <w:p w14:paraId="269DA3E3" w14:textId="77777777" w:rsidR="00494B49" w:rsidRDefault="00494B49">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Tax Guide for Individuals With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08">
    <w:p w14:paraId="08A502E0" w14:textId="77777777" w:rsidR="00494B49" w:rsidRDefault="00494B49">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 ‘person’ shall be construed to mean and include an individual, a trust, estate, partnership, association, company or corporation.”</w:t>
      </w:r>
    </w:p>
  </w:footnote>
  <w:footnote w:id="1009">
    <w:p w14:paraId="3D6C02D3" w14:textId="77777777" w:rsidR="00494B49" w:rsidRDefault="00494B49">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10">
    <w:p w14:paraId="73B51C03"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1">
    <w:p w14:paraId="060084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2">
    <w:p w14:paraId="5CDE20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3">
    <w:p w14:paraId="509B6AF9" w14:textId="77777777" w:rsidR="00494B49" w:rsidRDefault="00494B49">
      <w:pPr>
        <w:pStyle w:val="FootnoteText"/>
      </w:pPr>
      <w:r>
        <w:rPr>
          <w:rStyle w:val="FootnoteReference"/>
        </w:rPr>
        <w:footnoteRef/>
      </w:r>
      <w:smartTag w:uri="http://www.bna.com/sgml2word/cite" w:element="cite.usc">
        <w:smartTagPr>
          <w:attr w:name="ref" w:val="usc\26\1(g)(2)(A)(i)"/>
        </w:smartTagPr>
        <w:r>
          <w:t>§1(g)(2)(A)(i)</w:t>
        </w:r>
      </w:smartTag>
      <w:r>
        <w:t>.</w:t>
      </w:r>
    </w:p>
  </w:footnote>
  <w:footnote w:id="1014">
    <w:p w14:paraId="7563AAA5" w14:textId="77777777" w:rsidR="00494B49" w:rsidRDefault="00494B49">
      <w:pPr>
        <w:pStyle w:val="FootnoteText"/>
      </w:pPr>
      <w:r>
        <w:rPr>
          <w:rStyle w:val="FootnoteReference"/>
        </w:rPr>
        <w:footnoteRef/>
      </w:r>
      <w:smartTag w:uri="http://www.bna.com/sgml2word/cite" w:element="cite.usc">
        <w:smartTagPr>
          <w:attr w:name="ref" w:val="usc\26\1(g)(2)(A)(ii)"/>
        </w:smartTagPr>
        <w:r>
          <w:t>§1(g)(2)(A)(ii)</w:t>
        </w:r>
      </w:smartTag>
      <w:r>
        <w:t>.</w:t>
      </w:r>
    </w:p>
  </w:footnote>
  <w:footnote w:id="1015">
    <w:p w14:paraId="0B967421" w14:textId="77777777" w:rsidR="00494B49" w:rsidRDefault="00494B49">
      <w:pPr>
        <w:pStyle w:val="FootnoteText"/>
      </w:pPr>
      <w:r>
        <w:rPr>
          <w:rStyle w:val="FootnoteReference"/>
        </w:rPr>
        <w:footnoteRef/>
      </w:r>
      <w:smartTag w:uri="http://www.bna.com/sgml2word/cite" w:element="cite.usc">
        <w:smartTagPr>
          <w:attr w:name="ref" w:val="usc\26\1(g)(4)(A)(ii)"/>
        </w:smartTagPr>
        <w:r>
          <w:t>§1(g)(4)(A)(ii)</w:t>
        </w:r>
      </w:smartTag>
      <w:r>
        <w:t>.</w:t>
      </w:r>
    </w:p>
  </w:footnote>
  <w:footnote w:id="1016">
    <w:p w14:paraId="25F1D6F4" w14:textId="77777777" w:rsidR="00494B49" w:rsidRDefault="00494B49">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7">
    <w:p w14:paraId="49D014A0" w14:textId="77777777" w:rsidR="00494B49" w:rsidRDefault="00494B49">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18">
    <w:p w14:paraId="4EB40AA0" w14:textId="77777777" w:rsidR="00494B49" w:rsidRDefault="00494B49">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19">
    <w:p w14:paraId="6C08876C" w14:textId="77777777" w:rsidR="00494B49" w:rsidRDefault="00494B49">
      <w:pPr>
        <w:pStyle w:val="FootnoteText"/>
      </w:pPr>
      <w:r>
        <w:rPr>
          <w:rStyle w:val="FootnoteReference"/>
        </w:rPr>
        <w:footnoteRef/>
      </w:r>
      <w:r>
        <w:t xml:space="preserve">This dollar amount can be found in the tax tables contained in Tables, Charts &amp; Lists (Federal) &gt; Income Tax and Accounting &gt; </w:t>
      </w:r>
      <w:hyperlink r:id="rId18" w:history="1">
        <w:r>
          <w:rPr>
            <w:rStyle w:val="Hyperlink"/>
            <w:i/>
          </w:rPr>
          <w:t>Tax Tables</w:t>
        </w:r>
      </w:hyperlink>
      <w:r>
        <w:t>.</w:t>
      </w:r>
    </w:p>
  </w:footnote>
  <w:footnote w:id="1020">
    <w:p w14:paraId="1E401846" w14:textId="77777777" w:rsidR="00494B49" w:rsidRDefault="00494B49">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1">
    <w:p w14:paraId="1BEFE76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2">
    <w:p w14:paraId="5D8D60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w:t>
      </w:r>
    </w:p>
  </w:footnote>
  <w:footnote w:id="1023">
    <w:p w14:paraId="13BD6D38"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4">
    <w:p w14:paraId="6513C413"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5">
    <w:p w14:paraId="4255F8B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6">
    <w:p w14:paraId="7733B9A7" w14:textId="77777777" w:rsidR="00494B49" w:rsidRDefault="00494B49">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7">
    <w:p w14:paraId="166643D1"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§1.1411-3(b)(1)(i)</w:t>
        </w:r>
      </w:smartTag>
      <w:r>
        <w:t>.</w:t>
      </w:r>
    </w:p>
  </w:footnote>
  <w:footnote w:id="1028">
    <w:p w14:paraId="6C445E0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29">
    <w:p w14:paraId="15D8EA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
        </w:smartTagPr>
        <w:r>
          <w:t>§1.1411-3(b)(1)(v)</w:t>
        </w:r>
      </w:smartTag>
      <w:r>
        <w:t>.</w:t>
      </w:r>
    </w:p>
  </w:footnote>
  <w:footnote w:id="1030">
    <w:p w14:paraId="3D9F3E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1">
    <w:p w14:paraId="2127661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2">
    <w:p w14:paraId="7F83B1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3">
    <w:p w14:paraId="7A4CE4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
        </w:smartTagPr>
        <w:r>
          <w:t>§1.1411-3(b)(1)(i)</w:t>
        </w:r>
      </w:smartTag>
      <w:r>
        <w:t>.</w:t>
      </w:r>
    </w:p>
  </w:footnote>
  <w:footnote w:id="1034">
    <w:p w14:paraId="72DF41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5">
    <w:p w14:paraId="79E8673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6">
    <w:p w14:paraId="63CD68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7">
    <w:p w14:paraId="5A36774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i)"/>
        </w:smartTagPr>
        <w:r>
          <w:t>§1.1411-3(e)(3)(i)</w:t>
        </w:r>
      </w:smartTag>
      <w:r>
        <w:t>.</w:t>
      </w:r>
    </w:p>
  </w:footnote>
  <w:footnote w:id="1038">
    <w:p w14:paraId="768A362E" w14:textId="77777777" w:rsidR="00494B49" w:rsidRDefault="00494B49">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39">
    <w:p w14:paraId="2F4D71AE" w14:textId="77777777" w:rsidR="00494B49" w:rsidRDefault="00494B49">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40">
    <w:p w14:paraId="490EFA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1">
    <w:p w14:paraId="5EACD59E"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2">
    <w:p w14:paraId="278BF5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§1.1411-4(f)(1)(i)</w:t>
        </w:r>
      </w:smartTag>
      <w:r>
        <w:t xml:space="preserve"> (only properly allocable deductions described in this paragraph may be taken into account in determining net investment income) and </w:t>
      </w:r>
      <w:hyperlink r:id="rId19" w:history="1">
        <w:r>
          <w:rPr>
            <w:rStyle w:val="Hyperlink"/>
          </w:rPr>
          <w:t>Instructions for Form 8960</w:t>
        </w:r>
      </w:hyperlink>
      <w:r>
        <w:t>, Part II (items not deductible in calculating net investment income)</w:t>
      </w:r>
    </w:p>
  </w:footnote>
  <w:footnote w:id="1043">
    <w:p w14:paraId="3F532712"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4">
    <w:p w14:paraId="740EBA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5">
    <w:p w14:paraId="7416907A"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6">
    <w:p w14:paraId="20B18472" w14:textId="77777777" w:rsidR="00494B49" w:rsidRDefault="00494B49">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7">
    <w:p w14:paraId="5532C116"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48">
    <w:p w14:paraId="17264143" w14:textId="77777777" w:rsidR="00494B49" w:rsidRDefault="00494B49">
      <w:pPr>
        <w:pStyle w:val="FootnoteText"/>
      </w:pPr>
      <w:r>
        <w:rPr>
          <w:rStyle w:val="FootnoteReference"/>
        </w:rPr>
        <w:footnoteRef/>
      </w:r>
      <w:r>
        <w:rPr>
          <w:i/>
        </w:rPr>
        <w:t>Id.</w:t>
      </w:r>
    </w:p>
  </w:footnote>
  <w:footnote w:id="1049">
    <w:p w14:paraId="31A259C5" w14:textId="77777777" w:rsidR="00494B49" w:rsidRDefault="00494B49">
      <w:pPr>
        <w:pStyle w:val="FootnoteText"/>
      </w:pPr>
      <w:r>
        <w:rPr>
          <w:rStyle w:val="FootnoteReference"/>
        </w:rPr>
        <w:footnoteRef/>
      </w:r>
      <w:r>
        <w:t xml:space="preserve">$950 net investment income tax Liability = 3.8% × (lesser of $75,000 or $25,000), or 3.8% × $25,000. </w:t>
      </w:r>
    </w:p>
  </w:footnote>
  <w:footnote w:id="1050">
    <w:p w14:paraId="3C5A9769"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1">
    <w:p w14:paraId="7A6F5D80" w14:textId="77777777" w:rsidR="00494B49" w:rsidRDefault="00494B49">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2">
    <w:p w14:paraId="1D62E6D9"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d)(4)(i)(C)"/>
        </w:smartTagPr>
        <w:r>
          <w:t>§1.1411-4(d)(4)(i)(C)</w:t>
        </w:r>
      </w:smartTag>
      <w:r>
        <w:rPr>
          <w:i/>
        </w:rPr>
        <w:t xml:space="preserve"> Ex.</w:t>
      </w:r>
      <w:r>
        <w:t xml:space="preserve"> 2, for an example of when an estate can exclude capital gain from an installment sale. </w:t>
      </w:r>
    </w:p>
  </w:footnote>
  <w:footnote w:id="1053">
    <w:p w14:paraId="763EC34F" w14:textId="77777777" w:rsidR="00494B49" w:rsidRDefault="00494B49">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4">
    <w:p w14:paraId="60D79B8B" w14:textId="77777777" w:rsidR="00494B49" w:rsidRDefault="00494B49">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5">
    <w:p w14:paraId="4A77086D"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6">
    <w:p w14:paraId="538B0AC6"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7">
    <w:p w14:paraId="18292B3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xml:space="preserve">) is entirely reserved. The preamble to the 1988 Temporary Regulations stated “[m]aterial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58">
    <w:p w14:paraId="7E6BBC49" w14:textId="77777777" w:rsidR="00494B49" w:rsidRDefault="00494B49">
      <w:pPr>
        <w:pStyle w:val="FootnoteText"/>
      </w:pPr>
      <w:r>
        <w:rPr>
          <w:rStyle w:val="FootnoteReference"/>
        </w:rPr>
        <w:footnoteRef/>
      </w:r>
      <w:r>
        <w:rPr>
          <w:i/>
        </w:rPr>
        <w:t>See, e.g.,</w:t>
      </w:r>
      <w:r>
        <w:t xml:space="preserve"> Leo L. 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59">
    <w:p w14:paraId="06233E86"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0">
    <w:p w14:paraId="112253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1">
    <w:p w14:paraId="6CF79C5F"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2">
    <w:p w14:paraId="7236E1F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3">
    <w:p w14:paraId="3E87D1DE"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64">
    <w:p w14:paraId="7B8B05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5">
    <w:p w14:paraId="1F58D6B0"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6">
    <w:p w14:paraId="2E30EF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7">
    <w:p w14:paraId="26736C6B"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8">
    <w:p w14:paraId="3512FE7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9">
    <w:p w14:paraId="34B9F566"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70">
    <w:p w14:paraId="5D082A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1">
    <w:p w14:paraId="1D5E4DF8" w14:textId="77777777" w:rsidR="00494B49" w:rsidRDefault="00494B49">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2">
    <w:p w14:paraId="45E1DA9E" w14:textId="77777777" w:rsidR="00494B49" w:rsidRDefault="00494B49">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3">
    <w:p w14:paraId="048CA9B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4">
    <w:p w14:paraId="2358259B" w14:textId="77777777" w:rsidR="00494B49" w:rsidRDefault="00494B49">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5">
    <w:p w14:paraId="07A767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6">
    <w:p w14:paraId="3C36A7D2"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7">
    <w:p w14:paraId="17D0EF1F" w14:textId="77777777" w:rsidR="00494B49" w:rsidRDefault="00494B49">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78">
    <w:p w14:paraId="457224D8" w14:textId="77777777" w:rsidR="00494B49" w:rsidRDefault="00494B49">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79">
    <w:p w14:paraId="46FC4F3B" w14:textId="77777777" w:rsidR="00494B49" w:rsidRDefault="00494B49">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80">
    <w:p w14:paraId="58785F54" w14:textId="77777777" w:rsidR="00494B49" w:rsidRDefault="00494B49">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§1.1411-10(d)(1)(i)</w:t>
        </w:r>
      </w:smartTag>
      <w:r>
        <w:t>.</w:t>
      </w:r>
    </w:p>
  </w:footnote>
  <w:footnote w:id="1081">
    <w:p w14:paraId="1CEDEBA4" w14:textId="77777777" w:rsidR="00494B49" w:rsidRDefault="00494B49">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2">
    <w:p w14:paraId="6E75A90C" w14:textId="77777777" w:rsidR="00494B49" w:rsidRDefault="00494B49">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3">
    <w:p w14:paraId="32E3339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w:t>
      </w:r>
    </w:p>
  </w:footnote>
  <w:footnote w:id="1084">
    <w:p w14:paraId="513ECFA4" w14:textId="77777777" w:rsidR="00494B49" w:rsidRDefault="00494B49">
      <w:pPr>
        <w:pStyle w:val="FootnoteText"/>
      </w:pPr>
      <w:r>
        <w:rPr>
          <w:rStyle w:val="FootnoteReference"/>
        </w:rPr>
        <w:footnoteRef/>
      </w:r>
      <w:r>
        <w:rPr>
          <w:i/>
        </w:rPr>
        <w:t>Id</w:t>
      </w:r>
      <w:r>
        <w:t xml:space="preserve">. </w:t>
      </w:r>
    </w:p>
  </w:footnote>
  <w:footnote w:id="1085">
    <w:p w14:paraId="71B0B1B9"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6">
    <w:p w14:paraId="229EFCAC" w14:textId="77777777" w:rsidR="00494B49" w:rsidRDefault="00494B49">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7">
    <w:p w14:paraId="48500CB4" w14:textId="77777777" w:rsidR="00494B49" w:rsidRDefault="00494B49">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§1.1411-10(e)(2)(i)</w:t>
        </w:r>
      </w:smartTag>
      <w:r>
        <w:t xml:space="preserve"> that is not included in AGI for regular tax purposes. </w:t>
      </w:r>
    </w:p>
  </w:footnote>
  <w:footnote w:id="1088">
    <w:p w14:paraId="42043466" w14:textId="77777777" w:rsidR="00494B49" w:rsidRDefault="00494B49">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89">
    <w:p w14:paraId="365B13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90">
    <w:p w14:paraId="5EFBBB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1">
    <w:p w14:paraId="7A5ADDBD"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2">
    <w:p w14:paraId="0AF9A754" w14:textId="77777777" w:rsidR="00494B49" w:rsidRDefault="00494B49">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3">
    <w:p w14:paraId="26950B2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4">
    <w:p w14:paraId="3EDA5FAA" w14:textId="77777777" w:rsidR="00494B49" w:rsidRDefault="00494B49">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5">
    <w:p w14:paraId="5A94DDF0"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6">
    <w:p w14:paraId="1C133095" w14:textId="77777777" w:rsidR="00494B49" w:rsidRDefault="00494B49">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§1.1411-4(e)(1)(i)</w:t>
        </w:r>
      </w:smartTag>
      <w:r>
        <w:t xml:space="preserve"> for inclusion of distributed net investment income of an estate or trust in the net investment income calculation of the beneficiary. </w:t>
      </w:r>
    </w:p>
  </w:footnote>
  <w:footnote w:id="1097">
    <w:p w14:paraId="273B894A" w14:textId="77777777" w:rsidR="00494B49" w:rsidRDefault="00494B49">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4.D.ii.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tax base, but there are various mechanical hurdles that need to be overcome before this intention can come to fruition. </w:t>
      </w:r>
    </w:p>
  </w:footnote>
  <w:footnote w:id="1098">
    <w:p w14:paraId="320EA876" w14:textId="77777777" w:rsidR="00494B49" w:rsidRDefault="00494B49">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099">
    <w:p w14:paraId="776182C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100">
    <w:p w14:paraId="72E2997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
        </w:smartTagPr>
        <w:r>
          <w:t>§1.1411-3(c)(2)(i)</w:t>
        </w:r>
      </w:smartTag>
      <w:r>
        <w:t>.</w:t>
      </w:r>
    </w:p>
  </w:footnote>
  <w:footnote w:id="1101">
    <w:p w14:paraId="7A26DC5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2">
    <w:p w14:paraId="3FDF31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3">
    <w:p w14:paraId="707AAAC7" w14:textId="77777777" w:rsidR="00494B49" w:rsidRDefault="00494B49">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4">
    <w:p w14:paraId="2CF685BC" w14:textId="77777777" w:rsidR="00494B49" w:rsidRDefault="00494B49">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5">
    <w:p w14:paraId="08755770" w14:textId="77777777" w:rsidR="00494B49" w:rsidRDefault="00494B49">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6">
    <w:p w14:paraId="18A82ADF" w14:textId="77777777" w:rsidR="00494B49" w:rsidRDefault="00494B49">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7">
    <w:p w14:paraId="068175EC"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08">
    <w:p w14:paraId="2F958819" w14:textId="77777777" w:rsidR="00494B49" w:rsidRDefault="00494B49">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09">
    <w:p w14:paraId="1692E4C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10">
    <w:p w14:paraId="1C5E6009" w14:textId="77777777" w:rsidR="00494B49" w:rsidRDefault="00494B49">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1">
    <w:p w14:paraId="6B96FB47"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2">
    <w:p w14:paraId="1A32D3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3">
    <w:p w14:paraId="2AFAB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4">
    <w:p w14:paraId="6E56DAAA" w14:textId="77777777" w:rsidR="00494B49" w:rsidRDefault="00494B49">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5">
    <w:p w14:paraId="150FA538" w14:textId="77777777" w:rsidR="00494B49" w:rsidRDefault="00494B49">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6">
    <w:p w14:paraId="144219C2" w14:textId="77777777" w:rsidR="00494B49" w:rsidRDefault="00494B49">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7">
    <w:p w14:paraId="46E2D4BC" w14:textId="77777777" w:rsidR="00494B49" w:rsidRDefault="00494B49">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18">
    <w:p w14:paraId="0707FF0D"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19">
    <w:p w14:paraId="58D04587" w14:textId="77777777" w:rsidR="00494B49" w:rsidRDefault="00494B49">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20">
    <w:p w14:paraId="49082189"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§1.1411-10(e)(1)(i)</w:t>
        </w:r>
      </w:smartTag>
      <w:r>
        <w:t>. If following the metaphor from the preceding point, this would be the “second shoe to drop.”</w:t>
      </w:r>
    </w:p>
  </w:footnote>
  <w:footnote w:id="1121">
    <w:p w14:paraId="57FB684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§1.1411-3(d)(2)(i)</w:t>
        </w:r>
      </w:smartTag>
      <w:r>
        <w:t>.</w:t>
      </w:r>
    </w:p>
  </w:footnote>
  <w:footnote w:id="1122">
    <w:p w14:paraId="62DC27A9" w14:textId="77777777" w:rsidR="00494B49" w:rsidRDefault="00494B49">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3">
    <w:p w14:paraId="32EA5D41" w14:textId="77777777" w:rsidR="00494B49" w:rsidRDefault="00494B49">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4">
    <w:p w14:paraId="64085EC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5">
    <w:p w14:paraId="3029D6A9" w14:textId="77777777" w:rsidR="00494B49" w:rsidRDefault="00494B49">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6">
    <w:p w14:paraId="501CD25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7">
    <w:p w14:paraId="7CBED96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
        </w:smartTagPr>
        <w:r>
          <w:t>§1.1411-10(c)(1)(i)</w:t>
        </w:r>
      </w:smartTag>
      <w:r>
        <w:t xml:space="preserve">. </w:t>
      </w:r>
    </w:p>
  </w:footnote>
  <w:footnote w:id="1128">
    <w:p w14:paraId="40A73749"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29">
    <w:p w14:paraId="6A00B08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2)(i)"/>
        </w:smartTagPr>
        <w:r>
          <w:t>§1.1411-10(c)(2)(i)</w:t>
        </w:r>
      </w:smartTag>
      <w:r>
        <w:t>.</w:t>
      </w:r>
    </w:p>
  </w:footnote>
  <w:footnote w:id="1130">
    <w:p w14:paraId="3781100C"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1">
    <w:p w14:paraId="6D51708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2">
    <w:p w14:paraId="6855DE0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i)"/>
        </w:smartTagPr>
        <w:r>
          <w:t>§1.1411-3(d)(2)(ii)(B)(i)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3">
    <w:p w14:paraId="4133926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4">
    <w:p w14:paraId="728352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r>
        <w:t xml:space="preserve">, above, for a discussion of these rules. </w:t>
      </w:r>
    </w:p>
  </w:footnote>
  <w:footnote w:id="1135">
    <w:p w14:paraId="33113713" w14:textId="77777777" w:rsidR="00494B49" w:rsidRDefault="00494B49">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6">
    <w:p w14:paraId="367A99D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7">
    <w:p w14:paraId="186B8619"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38">
    <w:p w14:paraId="70043622" w14:textId="77777777" w:rsidR="00494B49" w:rsidRDefault="00494B49">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39">
    <w:p w14:paraId="6C9DBA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40">
    <w:p w14:paraId="7A03D0CF" w14:textId="77777777" w:rsidR="00494B49" w:rsidRDefault="00494B49">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1">
    <w:p w14:paraId="7F6E909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2">
    <w:p w14:paraId="4FAE6A71" w14:textId="77777777" w:rsidR="00494B49" w:rsidRDefault="00494B49">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3">
    <w:p w14:paraId="71364CAF" w14:textId="77777777" w:rsidR="00494B49" w:rsidRDefault="00494B49">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4">
    <w:p w14:paraId="4B28DB65" w14:textId="77777777" w:rsidR="00494B49" w:rsidRDefault="00494B49">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5">
    <w:p w14:paraId="79759B69"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6">
    <w:p w14:paraId="2FD816AA" w14:textId="77777777" w:rsidR="00494B49" w:rsidRDefault="00494B49">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7">
    <w:p w14:paraId="0FEA33A1"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48">
    <w:p w14:paraId="26CB5FFC" w14:textId="77777777" w:rsidR="00494B49" w:rsidRDefault="00494B49">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49">
    <w:p w14:paraId="632E1EBC"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reflect rates in effect before the enactment of the TCJA. The applicable rates are different for tax years beginning 2018 through 2025.</w:t>
      </w:r>
    </w:p>
  </w:footnote>
  <w:footnote w:id="1150">
    <w:p w14:paraId="7B5E0A7B"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1">
    <w:p w14:paraId="61C4F802" w14:textId="77777777" w:rsidR="00494B49" w:rsidRDefault="00494B49">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above. </w:t>
      </w:r>
    </w:p>
  </w:footnote>
  <w:footnote w:id="1152">
    <w:p w14:paraId="5C6B5125" w14:textId="77777777" w:rsidR="00494B49" w:rsidRDefault="00494B49">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3">
    <w:p w14:paraId="1C14F247" w14:textId="77777777" w:rsidR="00494B49" w:rsidRDefault="00494B49">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4">
    <w:p w14:paraId="6A9F4E9B" w14:textId="77777777" w:rsidR="00494B49" w:rsidRDefault="00494B49">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5">
    <w:p w14:paraId="7C976EB7" w14:textId="77777777" w:rsidR="00494B49" w:rsidRDefault="00494B49">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6">
    <w:p w14:paraId="587F5D96" w14:textId="77777777" w:rsidR="00494B49" w:rsidRDefault="00494B49">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7">
    <w:p w14:paraId="29362E1E" w14:textId="77777777" w:rsidR="00494B49" w:rsidRDefault="00494B49">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58">
    <w:p w14:paraId="1E93FA96" w14:textId="77777777" w:rsidR="00494B49" w:rsidRDefault="00494B49">
      <w:pPr>
        <w:pStyle w:val="FootnoteText"/>
      </w:pPr>
      <w:r>
        <w:rPr>
          <w:rStyle w:val="FootnoteReference"/>
        </w:rPr>
        <w:footnoteRef/>
      </w:r>
      <w:smartTag w:uri="http://www.bna.com/sgml2word/cite" w:element="cite.usc">
        <w:smartTagPr>
          <w:attr w:name="ref" w:val="USC\26\6662(d)(1)(A)"/>
        </w:smartTagPr>
        <w:r>
          <w:t>§6662(d)(1)(A)</w:t>
        </w:r>
      </w:smartTag>
      <w:r>
        <w:t xml:space="preserve">. The term “understatement” means the excess of: (i)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59">
    <w:p w14:paraId="2E00FD1F"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60">
    <w:p w14:paraId="76FB63AD"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1">
    <w:p w14:paraId="252BE6C0"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2">
    <w:p w14:paraId="204013D1" w14:textId="77777777" w:rsidR="00494B49" w:rsidRDefault="00494B49">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3">
    <w:p w14:paraId="5544F804" w14:textId="77777777" w:rsidR="00494B49" w:rsidRDefault="00494B49">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4">
    <w:p w14:paraId="51EB890B" w14:textId="77777777" w:rsidR="00494B49" w:rsidRDefault="00494B49">
      <w:pPr>
        <w:pStyle w:val="FootnoteText"/>
      </w:pPr>
      <w:r>
        <w:rPr>
          <w:rStyle w:val="FootnoteReference"/>
        </w:rPr>
        <w:footnoteRef/>
      </w:r>
      <w:smartTag w:uri="http://www.bna.com/sgml2word/cite" w:element="cite.usc">
        <w:smartTagPr>
          <w:attr w:name="ref" w:val="USC\26\6694(a)(1)"/>
        </w:smartTagPr>
        <w:r>
          <w:t>§6694(a)(1)</w:t>
        </w:r>
      </w:smartTag>
      <w:r>
        <w:t>.</w:t>
      </w:r>
    </w:p>
  </w:footnote>
  <w:footnote w:id="1165">
    <w:p w14:paraId="53F551CC"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6">
    <w:p w14:paraId="054FE10B" w14:textId="77777777" w:rsidR="00494B49" w:rsidRDefault="00494B49">
      <w:pPr>
        <w:pStyle w:val="FootnoteText"/>
      </w:pPr>
      <w:r>
        <w:rPr>
          <w:rStyle w:val="FootnoteReference"/>
        </w:rPr>
        <w:footnoteRef/>
      </w:r>
      <w:smartTag w:uri="http://www.bna.com/sgml2word/cite" w:element="cite.usc">
        <w:smartTagPr>
          <w:attr w:name="ref" w:val="USC\26\6694(a)(2)"/>
        </w:smartTagPr>
        <w:r>
          <w:t>§6694(a)(2)</w:t>
        </w:r>
      </w:smartTag>
      <w:r>
        <w:t>.</w:t>
      </w:r>
    </w:p>
  </w:footnote>
  <w:footnote w:id="1167">
    <w:p w14:paraId="647925FB" w14:textId="77777777" w:rsidR="00494B49" w:rsidRDefault="00494B49">
      <w:pPr>
        <w:pStyle w:val="FootnoteText"/>
      </w:pPr>
      <w:r>
        <w:rPr>
          <w:rStyle w:val="FootnoteReference"/>
        </w:rPr>
        <w:footnoteRef/>
      </w:r>
      <w:smartTag w:uri="http://www.bna.com/sgml2word/cite" w:element="cite.usc">
        <w:smartTagPr>
          <w:attr w:name="ref" w:val="USC\26\6694(e)"/>
        </w:smartTagPr>
        <w:r>
          <w:t>§6694(e)</w:t>
        </w:r>
      </w:smartTag>
      <w:r>
        <w:t>.</w:t>
      </w:r>
    </w:p>
  </w:footnote>
  <w:footnote w:id="1168">
    <w:p w14:paraId="16B2F6DC" w14:textId="77777777" w:rsidR="00494B49" w:rsidRDefault="00494B49">
      <w:pPr>
        <w:pStyle w:val="FootnoteText"/>
      </w:pPr>
      <w:r>
        <w:rPr>
          <w:rStyle w:val="FootnoteReference"/>
        </w:rPr>
        <w:footnoteRef/>
      </w:r>
      <w:smartTag w:uri="http://www.bna.com/sgml2word/cite" w:element="cite.usc">
        <w:smartTagPr>
          <w:attr w:name="ref" w:val="USC\26\992"/>
        </w:smartTagPr>
        <w:r>
          <w:t>§992</w:t>
        </w:r>
      </w:smartTag>
      <w:r>
        <w:t>.</w:t>
      </w:r>
    </w:p>
  </w:footnote>
  <w:footnote w:id="1169">
    <w:p w14:paraId="6AB5263E" w14:textId="77777777" w:rsidR="00494B49" w:rsidRDefault="00494B49">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70">
    <w:p w14:paraId="42890DF0" w14:textId="77777777" w:rsidR="00494B49" w:rsidRDefault="00494B49">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1">
    <w:p w14:paraId="1EE87BDE" w14:textId="77777777" w:rsidR="00494B49" w:rsidRDefault="00494B49">
      <w:pPr>
        <w:pStyle w:val="FootnoteText"/>
      </w:pPr>
      <w:r>
        <w:rPr>
          <w:rStyle w:val="FootnoteReference"/>
        </w:rPr>
        <w:footnoteRef/>
      </w:r>
      <w:smartTag w:uri="http://www.bna.com/sgml2word/cite" w:element="cite.usc">
        <w:smartTagPr>
          <w:attr w:name="ref" w:val="USC\26\995(f)(2)(A)"/>
        </w:smartTagPr>
        <w:r>
          <w:t>§995(f)(2)(A)</w:t>
        </w:r>
      </w:smartTag>
      <w:r>
        <w:t>.</w:t>
      </w:r>
    </w:p>
  </w:footnote>
  <w:footnote w:id="1172">
    <w:p w14:paraId="57E4B8A8" w14:textId="77777777" w:rsidR="00494B49" w:rsidRDefault="00494B49">
      <w:pPr>
        <w:pStyle w:val="FootnoteText"/>
      </w:pPr>
      <w:r>
        <w:rPr>
          <w:rStyle w:val="FootnoteReference"/>
        </w:rPr>
        <w:footnoteRef/>
      </w:r>
      <w:smartTag w:uri="http://www.bna.com/sgml2word/cite" w:element="cite.usc">
        <w:smartTagPr>
          <w:attr w:name="ref" w:val="USC\26\995(f)(2)(C)"/>
        </w:smartTagPr>
        <w:r>
          <w:t>§995(f)(2)(C)</w:t>
        </w:r>
      </w:smartTag>
      <w:r>
        <w:t>.</w:t>
      </w:r>
    </w:p>
  </w:footnote>
  <w:footnote w:id="1173">
    <w:p w14:paraId="7C8CEA08" w14:textId="77777777" w:rsidR="00494B49" w:rsidRDefault="00494B49">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4">
    <w:p w14:paraId="44FB2F6A" w14:textId="77777777" w:rsidR="00494B49" w:rsidRDefault="00494B49">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5">
    <w:p w14:paraId="7356CEBF" w14:textId="77777777" w:rsidR="00494B49" w:rsidRDefault="00494B49">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6">
    <w:p w14:paraId="64465C09"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w:t>
      </w:r>
    </w:p>
  </w:footnote>
  <w:footnote w:id="1177">
    <w:p w14:paraId="7A45BFC6"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78">
    <w:p w14:paraId="60DB0E75" w14:textId="77777777" w:rsidR="00494B49" w:rsidRDefault="00494B49">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above.</w:t>
      </w:r>
    </w:p>
  </w:footnote>
  <w:footnote w:id="1179">
    <w:p w14:paraId="4EC67E5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w:t>
      </w:r>
    </w:p>
  </w:footnote>
  <w:footnote w:id="1180">
    <w:p w14:paraId="2FE98F4C" w14:textId="77777777" w:rsidR="00494B49" w:rsidRDefault="00494B49">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1">
    <w:p w14:paraId="2E2B1939" w14:textId="77777777" w:rsidR="00494B49" w:rsidRDefault="00494B49">
      <w:pPr>
        <w:pStyle w:val="FootnoteText"/>
      </w:pPr>
      <w:r>
        <w:rPr>
          <w:rStyle w:val="FootnoteReference"/>
        </w:rPr>
        <w:footnoteRef/>
      </w:r>
      <w:smartTag w:uri="http://www.bna.com/sgml2word/cite" w:element="cite.usc">
        <w:smartTagPr>
          <w:attr w:name="ref" w:val="USC\26\1291(c)(1)"/>
        </w:smartTagPr>
        <w:r>
          <w:t>§1291(c)(1)</w:t>
        </w:r>
      </w:smartTag>
      <w:r>
        <w:t>.</w:t>
      </w:r>
    </w:p>
  </w:footnote>
  <w:footnote w:id="1182">
    <w:p w14:paraId="4673658A" w14:textId="77777777" w:rsidR="00494B49" w:rsidRDefault="00494B49">
      <w:pPr>
        <w:pStyle w:val="FootnoteText"/>
      </w:pPr>
      <w:r>
        <w:rPr>
          <w:rStyle w:val="FootnoteReference"/>
        </w:rPr>
        <w:footnoteRef/>
      </w:r>
      <w:smartTag w:uri="http://www.bna.com/sgml2word/cite" w:element="cite.usc">
        <w:smartTagPr>
          <w:attr w:name="ref" w:val="USC\26\1291(c)(3)"/>
        </w:smartTagPr>
        <w:r>
          <w:t>§1291(c)(3)</w:t>
        </w:r>
      </w:smartTag>
      <w:r>
        <w:t>.</w:t>
      </w:r>
    </w:p>
  </w:footnote>
  <w:footnote w:id="1183">
    <w:p w14:paraId="540B440F" w14:textId="77777777" w:rsidR="00494B49" w:rsidRDefault="00494B49">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4">
    <w:p w14:paraId="4F3EE6FD" w14:textId="77777777" w:rsidR="00494B49" w:rsidRDefault="00494B49">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5">
    <w:p w14:paraId="3B305532" w14:textId="77777777" w:rsidR="00494B49" w:rsidRDefault="00494B49">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6">
    <w:p w14:paraId="48413E79" w14:textId="77777777" w:rsidR="00494B49" w:rsidRDefault="00494B49">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7">
    <w:p w14:paraId="0A068399" w14:textId="77777777" w:rsidR="00494B49" w:rsidRDefault="00494B49">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88">
    <w:p w14:paraId="36F33DAE" w14:textId="77777777" w:rsidR="00494B49" w:rsidRDefault="00494B49">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nongrantor trust than for a U.S. nongrantor trust (e.g., allocation of capital gains to income).</w:t>
      </w:r>
    </w:p>
  </w:footnote>
  <w:footnote w:id="1189">
    <w:p w14:paraId="2C91FF6C" w14:textId="77777777" w:rsidR="00494B49" w:rsidRDefault="00494B49">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90">
    <w:p w14:paraId="7800A973" w14:textId="77777777" w:rsidR="00494B49" w:rsidRDefault="00494B49">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1">
    <w:p w14:paraId="4C718B1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2">
    <w:p w14:paraId="3AF234B2" w14:textId="77777777" w:rsidR="00494B49" w:rsidRDefault="00494B49">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3">
    <w:p w14:paraId="78DC58BE" w14:textId="77777777" w:rsidR="00494B49" w:rsidRDefault="00494B49">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4">
    <w:p w14:paraId="38456730" w14:textId="77777777" w:rsidR="00494B49" w:rsidRDefault="00494B49">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5">
    <w:p w14:paraId="59946125"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6">
    <w:p w14:paraId="2C5FB7F0" w14:textId="77777777" w:rsidR="00494B49" w:rsidRDefault="00494B49">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7">
    <w:p w14:paraId="6F203073" w14:textId="77777777" w:rsidR="00494B49" w:rsidRDefault="00494B49">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198">
    <w:p w14:paraId="40EFA9CF" w14:textId="77777777" w:rsidR="00494B49" w:rsidRDefault="00494B49">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199">
    <w:p w14:paraId="455231C1"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200">
    <w:p w14:paraId="7D4BA4DB" w14:textId="77777777" w:rsidR="00494B49" w:rsidRDefault="00494B49">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1">
    <w:p w14:paraId="5A006D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
        </w:smartTagPr>
        <w:r>
          <w:t>§1.460-6(d)(2)(i)</w:t>
        </w:r>
      </w:smartTag>
      <w:r>
        <w:t>.</w:t>
      </w:r>
    </w:p>
  </w:footnote>
  <w:footnote w:id="1202">
    <w:p w14:paraId="5D71EE65"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3">
    <w:p w14:paraId="76D37AB2" w14:textId="77777777" w:rsidR="00494B49" w:rsidRDefault="00494B49">
      <w:pPr>
        <w:pStyle w:val="FootnoteText"/>
      </w:pPr>
      <w:r>
        <w:rPr>
          <w:rStyle w:val="FootnoteReference"/>
        </w:rPr>
        <w:footnoteRef/>
      </w:r>
      <w:smartTag w:uri="http://www.bna.com/sgml2word/cite" w:element="cite.usc">
        <w:smartTagPr>
          <w:attr w:name="ref" w:val="USC\26\460(b)(4)(A)(i)"/>
        </w:smartTagPr>
        <w:r>
          <w:t>§460(b)(4)(A)(i)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4">
    <w:p w14:paraId="2A16EEFC"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w:t>
      </w:r>
    </w:p>
  </w:footnote>
  <w:footnote w:id="1205">
    <w:p w14:paraId="4CDAF7D0" w14:textId="77777777" w:rsidR="00494B49" w:rsidRDefault="00494B49">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6">
    <w:p w14:paraId="0761BE3B"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7">
    <w:p w14:paraId="4BCBA4D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08">
    <w:p w14:paraId="5E7FA9EA"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09">
    <w:p w14:paraId="62A65FBB"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§1.460-6(c)(1)(i)</w:t>
        </w:r>
      </w:smartTag>
      <w:r>
        <w:t>.</w:t>
      </w:r>
    </w:p>
  </w:footnote>
  <w:footnote w:id="1210">
    <w:p w14:paraId="23B36E17" w14:textId="77777777" w:rsidR="00494B49" w:rsidRDefault="00494B49">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1">
    <w:p w14:paraId="35932413" w14:textId="77777777" w:rsidR="00494B49" w:rsidRDefault="00494B49">
      <w:pPr>
        <w:pStyle w:val="FootnoteText"/>
      </w:pPr>
      <w:r>
        <w:rPr>
          <w:rStyle w:val="FootnoteReference"/>
        </w:rPr>
        <w:footnoteRef/>
      </w:r>
      <w:hyperlink r:id="rId20" w:history="1">
        <w:r>
          <w:rPr>
            <w:rStyle w:val="Hyperlink"/>
          </w:rPr>
          <w:t>Instructions for Form 8697</w:t>
        </w:r>
      </w:hyperlink>
      <w:r>
        <w:t>.</w:t>
      </w:r>
    </w:p>
  </w:footnote>
  <w:footnote w:id="1212">
    <w:p w14:paraId="68DBBDD3" w14:textId="77777777" w:rsidR="00494B49" w:rsidRDefault="00494B49">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3">
    <w:p w14:paraId="510E2816" w14:textId="77777777" w:rsidR="00494B49" w:rsidRDefault="00494B49">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recomputation under the simplified marginal impact method would not change the individual’s passive losses allowed or disallowed, or MAGI. </w:t>
      </w:r>
    </w:p>
  </w:footnote>
  <w:footnote w:id="1214">
    <w:p w14:paraId="2724A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
        </w:smartTagPr>
        <w:r>
          <w:t>§1.460-6(f)(2)(i)</w:t>
        </w:r>
      </w:smartTag>
      <w:r>
        <w:t>.</w:t>
      </w:r>
    </w:p>
  </w:footnote>
  <w:footnote w:id="1215">
    <w:p w14:paraId="43DD452F"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6">
    <w:p w14:paraId="1AB3E4E8"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7">
    <w:p w14:paraId="0261610A" w14:textId="77777777" w:rsidR="00494B49" w:rsidRDefault="00494B49">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r>
        <w:rPr>
          <w:i/>
        </w:rPr>
        <w:t>The Taxation of Filmed Entertainment Content Production &amp; Distribution</w:t>
      </w:r>
      <w:r>
        <w:t>.</w:t>
      </w:r>
    </w:p>
  </w:footnote>
  <w:footnote w:id="1218">
    <w:p w14:paraId="6CD47E6B" w14:textId="77777777" w:rsidR="00494B49" w:rsidRDefault="00494B49">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19">
    <w:p w14:paraId="2F02BB25" w14:textId="77777777" w:rsidR="00494B49" w:rsidRDefault="00494B49">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20">
    <w:p w14:paraId="16D256FB" w14:textId="77777777" w:rsidR="00494B49" w:rsidRDefault="00494B49">
      <w:pPr>
        <w:pStyle w:val="FootnoteText"/>
      </w:pPr>
      <w:r>
        <w:rPr>
          <w:rStyle w:val="FootnoteReference"/>
        </w:rPr>
        <w:footnoteRef/>
      </w:r>
      <w:r>
        <w:t xml:space="preserve">H.R. Conf. Rep. No. 737, 104th Cong., 2d Sess. 299, at n.53 (1996). </w:t>
      </w:r>
    </w:p>
  </w:footnote>
  <w:footnote w:id="1221">
    <w:p w14:paraId="1E5F9B2D" w14:textId="77777777" w:rsidR="00494B49" w:rsidRDefault="00494B49">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2">
    <w:p w14:paraId="54D0C578" w14:textId="77777777" w:rsidR="00494B49" w:rsidRDefault="00494B49">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3">
    <w:p w14:paraId="6834684E" w14:textId="77777777" w:rsidR="00494B49" w:rsidRDefault="00494B49">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4">
    <w:p w14:paraId="3D925EC3" w14:textId="77777777" w:rsidR="00494B49" w:rsidRDefault="00494B49">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5">
    <w:p w14:paraId="334A44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6">
    <w:p w14:paraId="432AC8D6" w14:textId="77777777" w:rsidR="00494B49" w:rsidRDefault="00494B49">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7">
    <w:p w14:paraId="5B67A08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28">
    <w:p w14:paraId="3186D66E" w14:textId="77777777" w:rsidR="00494B49" w:rsidRDefault="00494B49">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29">
    <w:p w14:paraId="1CDCFCF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30">
    <w:p w14:paraId="64E0B896" w14:textId="77777777" w:rsidR="00494B49" w:rsidRDefault="00494B49">
      <w:pPr>
        <w:pStyle w:val="FootnoteText"/>
      </w:pPr>
      <w:r>
        <w:rPr>
          <w:rStyle w:val="FootnoteReference"/>
        </w:rPr>
        <w:footnoteRef/>
      </w:r>
      <w:r>
        <w:t xml:space="preserve">For a list of all U.S. income tax treaties in force, see IRS, </w:t>
      </w:r>
      <w:hyperlink r:id="rId21" w:history="1">
        <w:r>
          <w:rPr>
            <w:rStyle w:val="Hyperlink"/>
            <w:i/>
          </w:rPr>
          <w:t>United States Income Tax Treaties – A to Z</w:t>
        </w:r>
      </w:hyperlink>
      <w:r>
        <w:t>.</w:t>
      </w:r>
    </w:p>
  </w:footnote>
  <w:footnote w:id="1231">
    <w:p w14:paraId="1C16492E" w14:textId="77777777" w:rsidR="00494B49" w:rsidRDefault="00494B49">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2">
    <w:p w14:paraId="1E0238C3" w14:textId="77777777" w:rsidR="00494B49" w:rsidRDefault="00494B49">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3">
    <w:p w14:paraId="56485C84" w14:textId="77777777" w:rsidR="00494B49" w:rsidRDefault="00494B49">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4">
    <w:p w14:paraId="31121F54" w14:textId="77777777" w:rsidR="00494B49" w:rsidRDefault="00494B49">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5">
    <w:p w14:paraId="1F489828" w14:textId="77777777" w:rsidR="00494B49" w:rsidRDefault="00494B49">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6">
    <w:p w14:paraId="3F020AAD" w14:textId="77777777" w:rsidR="00494B49" w:rsidRDefault="00494B49">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7">
    <w:p w14:paraId="4C606803" w14:textId="77777777" w:rsidR="00494B49" w:rsidRDefault="00494B49">
      <w:pPr>
        <w:pStyle w:val="FootnoteText"/>
      </w:pPr>
      <w:r>
        <w:rPr>
          <w:rStyle w:val="FootnoteReference"/>
        </w:rPr>
        <w:footnoteRef/>
      </w:r>
      <w:hyperlink r:id="rId22"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38">
    <w:p w14:paraId="29831AC6" w14:textId="77777777" w:rsidR="00494B49" w:rsidRDefault="00494B49">
      <w:pPr>
        <w:pStyle w:val="FootnoteText"/>
      </w:pPr>
      <w:r>
        <w:rPr>
          <w:rStyle w:val="FootnoteReference"/>
        </w:rPr>
        <w:footnoteRef/>
      </w:r>
      <w:r>
        <w:t xml:space="preserve">For example, compare the language in the </w:t>
      </w:r>
      <w:hyperlink r:id="rId23"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4" w:history="1">
        <w:r>
          <w:rPr>
            <w:rStyle w:val="Hyperlink"/>
            <w:i/>
          </w:rPr>
          <w:t>United States Model Income Tax Convention</w:t>
        </w:r>
      </w:hyperlink>
      <w:r>
        <w:t xml:space="preserve"> (2016) (“2016 U.S. Model Treaty”), which is also available on the Bloomberg Tax website (International tab).</w:t>
      </w:r>
    </w:p>
  </w:footnote>
  <w:footnote w:id="1239">
    <w:p w14:paraId="25A6F60C" w14:textId="77777777" w:rsidR="00494B49" w:rsidRDefault="00494B49">
      <w:pPr>
        <w:pStyle w:val="FootnoteText"/>
      </w:pPr>
      <w:r>
        <w:rPr>
          <w:rStyle w:val="FootnoteReference"/>
        </w:rPr>
        <w:footnoteRef/>
      </w:r>
      <w:r>
        <w:t xml:space="preserve">Compare, for example, the language in the </w:t>
      </w:r>
      <w:hyperlink r:id="rId25" w:history="1">
        <w:r>
          <w:rPr>
            <w:rStyle w:val="Hyperlink"/>
          </w:rPr>
          <w:t>2006 U.S. Model Treaty Technical Explanation</w:t>
        </w:r>
      </w:hyperlink>
      <w:r>
        <w:t xml:space="preserve"> with the technical explanation that accompanied the </w:t>
      </w:r>
      <w:hyperlink r:id="rId26"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40">
    <w:p w14:paraId="1139F537" w14:textId="77777777" w:rsidR="00494B49" w:rsidRDefault="00494B49">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1">
    <w:p w14:paraId="77810410" w14:textId="77777777" w:rsidR="00494B49" w:rsidRDefault="00494B49">
      <w:pPr>
        <w:pStyle w:val="FootnoteText"/>
      </w:pPr>
      <w:r>
        <w:rPr>
          <w:rStyle w:val="FootnoteReference"/>
        </w:rPr>
        <w:footnoteRef/>
      </w:r>
      <w:r>
        <w:t>As noted above, the 2016 U.S. Model Treaty was not accompanied by a technical explanation.</w:t>
      </w:r>
    </w:p>
  </w:footnote>
  <w:footnote w:id="1242">
    <w:p w14:paraId="2B85C5C9" w14:textId="77777777" w:rsidR="00494B49" w:rsidRDefault="00494B49">
      <w:pPr>
        <w:pStyle w:val="FootnoteText"/>
      </w:pPr>
      <w:r>
        <w:rPr>
          <w:rStyle w:val="FootnoteReference"/>
        </w:rPr>
        <w:footnoteRef/>
      </w:r>
      <w:r>
        <w:rPr>
          <w:i/>
        </w:rPr>
        <w:t>See</w:t>
      </w:r>
      <w:r>
        <w:t xml:space="preserve"> 2006 U.S. Model Treaty Technical Explanation, art. 2(3)(b).</w:t>
      </w:r>
    </w:p>
  </w:footnote>
  <w:footnote w:id="1243">
    <w:p w14:paraId="4601801E" w14:textId="77777777" w:rsidR="00494B49" w:rsidRDefault="00494B49">
      <w:pPr>
        <w:pStyle w:val="FootnoteText"/>
      </w:pPr>
      <w:r>
        <w:rPr>
          <w:rStyle w:val="FootnoteReference"/>
        </w:rPr>
        <w:footnoteRef/>
      </w:r>
      <w:r>
        <w:t xml:space="preserve">2016 U.S. Model Treaty, art. 23(2)(a); 2006 U.S. Model Treaty, art.23(2)(a). </w:t>
      </w:r>
    </w:p>
  </w:footnote>
  <w:footnote w:id="1244">
    <w:p w14:paraId="429CDF68" w14:textId="77777777" w:rsidR="00494B49" w:rsidRDefault="00494B49">
      <w:pPr>
        <w:pStyle w:val="FootnoteText"/>
      </w:pPr>
      <w:r>
        <w:rPr>
          <w:rStyle w:val="FootnoteReference"/>
        </w:rPr>
        <w:footnoteRef/>
      </w:r>
      <w:r>
        <w:t>2006 U.S. Model Treaty Technical Explanation.</w:t>
      </w:r>
    </w:p>
  </w:footnote>
  <w:footnote w:id="1245">
    <w:p w14:paraId="173370D3" w14:textId="77777777" w:rsidR="00494B49" w:rsidRDefault="00494B49">
      <w:pPr>
        <w:pStyle w:val="FootnoteText"/>
      </w:pPr>
      <w:r>
        <w:rPr>
          <w:rStyle w:val="FootnoteReference"/>
        </w:rPr>
        <w:footnoteRef/>
      </w:r>
      <w:r>
        <w:t>2016 U.S. Model Treaty, art. 24.</w:t>
      </w:r>
    </w:p>
  </w:footnote>
  <w:footnote w:id="1246">
    <w:p w14:paraId="2B7C128A"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7">
    <w:p w14:paraId="51E00156" w14:textId="77777777" w:rsidR="00494B49" w:rsidRDefault="00494B49">
      <w:pPr>
        <w:pStyle w:val="FootnoteText"/>
      </w:pPr>
      <w:r>
        <w:rPr>
          <w:rStyle w:val="FootnoteReference"/>
        </w:rPr>
        <w:footnoteRef/>
      </w:r>
      <w:r>
        <w:rPr>
          <w:i/>
        </w:rPr>
        <w:t>See</w:t>
      </w:r>
      <w:r>
        <w:t xml:space="preserve"> 2006 U.S. Model Treaty Technical Explanation, art. 24(1). </w:t>
      </w:r>
    </w:p>
  </w:footnote>
  <w:footnote w:id="1248">
    <w:p w14:paraId="19A02BD8"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9">
    <w:p w14:paraId="30BEAAA7" w14:textId="77777777" w:rsidR="00494B49" w:rsidRDefault="00494B49">
      <w:pPr>
        <w:pStyle w:val="FootnoteText"/>
      </w:pPr>
      <w:r>
        <w:rPr>
          <w:rStyle w:val="FootnoteReference"/>
        </w:rPr>
        <w:footnoteRef/>
      </w:r>
      <w:r>
        <w:t xml:space="preserve">Internal Revenue Code, as amended through December 31, 1953. </w:t>
      </w:r>
    </w:p>
  </w:footnote>
  <w:footnote w:id="1250">
    <w:p w14:paraId="1DA59074" w14:textId="77777777" w:rsidR="00494B49" w:rsidRDefault="00494B49">
      <w:pPr>
        <w:pStyle w:val="FootnoteText"/>
      </w:pPr>
      <w:r>
        <w:rPr>
          <w:rStyle w:val="FootnoteReference"/>
        </w:rPr>
        <w:footnoteRef/>
      </w:r>
      <w:r>
        <w:t>Convention Between the United States of America and the Kingdom of Greece for the Avoidance of Double Taxation and the Prevention of Fiscal Evasion with Respect to Taxes on Income (Entered into force on December 30, 1953), art. XIV(2).</w:t>
      </w:r>
    </w:p>
  </w:footnote>
  <w:footnote w:id="1251">
    <w:p w14:paraId="73A36610" w14:textId="77777777" w:rsidR="00494B49" w:rsidRDefault="00494B49">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2">
    <w:p w14:paraId="5E8F6F4B" w14:textId="77777777" w:rsidR="00494B49" w:rsidRDefault="00494B49">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3">
    <w:p w14:paraId="3FAD7746" w14:textId="77777777" w:rsidR="00494B49" w:rsidRDefault="00494B49">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4">
    <w:p w14:paraId="7CC588E6" w14:textId="77777777" w:rsidR="00494B49" w:rsidRDefault="00494B49">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5">
    <w:p w14:paraId="4121E2E7" w14:textId="77777777" w:rsidR="00494B49" w:rsidRDefault="00494B49">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6">
    <w:p w14:paraId="4C0AA1CB" w14:textId="77777777" w:rsidR="00494B49" w:rsidRDefault="00494B49">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7">
    <w:p w14:paraId="4EEDB579" w14:textId="77777777" w:rsidR="00494B49" w:rsidRDefault="00494B49">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58">
    <w:p w14:paraId="1057BCCD" w14:textId="77777777" w:rsidR="00494B49" w:rsidRDefault="00494B49">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59">
    <w:p w14:paraId="10F2AFC9" w14:textId="77777777" w:rsidR="00494B49" w:rsidRDefault="00494B49">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60">
    <w:p w14:paraId="494E650C" w14:textId="77777777" w:rsidR="00494B49" w:rsidRDefault="00494B49">
      <w:pPr>
        <w:pStyle w:val="FootnoteText"/>
      </w:pPr>
      <w:r>
        <w:rPr>
          <w:rStyle w:val="FootnoteReference"/>
        </w:rPr>
        <w:footnoteRef/>
      </w:r>
      <w:r>
        <w:t>$17,000 is the lesser of (a) net investment income ($17,000) or (b) MAGI over $200,000 ($227,000 – $200,000 = $27,000).</w:t>
      </w:r>
    </w:p>
  </w:footnote>
  <w:footnote w:id="1261">
    <w:p w14:paraId="5F874B95" w14:textId="77777777" w:rsidR="00494B49" w:rsidRDefault="00494B49">
      <w:pPr>
        <w:pStyle w:val="FootnoteText"/>
      </w:pPr>
      <w:r>
        <w:rPr>
          <w:rStyle w:val="FootnoteReference"/>
        </w:rPr>
        <w:footnoteRef/>
      </w:r>
      <w:r>
        <w:t>$12,000 Greek rental income out of a total $17,000 net investment income.</w:t>
      </w:r>
    </w:p>
  </w:footnote>
  <w:footnote w:id="1262">
    <w:p w14:paraId="646B853E" w14:textId="77777777" w:rsidR="00494B49" w:rsidRDefault="00494B49">
      <w:pPr>
        <w:pStyle w:val="FootnoteText"/>
      </w:pPr>
      <w:r>
        <w:rPr>
          <w:rStyle w:val="FootnoteReference"/>
        </w:rPr>
        <w:footnoteRef/>
      </w:r>
      <w:r>
        <w:t>$7,000 is the lesser of (a) net investment income ($207,000) or (b) MAGI over $200,000 ($207,000 – $200,000 = $7,000).</w:t>
      </w:r>
    </w:p>
  </w:footnote>
  <w:footnote w:id="1263">
    <w:p w14:paraId="0BE38DDE" w14:textId="77777777" w:rsidR="00494B49" w:rsidRDefault="00494B49">
      <w:pPr>
        <w:pStyle w:val="FootnoteText"/>
      </w:pPr>
      <w:r>
        <w:rPr>
          <w:rStyle w:val="FootnoteReference"/>
        </w:rPr>
        <w:footnoteRef/>
      </w:r>
      <w:r>
        <w:t>$7,000 is the lesser of (a) net investment income ($17,000) or (b) MAGI over $200,000 ($207,000 – $200,000 = $7,000).</w:t>
      </w:r>
    </w:p>
  </w:footnote>
  <w:footnote w:id="1264">
    <w:p w14:paraId="33C638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5">
    <w:p w14:paraId="56659E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6">
    <w:p w14:paraId="1370A0B9" w14:textId="77777777" w:rsidR="00494B49" w:rsidRDefault="00494B49">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7">
    <w:p w14:paraId="62D2A449" w14:textId="77777777" w:rsidR="00494B49" w:rsidRDefault="00494B49">
      <w:pPr>
        <w:pStyle w:val="FootnoteText"/>
      </w:pPr>
      <w:r>
        <w:rPr>
          <w:rStyle w:val="FootnoteReference"/>
        </w:rPr>
        <w:footnoteRef/>
      </w:r>
      <w:r>
        <w:t xml:space="preserve">This example references the 2018 version of </w:t>
      </w:r>
      <w:hyperlink r:id="rId27" w:history="1">
        <w:r>
          <w:rPr>
            <w:rStyle w:val="Hyperlink"/>
          </w:rPr>
          <w:t>Form 1040</w:t>
        </w:r>
      </w:hyperlink>
      <w:r>
        <w:t>, Schedule 2, Schedule 3, and Schedule 4.</w:t>
      </w:r>
    </w:p>
  </w:footnote>
  <w:footnote w:id="1268">
    <w:p w14:paraId="45F55E82" w14:textId="77777777" w:rsidR="00494B49" w:rsidRDefault="00494B49">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69">
    <w:p w14:paraId="713780D5" w14:textId="77777777" w:rsidR="00494B49" w:rsidRDefault="00494B49">
      <w:pPr>
        <w:pStyle w:val="FootnoteText"/>
      </w:pPr>
      <w:r>
        <w:rPr>
          <w:rStyle w:val="FootnoteReference"/>
        </w:rPr>
        <w:footnoteRef/>
      </w:r>
      <w:r>
        <w:t>She did not transfer the $11,540 NIIT shown on Form 8960, Line 17, to Form 1040, Line 60.</w:t>
      </w:r>
    </w:p>
  </w:footnote>
  <w:footnote w:id="1270">
    <w:p w14:paraId="795662E3" w14:textId="77777777" w:rsidR="00494B49" w:rsidRDefault="00494B49">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1">
    <w:p w14:paraId="021C93E2" w14:textId="77777777" w:rsidR="00494B49" w:rsidRDefault="00494B49">
      <w:pPr>
        <w:pStyle w:val="FootnoteText"/>
      </w:pPr>
      <w:r>
        <w:rPr>
          <w:rStyle w:val="FootnoteReference"/>
        </w:rPr>
        <w:footnoteRef/>
      </w:r>
      <w:r>
        <w:t>168 Fed. Cl. 263 (Fed. Cl. 2023).</w:t>
      </w:r>
    </w:p>
  </w:footnote>
  <w:footnote w:id="1272">
    <w:p w14:paraId="1D61EA7E" w14:textId="77777777" w:rsidR="00494B49" w:rsidRDefault="00494B49">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a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3">
    <w:p w14:paraId="506DAFC1" w14:textId="77777777" w:rsidR="00494B49" w:rsidRDefault="00494B49">
      <w:pPr>
        <w:pStyle w:val="FootnoteText"/>
      </w:pPr>
      <w:r>
        <w:rPr>
          <w:rStyle w:val="FootnoteReference"/>
        </w:rPr>
        <w:footnoteRef/>
      </w:r>
      <w:r>
        <w:t>The opinion notes that the 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4">
    <w:p w14:paraId="1AFC5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5">
    <w:p w14:paraId="5CAE48A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6">
    <w:p w14:paraId="25269E9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7">
    <w:p w14:paraId="559ED1DC" w14:textId="77777777" w:rsidR="00494B49" w:rsidRDefault="00494B49">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8" w:history="1">
        <w:r>
          <w:rPr>
            <w:rStyle w:val="Hyperlink"/>
          </w:rPr>
          <w:t>Instructions for Form 1040-NR</w:t>
        </w:r>
      </w:hyperlink>
      <w:r>
        <w:t xml:space="preserve">, </w:t>
      </w:r>
      <w:r>
        <w:rPr>
          <w:i/>
        </w:rPr>
        <w:t>U.S. Nonresident Alien Income Tax Return</w:t>
      </w:r>
      <w:r>
        <w:t>.</w:t>
      </w:r>
    </w:p>
  </w:footnote>
  <w:footnote w:id="1278">
    <w:p w14:paraId="48E5B7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79">
    <w:p w14:paraId="2FCE7C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80">
    <w:p w14:paraId="1F82A6EE"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1">
    <w:p w14:paraId="724ACAF4" w14:textId="77777777" w:rsidR="00494B49" w:rsidRDefault="00494B49">
      <w:pPr>
        <w:pStyle w:val="FootnoteText"/>
      </w:pPr>
      <w:r>
        <w:rPr>
          <w:rStyle w:val="FootnoteReference"/>
        </w:rPr>
        <w:footnoteRef/>
      </w:r>
      <w:r>
        <w:t>United States Model Income Tax Convention (2016), art. 4 — Resident.</w:t>
      </w:r>
    </w:p>
  </w:footnote>
  <w:footnote w:id="1282">
    <w:p w14:paraId="3A58F252"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3">
    <w:p w14:paraId="0154FB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4">
    <w:p w14:paraId="342FCB3C"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5">
    <w:p w14:paraId="2894886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6">
    <w:p w14:paraId="6541A0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7">
    <w:p w14:paraId="21C8CEC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(reference to gain excluded by </w:t>
      </w:r>
      <w:smartTag w:uri="http://www.bna.com/sgml2word/cite" w:element="cite.usc">
        <w:smartTagPr>
          <w:attr w:name="ref" w:val="USC\26\121"/>
        </w:smartTagPr>
        <w:r>
          <w:t>§121</w:t>
        </w:r>
      </w:smartTag>
      <w:r>
        <w:t>).</w:t>
      </w:r>
    </w:p>
  </w:footnote>
  <w:footnote w:id="1288">
    <w:p w14:paraId="2FB17C84" w14:textId="77777777" w:rsidR="00494B49" w:rsidRDefault="00494B49">
      <w:pPr>
        <w:pStyle w:val="FootnoteText"/>
      </w:pPr>
      <w:r>
        <w:rPr>
          <w:rStyle w:val="FootnoteReference"/>
        </w:rPr>
        <w:footnoteRef/>
      </w:r>
      <w:r>
        <w:rPr>
          <w:i/>
        </w:rPr>
        <w:t>See</w:t>
      </w:r>
      <w:r>
        <w:t xml:space="preserve"> United States Model Income Tax Convention (2016) (“2016 U.S. Model Treaty”), art. 1(4). </w:t>
      </w:r>
    </w:p>
  </w:footnote>
  <w:footnote w:id="1289">
    <w:p w14:paraId="47028DB9" w14:textId="77777777" w:rsidR="00494B49" w:rsidRDefault="00494B49">
      <w:pPr>
        <w:pStyle w:val="FootnoteText"/>
      </w:pPr>
      <w:r>
        <w:rPr>
          <w:rStyle w:val="FootnoteReference"/>
        </w:rPr>
        <w:footnoteRef/>
      </w:r>
      <w:r>
        <w:t>2016 U.S. Model Treaty, art. 1(5); art. 17(1)(b).</w:t>
      </w:r>
    </w:p>
  </w:footnote>
  <w:footnote w:id="1290">
    <w:p w14:paraId="4803CDC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(income excluded from gross income).</w:t>
      </w:r>
    </w:p>
  </w:footnote>
  <w:footnote w:id="1291">
    <w:p w14:paraId="54F9D70E" w14:textId="77777777" w:rsidR="00494B49" w:rsidRDefault="00494B49">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2">
    <w:p w14:paraId="0FBC21C9" w14:textId="77777777" w:rsidR="00494B49" w:rsidRDefault="00494B49">
      <w:pPr>
        <w:pStyle w:val="FootnoteText"/>
      </w:pPr>
      <w:r>
        <w:rPr>
          <w:rStyle w:val="FootnoteReference"/>
        </w:rPr>
        <w:footnoteRef/>
      </w:r>
      <w:r>
        <w:t xml:space="preserve">According to the blog </w:t>
      </w:r>
      <w:hyperlink r:id="rId29"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3">
    <w:p w14:paraId="3F68CC8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4">
    <w:p w14:paraId="327A11FC" w14:textId="77777777" w:rsidR="00494B49" w:rsidRDefault="00494B49">
      <w:pPr>
        <w:pStyle w:val="FootnoteText"/>
      </w:pPr>
      <w:r>
        <w:rPr>
          <w:rStyle w:val="FootnoteReference"/>
        </w:rPr>
        <w:footnoteRef/>
      </w:r>
      <w:smartTag w:uri="http://www.bna.com/sgml2word/cite" w:element="cite.usc">
        <w:smartTagPr>
          <w:attr w:name="ref" w:val="USC\26\3121(b)"/>
        </w:smartTagPr>
        <w:r>
          <w:t>§3121(b)</w:t>
        </w:r>
      </w:smartTag>
      <w:r>
        <w:t>.</w:t>
      </w:r>
    </w:p>
  </w:footnote>
  <w:footnote w:id="1295">
    <w:p w14:paraId="1010AEF7" w14:textId="77777777" w:rsidR="00494B49" w:rsidRDefault="00494B49">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6">
    <w:p w14:paraId="6B14F8F8" w14:textId="77777777" w:rsidR="00494B49" w:rsidRDefault="00494B49">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7">
    <w:p w14:paraId="1EA027A0"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298">
    <w:p w14:paraId="011CDD66"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299">
    <w:p w14:paraId="4B665557" w14:textId="77777777" w:rsidR="00494B49" w:rsidRDefault="00494B49">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300">
    <w:p w14:paraId="2FE4C8CB"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1">
    <w:p w14:paraId="76F7DF0C" w14:textId="77777777" w:rsidR="00494B49" w:rsidRDefault="00494B49">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2">
    <w:p w14:paraId="1E34BE41" w14:textId="77777777" w:rsidR="00494B49" w:rsidRDefault="00494B49">
      <w:pPr>
        <w:pStyle w:val="FootnoteText"/>
      </w:pPr>
      <w:r>
        <w:rPr>
          <w:rStyle w:val="FootnoteReference"/>
        </w:rPr>
        <w:footnoteRef/>
      </w:r>
      <w:smartTag w:uri="http://www.bna.com/sgml2word/cite" w:element="cite.usc">
        <w:smartTagPr>
          <w:attr w:name="ref" w:val="USC\26\1401(c)"/>
        </w:smartTagPr>
        <w:r>
          <w:t>Section 1401(c)</w:t>
        </w:r>
      </w:smartTag>
      <w:r>
        <w:t xml:space="preserve"> states, “[d]uring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3">
    <w:p w14:paraId="687396DB" w14:textId="77777777" w:rsidR="00494B49" w:rsidRDefault="00494B49">
      <w:pPr>
        <w:pStyle w:val="FootnoteText"/>
      </w:pPr>
      <w:r>
        <w:rPr>
          <w:rStyle w:val="FootnoteReference"/>
        </w:rPr>
        <w:footnoteRef/>
      </w:r>
      <w:r>
        <w:t xml:space="preserve">Staff of the Joint Comm. on 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4">
    <w:p w14:paraId="356F4832" w14:textId="77777777" w:rsidR="00494B49" w:rsidRDefault="00494B49">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5">
    <w:p w14:paraId="09316A94" w14:textId="77777777" w:rsidR="00494B49" w:rsidRDefault="00494B49">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xml:space="preserve">, 430 (1904).. </w:t>
      </w:r>
      <w:r>
        <w:rPr>
          <w:i/>
        </w:rPr>
        <w:t>See</w:t>
      </w:r>
      <w:r>
        <w:t xml:space="preserve"> </w:t>
      </w:r>
      <w:r>
        <w:rPr>
          <w:rStyle w:val="BCasenamefull"/>
        </w:rPr>
        <w:t>United States v. Fisher</w:t>
      </w:r>
      <w:r>
        <w:t xml:space="preserve">, 2 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6">
    <w:p w14:paraId="47D25D06" w14:textId="77777777" w:rsidR="00494B49" w:rsidRDefault="00494B49">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7">
    <w:p w14:paraId="6C477DED" w14:textId="77777777" w:rsidR="00494B49" w:rsidRDefault="00494B49">
      <w:pPr>
        <w:pStyle w:val="FootnoteText"/>
      </w:pPr>
      <w:r>
        <w:rPr>
          <w:rStyle w:val="FootnoteReference"/>
        </w:rPr>
        <w:footnoteRef/>
      </w:r>
      <w:r>
        <w:t>2 Cranch 358 (1805).</w:t>
      </w:r>
    </w:p>
  </w:footnote>
  <w:footnote w:id="1308">
    <w:p w14:paraId="0DB6E9A2" w14:textId="77777777" w:rsidR="00494B49" w:rsidRDefault="00494B49">
      <w:pPr>
        <w:pStyle w:val="FootnoteText"/>
      </w:pPr>
      <w:r>
        <w:rPr>
          <w:rStyle w:val="FootnoteReference"/>
        </w:rPr>
        <w:footnoteRef/>
      </w:r>
      <w:r>
        <w:t>2 Cranch 358, 386 (1805).</w:t>
      </w:r>
    </w:p>
  </w:footnote>
  <w:footnote w:id="1309">
    <w:p w14:paraId="3D2D9B22" w14:textId="77777777" w:rsidR="00494B49" w:rsidRDefault="00494B49">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10">
    <w:p w14:paraId="19A5326F" w14:textId="77777777" w:rsidR="00494B49" w:rsidRDefault="00494B49">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1">
    <w:p w14:paraId="718C7FF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84282">
    <w:abstractNumId w:val="30"/>
  </w:num>
  <w:num w:numId="2" w16cid:durableId="305667918">
    <w:abstractNumId w:val="27"/>
  </w:num>
  <w:num w:numId="3" w16cid:durableId="335351227">
    <w:abstractNumId w:val="2"/>
  </w:num>
  <w:num w:numId="4" w16cid:durableId="217253836">
    <w:abstractNumId w:val="6"/>
  </w:num>
  <w:num w:numId="5" w16cid:durableId="1615870072">
    <w:abstractNumId w:val="7"/>
  </w:num>
  <w:num w:numId="6" w16cid:durableId="1586957234">
    <w:abstractNumId w:val="5"/>
  </w:num>
  <w:num w:numId="7" w16cid:durableId="81530196">
    <w:abstractNumId w:val="15"/>
  </w:num>
  <w:num w:numId="8" w16cid:durableId="956254991">
    <w:abstractNumId w:val="28"/>
  </w:num>
  <w:num w:numId="9" w16cid:durableId="586497754">
    <w:abstractNumId w:val="21"/>
  </w:num>
  <w:num w:numId="10" w16cid:durableId="1656762167">
    <w:abstractNumId w:val="0"/>
  </w:num>
  <w:num w:numId="11" w16cid:durableId="1970087569">
    <w:abstractNumId w:val="8"/>
  </w:num>
  <w:num w:numId="12" w16cid:durableId="1592009689">
    <w:abstractNumId w:val="3"/>
  </w:num>
  <w:num w:numId="13" w16cid:durableId="1342046615">
    <w:abstractNumId w:val="26"/>
  </w:num>
  <w:num w:numId="14" w16cid:durableId="1355156428">
    <w:abstractNumId w:val="24"/>
  </w:num>
  <w:num w:numId="15" w16cid:durableId="478887605">
    <w:abstractNumId w:val="23"/>
  </w:num>
  <w:num w:numId="16" w16cid:durableId="636371921">
    <w:abstractNumId w:val="9"/>
  </w:num>
  <w:num w:numId="17" w16cid:durableId="1910536842">
    <w:abstractNumId w:val="29"/>
  </w:num>
  <w:num w:numId="18" w16cid:durableId="1638415382">
    <w:abstractNumId w:val="10"/>
  </w:num>
  <w:num w:numId="19" w16cid:durableId="2111847420">
    <w:abstractNumId w:val="18"/>
  </w:num>
  <w:num w:numId="20" w16cid:durableId="12390572">
    <w:abstractNumId w:val="12"/>
  </w:num>
  <w:num w:numId="21" w16cid:durableId="74131392">
    <w:abstractNumId w:val="14"/>
  </w:num>
  <w:num w:numId="22" w16cid:durableId="2019118662">
    <w:abstractNumId w:val="19"/>
  </w:num>
  <w:num w:numId="23" w16cid:durableId="2002927911">
    <w:abstractNumId w:val="20"/>
  </w:num>
  <w:num w:numId="24" w16cid:durableId="618535713">
    <w:abstractNumId w:val="11"/>
  </w:num>
  <w:num w:numId="25" w16cid:durableId="2090271624">
    <w:abstractNumId w:val="17"/>
  </w:num>
  <w:num w:numId="26" w16cid:durableId="1769035274">
    <w:abstractNumId w:val="22"/>
  </w:num>
  <w:num w:numId="27" w16cid:durableId="1620333639">
    <w:abstractNumId w:val="4"/>
  </w:num>
  <w:num w:numId="28" w16cid:durableId="929506922">
    <w:abstractNumId w:val="25"/>
  </w:num>
  <w:num w:numId="29" w16cid:durableId="2062438898">
    <w:abstractNumId w:val="1"/>
  </w:num>
  <w:num w:numId="30" w16cid:durableId="782269113">
    <w:abstractNumId w:val="16"/>
  </w:num>
  <w:num w:numId="31" w16cid:durableId="1446999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49"/>
    <w:rsid w:val="00047D78"/>
    <w:rsid w:val="00223A8D"/>
    <w:rsid w:val="00236EB9"/>
    <w:rsid w:val="002637DE"/>
    <w:rsid w:val="00331182"/>
    <w:rsid w:val="00494B49"/>
    <w:rsid w:val="004C0E04"/>
    <w:rsid w:val="004D4741"/>
    <w:rsid w:val="004D5B60"/>
    <w:rsid w:val="004F1258"/>
    <w:rsid w:val="00574256"/>
    <w:rsid w:val="00786C45"/>
    <w:rsid w:val="00887B4F"/>
    <w:rsid w:val="008A0B88"/>
    <w:rsid w:val="00921A9C"/>
    <w:rsid w:val="00965E39"/>
    <w:rsid w:val="009C5066"/>
    <w:rsid w:val="00A23CA4"/>
    <w:rsid w:val="00B017CA"/>
    <w:rsid w:val="00B275F0"/>
    <w:rsid w:val="00B5099F"/>
    <w:rsid w:val="00CD12AC"/>
    <w:rsid w:val="00D13D21"/>
    <w:rsid w:val="00E51513"/>
    <w:rsid w:val="00EB4363"/>
    <w:rsid w:val="00F04F34"/>
    <w:rsid w:val="00F1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parallel"/>
  <w:smartTagType w:namespaceuri="http://www.bna.com/sgml2word/cite" w:name="cite.fr"/>
  <w:smartTagType w:namespaceuri="http://www.bna.com/sgml2word/cite" w:name="sticky1"/>
  <w:smartTagType w:namespaceuri="http://www.bna.com/sgml2word/cite" w:name="sticky.note"/>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2050"/>
    <o:shapelayout v:ext="edit">
      <o:idmap v:ext="edit" data="2"/>
    </o:shapelayout>
  </w:shapeDefaults>
  <w:decimalSymbol w:val="."/>
  <w:listSeparator w:val=","/>
  <w14:docId w14:val="7B48B565"/>
  <w15:chartTrackingRefBased/>
  <w15:docId w15:val="{AFAF87E8-19D0-4964-B669-DB736009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49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9"/>
    <w:semiHidden/>
    <w:unhideWhenUsed/>
    <w:qFormat/>
    <w:rsid w:val="0049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iPriority w:val="9"/>
    <w:semiHidden/>
    <w:unhideWhenUsed/>
    <w:qFormat/>
    <w:rsid w:val="00494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iPriority w:val="9"/>
    <w:semiHidden/>
    <w:unhideWhenUsed/>
    <w:qFormat/>
    <w:rsid w:val="00494B4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iPriority w:val="9"/>
    <w:semiHidden/>
    <w:unhideWhenUsed/>
    <w:qFormat/>
    <w:rsid w:val="00494B49"/>
    <w:pPr>
      <w:keepNext/>
      <w:keepLines/>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iPriority w:val="9"/>
    <w:semiHidden/>
    <w:unhideWhenUsed/>
    <w:qFormat/>
    <w:rsid w:val="00494B49"/>
    <w:pPr>
      <w:keepNext/>
      <w:keepLines/>
      <w:spacing w:before="40" w:after="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iPriority w:val="9"/>
    <w:semiHidden/>
    <w:unhideWhenUsed/>
    <w:qFormat/>
    <w:rsid w:val="00494B49"/>
    <w:pPr>
      <w:keepNext/>
      <w:keepLines/>
      <w:spacing w:before="40" w:after="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iPriority w:val="9"/>
    <w:semiHidden/>
    <w:unhideWhenUsed/>
    <w:qFormat/>
    <w:rsid w:val="00494B49"/>
    <w:pPr>
      <w:keepNext/>
      <w:keepLines/>
      <w:spacing w:after="0"/>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iPriority w:val="9"/>
    <w:semiHidden/>
    <w:unhideWhenUsed/>
    <w:qFormat/>
    <w:rsid w:val="00494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94B4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uiPriority w:val="9"/>
    <w:semiHidden/>
    <w:rsid w:val="00494B4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uiPriority w:val="9"/>
    <w:semiHidden/>
    <w:rsid w:val="00494B49"/>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uiPriority w:val="9"/>
    <w:semiHidden/>
    <w:rsid w:val="00494B49"/>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uiPriority w:val="9"/>
    <w:semiHidden/>
    <w:rsid w:val="00494B49"/>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uiPriority w:val="9"/>
    <w:semiHidden/>
    <w:rsid w:val="00494B49"/>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uiPriority w:val="9"/>
    <w:semiHidden/>
    <w:rsid w:val="00494B49"/>
    <w:rPr>
      <w:rFonts w:eastAsiaTheme="majorEastAsia" w:cstheme="majorBidi"/>
      <w:color w:val="595959" w:themeColor="text1" w:themeTint="A6"/>
    </w:rPr>
  </w:style>
  <w:style w:type="character" w:customStyle="1" w:styleId="Heading8Char">
    <w:name w:val="Heading 8 Char"/>
    <w:aliases w:val="h8 Char"/>
    <w:basedOn w:val="DefaultParagraphFont"/>
    <w:link w:val="Heading8"/>
    <w:uiPriority w:val="9"/>
    <w:semiHidden/>
    <w:rsid w:val="00494B49"/>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uiPriority w:val="9"/>
    <w:semiHidden/>
    <w:rsid w:val="00494B49"/>
    <w:rPr>
      <w:rFonts w:eastAsiaTheme="majorEastAsia" w:cstheme="majorBidi"/>
      <w:color w:val="272727" w:themeColor="text1" w:themeTint="D8"/>
    </w:rPr>
  </w:style>
  <w:style w:type="paragraph" w:styleId="Title">
    <w:name w:val="Title"/>
    <w:basedOn w:val="Normal"/>
    <w:next w:val="Normal"/>
    <w:link w:val="TitleChar"/>
    <w:uiPriority w:val="10"/>
    <w:qFormat/>
    <w:rsid w:val="0049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49"/>
    <w:pPr>
      <w:spacing w:before="160"/>
      <w:jc w:val="center"/>
    </w:pPr>
    <w:rPr>
      <w:i/>
      <w:iCs/>
      <w:color w:val="404040" w:themeColor="text1" w:themeTint="BF"/>
    </w:rPr>
  </w:style>
  <w:style w:type="character" w:customStyle="1" w:styleId="QuoteChar">
    <w:name w:val="Quote Char"/>
    <w:basedOn w:val="DefaultParagraphFont"/>
    <w:link w:val="Quote"/>
    <w:uiPriority w:val="29"/>
    <w:rsid w:val="00494B49"/>
    <w:rPr>
      <w:i/>
      <w:iCs/>
      <w:color w:val="404040" w:themeColor="text1" w:themeTint="BF"/>
    </w:rPr>
  </w:style>
  <w:style w:type="paragraph" w:styleId="ListParagraph">
    <w:name w:val="List Paragraph"/>
    <w:basedOn w:val="Normal"/>
    <w:uiPriority w:val="34"/>
    <w:qFormat/>
    <w:rsid w:val="00494B49"/>
    <w:pPr>
      <w:ind w:left="720"/>
      <w:contextualSpacing/>
    </w:pPr>
  </w:style>
  <w:style w:type="character" w:styleId="IntenseEmphasis">
    <w:name w:val="Intense Emphasis"/>
    <w:basedOn w:val="DefaultParagraphFont"/>
    <w:uiPriority w:val="21"/>
    <w:qFormat/>
    <w:rsid w:val="00494B49"/>
    <w:rPr>
      <w:i/>
      <w:iCs/>
      <w:color w:val="0F4761" w:themeColor="accent1" w:themeShade="BF"/>
    </w:rPr>
  </w:style>
  <w:style w:type="paragraph" w:styleId="IntenseQuote">
    <w:name w:val="Intense Quote"/>
    <w:basedOn w:val="Normal"/>
    <w:next w:val="Normal"/>
    <w:link w:val="IntenseQuoteChar"/>
    <w:uiPriority w:val="30"/>
    <w:qFormat/>
    <w:rsid w:val="0049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49"/>
    <w:rPr>
      <w:i/>
      <w:iCs/>
      <w:color w:val="0F4761" w:themeColor="accent1" w:themeShade="BF"/>
    </w:rPr>
  </w:style>
  <w:style w:type="character" w:styleId="IntenseReference">
    <w:name w:val="Intense Reference"/>
    <w:basedOn w:val="DefaultParagraphFont"/>
    <w:uiPriority w:val="32"/>
    <w:qFormat/>
    <w:rsid w:val="00494B49"/>
    <w:rPr>
      <w:b/>
      <w:bCs/>
      <w:smallCaps/>
      <w:color w:val="0F4761" w:themeColor="accent1" w:themeShade="BF"/>
      <w:spacing w:val="5"/>
    </w:rPr>
  </w:style>
  <w:style w:type="paragraph" w:customStyle="1" w:styleId="sp">
    <w:name w:val="sp"/>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494B49"/>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494B49"/>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494B49"/>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ubhead">
    <w:name w:val="sub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494B49"/>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semiHidden/>
    <w:unhideWhenUsed/>
    <w:rsid w:val="00494B49"/>
    <w:rPr>
      <w:vertAlign w:val="superscript"/>
    </w:rPr>
  </w:style>
  <w:style w:type="paragraph" w:styleId="Header">
    <w:name w:val="header"/>
    <w:basedOn w:val="Normal"/>
    <w:link w:val="HeaderChar"/>
    <w:uiPriority w:val="99"/>
    <w:unhideWhenUsed/>
    <w:qFormat/>
    <w:rsid w:val="0049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49"/>
  </w:style>
  <w:style w:type="paragraph" w:styleId="Footer">
    <w:name w:val="footer"/>
    <w:basedOn w:val="Normal"/>
    <w:link w:val="FooterChar"/>
    <w:uiPriority w:val="99"/>
    <w:unhideWhenUsed/>
    <w:rsid w:val="0049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49"/>
  </w:style>
  <w:style w:type="paragraph" w:styleId="FootnoteText">
    <w:name w:val="footnote text"/>
    <w:basedOn w:val="Normal"/>
    <w:link w:val="FootnoteTextChar"/>
    <w:uiPriority w:val="99"/>
    <w:rsid w:val="00494B49"/>
    <w:pPr>
      <w:spacing w:before="60" w:after="60" w:line="240" w:lineRule="auto"/>
      <w:ind w:firstLine="720"/>
      <w:contextualSpacing/>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94B4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494B49"/>
    <w:rPr>
      <w:color w:val="0000FF"/>
      <w:u w:val="single"/>
    </w:rPr>
  </w:style>
  <w:style w:type="paragraph" w:customStyle="1" w:styleId="BChapterName">
    <w:name w:val="BChapter_Name"/>
    <w:basedOn w:val="Normal"/>
    <w:link w:val="BChapterNameChar"/>
    <w:qFormat/>
    <w:rsid w:val="00494B49"/>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494B49"/>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494B49"/>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494B49"/>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494B49"/>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494B49"/>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494B49"/>
    <w:pPr>
      <w:ind w:left="1080" w:right="720"/>
    </w:pPr>
  </w:style>
  <w:style w:type="character" w:customStyle="1" w:styleId="BQuotelongChar">
    <w:name w:val="BQuote_long Char"/>
    <w:basedOn w:val="BNormalChar"/>
    <w:link w:val="BQuotelong"/>
    <w:rsid w:val="00494B49"/>
    <w:rPr>
      <w:rFonts w:ascii="Times New Roman" w:eastAsia="Times New Roman" w:hAnsi="Times New Roman" w:cs="Times New Roman"/>
      <w:kern w:val="0"/>
      <w14:ligatures w14:val="none"/>
    </w:rPr>
  </w:style>
  <w:style w:type="paragraph" w:customStyle="1" w:styleId="BHead2">
    <w:name w:val="BHead2"/>
    <w:next w:val="BNormal"/>
    <w:link w:val="BHead2Char"/>
    <w:qFormat/>
    <w:rsid w:val="00494B49"/>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494B49"/>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494B49"/>
    <w:pPr>
      <w:numPr>
        <w:numId w:val="1"/>
      </w:numPr>
      <w:spacing w:after="0" w:line="240" w:lineRule="auto"/>
      <w:ind w:left="1080"/>
      <w:contextualSpacing/>
    </w:pPr>
    <w:rPr>
      <w:rFonts w:ascii="Times New Roman" w:eastAsia="Times New Roman" w:hAnsi="Times New Roman" w:cs="Times New Roman"/>
      <w:kern w:val="0"/>
      <w14:ligatures w14:val="none"/>
    </w:rPr>
  </w:style>
  <w:style w:type="character" w:customStyle="1" w:styleId="BListitembulChar">
    <w:name w:val="BList_item_bul Char"/>
    <w:basedOn w:val="DefaultParagraphFont"/>
    <w:link w:val="BListitembul"/>
    <w:rsid w:val="00494B49"/>
    <w:rPr>
      <w:rFonts w:ascii="Times New Roman" w:eastAsia="Times New Roman" w:hAnsi="Times New Roman" w:cs="Times New Roman"/>
      <w:kern w:val="0"/>
      <w14:ligatures w14:val="none"/>
    </w:rPr>
  </w:style>
  <w:style w:type="paragraph" w:customStyle="1" w:styleId="BHead3">
    <w:name w:val="BHead3"/>
    <w:next w:val="BNormal"/>
    <w:link w:val="BHead3Char"/>
    <w:qFormat/>
    <w:rsid w:val="00494B49"/>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494B49"/>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494B49"/>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494B49"/>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494B49"/>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494B49"/>
    <w:pPr>
      <w:ind w:left="1080" w:hanging="360"/>
    </w:pPr>
    <w:rPr>
      <w:szCs w:val="22"/>
    </w:rPr>
  </w:style>
  <w:style w:type="paragraph" w:customStyle="1" w:styleId="BListitemnum">
    <w:name w:val="BList_item_num"/>
    <w:basedOn w:val="BListitembul"/>
    <w:link w:val="BListitemnumChar"/>
    <w:qFormat/>
    <w:rsid w:val="00494B49"/>
    <w:pPr>
      <w:numPr>
        <w:numId w:val="2"/>
      </w:numPr>
      <w:ind w:left="1080"/>
    </w:pPr>
  </w:style>
  <w:style w:type="character" w:customStyle="1" w:styleId="BCasenamefull">
    <w:name w:val="BCasename_full"/>
    <w:uiPriority w:val="1"/>
    <w:qFormat/>
    <w:rsid w:val="00494B49"/>
    <w:rPr>
      <w:rFonts w:eastAsia="Times New Roman"/>
      <w:i/>
      <w:color w:val="00B050"/>
      <w:kern w:val="0"/>
      <w:lang w:bidi="ar-SA"/>
    </w:rPr>
  </w:style>
  <w:style w:type="paragraph" w:customStyle="1" w:styleId="BHead4">
    <w:name w:val="BHead4"/>
    <w:next w:val="BNormal"/>
    <w:link w:val="BHead4Char"/>
    <w:qFormat/>
    <w:rsid w:val="00494B49"/>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494B49"/>
    <w:rPr>
      <w:rFonts w:ascii="Times New Roman" w:eastAsiaTheme="majorEastAsia" w:hAnsi="Times New Roman" w:cstheme="majorBidi"/>
      <w:bCs/>
      <w:i/>
      <w:iCs/>
      <w:kern w:val="0"/>
      <w14:ligatures w14:val="none"/>
    </w:rPr>
  </w:style>
  <w:style w:type="paragraph" w:styleId="MacroText">
    <w:name w:val="macro"/>
    <w:link w:val="MacroTextChar"/>
    <w:uiPriority w:val="99"/>
    <w:semiHidden/>
    <w:unhideWhenUsed/>
    <w:rsid w:val="00494B49"/>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494B49"/>
    <w:rPr>
      <w:rFonts w:ascii="Courier New" w:hAnsi="Courier New" w:cs="Courier New"/>
      <w:kern w:val="24"/>
      <w:sz w:val="20"/>
      <w:szCs w:val="20"/>
      <w:lang w:bidi="en-US"/>
      <w14:ligatures w14:val="none"/>
    </w:rPr>
  </w:style>
  <w:style w:type="paragraph" w:styleId="NoSpacing">
    <w:name w:val="No Spacing"/>
    <w:uiPriority w:val="1"/>
    <w:qFormat/>
    <w:rsid w:val="00494B49"/>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iPriority w:val="99"/>
    <w:semiHidden/>
    <w:unhideWhenUsed/>
    <w:rsid w:val="00494B49"/>
    <w:pPr>
      <w:spacing w:before="240" w:after="120" w:line="240" w:lineRule="auto"/>
      <w:ind w:left="720"/>
    </w:pPr>
    <w:rPr>
      <w:rFonts w:ascii="Times New Roman" w:hAnsi="Times New Roman" w:cs="Times New Roman"/>
      <w:kern w:val="24"/>
      <w:lang w:bidi="en-US"/>
      <w14:ligatures w14:val="none"/>
    </w:rPr>
  </w:style>
  <w:style w:type="table" w:styleId="TableList1">
    <w:name w:val="Table List 1"/>
    <w:basedOn w:val="TableNormal"/>
    <w:uiPriority w:val="99"/>
    <w:rsid w:val="00494B49"/>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494B49"/>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semiHidden/>
    <w:rsid w:val="00494B49"/>
    <w:pPr>
      <w:spacing w:before="240" w:after="120" w:line="240" w:lineRule="auto"/>
    </w:pPr>
    <w:rPr>
      <w:rFonts w:ascii="Times New Roman" w:eastAsia="Times New Roman" w:hAnsi="Times New Roman" w:cs="Times New Roman"/>
      <w:kern w:val="24"/>
      <w14:ligatures w14:val="none"/>
    </w:rPr>
  </w:style>
  <w:style w:type="character" w:customStyle="1" w:styleId="BodyTextChar">
    <w:name w:val="Body Text Char"/>
    <w:aliases w:val="BT Char,Body Text (Text of Statute) Char,bt Char"/>
    <w:basedOn w:val="DefaultParagraphFont"/>
    <w:link w:val="BodyText"/>
    <w:semiHidden/>
    <w:rsid w:val="00494B49"/>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494B49"/>
    <w:rPr>
      <w:sz w:val="16"/>
      <w:szCs w:val="16"/>
    </w:rPr>
  </w:style>
  <w:style w:type="paragraph" w:styleId="CommentText">
    <w:name w:val="annotation text"/>
    <w:basedOn w:val="Normal"/>
    <w:link w:val="CommentTextChar"/>
    <w:uiPriority w:val="99"/>
    <w:semiHidden/>
    <w:rsid w:val="00494B49"/>
    <w:pPr>
      <w:spacing w:before="240" w:after="0" w:line="240" w:lineRule="auto"/>
    </w:pPr>
    <w:rPr>
      <w:rFonts w:ascii="Times New Roman" w:eastAsia="Times New Roman" w:hAnsi="Times New Roman" w:cs="Times New Roman"/>
      <w:kern w:val="24"/>
      <w:sz w:val="20"/>
      <w:szCs w:val="20"/>
      <w14:ligatures w14:val="none"/>
    </w:rPr>
  </w:style>
  <w:style w:type="character" w:customStyle="1" w:styleId="CommentTextChar">
    <w:name w:val="Comment Text Char"/>
    <w:basedOn w:val="DefaultParagraphFont"/>
    <w:link w:val="CommentText"/>
    <w:uiPriority w:val="99"/>
    <w:semiHidden/>
    <w:rsid w:val="00494B49"/>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494B49"/>
    <w:pPr>
      <w:spacing w:before="240" w:after="0" w:line="240" w:lineRule="auto"/>
    </w:pPr>
    <w:rPr>
      <w:rFonts w:ascii="Tahoma"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494B49"/>
    <w:rPr>
      <w:rFonts w:ascii="Tahoma" w:hAnsi="Tahoma" w:cs="Tahoma"/>
      <w:kern w:val="24"/>
      <w:sz w:val="16"/>
      <w:szCs w:val="16"/>
      <w:lang w:bidi="en-US"/>
      <w14:ligatures w14:val="none"/>
    </w:rPr>
  </w:style>
  <w:style w:type="character" w:customStyle="1" w:styleId="PListitemChar">
    <w:name w:val="PList_item Char"/>
    <w:basedOn w:val="DefaultParagraphFont"/>
    <w:semiHidden/>
    <w:rsid w:val="00494B49"/>
  </w:style>
  <w:style w:type="paragraph" w:customStyle="1" w:styleId="BCommentpara">
    <w:name w:val="BComment_para"/>
    <w:basedOn w:val="Normal"/>
    <w:next w:val="BNormal"/>
    <w:link w:val="BCommentparaChar"/>
    <w:qFormat/>
    <w:rsid w:val="00494B49"/>
    <w:pPr>
      <w:spacing w:before="100" w:beforeAutospacing="1" w:after="120" w:line="240" w:lineRule="auto"/>
      <w:ind w:left="720"/>
    </w:pPr>
    <w:rPr>
      <w:rFonts w:ascii="Times New Roman" w:hAnsi="Times New Roman" w:cs="Times New Roman"/>
      <w:kern w:val="24"/>
      <w:lang w:bidi="en-US"/>
      <w14:ligatures w14:val="none"/>
    </w:rPr>
  </w:style>
  <w:style w:type="character" w:customStyle="1" w:styleId="BCommentparaChar">
    <w:name w:val="BComment_para Char"/>
    <w:basedOn w:val="DefaultParagraphFont"/>
    <w:link w:val="BCommentpara"/>
    <w:rsid w:val="00494B49"/>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494B49"/>
    <w:rPr>
      <w:b/>
    </w:rPr>
  </w:style>
  <w:style w:type="paragraph" w:customStyle="1" w:styleId="BExamplepara">
    <w:name w:val="BExample_para"/>
    <w:basedOn w:val="Normal"/>
    <w:next w:val="BNormal"/>
    <w:link w:val="BExampleparaChar"/>
    <w:qFormat/>
    <w:rsid w:val="00494B49"/>
    <w:pPr>
      <w:spacing w:before="240" w:after="120" w:line="240" w:lineRule="auto"/>
      <w:ind w:left="720"/>
      <w:jc w:val="both"/>
    </w:pPr>
    <w:rPr>
      <w:rFonts w:ascii="Times New Roman" w:hAnsi="Times New Roman" w:cs="Times New Roman"/>
      <w:kern w:val="24"/>
      <w:lang w:bidi="en-US"/>
      <w14:ligatures w14:val="none"/>
    </w:rPr>
  </w:style>
  <w:style w:type="character" w:customStyle="1" w:styleId="BExampleparaChar">
    <w:name w:val="BExample_para Char"/>
    <w:basedOn w:val="DefaultParagraphFont"/>
    <w:link w:val="BExamplepara"/>
    <w:rsid w:val="00494B49"/>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494B49"/>
    <w:rPr>
      <w:rFonts w:ascii="Times New Roman" w:eastAsia="Times New Roman" w:hAnsi="Times New Roman" w:cs="Times New Roman"/>
      <w:b/>
      <w:kern w:val="0"/>
      <w:lang w:bidi="ar-SA"/>
      <w14:ligatures w14:val="none"/>
    </w:rPr>
  </w:style>
  <w:style w:type="character" w:customStyle="1" w:styleId="BListitemnumChar">
    <w:name w:val="BList_item_num Char"/>
    <w:basedOn w:val="BListitembulChar"/>
    <w:link w:val="BListitemnum"/>
    <w:rsid w:val="00494B49"/>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494B49"/>
    <w:rPr>
      <w:rFonts w:eastAsia="Times New Roman"/>
      <w:i/>
      <w:color w:val="00B050"/>
      <w:kern w:val="0"/>
      <w:lang w:bidi="ar-SA"/>
    </w:rPr>
  </w:style>
  <w:style w:type="paragraph" w:customStyle="1" w:styleId="BHead5">
    <w:name w:val="BHead5"/>
    <w:next w:val="BNormal"/>
    <w:link w:val="BHead5Char"/>
    <w:qFormat/>
    <w:rsid w:val="00494B49"/>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494B49"/>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494B49"/>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494B49"/>
    <w:rPr>
      <w:color w:val="000000" w:themeColor="text1"/>
      <w:u w:val="wave" w:color="0F4761" w:themeColor="accent1" w:themeShade="BF"/>
    </w:rPr>
  </w:style>
  <w:style w:type="paragraph" w:customStyle="1" w:styleId="BObservpara">
    <w:name w:val="BObserv_para"/>
    <w:basedOn w:val="BExamplepara"/>
    <w:link w:val="BObservparaChar"/>
    <w:rsid w:val="00494B49"/>
  </w:style>
  <w:style w:type="character" w:customStyle="1" w:styleId="BObservparaChar">
    <w:name w:val="BObserv_para Char"/>
    <w:basedOn w:val="BExampleparaChar"/>
    <w:link w:val="BObservpara"/>
    <w:rsid w:val="00494B49"/>
    <w:rPr>
      <w:rFonts w:ascii="Times New Roman" w:hAnsi="Times New Roman" w:cs="Times New Roman"/>
      <w:kern w:val="24"/>
      <w:lang w:bidi="en-US"/>
      <w14:ligatures w14:val="none"/>
    </w:rPr>
  </w:style>
  <w:style w:type="paragraph" w:customStyle="1" w:styleId="BCaseExpara">
    <w:name w:val="BCase_Ex_para"/>
    <w:basedOn w:val="BQuotelong"/>
    <w:qFormat/>
    <w:rsid w:val="00494B49"/>
  </w:style>
  <w:style w:type="character" w:customStyle="1" w:styleId="BCaseExhead">
    <w:name w:val="BCase_Ex_head"/>
    <w:basedOn w:val="DefaultParagraphFont"/>
    <w:uiPriority w:val="1"/>
    <w:qFormat/>
    <w:rsid w:val="00494B49"/>
    <w:rPr>
      <w:b/>
      <w:bCs/>
    </w:rPr>
  </w:style>
  <w:style w:type="paragraph" w:customStyle="1" w:styleId="BPracTippara">
    <w:name w:val="BPrac_Tip_para"/>
    <w:basedOn w:val="BCaseExpara"/>
    <w:rsid w:val="00494B49"/>
  </w:style>
  <w:style w:type="character" w:customStyle="1" w:styleId="BPracTiphead">
    <w:name w:val="BPrac_Tip_head"/>
    <w:basedOn w:val="DefaultParagraphFont"/>
    <w:uiPriority w:val="1"/>
    <w:rsid w:val="00494B49"/>
    <w:rPr>
      <w:b/>
    </w:rPr>
  </w:style>
  <w:style w:type="character" w:styleId="PlaceholderText">
    <w:name w:val="Placeholder Text"/>
    <w:basedOn w:val="DefaultParagraphFont"/>
    <w:uiPriority w:val="99"/>
    <w:semiHidden/>
    <w:rsid w:val="00494B49"/>
    <w:rPr>
      <w:color w:val="808080"/>
    </w:rPr>
  </w:style>
  <w:style w:type="paragraph" w:customStyle="1" w:styleId="BHiddenText">
    <w:name w:val="BHiddenText"/>
    <w:basedOn w:val="Normal"/>
    <w:link w:val="BHiddenTextChar"/>
    <w:unhideWhenUsed/>
    <w:qFormat/>
    <w:rsid w:val="00494B49"/>
    <w:pPr>
      <w:tabs>
        <w:tab w:val="left" w:pos="0"/>
      </w:tabs>
      <w:autoSpaceDE w:val="0"/>
      <w:autoSpaceDN w:val="0"/>
      <w:adjustRightInd w:val="0"/>
      <w:spacing w:before="240" w:after="120" w:line="240" w:lineRule="auto"/>
    </w:pPr>
    <w:rPr>
      <w:rFonts w:ascii="Courier New"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494B49"/>
    <w:rPr>
      <w:rFonts w:ascii="Courier New"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494B49"/>
    <w:pPr>
      <w:spacing w:before="240" w:after="0" w:line="240" w:lineRule="auto"/>
    </w:pPr>
    <w:rPr>
      <w:rFonts w:ascii="Tahoma"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494B49"/>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494B49"/>
  </w:style>
  <w:style w:type="table" w:customStyle="1" w:styleId="LightList-Accent11">
    <w:name w:val="Light List - Accent 11"/>
    <w:basedOn w:val="TableNormal"/>
    <w:uiPriority w:val="61"/>
    <w:rsid w:val="00494B49"/>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494B49"/>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494B49"/>
    <w:pPr>
      <w:spacing w:before="0"/>
    </w:pPr>
  </w:style>
  <w:style w:type="character" w:customStyle="1" w:styleId="BNoteparaChar">
    <w:name w:val="BNote_para Char"/>
    <w:basedOn w:val="BObservparaChar"/>
    <w:link w:val="BNotepara"/>
    <w:rsid w:val="00494B49"/>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494B49"/>
    <w:rPr>
      <w:b/>
    </w:rPr>
  </w:style>
  <w:style w:type="paragraph" w:customStyle="1" w:styleId="BUnitStart">
    <w:name w:val="BUnitStart"/>
    <w:basedOn w:val="BNormal"/>
    <w:link w:val="BUnitStartChar"/>
    <w:unhideWhenUsed/>
    <w:qFormat/>
    <w:rsid w:val="00494B49"/>
    <w:rPr>
      <w:rFonts w:ascii="Courier New" w:hAnsi="Courier New"/>
      <w:vanish/>
      <w:sz w:val="20"/>
    </w:rPr>
  </w:style>
  <w:style w:type="character" w:customStyle="1" w:styleId="BUnitStartChar">
    <w:name w:val="BUnitStart Char"/>
    <w:basedOn w:val="BNormalChar"/>
    <w:link w:val="BUnitStart"/>
    <w:rsid w:val="00494B49"/>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494B49"/>
    <w:pPr>
      <w:spacing w:before="240" w:after="120" w:line="240" w:lineRule="auto"/>
      <w:jc w:val="center"/>
    </w:pPr>
    <w:rPr>
      <w:rFonts w:ascii="Times New Roman" w:hAnsi="Times New Roman" w:cs="Times New Roman"/>
      <w:b/>
      <w:kern w:val="24"/>
      <w:lang w:bidi="en-US"/>
      <w14:ligatures w14:val="none"/>
    </w:rPr>
  </w:style>
  <w:style w:type="character" w:customStyle="1" w:styleId="BHeadtableChar">
    <w:name w:val="BHead_table Char"/>
    <w:basedOn w:val="DefaultParagraphFont"/>
    <w:link w:val="BHeadtable"/>
    <w:rsid w:val="00494B49"/>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494B49"/>
    <w:pPr>
      <w:spacing w:before="0"/>
    </w:pPr>
    <w:rPr>
      <w:sz w:val="20"/>
      <w:szCs w:val="20"/>
    </w:rPr>
  </w:style>
  <w:style w:type="character" w:customStyle="1" w:styleId="BNormaltableChar">
    <w:name w:val="BNormal_table Char"/>
    <w:basedOn w:val="BNormalChar"/>
    <w:link w:val="BNormaltable"/>
    <w:rsid w:val="00494B49"/>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494B49"/>
    <w:rPr>
      <w:b/>
    </w:rPr>
  </w:style>
  <w:style w:type="character" w:customStyle="1" w:styleId="BNormaltableboldChar">
    <w:name w:val="BNormal_table_bold Char"/>
    <w:basedOn w:val="BNormaltableChar"/>
    <w:link w:val="BNormaltablebold"/>
    <w:rsid w:val="00494B49"/>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494B49"/>
    <w:rPr>
      <w:b/>
      <w:color w:val="800080"/>
      <w:position w:val="6"/>
      <w:sz w:val="20"/>
    </w:rPr>
  </w:style>
  <w:style w:type="paragraph" w:styleId="TOC1">
    <w:name w:val="toc 1"/>
    <w:basedOn w:val="Normal"/>
    <w:next w:val="Normal"/>
    <w:autoRedefine/>
    <w:uiPriority w:val="39"/>
    <w:semiHidden/>
    <w:rsid w:val="00494B49"/>
    <w:pPr>
      <w:spacing w:after="0" w:line="240" w:lineRule="auto"/>
      <w:ind w:right="720"/>
    </w:pPr>
    <w:rPr>
      <w:rFonts w:ascii="Times New Roman" w:hAnsi="Times New Roman" w:cs="Times New Roman"/>
      <w:kern w:val="0"/>
      <w14:ligatures w14:val="none"/>
    </w:rPr>
  </w:style>
  <w:style w:type="paragraph" w:styleId="EnvelopeAddress">
    <w:name w:val="envelope address"/>
    <w:basedOn w:val="Normal"/>
    <w:uiPriority w:val="99"/>
    <w:semiHidden/>
    <w:unhideWhenUsed/>
    <w:rsid w:val="00494B49"/>
    <w:pPr>
      <w:framePr w:w="7920" w:h="1980" w:hRule="exact" w:hSpace="180" w:wrap="auto" w:hAnchor="page" w:xAlign="center" w:yAlign="bottom"/>
      <w:spacing w:after="0" w:line="240" w:lineRule="auto"/>
      <w:ind w:left="2880"/>
    </w:pPr>
    <w:rPr>
      <w:rFonts w:ascii="Times New Roman" w:eastAsiaTheme="majorEastAsia" w:hAnsi="Times New Roman" w:cstheme="majorBidi"/>
      <w:kern w:val="0"/>
      <w14:ligatures w14:val="none"/>
    </w:rPr>
  </w:style>
  <w:style w:type="paragraph" w:styleId="Index1">
    <w:name w:val="index 1"/>
    <w:basedOn w:val="Normal"/>
    <w:next w:val="Normal"/>
    <w:autoRedefine/>
    <w:uiPriority w:val="99"/>
    <w:semiHidden/>
    <w:unhideWhenUsed/>
    <w:rsid w:val="00494B49"/>
    <w:pPr>
      <w:spacing w:after="0" w:line="240" w:lineRule="auto"/>
      <w:ind w:left="240" w:hanging="240"/>
    </w:pPr>
    <w:rPr>
      <w:rFonts w:ascii="Times New Roman" w:hAnsi="Times New Roman"/>
      <w:kern w:val="0"/>
      <w14:ligatures w14:val="none"/>
    </w:rPr>
  </w:style>
  <w:style w:type="character" w:customStyle="1" w:styleId="MessageHeaderChar">
    <w:name w:val="Message Header Char"/>
    <w:basedOn w:val="DefaultParagraphFont"/>
    <w:link w:val="MessageHeader"/>
    <w:uiPriority w:val="99"/>
    <w:semiHidden/>
    <w:rsid w:val="00494B49"/>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494B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kern w:val="0"/>
    </w:rPr>
  </w:style>
  <w:style w:type="character" w:customStyle="1" w:styleId="MessageHeaderChar1">
    <w:name w:val="Message Header Char1"/>
    <w:basedOn w:val="DefaultParagraphFont"/>
    <w:uiPriority w:val="99"/>
    <w:semiHidden/>
    <w:rsid w:val="00494B49"/>
    <w:rPr>
      <w:rFonts w:asciiTheme="majorHAnsi" w:eastAsiaTheme="majorEastAsia" w:hAnsiTheme="majorHAnsi" w:cstheme="majorBidi"/>
      <w:shd w:val="pct20" w:color="auto" w:fill="auto"/>
    </w:rPr>
  </w:style>
  <w:style w:type="paragraph" w:customStyle="1" w:styleId="TOCPage">
    <w:name w:val="TOC Page"/>
    <w:basedOn w:val="Normal"/>
    <w:next w:val="TOC1"/>
    <w:link w:val="TOCPageChar"/>
    <w:semiHidden/>
    <w:rsid w:val="00494B49"/>
    <w:pPr>
      <w:spacing w:before="240" w:after="0" w:line="240" w:lineRule="auto"/>
      <w:jc w:val="right"/>
    </w:pPr>
    <w:rPr>
      <w:rFonts w:ascii="Times New Roman" w:hAnsi="Times New Roman"/>
      <w:kern w:val="0"/>
      <w:sz w:val="20"/>
      <w:u w:val="single"/>
      <w14:ligatures w14:val="none"/>
    </w:rPr>
  </w:style>
  <w:style w:type="character" w:customStyle="1" w:styleId="TOCPageChar">
    <w:name w:val="TOC Page Char"/>
    <w:basedOn w:val="DefaultParagraphFont"/>
    <w:link w:val="TOCPage"/>
    <w:semiHidden/>
    <w:rsid w:val="00494B49"/>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494B49"/>
    <w:rPr>
      <w:kern w:val="0"/>
      <w:sz w:val="20"/>
      <w:szCs w:val="20"/>
    </w:rPr>
  </w:style>
  <w:style w:type="paragraph" w:styleId="EndnoteText">
    <w:name w:val="endnote text"/>
    <w:basedOn w:val="Normal"/>
    <w:link w:val="EndnoteTextChar"/>
    <w:uiPriority w:val="99"/>
    <w:semiHidden/>
    <w:rsid w:val="00494B49"/>
    <w:pPr>
      <w:spacing w:after="0" w:line="240" w:lineRule="auto"/>
    </w:pPr>
    <w:rPr>
      <w:kern w:val="0"/>
      <w:sz w:val="20"/>
      <w:szCs w:val="20"/>
    </w:rPr>
  </w:style>
  <w:style w:type="character" w:customStyle="1" w:styleId="EndnoteTextChar1">
    <w:name w:val="Endnote Text Char1"/>
    <w:basedOn w:val="DefaultParagraphFont"/>
    <w:uiPriority w:val="99"/>
    <w:semiHidden/>
    <w:rsid w:val="00494B49"/>
    <w:rPr>
      <w:sz w:val="20"/>
      <w:szCs w:val="20"/>
    </w:rPr>
  </w:style>
  <w:style w:type="paragraph" w:styleId="List">
    <w:name w:val="List"/>
    <w:basedOn w:val="Normal"/>
    <w:uiPriority w:val="99"/>
    <w:semiHidden/>
    <w:unhideWhenUsed/>
    <w:rsid w:val="00494B49"/>
    <w:pPr>
      <w:spacing w:after="0" w:line="240" w:lineRule="auto"/>
      <w:ind w:left="360" w:hanging="360"/>
      <w:contextualSpacing/>
    </w:pPr>
    <w:rPr>
      <w:rFonts w:ascii="Times New Roman" w:hAnsi="Times New Roman"/>
      <w:kern w:val="0"/>
      <w14:ligatures w14:val="none"/>
    </w:rPr>
  </w:style>
  <w:style w:type="character" w:customStyle="1" w:styleId="ClosingChar">
    <w:name w:val="Closing Char"/>
    <w:basedOn w:val="DefaultParagraphFont"/>
    <w:link w:val="Closing"/>
    <w:uiPriority w:val="99"/>
    <w:semiHidden/>
    <w:rsid w:val="00494B49"/>
    <w:rPr>
      <w:kern w:val="0"/>
    </w:rPr>
  </w:style>
  <w:style w:type="paragraph" w:styleId="Closing">
    <w:name w:val="Closing"/>
    <w:basedOn w:val="Normal"/>
    <w:link w:val="ClosingChar"/>
    <w:uiPriority w:val="99"/>
    <w:semiHidden/>
    <w:unhideWhenUsed/>
    <w:rsid w:val="00494B49"/>
    <w:pPr>
      <w:spacing w:after="0" w:line="240" w:lineRule="auto"/>
      <w:ind w:left="4320"/>
    </w:pPr>
    <w:rPr>
      <w:kern w:val="0"/>
    </w:rPr>
  </w:style>
  <w:style w:type="character" w:customStyle="1" w:styleId="ClosingChar1">
    <w:name w:val="Closing Char1"/>
    <w:basedOn w:val="DefaultParagraphFont"/>
    <w:uiPriority w:val="99"/>
    <w:semiHidden/>
    <w:rsid w:val="00494B49"/>
  </w:style>
  <w:style w:type="character" w:customStyle="1" w:styleId="BodyTextIndentChar">
    <w:name w:val="Body Text Indent Char"/>
    <w:basedOn w:val="DefaultParagraphFont"/>
    <w:link w:val="BodyTextIndent"/>
    <w:semiHidden/>
    <w:rsid w:val="00494B49"/>
    <w:rPr>
      <w:kern w:val="0"/>
    </w:rPr>
  </w:style>
  <w:style w:type="paragraph" w:styleId="BodyTextIndent">
    <w:name w:val="Body Text Indent"/>
    <w:basedOn w:val="Normal"/>
    <w:link w:val="BodyTextIndentChar"/>
    <w:semiHidden/>
    <w:rsid w:val="00494B49"/>
    <w:pPr>
      <w:spacing w:after="120" w:line="240" w:lineRule="auto"/>
      <w:ind w:left="360"/>
    </w:pPr>
    <w:rPr>
      <w:kern w:val="0"/>
    </w:rPr>
  </w:style>
  <w:style w:type="character" w:customStyle="1" w:styleId="BodyTextIndentChar1">
    <w:name w:val="Body Text Indent Char1"/>
    <w:basedOn w:val="DefaultParagraphFont"/>
    <w:uiPriority w:val="99"/>
    <w:semiHidden/>
    <w:rsid w:val="00494B49"/>
  </w:style>
  <w:style w:type="character" w:customStyle="1" w:styleId="SalutationChar">
    <w:name w:val="Salutation Char"/>
    <w:basedOn w:val="DefaultParagraphFont"/>
    <w:link w:val="Salutation"/>
    <w:uiPriority w:val="99"/>
    <w:semiHidden/>
    <w:rsid w:val="00494B49"/>
    <w:rPr>
      <w:kern w:val="0"/>
    </w:rPr>
  </w:style>
  <w:style w:type="paragraph" w:styleId="Salutation">
    <w:name w:val="Salutation"/>
    <w:basedOn w:val="Normal"/>
    <w:next w:val="Normal"/>
    <w:link w:val="SalutationChar"/>
    <w:uiPriority w:val="99"/>
    <w:semiHidden/>
    <w:unhideWhenUsed/>
    <w:rsid w:val="00494B49"/>
    <w:pPr>
      <w:spacing w:after="0" w:line="240" w:lineRule="auto"/>
    </w:pPr>
    <w:rPr>
      <w:kern w:val="0"/>
    </w:rPr>
  </w:style>
  <w:style w:type="character" w:customStyle="1" w:styleId="SalutationChar1">
    <w:name w:val="Salutation Char1"/>
    <w:basedOn w:val="DefaultParagraphFont"/>
    <w:uiPriority w:val="99"/>
    <w:semiHidden/>
    <w:rsid w:val="00494B49"/>
  </w:style>
  <w:style w:type="character" w:customStyle="1" w:styleId="DateChar">
    <w:name w:val="Date Char"/>
    <w:basedOn w:val="DefaultParagraphFont"/>
    <w:link w:val="Date"/>
    <w:uiPriority w:val="99"/>
    <w:semiHidden/>
    <w:rsid w:val="00494B49"/>
    <w:rPr>
      <w:kern w:val="0"/>
    </w:rPr>
  </w:style>
  <w:style w:type="paragraph" w:styleId="Date">
    <w:name w:val="Date"/>
    <w:basedOn w:val="Normal"/>
    <w:next w:val="Normal"/>
    <w:link w:val="DateChar"/>
    <w:uiPriority w:val="99"/>
    <w:semiHidden/>
    <w:unhideWhenUsed/>
    <w:rsid w:val="00494B49"/>
    <w:pPr>
      <w:spacing w:after="0" w:line="240" w:lineRule="auto"/>
    </w:pPr>
    <w:rPr>
      <w:kern w:val="0"/>
    </w:rPr>
  </w:style>
  <w:style w:type="character" w:customStyle="1" w:styleId="DateChar1">
    <w:name w:val="Date Char1"/>
    <w:basedOn w:val="DefaultParagraphFont"/>
    <w:uiPriority w:val="99"/>
    <w:semiHidden/>
    <w:rsid w:val="00494B49"/>
  </w:style>
  <w:style w:type="character" w:customStyle="1" w:styleId="BodyTextFirstIndentChar">
    <w:name w:val="Body Text First Indent Char"/>
    <w:aliases w:val="Text of Statute Char"/>
    <w:basedOn w:val="BodyTextChar"/>
    <w:link w:val="BodyTextFirstIndent"/>
    <w:semiHidden/>
    <w:rsid w:val="00494B49"/>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494B49"/>
    <w:pPr>
      <w:spacing w:before="0" w:after="0"/>
      <w:ind w:firstLine="360"/>
    </w:pPr>
  </w:style>
  <w:style w:type="character" w:customStyle="1" w:styleId="BodyTextFirstIndentChar1">
    <w:name w:val="Body Text First Indent Char1"/>
    <w:basedOn w:val="BodyTextChar"/>
    <w:uiPriority w:val="99"/>
    <w:semiHidden/>
    <w:rsid w:val="00494B49"/>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494B49"/>
    <w:rPr>
      <w:kern w:val="0"/>
    </w:rPr>
  </w:style>
  <w:style w:type="paragraph" w:styleId="BodyTextFirstIndent2">
    <w:name w:val="Body Text First Indent 2"/>
    <w:basedOn w:val="BodyTextIndent"/>
    <w:link w:val="BodyTextFirstIndent2Char"/>
    <w:uiPriority w:val="99"/>
    <w:semiHidden/>
    <w:unhideWhenUsed/>
    <w:rsid w:val="00494B49"/>
    <w:pPr>
      <w:spacing w:after="0"/>
      <w:ind w:firstLine="360"/>
    </w:pPr>
  </w:style>
  <w:style w:type="character" w:customStyle="1" w:styleId="BodyTextFirstIndent2Char1">
    <w:name w:val="Body Text First Indent 2 Char1"/>
    <w:basedOn w:val="BodyTextIndentChar1"/>
    <w:uiPriority w:val="99"/>
    <w:semiHidden/>
    <w:rsid w:val="00494B49"/>
  </w:style>
  <w:style w:type="character" w:customStyle="1" w:styleId="NoteHeadingChar">
    <w:name w:val="Note Heading Char"/>
    <w:basedOn w:val="DefaultParagraphFont"/>
    <w:link w:val="NoteHeading"/>
    <w:uiPriority w:val="99"/>
    <w:semiHidden/>
    <w:rsid w:val="00494B49"/>
    <w:rPr>
      <w:kern w:val="0"/>
    </w:rPr>
  </w:style>
  <w:style w:type="paragraph" w:styleId="NoteHeading">
    <w:name w:val="Note Heading"/>
    <w:basedOn w:val="Normal"/>
    <w:next w:val="Normal"/>
    <w:link w:val="NoteHeadingChar"/>
    <w:uiPriority w:val="99"/>
    <w:semiHidden/>
    <w:unhideWhenUsed/>
    <w:rsid w:val="00494B49"/>
    <w:pPr>
      <w:spacing w:after="0" w:line="240" w:lineRule="auto"/>
    </w:pPr>
    <w:rPr>
      <w:kern w:val="0"/>
    </w:rPr>
  </w:style>
  <w:style w:type="character" w:customStyle="1" w:styleId="NoteHeadingChar1">
    <w:name w:val="Note Heading Char1"/>
    <w:basedOn w:val="DefaultParagraphFont"/>
    <w:uiPriority w:val="99"/>
    <w:semiHidden/>
    <w:rsid w:val="00494B49"/>
  </w:style>
  <w:style w:type="character" w:customStyle="1" w:styleId="BodyText2Char">
    <w:name w:val="Body Text 2 Char"/>
    <w:basedOn w:val="DefaultParagraphFont"/>
    <w:link w:val="BodyText2"/>
    <w:uiPriority w:val="99"/>
    <w:semiHidden/>
    <w:rsid w:val="00494B49"/>
    <w:rPr>
      <w:kern w:val="0"/>
    </w:rPr>
  </w:style>
  <w:style w:type="paragraph" w:styleId="BodyText2">
    <w:name w:val="Body Text 2"/>
    <w:basedOn w:val="Normal"/>
    <w:link w:val="BodyText2Char"/>
    <w:uiPriority w:val="99"/>
    <w:semiHidden/>
    <w:unhideWhenUsed/>
    <w:rsid w:val="00494B49"/>
    <w:pPr>
      <w:spacing w:after="120" w:line="480" w:lineRule="auto"/>
    </w:pPr>
    <w:rPr>
      <w:kern w:val="0"/>
    </w:rPr>
  </w:style>
  <w:style w:type="character" w:customStyle="1" w:styleId="BodyText2Char1">
    <w:name w:val="Body Text 2 Char1"/>
    <w:basedOn w:val="DefaultParagraphFont"/>
    <w:uiPriority w:val="99"/>
    <w:semiHidden/>
    <w:rsid w:val="00494B49"/>
  </w:style>
  <w:style w:type="character" w:customStyle="1" w:styleId="BodyText3Char">
    <w:name w:val="Body Text 3 Char"/>
    <w:basedOn w:val="DefaultParagraphFont"/>
    <w:link w:val="BodyText3"/>
    <w:uiPriority w:val="99"/>
    <w:semiHidden/>
    <w:rsid w:val="00494B49"/>
    <w:rPr>
      <w:kern w:val="0"/>
      <w:sz w:val="16"/>
      <w:szCs w:val="16"/>
    </w:rPr>
  </w:style>
  <w:style w:type="paragraph" w:styleId="BodyText3">
    <w:name w:val="Body Text 3"/>
    <w:basedOn w:val="Normal"/>
    <w:link w:val="BodyText3Char"/>
    <w:uiPriority w:val="99"/>
    <w:semiHidden/>
    <w:unhideWhenUsed/>
    <w:rsid w:val="00494B49"/>
    <w:pPr>
      <w:spacing w:after="120" w:line="240" w:lineRule="auto"/>
    </w:pPr>
    <w:rPr>
      <w:kern w:val="0"/>
      <w:sz w:val="16"/>
      <w:szCs w:val="16"/>
    </w:rPr>
  </w:style>
  <w:style w:type="character" w:customStyle="1" w:styleId="BodyText3Char1">
    <w:name w:val="Body Text 3 Char1"/>
    <w:basedOn w:val="DefaultParagraphFont"/>
    <w:uiPriority w:val="99"/>
    <w:semiHidden/>
    <w:rsid w:val="00494B49"/>
    <w:rPr>
      <w:sz w:val="16"/>
      <w:szCs w:val="16"/>
    </w:rPr>
  </w:style>
  <w:style w:type="character" w:customStyle="1" w:styleId="BodyTextIndent2Char">
    <w:name w:val="Body Text Indent 2 Char"/>
    <w:basedOn w:val="DefaultParagraphFont"/>
    <w:link w:val="BodyTextIndent2"/>
    <w:uiPriority w:val="99"/>
    <w:semiHidden/>
    <w:rsid w:val="00494B49"/>
    <w:rPr>
      <w:kern w:val="0"/>
    </w:rPr>
  </w:style>
  <w:style w:type="paragraph" w:styleId="BodyTextIndent2">
    <w:name w:val="Body Text Indent 2"/>
    <w:basedOn w:val="Normal"/>
    <w:link w:val="BodyTextIndent2Char"/>
    <w:uiPriority w:val="99"/>
    <w:semiHidden/>
    <w:unhideWhenUsed/>
    <w:rsid w:val="00494B49"/>
    <w:pPr>
      <w:spacing w:after="120" w:line="480" w:lineRule="auto"/>
      <w:ind w:left="360"/>
    </w:pPr>
    <w:rPr>
      <w:kern w:val="0"/>
    </w:rPr>
  </w:style>
  <w:style w:type="character" w:customStyle="1" w:styleId="BodyTextIndent2Char1">
    <w:name w:val="Body Text Indent 2 Char1"/>
    <w:basedOn w:val="DefaultParagraphFont"/>
    <w:uiPriority w:val="99"/>
    <w:semiHidden/>
    <w:rsid w:val="00494B49"/>
  </w:style>
  <w:style w:type="character" w:customStyle="1" w:styleId="BodyTextIndent3Char">
    <w:name w:val="Body Text Indent 3 Char"/>
    <w:basedOn w:val="DefaultParagraphFont"/>
    <w:link w:val="BodyTextIndent3"/>
    <w:uiPriority w:val="99"/>
    <w:semiHidden/>
    <w:rsid w:val="00494B49"/>
    <w:rPr>
      <w:kern w:val="0"/>
      <w:sz w:val="16"/>
      <w:szCs w:val="16"/>
    </w:rPr>
  </w:style>
  <w:style w:type="paragraph" w:styleId="BodyTextIndent3">
    <w:name w:val="Body Text Indent 3"/>
    <w:basedOn w:val="Normal"/>
    <w:link w:val="BodyTextIndent3Char"/>
    <w:uiPriority w:val="99"/>
    <w:semiHidden/>
    <w:unhideWhenUsed/>
    <w:rsid w:val="00494B49"/>
    <w:pPr>
      <w:spacing w:after="120" w:line="240" w:lineRule="auto"/>
      <w:ind w:left="360"/>
    </w:pPr>
    <w:rPr>
      <w:kern w:val="0"/>
      <w:sz w:val="16"/>
      <w:szCs w:val="16"/>
    </w:rPr>
  </w:style>
  <w:style w:type="character" w:customStyle="1" w:styleId="BodyTextIndent3Char1">
    <w:name w:val="Body Text Indent 3 Char1"/>
    <w:basedOn w:val="DefaultParagraphFont"/>
    <w:uiPriority w:val="99"/>
    <w:semiHidden/>
    <w:rsid w:val="00494B49"/>
    <w:rPr>
      <w:sz w:val="16"/>
      <w:szCs w:val="16"/>
    </w:rPr>
  </w:style>
  <w:style w:type="character" w:customStyle="1" w:styleId="PlainTextChar">
    <w:name w:val="Plain Text Char"/>
    <w:basedOn w:val="DefaultParagraphFont"/>
    <w:link w:val="PlainText"/>
    <w:uiPriority w:val="99"/>
    <w:semiHidden/>
    <w:rsid w:val="00494B49"/>
    <w:rPr>
      <w:rFonts w:ascii="Consolas" w:hAnsi="Consolas"/>
      <w:kern w:val="0"/>
      <w:sz w:val="21"/>
      <w:szCs w:val="21"/>
    </w:rPr>
  </w:style>
  <w:style w:type="paragraph" w:styleId="PlainText">
    <w:name w:val="Plain Text"/>
    <w:basedOn w:val="Normal"/>
    <w:link w:val="PlainTextChar"/>
    <w:uiPriority w:val="99"/>
    <w:semiHidden/>
    <w:rsid w:val="00494B49"/>
    <w:pPr>
      <w:spacing w:after="0" w:line="240" w:lineRule="auto"/>
    </w:pPr>
    <w:rPr>
      <w:rFonts w:ascii="Consolas" w:hAnsi="Consolas"/>
      <w:kern w:val="0"/>
      <w:sz w:val="21"/>
      <w:szCs w:val="21"/>
    </w:rPr>
  </w:style>
  <w:style w:type="character" w:customStyle="1" w:styleId="PlainTextChar1">
    <w:name w:val="Plain Text Char1"/>
    <w:basedOn w:val="DefaultParagraphFont"/>
    <w:uiPriority w:val="99"/>
    <w:semiHidden/>
    <w:rsid w:val="00494B49"/>
    <w:rPr>
      <w:rFonts w:ascii="Consolas" w:hAnsi="Consolas"/>
      <w:sz w:val="21"/>
      <w:szCs w:val="21"/>
    </w:rPr>
  </w:style>
  <w:style w:type="character" w:customStyle="1" w:styleId="E-mailSignatureChar">
    <w:name w:val="E-mail Signature Char"/>
    <w:basedOn w:val="DefaultParagraphFont"/>
    <w:link w:val="E-mailSignature"/>
    <w:uiPriority w:val="99"/>
    <w:semiHidden/>
    <w:rsid w:val="00494B49"/>
    <w:rPr>
      <w:kern w:val="0"/>
    </w:rPr>
  </w:style>
  <w:style w:type="paragraph" w:styleId="E-mailSignature">
    <w:name w:val="E-mail Signature"/>
    <w:basedOn w:val="Normal"/>
    <w:link w:val="E-mailSignatureChar"/>
    <w:uiPriority w:val="99"/>
    <w:semiHidden/>
    <w:unhideWhenUsed/>
    <w:rsid w:val="00494B49"/>
    <w:pPr>
      <w:spacing w:after="0" w:line="240" w:lineRule="auto"/>
    </w:pPr>
    <w:rPr>
      <w:kern w:val="0"/>
    </w:rPr>
  </w:style>
  <w:style w:type="character" w:customStyle="1" w:styleId="E-mailSignatureChar1">
    <w:name w:val="E-mail Signature Char1"/>
    <w:basedOn w:val="DefaultParagraphFont"/>
    <w:uiPriority w:val="99"/>
    <w:semiHidden/>
    <w:rsid w:val="00494B49"/>
  </w:style>
  <w:style w:type="paragraph" w:styleId="NormalWeb">
    <w:name w:val="Normal (Web)"/>
    <w:basedOn w:val="Normal"/>
    <w:semiHidden/>
    <w:rsid w:val="00494B49"/>
    <w:pPr>
      <w:spacing w:after="0" w:line="240" w:lineRule="auto"/>
    </w:pPr>
    <w:rPr>
      <w:rFonts w:ascii="Times New Roman" w:hAnsi="Times New Roman" w:cs="Times New Roman"/>
      <w:kern w:val="0"/>
      <w14:ligatures w14:val="none"/>
    </w:rPr>
  </w:style>
  <w:style w:type="character" w:customStyle="1" w:styleId="HTMLAddressChar">
    <w:name w:val="HTML Address Char"/>
    <w:basedOn w:val="DefaultParagraphFont"/>
    <w:link w:val="HTMLAddress"/>
    <w:uiPriority w:val="99"/>
    <w:semiHidden/>
    <w:rsid w:val="00494B49"/>
    <w:rPr>
      <w:i/>
      <w:iCs/>
      <w:kern w:val="0"/>
    </w:rPr>
  </w:style>
  <w:style w:type="paragraph" w:styleId="HTMLAddress">
    <w:name w:val="HTML Address"/>
    <w:basedOn w:val="Normal"/>
    <w:link w:val="HTMLAddressChar"/>
    <w:uiPriority w:val="99"/>
    <w:semiHidden/>
    <w:unhideWhenUsed/>
    <w:rsid w:val="00494B49"/>
    <w:pPr>
      <w:spacing w:after="0" w:line="240" w:lineRule="auto"/>
    </w:pPr>
    <w:rPr>
      <w:i/>
      <w:iCs/>
      <w:kern w:val="0"/>
    </w:rPr>
  </w:style>
  <w:style w:type="character" w:customStyle="1" w:styleId="HTMLAddressChar1">
    <w:name w:val="HTML Address Char1"/>
    <w:basedOn w:val="DefaultParagraphFont"/>
    <w:uiPriority w:val="99"/>
    <w:semiHidden/>
    <w:rsid w:val="00494B49"/>
    <w:rPr>
      <w:i/>
      <w:iCs/>
    </w:rPr>
  </w:style>
  <w:style w:type="character" w:customStyle="1" w:styleId="HTMLPreformattedChar">
    <w:name w:val="HTML Preformatted Char"/>
    <w:basedOn w:val="DefaultParagraphFont"/>
    <w:link w:val="HTMLPreformatted"/>
    <w:uiPriority w:val="99"/>
    <w:semiHidden/>
    <w:rsid w:val="00494B49"/>
    <w:rPr>
      <w:rFonts w:ascii="Consolas" w:hAnsi="Consolas"/>
      <w:kern w:val="0"/>
      <w:sz w:val="20"/>
      <w:szCs w:val="20"/>
    </w:rPr>
  </w:style>
  <w:style w:type="paragraph" w:styleId="HTMLPreformatted">
    <w:name w:val="HTML Preformatted"/>
    <w:basedOn w:val="Normal"/>
    <w:link w:val="HTMLPreformattedChar"/>
    <w:uiPriority w:val="99"/>
    <w:semiHidden/>
    <w:unhideWhenUsed/>
    <w:rsid w:val="00494B49"/>
    <w:pPr>
      <w:spacing w:after="0" w:line="240" w:lineRule="auto"/>
    </w:pPr>
    <w:rPr>
      <w:rFonts w:ascii="Consolas" w:hAnsi="Consolas"/>
      <w:kern w:val="0"/>
      <w:sz w:val="20"/>
      <w:szCs w:val="20"/>
    </w:rPr>
  </w:style>
  <w:style w:type="character" w:customStyle="1" w:styleId="HTMLPreformattedChar1">
    <w:name w:val="HTML Preformatted Char1"/>
    <w:basedOn w:val="DefaultParagraphFont"/>
    <w:uiPriority w:val="99"/>
    <w:semiHidden/>
    <w:rsid w:val="00494B49"/>
    <w:rPr>
      <w:rFonts w:ascii="Consolas" w:hAnsi="Consolas"/>
      <w:sz w:val="20"/>
      <w:szCs w:val="20"/>
    </w:rPr>
  </w:style>
  <w:style w:type="character" w:customStyle="1" w:styleId="CommentSubjectChar">
    <w:name w:val="Comment Subject Char"/>
    <w:basedOn w:val="CommentTextChar"/>
    <w:link w:val="CommentSubject"/>
    <w:uiPriority w:val="99"/>
    <w:semiHidden/>
    <w:rsid w:val="00494B49"/>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494B49"/>
    <w:pPr>
      <w:spacing w:before="0"/>
    </w:pPr>
  </w:style>
  <w:style w:type="character" w:customStyle="1" w:styleId="CommentSubjectChar1">
    <w:name w:val="Comment Subject Char1"/>
    <w:basedOn w:val="CommentTextChar"/>
    <w:uiPriority w:val="99"/>
    <w:semiHidden/>
    <w:rsid w:val="00494B49"/>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494B49"/>
    <w:rPr>
      <w:b/>
      <w:bCs/>
      <w:smallCaps/>
      <w:spacing w:val="5"/>
    </w:rPr>
  </w:style>
  <w:style w:type="paragraph" w:customStyle="1" w:styleId="Initials">
    <w:name w:val="Initials"/>
    <w:basedOn w:val="Normal"/>
    <w:uiPriority w:val="99"/>
    <w:semiHidden/>
    <w:rsid w:val="00494B49"/>
    <w:pPr>
      <w:spacing w:before="240" w:after="0" w:line="240" w:lineRule="auto"/>
      <w:contextualSpacing/>
    </w:pPr>
    <w:rPr>
      <w:rFonts w:ascii="Times New Roman" w:eastAsia="Times New Roman" w:hAnsi="Times New Roman" w:cs="Times New Roman"/>
      <w:kern w:val="0"/>
      <w14:ligatures w14:val="none"/>
    </w:rPr>
  </w:style>
  <w:style w:type="character" w:customStyle="1" w:styleId="emphi1">
    <w:name w:val="emphi1"/>
    <w:basedOn w:val="DefaultParagraphFont"/>
    <w:semiHidden/>
    <w:rsid w:val="00494B49"/>
    <w:rPr>
      <w:i/>
      <w:iCs/>
    </w:rPr>
  </w:style>
  <w:style w:type="character" w:customStyle="1" w:styleId="emph-i">
    <w:name w:val="emph-i"/>
    <w:basedOn w:val="DefaultParagraphFont"/>
    <w:semiHidden/>
    <w:rsid w:val="00494B49"/>
    <w:rPr>
      <w:i/>
      <w:iCs/>
    </w:rPr>
  </w:style>
  <w:style w:type="paragraph" w:customStyle="1" w:styleId="BLevel1">
    <w:name w:val="BLevel1"/>
    <w:basedOn w:val="BNormal"/>
    <w:link w:val="BLevel1Char"/>
    <w:qFormat/>
    <w:rsid w:val="00494B49"/>
    <w:pPr>
      <w:outlineLvl w:val="0"/>
    </w:pPr>
    <w:rPr>
      <w:b/>
    </w:rPr>
  </w:style>
  <w:style w:type="character" w:customStyle="1" w:styleId="BLevel1Char">
    <w:name w:val="BLevel1 Char"/>
    <w:basedOn w:val="BNormalChar"/>
    <w:link w:val="BLevel1"/>
    <w:rsid w:val="00494B49"/>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494B49"/>
    <w:pPr>
      <w:ind w:left="720"/>
      <w:outlineLvl w:val="1"/>
    </w:pPr>
  </w:style>
  <w:style w:type="character" w:customStyle="1" w:styleId="BLevel2Char">
    <w:name w:val="BLevel2 Char"/>
    <w:basedOn w:val="BNormalChar"/>
    <w:link w:val="BLevel2"/>
    <w:rsid w:val="00494B49"/>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494B49"/>
    <w:pPr>
      <w:ind w:left="1440"/>
      <w:outlineLvl w:val="2"/>
    </w:pPr>
  </w:style>
  <w:style w:type="character" w:customStyle="1" w:styleId="BLevel3Char">
    <w:name w:val="BLevel3 Char"/>
    <w:basedOn w:val="BNormalChar"/>
    <w:link w:val="BLevel3"/>
    <w:rsid w:val="00494B49"/>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494B49"/>
    <w:pPr>
      <w:ind w:left="2160"/>
      <w:outlineLvl w:val="3"/>
    </w:pPr>
  </w:style>
  <w:style w:type="character" w:customStyle="1" w:styleId="BLevel4Char">
    <w:name w:val="BLevel4 Char"/>
    <w:basedOn w:val="BNormalChar"/>
    <w:link w:val="BLevel4"/>
    <w:rsid w:val="00494B49"/>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494B49"/>
    <w:pPr>
      <w:ind w:left="2880"/>
      <w:outlineLvl w:val="4"/>
    </w:pPr>
  </w:style>
  <w:style w:type="character" w:customStyle="1" w:styleId="BLevel5Char">
    <w:name w:val="BLevel5 Char"/>
    <w:basedOn w:val="BNormalChar"/>
    <w:link w:val="BLevel5"/>
    <w:rsid w:val="00494B49"/>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494B49"/>
    <w:pPr>
      <w:ind w:left="3600"/>
      <w:outlineLvl w:val="5"/>
    </w:pPr>
  </w:style>
  <w:style w:type="character" w:customStyle="1" w:styleId="BLevel6Char">
    <w:name w:val="BLevel6 Char"/>
    <w:basedOn w:val="DefaultParagraphFont"/>
    <w:link w:val="BLevel6"/>
    <w:rsid w:val="00494B49"/>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494B49"/>
    <w:pPr>
      <w:spacing w:before="240" w:after="100" w:line="240" w:lineRule="auto"/>
      <w:ind w:left="240"/>
    </w:pPr>
    <w:rPr>
      <w:rFonts w:ascii="Times New Roman" w:hAnsi="Times New Roman" w:cs="Times New Roman"/>
      <w:kern w:val="24"/>
      <w:lang w:bidi="en-US"/>
      <w14:ligatures w14:val="none"/>
    </w:rPr>
  </w:style>
  <w:style w:type="paragraph" w:styleId="TOC3">
    <w:name w:val="toc 3"/>
    <w:basedOn w:val="Normal"/>
    <w:next w:val="Normal"/>
    <w:autoRedefine/>
    <w:semiHidden/>
    <w:qFormat/>
    <w:rsid w:val="00494B49"/>
    <w:pPr>
      <w:spacing w:before="240" w:after="100" w:line="240" w:lineRule="auto"/>
      <w:ind w:left="480"/>
    </w:pPr>
    <w:rPr>
      <w:rFonts w:ascii="Times New Roman" w:hAnsi="Times New Roman" w:cs="Times New Roman"/>
      <w:kern w:val="24"/>
      <w:lang w:bidi="en-US"/>
      <w14:ligatures w14:val="none"/>
    </w:rPr>
  </w:style>
  <w:style w:type="paragraph" w:styleId="TOC4">
    <w:name w:val="toc 4"/>
    <w:basedOn w:val="Normal"/>
    <w:next w:val="Normal"/>
    <w:autoRedefine/>
    <w:uiPriority w:val="39"/>
    <w:semiHidden/>
    <w:rsid w:val="00494B49"/>
    <w:pPr>
      <w:spacing w:before="240" w:after="100" w:line="240" w:lineRule="auto"/>
      <w:ind w:left="720"/>
    </w:pPr>
    <w:rPr>
      <w:rFonts w:ascii="Times New Roman" w:hAnsi="Times New Roman" w:cs="Times New Roman"/>
      <w:kern w:val="24"/>
      <w:lang w:bidi="en-US"/>
      <w14:ligatures w14:val="none"/>
    </w:rPr>
  </w:style>
  <w:style w:type="paragraph" w:customStyle="1" w:styleId="Style1">
    <w:name w:val="Style1"/>
    <w:basedOn w:val="Normal"/>
    <w:semiHidden/>
    <w:qFormat/>
    <w:rsid w:val="00494B49"/>
    <w:pPr>
      <w:spacing w:after="0" w:line="240" w:lineRule="auto"/>
      <w:jc w:val="both"/>
    </w:pPr>
    <w:rPr>
      <w:rFonts w:ascii="Times New Roman" w:eastAsia="Calibri" w:hAnsi="Times New Roman" w:cs="Times New Roman"/>
      <w:bCs/>
      <w:kern w:val="0"/>
      <w:lang w:eastAsia="da-DK"/>
      <w14:ligatures w14:val="none"/>
    </w:rPr>
  </w:style>
  <w:style w:type="character" w:customStyle="1" w:styleId="BCautionhead">
    <w:name w:val="BCaution_head"/>
    <w:basedOn w:val="BCommenthead"/>
    <w:uiPriority w:val="1"/>
    <w:qFormat/>
    <w:rsid w:val="00494B49"/>
    <w:rPr>
      <w:b/>
    </w:rPr>
  </w:style>
  <w:style w:type="paragraph" w:customStyle="1" w:styleId="BCautionpara">
    <w:name w:val="BCaution_para"/>
    <w:basedOn w:val="BCommentpara"/>
    <w:link w:val="BCautionparaChar"/>
    <w:qFormat/>
    <w:rsid w:val="00494B49"/>
  </w:style>
  <w:style w:type="character" w:customStyle="1" w:styleId="BCautionparaChar">
    <w:name w:val="BCaution_para Char"/>
    <w:basedOn w:val="BCommentparaChar"/>
    <w:link w:val="BCautionpara"/>
    <w:rsid w:val="00494B49"/>
    <w:rPr>
      <w:rFonts w:ascii="Times New Roman" w:hAnsi="Times New Roman" w:cs="Times New Roman"/>
      <w:kern w:val="24"/>
      <w:lang w:bidi="en-US"/>
      <w14:ligatures w14:val="none"/>
    </w:rPr>
  </w:style>
  <w:style w:type="paragraph" w:customStyle="1" w:styleId="Default">
    <w:name w:val="Default"/>
    <w:semiHidden/>
    <w:rsid w:val="00494B49"/>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semiHidden/>
    <w:rsid w:val="00494B49"/>
    <w:rPr>
      <w:rFonts w:cs="Times New Roman"/>
    </w:rPr>
  </w:style>
  <w:style w:type="paragraph" w:customStyle="1" w:styleId="rvps2">
    <w:name w:val="rvps2"/>
    <w:basedOn w:val="Normal"/>
    <w:semiHidden/>
    <w:rsid w:val="00494B4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FollowedHyperlink">
    <w:name w:val="FollowedHyperlink"/>
    <w:basedOn w:val="DefaultParagraphFont"/>
    <w:uiPriority w:val="99"/>
    <w:semiHidden/>
    <w:unhideWhenUsed/>
    <w:rsid w:val="00494B49"/>
    <w:rPr>
      <w:rFonts w:cs="Times New Roman"/>
      <w:color w:val="96607D" w:themeColor="followedHyperlink"/>
      <w:u w:val="single"/>
    </w:rPr>
  </w:style>
  <w:style w:type="character" w:styleId="Strong">
    <w:name w:val="Strong"/>
    <w:basedOn w:val="DefaultParagraphFont"/>
    <w:uiPriority w:val="22"/>
    <w:qFormat/>
    <w:rsid w:val="00494B49"/>
    <w:rPr>
      <w:rFonts w:cs="Times New Roman"/>
      <w:b/>
      <w:bCs/>
    </w:rPr>
  </w:style>
  <w:style w:type="paragraph" w:customStyle="1" w:styleId="c2">
    <w:name w:val="c2"/>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hp">
    <w:name w:val="hp"/>
    <w:basedOn w:val="Normal"/>
    <w:semiHidden/>
    <w:rsid w:val="00494B49"/>
    <w:pPr>
      <w:spacing w:before="100" w:beforeAutospacing="1" w:after="100" w:afterAutospacing="1" w:line="240" w:lineRule="auto"/>
    </w:pPr>
    <w:rPr>
      <w:rFonts w:ascii="Times New Roman" w:eastAsiaTheme="minorEastAsia" w:hAnsi="Times New Roman" w:cs="Times New Roman"/>
      <w:kern w:val="0"/>
      <w:lang w:val="cs-CZ" w:eastAsia="cs-CZ"/>
      <w14:ligatures w14:val="none"/>
    </w:rPr>
  </w:style>
  <w:style w:type="paragraph" w:customStyle="1" w:styleId="Body">
    <w:name w:val="Body"/>
    <w:semiHidden/>
    <w:rsid w:val="00494B49"/>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494B49"/>
    <w:rPr>
      <w:sz w:val="22"/>
      <w:szCs w:val="22"/>
    </w:rPr>
  </w:style>
  <w:style w:type="table" w:styleId="ColorfulGrid-Accent1">
    <w:name w:val="Colorful Grid Accent 1"/>
    <w:basedOn w:val="TableNormal"/>
    <w:link w:val="ColorfulGrid-Accent1Char"/>
    <w:uiPriority w:val="29"/>
    <w:semiHidden/>
    <w:unhideWhenUsed/>
    <w:rsid w:val="00494B49"/>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494B49"/>
    <w:pPr>
      <w:ind w:left="720"/>
    </w:pPr>
    <w:rPr>
      <w:sz w:val="20"/>
      <w:szCs w:val="20"/>
    </w:rPr>
  </w:style>
  <w:style w:type="paragraph" w:customStyle="1" w:styleId="BSourceExtractHead">
    <w:name w:val="BSourceExtract_Head"/>
    <w:basedOn w:val="BSourceExtract"/>
    <w:rsid w:val="00494B49"/>
    <w:rPr>
      <w:b/>
    </w:rPr>
  </w:style>
  <w:style w:type="paragraph" w:customStyle="1" w:styleId="HBNORMAL">
    <w:name w:val="HBNORMAL"/>
    <w:aliases w:val="NL"/>
    <w:semiHidden/>
    <w:rsid w:val="00494B49"/>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494B49"/>
    <w:rPr>
      <w:rFonts w:ascii="Verdana" w:hAnsi="Verdana"/>
      <w:color w:val="0000FF"/>
      <w:sz w:val="24"/>
      <w:vertAlign w:val="superscript"/>
    </w:rPr>
  </w:style>
  <w:style w:type="paragraph" w:styleId="ListBullet">
    <w:name w:val="List Bullet"/>
    <w:basedOn w:val="Normal"/>
    <w:semiHidden/>
    <w:rsid w:val="00494B49"/>
    <w:pPr>
      <w:widowControl w:val="0"/>
      <w:numPr>
        <w:numId w:val="3"/>
      </w:numPr>
      <w:spacing w:after="120" w:line="300" w:lineRule="atLeast"/>
      <w:ind w:right="360"/>
      <w:jc w:val="both"/>
    </w:pPr>
    <w:rPr>
      <w:rFonts w:ascii="Verdana" w:eastAsia="Times New Roman" w:hAnsi="Verdana" w:cs="Times New Roman"/>
      <w:kern w:val="0"/>
      <w14:ligatures w14:val="none"/>
    </w:rPr>
  </w:style>
  <w:style w:type="paragraph" w:styleId="ListBullet2">
    <w:name w:val="List Bullet 2"/>
    <w:basedOn w:val="ListBullet"/>
    <w:semiHidden/>
    <w:rsid w:val="00494B49"/>
    <w:pPr>
      <w:numPr>
        <w:ilvl w:val="1"/>
      </w:numPr>
      <w:ind w:right="0"/>
    </w:pPr>
  </w:style>
  <w:style w:type="character" w:customStyle="1" w:styleId="Level1TopicChar">
    <w:name w:val="Level 1 Topic Char"/>
    <w:basedOn w:val="DefaultParagraphFont"/>
    <w:link w:val="Level1Topic"/>
    <w:semiHidden/>
    <w:rsid w:val="00494B49"/>
    <w:rPr>
      <w:rFonts w:ascii="Arial" w:hAnsi="Arial" w:cs="Arial"/>
      <w:b/>
      <w:bCs/>
      <w:sz w:val="36"/>
      <w:szCs w:val="36"/>
    </w:rPr>
  </w:style>
  <w:style w:type="character" w:customStyle="1" w:styleId="LawNoteTitleChar">
    <w:name w:val="LawNote Title Char"/>
    <w:basedOn w:val="DefaultParagraphFont"/>
    <w:link w:val="LawNoteTitle"/>
    <w:semiHidden/>
    <w:rsid w:val="00494B49"/>
    <w:rPr>
      <w:rFonts w:ascii="Arial" w:hAnsi="Arial" w:cs="Arial"/>
      <w:b/>
      <w:color w:val="3C71A5"/>
      <w:sz w:val="32"/>
      <w:szCs w:val="32"/>
    </w:rPr>
  </w:style>
  <w:style w:type="character" w:styleId="PageNumber">
    <w:name w:val="page number"/>
    <w:basedOn w:val="DefaultParagraphFont"/>
    <w:semiHidden/>
    <w:rsid w:val="00494B49"/>
  </w:style>
  <w:style w:type="paragraph" w:customStyle="1" w:styleId="CitationNote">
    <w:name w:val="CitationNote"/>
    <w:basedOn w:val="Heading2"/>
    <w:semiHidden/>
    <w:rsid w:val="00494B49"/>
    <w:pPr>
      <w:spacing w:before="200" w:after="0" w:line="240" w:lineRule="auto"/>
    </w:pPr>
    <w:rPr>
      <w:rFonts w:ascii="Times New Roman" w:hAnsi="Times New Roman" w:cs="Times New Roman"/>
      <w:b/>
      <w:bCs/>
      <w:color w:val="77206D" w:themeColor="accent5" w:themeShade="BF"/>
      <w:kern w:val="24"/>
      <w:sz w:val="24"/>
      <w:szCs w:val="26"/>
      <w14:ligatures w14:val="none"/>
    </w:rPr>
  </w:style>
  <w:style w:type="paragraph" w:customStyle="1" w:styleId="BCitationNote">
    <w:name w:val="BCitationNote"/>
    <w:rsid w:val="00494B49"/>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494B49"/>
    <w:pPr>
      <w:tabs>
        <w:tab w:val="clear" w:pos="4680"/>
        <w:tab w:val="clear" w:pos="9360"/>
      </w:tabs>
    </w:pPr>
    <w:rPr>
      <w:rFonts w:ascii="Times New Roman" w:eastAsia="Times New Roman" w:hAnsi="Times New Roman" w:cs="Times New Roman"/>
      <w:kern w:val="0"/>
      <w:sz w:val="16"/>
      <w:szCs w:val="20"/>
      <w14:ligatures w14:val="none"/>
    </w:rPr>
  </w:style>
  <w:style w:type="paragraph" w:customStyle="1" w:styleId="Heading">
    <w:name w:val="Heading"/>
    <w:basedOn w:val="Normal"/>
    <w:semiHidden/>
    <w:rsid w:val="00494B49"/>
    <w:pPr>
      <w:spacing w:after="240" w:line="240" w:lineRule="auto"/>
    </w:pPr>
    <w:rPr>
      <w:rFonts w:ascii="Times New Roman" w:eastAsia="Times New Roman" w:hAnsi="Times New Roman" w:cs="Times New Roman"/>
      <w:kern w:val="0"/>
      <w:szCs w:val="20"/>
      <w14:ligatures w14:val="none"/>
    </w:rPr>
  </w:style>
  <w:style w:type="paragraph" w:customStyle="1" w:styleId="heading1notoc">
    <w:name w:val="heading 1 (no toc)"/>
    <w:basedOn w:val="Heading1"/>
    <w:next w:val="Normal"/>
    <w:link w:val="heading1notocChar"/>
    <w:semiHidden/>
    <w:rsid w:val="00494B49"/>
    <w:pPr>
      <w:keepNext w:val="0"/>
      <w:keepLines w:val="0"/>
      <w:spacing w:before="0" w:after="240" w:line="240" w:lineRule="auto"/>
      <w:outlineLvl w:val="9"/>
    </w:pPr>
    <w:rPr>
      <w:rFonts w:ascii="Times New Roman" w:eastAsia="Times New Roman" w:hAnsi="Times New Roman" w:cs="Times New Roman"/>
      <w:kern w:val="0"/>
      <w:szCs w:val="20"/>
      <w14:ligatures w14:val="none"/>
    </w:rPr>
  </w:style>
  <w:style w:type="paragraph" w:customStyle="1" w:styleId="heading2notoc">
    <w:name w:val="heading 2 (no toc)"/>
    <w:basedOn w:val="Heading2"/>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3notoc">
    <w:name w:val="heading 3 (no toc)"/>
    <w:basedOn w:val="Heading3"/>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 w:val="24"/>
      <w:szCs w:val="20"/>
      <w14:ligatures w14:val="none"/>
    </w:rPr>
  </w:style>
  <w:style w:type="paragraph" w:customStyle="1" w:styleId="heading4notoc">
    <w:name w:val="heading 4 (no toc)"/>
    <w:basedOn w:val="Heading4"/>
    <w:next w:val="Normal"/>
    <w:semiHidden/>
    <w:rsid w:val="00494B49"/>
    <w:pPr>
      <w:keepNext w:val="0"/>
      <w:keepLines w:val="0"/>
      <w:spacing w:before="0" w:after="240" w:line="240" w:lineRule="auto"/>
      <w:outlineLvl w:val="9"/>
    </w:pPr>
    <w:rPr>
      <w:rFonts w:ascii="Times New Roman" w:eastAsia="Times New Roman" w:hAnsi="Times New Roman" w:cs="Times New Roman"/>
      <w:i w:val="0"/>
      <w:iCs w:val="0"/>
      <w:color w:val="auto"/>
      <w:kern w:val="0"/>
      <w:szCs w:val="20"/>
      <w14:ligatures w14:val="none"/>
    </w:rPr>
  </w:style>
  <w:style w:type="paragraph" w:customStyle="1" w:styleId="heading5notoc">
    <w:name w:val="heading 5 (no toc)"/>
    <w:basedOn w:val="Heading5"/>
    <w:next w:val="Normal"/>
    <w:semiHidden/>
    <w:rsid w:val="00494B49"/>
    <w:pPr>
      <w:keepNext w:val="0"/>
      <w:keepLines w:val="0"/>
      <w:spacing w:before="0" w:after="240" w:line="240" w:lineRule="auto"/>
      <w:outlineLvl w:val="9"/>
    </w:pPr>
    <w:rPr>
      <w:rFonts w:ascii="Times New Roman" w:eastAsia="Times New Roman" w:hAnsi="Times New Roman" w:cs="Times New Roman"/>
      <w:color w:val="auto"/>
      <w:kern w:val="0"/>
      <w:szCs w:val="20"/>
      <w14:ligatures w14:val="none"/>
    </w:rPr>
  </w:style>
  <w:style w:type="paragraph" w:customStyle="1" w:styleId="Quote1">
    <w:name w:val="Quote1"/>
    <w:aliases w:val="q"/>
    <w:basedOn w:val="Normal"/>
    <w:next w:val="QuoteContinued"/>
    <w:semiHidden/>
    <w:rsid w:val="00494B49"/>
    <w:pPr>
      <w:spacing w:before="240" w:after="0" w:line="240" w:lineRule="auto"/>
      <w:ind w:left="1440" w:right="1440"/>
    </w:pPr>
    <w:rPr>
      <w:rFonts w:ascii="Times New Roman" w:eastAsia="Times New Roman" w:hAnsi="Times New Roman" w:cs="Times New Roman"/>
      <w:kern w:val="0"/>
      <w:szCs w:val="20"/>
      <w14:ligatures w14:val="none"/>
    </w:rPr>
  </w:style>
  <w:style w:type="paragraph" w:customStyle="1" w:styleId="QuoteDoubleSpace">
    <w:name w:val="Quote DoubleSpace"/>
    <w:aliases w:val="qd"/>
    <w:basedOn w:val="Quote1"/>
    <w:next w:val="Normal"/>
    <w:semiHidden/>
    <w:rsid w:val="00494B49"/>
    <w:pPr>
      <w:spacing w:line="480" w:lineRule="auto"/>
    </w:pPr>
  </w:style>
  <w:style w:type="paragraph" w:customStyle="1" w:styleId="QuoteContinued">
    <w:name w:val="Quote Continued"/>
    <w:basedOn w:val="BodyText"/>
    <w:next w:val="BodyText"/>
    <w:semiHidden/>
    <w:rsid w:val="00494B49"/>
    <w:pPr>
      <w:spacing w:before="0" w:after="240"/>
    </w:pPr>
    <w:rPr>
      <w:kern w:val="0"/>
      <w:szCs w:val="20"/>
    </w:rPr>
  </w:style>
  <w:style w:type="character" w:customStyle="1" w:styleId="ptext-1">
    <w:name w:val="ptext-1"/>
    <w:basedOn w:val="DefaultParagraphFont"/>
    <w:semiHidden/>
    <w:rsid w:val="00494B49"/>
  </w:style>
  <w:style w:type="character" w:customStyle="1" w:styleId="ptext-2">
    <w:name w:val="ptext-2"/>
    <w:basedOn w:val="DefaultParagraphFont"/>
    <w:semiHidden/>
    <w:rsid w:val="00494B49"/>
  </w:style>
  <w:style w:type="character" w:customStyle="1" w:styleId="enumbell">
    <w:name w:val="enumbell"/>
    <w:semiHidden/>
    <w:rsid w:val="00494B49"/>
    <w:rPr>
      <w:b/>
      <w:bCs/>
    </w:rPr>
  </w:style>
  <w:style w:type="paragraph" w:customStyle="1" w:styleId="TableHeading1">
    <w:name w:val="Table Heading 1"/>
    <w:basedOn w:val="Normal"/>
    <w:semiHidden/>
    <w:qFormat/>
    <w:rsid w:val="00494B49"/>
    <w:pPr>
      <w:shd w:val="clear" w:color="auto" w:fill="FFFFFF" w:themeFill="background1"/>
      <w:spacing w:before="120" w:after="120" w:line="240" w:lineRule="auto"/>
    </w:pPr>
    <w:rPr>
      <w:rFonts w:ascii="Arial" w:eastAsia="Times New Roman" w:hAnsi="Arial" w:cs="Times New Roman"/>
      <w:b/>
      <w:color w:val="262626" w:themeColor="text1" w:themeTint="D9"/>
      <w:kern w:val="0"/>
      <w:sz w:val="32"/>
      <w:szCs w:val="22"/>
      <w14:ligatures w14:val="none"/>
    </w:rPr>
  </w:style>
  <w:style w:type="paragraph" w:customStyle="1" w:styleId="AuthorByline">
    <w:name w:val="Author Byline"/>
    <w:basedOn w:val="Normal"/>
    <w:next w:val="Normal"/>
    <w:semiHidden/>
    <w:qFormat/>
    <w:rsid w:val="00494B49"/>
    <w:pPr>
      <w:spacing w:before="120" w:after="120" w:line="360" w:lineRule="auto"/>
      <w:jc w:val="both"/>
    </w:pPr>
    <w:rPr>
      <w:rFonts w:ascii="Verdana" w:eastAsia="Times New Roman" w:hAnsi="Verdana" w:cs="Arial"/>
      <w:kern w:val="0"/>
      <w:sz w:val="22"/>
      <w14:ligatures w14:val="none"/>
    </w:rPr>
  </w:style>
  <w:style w:type="paragraph" w:customStyle="1" w:styleId="DocumentTitle">
    <w:name w:val="Document Title"/>
    <w:basedOn w:val="Normal"/>
    <w:next w:val="ArticleText"/>
    <w:link w:val="DocumentTitleChar"/>
    <w:semiHidden/>
    <w:qFormat/>
    <w:rsid w:val="00494B49"/>
    <w:pPr>
      <w:spacing w:before="100" w:after="120" w:line="240" w:lineRule="auto"/>
    </w:pPr>
    <w:rPr>
      <w:rFonts w:ascii="Arial" w:eastAsia="Times New Roman" w:hAnsi="Arial" w:cs="Times New Roman"/>
      <w:kern w:val="0"/>
      <w:sz w:val="28"/>
      <w:szCs w:val="28"/>
      <w14:ligatures w14:val="none"/>
    </w:rPr>
  </w:style>
  <w:style w:type="paragraph" w:customStyle="1" w:styleId="PrimaryHeading">
    <w:name w:val="Primary Heading"/>
    <w:basedOn w:val="Normal"/>
    <w:next w:val="Normal"/>
    <w:semiHidden/>
    <w:qFormat/>
    <w:rsid w:val="00494B49"/>
    <w:pPr>
      <w:spacing w:before="240" w:after="0" w:line="240" w:lineRule="auto"/>
    </w:pPr>
    <w:rPr>
      <w:rFonts w:ascii="Arial" w:eastAsia="Times New Roman" w:hAnsi="Arial" w:cs="Arial"/>
      <w:b/>
      <w:kern w:val="0"/>
      <w:sz w:val="36"/>
      <w:szCs w:val="36"/>
      <w14:ligatures w14:val="none"/>
    </w:rPr>
  </w:style>
  <w:style w:type="paragraph" w:customStyle="1" w:styleId="SecondaryHeading">
    <w:name w:val="Secondary Heading"/>
    <w:basedOn w:val="Normal"/>
    <w:next w:val="Normal"/>
    <w:semiHidden/>
    <w:qFormat/>
    <w:rsid w:val="00494B49"/>
    <w:pPr>
      <w:shd w:val="clear" w:color="auto" w:fill="171717" w:themeFill="background2" w:themeFillShade="1A"/>
      <w:spacing w:after="120" w:line="240" w:lineRule="auto"/>
    </w:pPr>
    <w:rPr>
      <w:rFonts w:ascii="Arial" w:eastAsia="Times New Roman" w:hAnsi="Arial" w:cs="Arial"/>
      <w:b/>
      <w:color w:val="83CAEB" w:themeColor="accent1" w:themeTint="66"/>
      <w:kern w:val="0"/>
      <w:sz w:val="28"/>
      <w:szCs w:val="32"/>
      <w14:ligatures w14:val="none"/>
    </w:rPr>
  </w:style>
  <w:style w:type="paragraph" w:customStyle="1" w:styleId="ArticleText">
    <w:name w:val="Article Text"/>
    <w:basedOn w:val="Normal"/>
    <w:semiHidden/>
    <w:qFormat/>
    <w:rsid w:val="00494B49"/>
    <w:pPr>
      <w:spacing w:before="120" w:after="120" w:line="240" w:lineRule="auto"/>
      <w:jc w:val="both"/>
    </w:pPr>
    <w:rPr>
      <w:rFonts w:ascii="Arial" w:eastAsia="Times New Roman" w:hAnsi="Arial" w:cs="Times New Roman"/>
      <w:kern w:val="0"/>
      <w:sz w:val="20"/>
      <w14:ligatures w14:val="none"/>
    </w:rPr>
  </w:style>
  <w:style w:type="paragraph" w:customStyle="1" w:styleId="ArticleHeading1">
    <w:name w:val="Article Heading 1"/>
    <w:basedOn w:val="Heading1"/>
    <w:next w:val="Normal"/>
    <w:link w:val="ArticleHeading1Char"/>
    <w:semiHidden/>
    <w:qFormat/>
    <w:rsid w:val="00494B49"/>
    <w:pPr>
      <w:keepNext w:val="0"/>
      <w:keepLines w:val="0"/>
      <w:spacing w:before="120" w:after="120" w:line="240" w:lineRule="auto"/>
    </w:pPr>
    <w:rPr>
      <w:rFonts w:ascii="Arial" w:hAnsi="Arial"/>
      <w:color w:val="4EA72E" w:themeColor="accent6"/>
      <w:kern w:val="0"/>
      <w:sz w:val="28"/>
      <w:szCs w:val="28"/>
      <w14:ligatures w14:val="none"/>
    </w:rPr>
  </w:style>
  <w:style w:type="paragraph" w:customStyle="1" w:styleId="ArticleHeading2">
    <w:name w:val="Article Heading 2"/>
    <w:basedOn w:val="Heading2"/>
    <w:next w:val="ArticleText"/>
    <w:link w:val="ArticleHeading2Char"/>
    <w:semiHidden/>
    <w:qFormat/>
    <w:rsid w:val="00494B49"/>
    <w:pPr>
      <w:keepNext w:val="0"/>
      <w:keepLines w:val="0"/>
      <w:spacing w:before="120" w:after="120" w:line="240" w:lineRule="auto"/>
      <w:ind w:left="720"/>
    </w:pPr>
    <w:rPr>
      <w:rFonts w:ascii="Verdana" w:eastAsia="Times New Roman" w:hAnsi="Verdana"/>
      <w:color w:val="4EA72E" w:themeColor="accent6"/>
      <w:kern w:val="0"/>
      <w:szCs w:val="26"/>
      <w14:ligatures w14:val="none"/>
    </w:rPr>
  </w:style>
  <w:style w:type="character" w:customStyle="1" w:styleId="DocumentTitleChar">
    <w:name w:val="Document Title Char"/>
    <w:basedOn w:val="DefaultParagraphFont"/>
    <w:link w:val="DocumentTitle"/>
    <w:semiHidden/>
    <w:rsid w:val="00494B49"/>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494B49"/>
    <w:rPr>
      <w:rFonts w:ascii="Arial" w:eastAsiaTheme="majorEastAsia" w:hAnsi="Arial" w:cstheme="majorBidi"/>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494B49"/>
    <w:rPr>
      <w:rFonts w:ascii="Verdana" w:eastAsia="Times New Roman" w:hAnsi="Verdana" w:cstheme="majorBidi"/>
      <w:color w:val="4EA72E" w:themeColor="accent6"/>
      <w:kern w:val="0"/>
      <w:sz w:val="32"/>
      <w:szCs w:val="26"/>
      <w14:ligatures w14:val="none"/>
    </w:rPr>
  </w:style>
  <w:style w:type="paragraph" w:customStyle="1" w:styleId="PublishDate">
    <w:name w:val="Publish Date"/>
    <w:basedOn w:val="Normal"/>
    <w:semiHidden/>
    <w:qFormat/>
    <w:rsid w:val="00494B49"/>
    <w:pPr>
      <w:spacing w:before="120" w:after="120" w:line="240" w:lineRule="auto"/>
      <w:jc w:val="right"/>
    </w:pPr>
    <w:rPr>
      <w:rFonts w:ascii="Verdana" w:hAnsi="Verdana" w:cs="Times New Roman"/>
      <w:kern w:val="0"/>
      <w:sz w:val="20"/>
      <w14:ligatures w14:val="none"/>
    </w:rPr>
  </w:style>
  <w:style w:type="paragraph" w:customStyle="1" w:styleId="ArticleHeading3">
    <w:name w:val="Article Heading 3"/>
    <w:basedOn w:val="ArticleHeading2"/>
    <w:next w:val="ArticleText"/>
    <w:semiHidden/>
    <w:qFormat/>
    <w:rsid w:val="00494B49"/>
    <w:pPr>
      <w:ind w:left="1440"/>
    </w:pPr>
    <w:rPr>
      <w:i/>
    </w:rPr>
  </w:style>
  <w:style w:type="paragraph" w:customStyle="1" w:styleId="TableSubheading1">
    <w:name w:val="Table Subheading 1"/>
    <w:basedOn w:val="ArticleText"/>
    <w:semiHidden/>
    <w:qFormat/>
    <w:rsid w:val="00494B49"/>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494B49"/>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494B49"/>
    <w:pPr>
      <w:spacing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494B49"/>
    <w:pPr>
      <w:spacing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494B49"/>
    <w:pPr>
      <w:numPr>
        <w:numId w:val="11"/>
      </w:numPr>
      <w:tabs>
        <w:tab w:val="clear" w:pos="720"/>
      </w:tabs>
      <w:spacing w:after="120" w:line="240" w:lineRule="auto"/>
      <w:ind w:left="0"/>
      <w:jc w:val="both"/>
    </w:pPr>
    <w:rPr>
      <w:rFonts w:ascii="Arial" w:eastAsia="Times New Roman" w:hAnsi="Arial" w:cs="Times New Roman"/>
      <w:kern w:val="0"/>
      <w:sz w:val="16"/>
      <w14:ligatures w14:val="none"/>
    </w:rPr>
  </w:style>
  <w:style w:type="character" w:customStyle="1" w:styleId="EndTextChar">
    <w:name w:val="EndText Char"/>
    <w:link w:val="EndText"/>
    <w:semiHidden/>
    <w:rsid w:val="00494B49"/>
    <w:rPr>
      <w:rFonts w:ascii="Arial" w:eastAsia="Times New Roman" w:hAnsi="Arial" w:cs="Times New Roman"/>
      <w:kern w:val="0"/>
      <w:sz w:val="16"/>
      <w14:ligatures w14:val="none"/>
    </w:rPr>
  </w:style>
  <w:style w:type="paragraph" w:customStyle="1" w:styleId="bbnode">
    <w:name w:val="bbnode"/>
    <w:basedOn w:val="BNormal"/>
    <w:qFormat/>
    <w:rsid w:val="00494B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494B49"/>
    <w:rPr>
      <w:color w:val="275317" w:themeColor="accent6" w:themeShade="80"/>
    </w:rPr>
  </w:style>
  <w:style w:type="paragraph" w:customStyle="1" w:styleId="bblsID">
    <w:name w:val="bblsID"/>
    <w:basedOn w:val="bbreporter"/>
    <w:qFormat/>
    <w:rsid w:val="00494B49"/>
    <w:rPr>
      <w:color w:val="0070C0"/>
      <w:szCs w:val="22"/>
    </w:rPr>
  </w:style>
  <w:style w:type="paragraph" w:customStyle="1" w:styleId="bbslug">
    <w:name w:val="bbslug"/>
    <w:basedOn w:val="bbnode"/>
    <w:rsid w:val="00494B49"/>
    <w:rPr>
      <w:b/>
      <w:i/>
      <w:color w:val="FF0000"/>
    </w:rPr>
  </w:style>
  <w:style w:type="character" w:customStyle="1" w:styleId="bblink-bbcitation">
    <w:name w:val="bblink-bbcitation"/>
    <w:basedOn w:val="DefaultParagraphFont"/>
    <w:uiPriority w:val="1"/>
    <w:qFormat/>
    <w:rsid w:val="00494B49"/>
    <w:rPr>
      <w:color w:val="7030A0"/>
    </w:rPr>
  </w:style>
  <w:style w:type="paragraph" w:customStyle="1" w:styleId="BGeographicName">
    <w:name w:val="BGeographicName"/>
    <w:basedOn w:val="Normal"/>
    <w:link w:val="BGeographicNameChar"/>
    <w:qFormat/>
    <w:rsid w:val="00494B49"/>
    <w:pPr>
      <w:spacing w:before="240" w:after="120" w:line="240" w:lineRule="auto"/>
    </w:pPr>
    <w:rPr>
      <w:rFonts w:ascii="Times New Roman" w:eastAsia="Times New Roman" w:hAnsi="Times New Roman" w:cs="Times New Roman"/>
      <w:color w:val="006600"/>
      <w:kern w:val="24"/>
      <w:lang w:bidi="en-US"/>
      <w14:ligatures w14:val="none"/>
    </w:rPr>
  </w:style>
  <w:style w:type="character" w:customStyle="1" w:styleId="BGeographicNameChar">
    <w:name w:val="BGeographicName Char"/>
    <w:basedOn w:val="BNormalChar"/>
    <w:link w:val="BGeographicName"/>
    <w:rsid w:val="00494B49"/>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494B49"/>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494B49"/>
    <w:rPr>
      <w:rFonts w:ascii="Times New Roman" w:eastAsia="Times New Roman" w:hAnsi="Times New Roman" w:cs="Times New Roman"/>
      <w:color w:val="0F4761" w:themeColor="accent1" w:themeShade="BF"/>
      <w:kern w:val="0"/>
      <w:sz w:val="40"/>
      <w:szCs w:val="20"/>
      <w14:ligatures w14:val="none"/>
    </w:rPr>
  </w:style>
  <w:style w:type="paragraph" w:customStyle="1" w:styleId="BDocStart">
    <w:name w:val="BDoc_Start"/>
    <w:next w:val="BNormal"/>
    <w:link w:val="BDocStartChar"/>
    <w:rsid w:val="00494B49"/>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494B49"/>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494B49"/>
    <w:rPr>
      <w:color w:val="BF4E14" w:themeColor="accent2" w:themeShade="BF"/>
      <w:sz w:val="20"/>
      <w:szCs w:val="20"/>
    </w:rPr>
  </w:style>
  <w:style w:type="character" w:customStyle="1" w:styleId="BAuthorChar">
    <w:name w:val="BAuthor Char"/>
    <w:basedOn w:val="BNormalChar"/>
    <w:link w:val="BAuthor"/>
    <w:rsid w:val="00494B49"/>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494B49"/>
    <w:rPr>
      <w:color w:val="000000" w:themeColor="text1"/>
    </w:rPr>
  </w:style>
  <w:style w:type="paragraph" w:customStyle="1" w:styleId="BBox">
    <w:name w:val="BBox"/>
    <w:basedOn w:val="BOutsideauthorinfo"/>
    <w:next w:val="BNormal"/>
    <w:link w:val="BBoxChar"/>
    <w:semiHidden/>
    <w:rsid w:val="00494B49"/>
  </w:style>
  <w:style w:type="paragraph" w:customStyle="1" w:styleId="BHeadline">
    <w:name w:val="BHeadline"/>
    <w:basedOn w:val="Normal"/>
    <w:next w:val="BNormal"/>
    <w:rsid w:val="00494B49"/>
    <w:pPr>
      <w:spacing w:before="240" w:after="120" w:line="240" w:lineRule="auto"/>
    </w:pPr>
    <w:rPr>
      <w:rFonts w:ascii="Times New Roman" w:hAnsi="Times New Roman" w:cs="Times New Roman"/>
      <w:b/>
      <w:color w:val="0A2F41" w:themeColor="accent1" w:themeShade="80"/>
      <w:kern w:val="24"/>
      <w:sz w:val="28"/>
      <w:szCs w:val="28"/>
      <w:lang w:bidi="en-US"/>
      <w14:ligatures w14:val="none"/>
    </w:rPr>
  </w:style>
  <w:style w:type="paragraph" w:customStyle="1" w:styleId="BOrganization">
    <w:name w:val="BOrganization"/>
    <w:basedOn w:val="BNormal"/>
    <w:rsid w:val="00494B49"/>
    <w:rPr>
      <w:color w:val="BF4E14" w:themeColor="accent2" w:themeShade="BF"/>
      <w:sz w:val="20"/>
    </w:rPr>
  </w:style>
  <w:style w:type="paragraph" w:customStyle="1" w:styleId="BEditorsintro">
    <w:name w:val="BEditors_intro"/>
    <w:basedOn w:val="Normal"/>
    <w:next w:val="BNormal"/>
    <w:semiHidden/>
    <w:rsid w:val="00494B49"/>
    <w:pPr>
      <w:spacing w:before="120" w:after="0" w:line="240" w:lineRule="auto"/>
    </w:pPr>
    <w:rPr>
      <w:rFonts w:eastAsia="Times New Roman" w:cs="Times New Roman"/>
      <w:b/>
      <w:color w:val="FFFFFF" w:themeColor="background1"/>
      <w:kern w:val="0"/>
      <w:sz w:val="16"/>
      <w:szCs w:val="16"/>
      <w:lang w:val="en-GB" w:eastAsia="en-GB"/>
      <w14:ligatures w14:val="none"/>
    </w:rPr>
  </w:style>
  <w:style w:type="character" w:customStyle="1" w:styleId="BBoxChar">
    <w:name w:val="BBox Char"/>
    <w:basedOn w:val="BQuotelongChar"/>
    <w:link w:val="BBox"/>
    <w:semiHidden/>
    <w:rsid w:val="00494B49"/>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494B49"/>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494B49"/>
    <w:pPr>
      <w:spacing w:before="120" w:after="0" w:line="240" w:lineRule="auto"/>
    </w:pPr>
    <w:rPr>
      <w:rFonts w:eastAsia="Times New Roman" w:cs="Times New Roman"/>
      <w:b/>
      <w:color w:val="000000" w:themeColor="text1"/>
      <w:kern w:val="0"/>
      <w:sz w:val="16"/>
      <w:szCs w:val="16"/>
      <w:lang w:val="en-GB" w:eastAsia="en-GB"/>
      <w14:ligatures w14:val="none"/>
    </w:rPr>
  </w:style>
  <w:style w:type="paragraph" w:styleId="TOCHeading">
    <w:name w:val="TOC Heading"/>
    <w:basedOn w:val="Heading1"/>
    <w:next w:val="Normal"/>
    <w:uiPriority w:val="39"/>
    <w:semiHidden/>
    <w:unhideWhenUsed/>
    <w:qFormat/>
    <w:rsid w:val="00494B49"/>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character" w:customStyle="1" w:styleId="ssnonpaginatedrptr">
    <w:name w:val="ss_nonpaginatedrptr"/>
    <w:semiHidden/>
    <w:rsid w:val="00494B49"/>
  </w:style>
  <w:style w:type="character" w:customStyle="1" w:styleId="st">
    <w:name w:val="st"/>
    <w:semiHidden/>
    <w:rsid w:val="00494B49"/>
  </w:style>
  <w:style w:type="character" w:customStyle="1" w:styleId="BPlanpointhead">
    <w:name w:val="BPlan_point_head"/>
    <w:basedOn w:val="BCommenthead"/>
    <w:uiPriority w:val="1"/>
    <w:rsid w:val="00494B49"/>
    <w:rPr>
      <w:b/>
      <w:iCs/>
      <w:color w:val="0E2841" w:themeColor="text2"/>
    </w:rPr>
  </w:style>
  <w:style w:type="paragraph" w:customStyle="1" w:styleId="BPlanpointpara">
    <w:name w:val="BPlan_point_para"/>
    <w:basedOn w:val="BCommentpara"/>
    <w:rsid w:val="00494B49"/>
    <w:rPr>
      <w:color w:val="0A1D30" w:themeColor="text2" w:themeShade="BF"/>
    </w:rPr>
  </w:style>
  <w:style w:type="paragraph" w:customStyle="1" w:styleId="BRelatedTo">
    <w:name w:val="BRelatedTo"/>
    <w:basedOn w:val="BNormal"/>
    <w:next w:val="BNormal"/>
    <w:rsid w:val="00494B49"/>
    <w:rPr>
      <w:color w:val="156082" w:themeColor="accent1"/>
      <w:sz w:val="16"/>
    </w:rPr>
  </w:style>
  <w:style w:type="paragraph" w:customStyle="1" w:styleId="BHead6">
    <w:name w:val="BHead6"/>
    <w:next w:val="BNormal"/>
    <w:link w:val="BHead6Char"/>
    <w:rsid w:val="00494B49"/>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494B49"/>
    <w:rPr>
      <w:rFonts w:ascii="Times New Roman" w:eastAsia="Times New Roman" w:hAnsi="Times New Roman" w:cs="Times New Roman"/>
      <w:i/>
      <w:kern w:val="0"/>
      <w14:ligatures w14:val="none"/>
    </w:rPr>
  </w:style>
  <w:style w:type="paragraph" w:customStyle="1" w:styleId="BHead7">
    <w:name w:val="BHead7"/>
    <w:next w:val="BNormal"/>
    <w:link w:val="BHead7Char"/>
    <w:rsid w:val="00494B49"/>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494B49"/>
    <w:rPr>
      <w:rFonts w:ascii="Times New Roman" w:eastAsia="Times New Roman" w:hAnsi="Times New Roman" w:cs="Times New Roman"/>
      <w:kern w:val="0"/>
      <w14:ligatures w14:val="none"/>
    </w:rPr>
  </w:style>
  <w:style w:type="paragraph" w:customStyle="1" w:styleId="BHead8">
    <w:name w:val="BHead8"/>
    <w:next w:val="BNormal"/>
    <w:link w:val="BHead8Char"/>
    <w:rsid w:val="00494B49"/>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494B49"/>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494B49"/>
    <w:rPr>
      <w:b/>
      <w:color w:val="77206D" w:themeColor="accent5" w:themeShade="BF"/>
    </w:rPr>
  </w:style>
  <w:style w:type="character" w:customStyle="1" w:styleId="BBNAidChar">
    <w:name w:val="BBNA_id Char"/>
    <w:basedOn w:val="BNormalChar"/>
    <w:link w:val="BBNAid"/>
    <w:rsid w:val="00494B49"/>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494B49"/>
    <w:rPr>
      <w:color w:val="FF99FF"/>
    </w:rPr>
  </w:style>
  <w:style w:type="paragraph" w:customStyle="1" w:styleId="BVerbatimmarkup">
    <w:name w:val="BVerbatim_markup"/>
    <w:basedOn w:val="BRelatedTo"/>
    <w:next w:val="BNormal"/>
    <w:link w:val="BVerbatimmarkupChar"/>
    <w:qFormat/>
    <w:rsid w:val="00494B49"/>
    <w:rPr>
      <w:color w:val="FF0000"/>
      <w:sz w:val="24"/>
    </w:rPr>
  </w:style>
  <w:style w:type="character" w:customStyle="1" w:styleId="BVerbatimmarkupChar">
    <w:name w:val="BVerbatim_markup Char"/>
    <w:basedOn w:val="DefaultParagraphFont"/>
    <w:link w:val="BVerbatimmarkup"/>
    <w:rsid w:val="00494B49"/>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s://www.irs.gov/pub/irs-pdf/i8960.pdf" TargetMode="External"/><Relationship Id="rId18" Type="http://schemas.openxmlformats.org/officeDocument/2006/relationships/hyperlink" Target="http://www.irs.gov/pub/irs-prior/i8960--201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rs.gov/pub/irs-pdf/i8960.pdf"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rs.gov/pub/irs-pdf/i8960.pdf" TargetMode="External"/><Relationship Id="rId20" Type="http://schemas.openxmlformats.org/officeDocument/2006/relationships/hyperlink" Target="https://www.irs.gov/pub/irs-pdf/i896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irs-prior/i8960--2013.pdf" TargetMode="External"/><Relationship Id="rId24" Type="http://schemas.openxmlformats.org/officeDocument/2006/relationships/hyperlink" Target="https://www.irs.gov/pub/irs-pdf/i8960.pdf" TargetMode="External"/><Relationship Id="rId5" Type="http://schemas.openxmlformats.org/officeDocument/2006/relationships/footnotes" Target="footnotes.xml"/><Relationship Id="rId15" Type="http://schemas.openxmlformats.org/officeDocument/2006/relationships/hyperlink" Target="https://www.irs.gov/pub/irs-pdf/i461.pdf" TargetMode="External"/><Relationship Id="rId23" Type="http://schemas.openxmlformats.org/officeDocument/2006/relationships/hyperlink" Target="https://www.irs.gov/pub/irs-pdf/i3520.pdf" TargetMode="External"/><Relationship Id="rId10" Type="http://schemas.openxmlformats.org/officeDocument/2006/relationships/hyperlink" Target="https://www.irs.gov/pub/irs-pdf/i8960.pdf" TargetMode="External"/><Relationship Id="rId19" Type="http://schemas.openxmlformats.org/officeDocument/2006/relationships/hyperlink" Target="http://www.irs.gov/pub/irs-prior/i8960--2014.pdf" TargetMode="External"/><Relationship Id="rId4" Type="http://schemas.openxmlformats.org/officeDocument/2006/relationships/webSettings" Target="webSettings.xm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www.bloomberglaw.com/product/tax/document/2505328132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rs.gov/pub/irs-pdf/i8960.pdf" TargetMode="External"/><Relationship Id="rId13" Type="http://schemas.openxmlformats.org/officeDocument/2006/relationships/hyperlink" Target="http://www.irs.gov/pub/irs-pdf/f8960.pdf" TargetMode="External"/><Relationship Id="rId18" Type="http://schemas.openxmlformats.org/officeDocument/2006/relationships/hyperlink" Target="https://www.bloomberglaw.com/product/tax/document/28906609704" TargetMode="External"/><Relationship Id="rId26" Type="http://schemas.openxmlformats.org/officeDocument/2006/relationships/hyperlink" Target="https://home.treasury.gov/system/files/131/Treaty-Poland-2-13-2013.pdf" TargetMode="External"/><Relationship Id="rId3" Type="http://schemas.openxmlformats.org/officeDocument/2006/relationships/hyperlink" Target="https://www.bloomberglaw.com/product/tax/document/XEFQ7V1S000000?criteria_id=d5bab0ef8954c3830352b2134d25c94c&amp;navCriteriaId=f4920fdbc4874679f25a3de398c771b2&amp;searchGuid=f42249ad-3f1c-47d4-9e89-ec958628d2ec&amp;search32=3Mc7zlbDVPJ265KvY-HdQQ==Sv387AYmrykoMz2ghkZ69t93Ttk5qk3mpXUZzHIaZV22TNQI7QLMUAVPWP8QqgRbX7tOaPHeEuwq2s03MLGR38lygzTlMMhQgQyQjuVLPP3h7nPjEQlMqHOEQ8KjWWd-bYi2_HaXEQc3koluTavmJVrRZINCum2sA40PcatSnn9gs-TXmycZwvoSzEeh0MkJnSHen3uYKOHYmuyFW8As6fQ23H6qkD5tU8dB9zO0LWs=" TargetMode="External"/><Relationship Id="rId21" Type="http://schemas.openxmlformats.org/officeDocument/2006/relationships/hyperlink" Target="https://www.irs.gov/businesses/international-businesses/united-states-income-tax-treaties-a-to-z" TargetMode="External"/><Relationship Id="rId7" Type="http://schemas.openxmlformats.org/officeDocument/2006/relationships/hyperlink" Target="https://www.irs.gov/pub/irs-pdf/i8960.pdf" TargetMode="Externa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hyperlink" Target="http://www.irs.gov/pub/irs-trty/temod006.pdf" TargetMode="External"/><Relationship Id="rId2" Type="http://schemas.openxmlformats.org/officeDocument/2006/relationships/hyperlink" Target="https://www.irs.gov/pub/irs-pdf/i8960.pdf" TargetMode="External"/><Relationship Id="rId16" Type="http://schemas.openxmlformats.org/officeDocument/2006/relationships/hyperlink" Target="http://www.irs.gov/pub/irs-prior/i8960--2013.pdf" TargetMode="External"/><Relationship Id="rId20" Type="http://schemas.openxmlformats.org/officeDocument/2006/relationships/hyperlink" Target="http://www.irs.gov/pub/irs-pdf/i8697.pdf" TargetMode="External"/><Relationship Id="rId29" Type="http://schemas.openxmlformats.org/officeDocument/2006/relationships/hyperlink" Target="http://lostinsantcugat.blogspot.com/"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bloomberglaw.com/product/tax/document/25291470376" TargetMode="External"/><Relationship Id="rId24" Type="http://schemas.openxmlformats.org/officeDocument/2006/relationships/hyperlink" Target="https://home.treasury.gov/system/files/131/Treaty-US-Model-2016_1.pdf" TargetMode="External"/><Relationship Id="rId5" Type="http://schemas.openxmlformats.org/officeDocument/2006/relationships/hyperlink" Target="https://www.irs.gov/pub/irs-pdf/i8960.pdf" TargetMode="External"/><Relationship Id="rId15" Type="http://schemas.openxmlformats.org/officeDocument/2006/relationships/hyperlink" Target="https://www.irs.gov/pub/irs-pdf/i8960.pdf" TargetMode="External"/><Relationship Id="rId23" Type="http://schemas.openxmlformats.org/officeDocument/2006/relationships/hyperlink" Target="https://home.treasury.gov/system/files/131/Treaty-Poland-2-13-2013.pdf" TargetMode="External"/><Relationship Id="rId28" Type="http://schemas.openxmlformats.org/officeDocument/2006/relationships/hyperlink" Target="https://www.irs.gov/pub/irs-pdf/i1040nr.pdf" TargetMode="External"/><Relationship Id="rId10" Type="http://schemas.openxmlformats.org/officeDocument/2006/relationships/hyperlink" Target="https://www.irs.gov/pub/irs-pdf/i8960.pdf" TargetMode="External"/><Relationship Id="rId19" Type="http://schemas.openxmlformats.org/officeDocument/2006/relationships/hyperlink" Target="https://www.irs.gov/pub/irs-pdf/i8960.pdf" TargetMode="External"/><Relationship Id="rId4" Type="http://schemas.openxmlformats.org/officeDocument/2006/relationships/hyperlink" Target="https://www.irs.gov/pub/irs-pdf/i8960.pdf" TargetMode="External"/><Relationship Id="rId9" Type="http://schemas.openxmlformats.org/officeDocument/2006/relationships/hyperlink" Target="http://www.irs.gov/pub/irs-prior/i8960--2013.pdf" TargetMode="External"/><Relationship Id="rId14" Type="http://schemas.openxmlformats.org/officeDocument/2006/relationships/hyperlink" Target="https://www.irs.gov/pub/irs-pdf/i1040gi.pdf" TargetMode="External"/><Relationship Id="rId22" Type="http://schemas.openxmlformats.org/officeDocument/2006/relationships/hyperlink" Target="https://home.treasury.gov/news/press-releases/jl10057" TargetMode="External"/><Relationship Id="rId27" Type="http://schemas.openxmlformats.org/officeDocument/2006/relationships/hyperlink" Target="http://www.bloomberglaw.com/product/tax/toc_view_menu/2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341</Pages>
  <Words>134257</Words>
  <Characters>765271</Characters>
  <Application>Microsoft Office Word</Application>
  <DocSecurity>0</DocSecurity>
  <Lines>6377</Lines>
  <Paragraphs>1795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Magtaas, Joseph</dc:creator>
  <cp:keywords/>
  <dc:description/>
  <cp:lastModifiedBy>Cruz, Ricky</cp:lastModifiedBy>
  <cp:revision>2</cp:revision>
  <dcterms:created xsi:type="dcterms:W3CDTF">2024-10-30T22:20:00Z</dcterms:created>
  <dcterms:modified xsi:type="dcterms:W3CDTF">2024-10-30T22:20:00Z</dcterms:modified>
</cp:coreProperties>
</file>