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8E26D" w14:textId="59EA0013" w:rsidR="001E39BE" w:rsidRPr="00DF3DD2" w:rsidRDefault="006860CF" w:rsidP="00D353A6">
      <w:pPr>
        <w:jc w:val="center"/>
      </w:pPr>
      <w:r w:rsidRPr="00DF3DD2">
        <w:t>Notice to Software Vendors</w:t>
      </w:r>
    </w:p>
    <w:p w14:paraId="21A3DBA4" w14:textId="252EF8BE" w:rsidR="005709D0" w:rsidRPr="00DF3DD2" w:rsidRDefault="006860CF" w:rsidP="00D353A6">
      <w:pPr>
        <w:jc w:val="both"/>
      </w:pPr>
      <w:r w:rsidRPr="00DF3DD2">
        <w:t>The following changes are being made to the</w:t>
      </w:r>
      <w:r w:rsidR="00DF3DD2" w:rsidRPr="00DF3DD2">
        <w:t xml:space="preserve"> </w:t>
      </w:r>
      <w:r w:rsidRPr="00DF3DD2">
        <w:t xml:space="preserve">2025 </w:t>
      </w:r>
      <w:r w:rsidR="00703D8C" w:rsidRPr="00DF3DD2">
        <w:t xml:space="preserve">CIT-620 </w:t>
      </w:r>
      <w:r w:rsidRPr="00DF3DD2">
        <w:t>tax return</w:t>
      </w:r>
      <w:r w:rsidR="00D353A6">
        <w:t xml:space="preserve">. </w:t>
      </w:r>
      <w:r w:rsidRPr="00DF3DD2">
        <w:t>Please update your software as follows:</w:t>
      </w:r>
    </w:p>
    <w:p w14:paraId="6A7DF108" w14:textId="1D7BC3B7" w:rsidR="00880A0F" w:rsidRPr="00D353A6" w:rsidRDefault="00880A0F" w:rsidP="00D353A6">
      <w:pPr>
        <w:jc w:val="both"/>
        <w:rPr>
          <w:rFonts w:cs="Helvetica LT Std"/>
          <w:b/>
          <w:bCs/>
          <w:color w:val="221E1F"/>
        </w:rPr>
      </w:pPr>
      <w:r w:rsidRPr="00D353A6">
        <w:rPr>
          <w:rFonts w:cs="Helvetica LT Std"/>
          <w:b/>
          <w:bCs/>
          <w:color w:val="221E1F"/>
        </w:rPr>
        <w:t>LINE 1B – S Corporation Exclusion</w:t>
      </w:r>
    </w:p>
    <w:p w14:paraId="2ADF94E1" w14:textId="77777777" w:rsidR="00880A0F" w:rsidRPr="00D353A6" w:rsidRDefault="00880A0F" w:rsidP="00DF3DD2">
      <w:pPr>
        <w:pStyle w:val="Pa3"/>
        <w:spacing w:after="140"/>
        <w:jc w:val="both"/>
        <w:rPr>
          <w:rFonts w:asciiTheme="minorHAnsi" w:hAnsiTheme="minorHAnsi" w:cs="Helvetica LT Std"/>
          <w:color w:val="221E1F"/>
        </w:rPr>
      </w:pPr>
      <w:r w:rsidRPr="00D353A6">
        <w:rPr>
          <w:rFonts w:asciiTheme="minorHAnsi" w:hAnsiTheme="minorHAnsi" w:cs="Helvetica LT Std"/>
          <w:color w:val="221E1F"/>
        </w:rPr>
        <w:t xml:space="preserve">La. R.S. 47:287.732(B) provides an exclusion to corporations classified as S corporations under federal law. The exclusion is determined by multiplying Louisiana net income by a ratio calculated by dividing the number of issued and outstanding shares of the S corporation’s capital stock owned by Louisiana residents on the last day of the S corporation’s taxable year by the total number of issued and outstanding shares of capital stock on the last day of the S corporation’s taxable year. This ratio is also applicable to a Louisiana net loss to exclude a percentage of the loss from carryforward treatment. For the purposes of this provision, the term “Louisiana residents” includes resident estates and trusts and resident and nonresident individual shareholders who have filed a correct and complete Louisiana income tax return and paid the tax due. Mark the box if the exclusion amount is a loss. An entity making the pass-through entity tax election is not eligible for the S corporation exclusion pursuant to La. R.S. 47:287.732.2(A)(1). </w:t>
      </w:r>
    </w:p>
    <w:p w14:paraId="3FD87230" w14:textId="5E5F32CF" w:rsidR="00880A0F" w:rsidRPr="00DF3DD2" w:rsidRDefault="00880A0F" w:rsidP="00D353A6">
      <w:pPr>
        <w:jc w:val="both"/>
        <w:rPr>
          <w:u w:val="single"/>
        </w:rPr>
      </w:pPr>
      <w:r w:rsidRPr="00D353A6">
        <w:rPr>
          <w:rFonts w:cs="Helvetica LT Std"/>
          <w:color w:val="221E1F"/>
        </w:rPr>
        <w:t>Attach a schedule of all shareholders, identifying the shareholders reporting the S corporation income on a Louisiana tax return. Include the name, address, and social security number or Federal Taxpayer Identification Number (TIN), the number of shares held on the last day of the taxable year, and the amount of the distributive share of S corporation net income for each shareholder.</w:t>
      </w:r>
    </w:p>
    <w:p w14:paraId="6C459011" w14:textId="25167B1E" w:rsidR="002C3174" w:rsidRPr="00D353A6" w:rsidRDefault="002C3174" w:rsidP="00D353A6">
      <w:pPr>
        <w:jc w:val="both"/>
        <w:rPr>
          <w:u w:val="single"/>
        </w:rPr>
      </w:pPr>
      <w:r w:rsidRPr="00D353A6">
        <w:rPr>
          <w:u w:val="single"/>
        </w:rPr>
        <w:t xml:space="preserve">Schedule F </w:t>
      </w:r>
    </w:p>
    <w:p w14:paraId="1A1971A4" w14:textId="03D1C1CF" w:rsidR="006860CF" w:rsidRPr="00DF3DD2" w:rsidRDefault="002C3174" w:rsidP="00D353A6">
      <w:pPr>
        <w:jc w:val="both"/>
      </w:pPr>
      <w:r w:rsidRPr="00DF3DD2">
        <w:t>Remove $20,000 entry for the standard deduction on line 3f. See instructions to calculate.</w:t>
      </w:r>
    </w:p>
    <w:p w14:paraId="0E1329EC" w14:textId="7E17483F" w:rsidR="004F36BB" w:rsidRPr="00DF3DD2" w:rsidRDefault="004F36BB" w:rsidP="00D353A6">
      <w:pPr>
        <w:jc w:val="both"/>
        <w:rPr>
          <w:u w:val="single"/>
        </w:rPr>
      </w:pPr>
      <w:r w:rsidRPr="00DF3DD2">
        <w:rPr>
          <w:u w:val="single"/>
        </w:rPr>
        <w:t xml:space="preserve">Credit code 50F </w:t>
      </w:r>
    </w:p>
    <w:p w14:paraId="1B457A73" w14:textId="3C768C17" w:rsidR="000A1A7D" w:rsidRPr="00DF3DD2" w:rsidRDefault="000A1A7D" w:rsidP="00D353A6">
      <w:pPr>
        <w:jc w:val="both"/>
      </w:pPr>
      <w:r w:rsidRPr="00D353A6">
        <w:rPr>
          <w:rFonts w:cs="Helvetica LT Std"/>
          <w:color w:val="221E1F"/>
        </w:rPr>
        <w:t xml:space="preserve">The instruction regarding treatment of members in a consolidated federal group as </w:t>
      </w:r>
      <w:r w:rsidR="00880A0F" w:rsidRPr="00DF3DD2">
        <w:rPr>
          <w:rFonts w:cs="Helvetica LT Std"/>
          <w:color w:val="221E1F"/>
        </w:rPr>
        <w:t>a single</w:t>
      </w:r>
      <w:r w:rsidRPr="00D353A6">
        <w:rPr>
          <w:rFonts w:cs="Helvetica LT Std"/>
          <w:color w:val="221E1F"/>
        </w:rPr>
        <w:t xml:space="preserve"> taxpayer has been deleted.</w:t>
      </w:r>
    </w:p>
    <w:p w14:paraId="0DAC5B58" w14:textId="39D77F90" w:rsidR="00712214" w:rsidRPr="00DF3DD2" w:rsidRDefault="00712214" w:rsidP="00D353A6">
      <w:pPr>
        <w:jc w:val="both"/>
      </w:pPr>
      <w:r w:rsidRPr="00DF3DD2">
        <w:t xml:space="preserve">The limitations on refundability depend on the amount of ad valorem taxes paid and when the business was formed. </w:t>
      </w:r>
    </w:p>
    <w:p w14:paraId="2839057A" w14:textId="77777777" w:rsidR="00712214" w:rsidRPr="00DF3DD2" w:rsidRDefault="00712214" w:rsidP="00D353A6">
      <w:pPr>
        <w:numPr>
          <w:ilvl w:val="0"/>
          <w:numId w:val="9"/>
        </w:numPr>
        <w:jc w:val="both"/>
      </w:pPr>
      <w:r w:rsidRPr="00DF3DD2">
        <w:t xml:space="preserve">Unless otherwise provided for, if the total amount eligible for the credit is less than or equal to $500,000, 100 percent of any excess credit is refundable. If the total eligible amounts are above $500,000, 75 percent of any excess credit up to a maximum of $750,000 is refundable. </w:t>
      </w:r>
    </w:p>
    <w:p w14:paraId="1F98BBA0" w14:textId="5E3BA53A" w:rsidR="00712214" w:rsidRPr="00DF3DD2" w:rsidRDefault="000A1A7D" w:rsidP="00D353A6">
      <w:pPr>
        <w:numPr>
          <w:ilvl w:val="0"/>
          <w:numId w:val="9"/>
        </w:numPr>
        <w:jc w:val="both"/>
      </w:pPr>
      <w:r w:rsidRPr="00DF3DD2">
        <w:t>Unless otherwise provided, f</w:t>
      </w:r>
      <w:r w:rsidR="00712214" w:rsidRPr="00DF3DD2">
        <w:t xml:space="preserve">or businesses formed or first registered to do business in Louisiana after April 15, 2016, if the total amount eligible for the credit is less than $10,000, 100 percent of any excess credit is refundable, and for total eligible amounts of $10,000 or more, 75 percent of any excess credit up to a maximum of $750,000 is refundable. </w:t>
      </w:r>
    </w:p>
    <w:p w14:paraId="7D3895C3" w14:textId="313E8427" w:rsidR="00712214" w:rsidRPr="00DF3DD2" w:rsidRDefault="00712214" w:rsidP="00D353A6">
      <w:pPr>
        <w:numPr>
          <w:ilvl w:val="0"/>
          <w:numId w:val="9"/>
        </w:numPr>
        <w:jc w:val="both"/>
      </w:pPr>
      <w:r w:rsidRPr="00DF3DD2">
        <w:lastRenderedPageBreak/>
        <w:t xml:space="preserve">The inventory tax credit is nonrefundable for taxes paid on inventory by any manufacturer who claimed the property tax exemption under the Industrial Tax Exemption program (ITEP) during the same year the inventory taxes were paid. The nonrefundable inventory tax credit may be claimed on Schedule NRC-P3 using Code 500. </w:t>
      </w:r>
    </w:p>
    <w:p w14:paraId="6D58E6AE" w14:textId="352E453D" w:rsidR="00712214" w:rsidRPr="00DF3DD2" w:rsidRDefault="004F36BB" w:rsidP="00D353A6">
      <w:pPr>
        <w:numPr>
          <w:ilvl w:val="0"/>
          <w:numId w:val="9"/>
        </w:numPr>
        <w:jc w:val="both"/>
      </w:pPr>
      <w:r w:rsidRPr="00DF3DD2">
        <w:t xml:space="preserve">The inventory tax credit is nonrefundable for taxes paid on inventory by corporations taxed as C corporations for federal income tax purposes, for taxable periods beginning on or after January 1, 2025. The nonrefundable inventory tax credit may be claimed on Schedule NRC-P3 using Code 500. </w:t>
      </w:r>
      <w:r w:rsidR="00D056DA" w:rsidRPr="00DF3DD2">
        <w:t>See Revenue Information Bulletin 26-011 for more information.</w:t>
      </w:r>
    </w:p>
    <w:p w14:paraId="5104995A" w14:textId="57783E31" w:rsidR="00D056DA" w:rsidRPr="00D353A6" w:rsidRDefault="00D056DA" w:rsidP="00D353A6">
      <w:pPr>
        <w:jc w:val="both"/>
        <w:rPr>
          <w:u w:val="single"/>
        </w:rPr>
      </w:pPr>
      <w:r w:rsidRPr="00D353A6">
        <w:rPr>
          <w:u w:val="single"/>
        </w:rPr>
        <w:t xml:space="preserve">Credit code 51F </w:t>
      </w:r>
    </w:p>
    <w:p w14:paraId="783D85C9" w14:textId="1E53F634" w:rsidR="00D056DA" w:rsidRPr="00DF3DD2" w:rsidRDefault="00D056DA" w:rsidP="00D353A6">
      <w:pPr>
        <w:jc w:val="both"/>
      </w:pPr>
      <w:r w:rsidRPr="00D353A6">
        <w:rPr>
          <w:rFonts w:cs="Helvetica LT Std"/>
          <w:color w:val="221E1F"/>
        </w:rPr>
        <w:t xml:space="preserve">The instruction regarding treatment of members in a consolidated federal group as </w:t>
      </w:r>
      <w:r w:rsidR="00880A0F" w:rsidRPr="00DF3DD2">
        <w:rPr>
          <w:rFonts w:cs="Helvetica LT Std"/>
          <w:color w:val="221E1F"/>
        </w:rPr>
        <w:t>a single</w:t>
      </w:r>
      <w:r w:rsidRPr="00D353A6">
        <w:rPr>
          <w:rFonts w:cs="Helvetica LT Std"/>
          <w:color w:val="221E1F"/>
        </w:rPr>
        <w:t xml:space="preserve"> taxpayer has been deleted.</w:t>
      </w:r>
    </w:p>
    <w:p w14:paraId="14370BF9" w14:textId="77777777" w:rsidR="00D056DA" w:rsidRPr="00DF3DD2" w:rsidRDefault="00D056DA" w:rsidP="00D353A6">
      <w:pPr>
        <w:jc w:val="both"/>
      </w:pPr>
      <w:r w:rsidRPr="00DF3DD2">
        <w:t xml:space="preserve">The limitations on refundability depend on the amount of ad valorem taxes paid and when the business was formed. </w:t>
      </w:r>
    </w:p>
    <w:p w14:paraId="1ED309D4" w14:textId="77777777" w:rsidR="00D056DA" w:rsidRPr="00DF3DD2" w:rsidRDefault="00D056DA" w:rsidP="00D353A6">
      <w:pPr>
        <w:numPr>
          <w:ilvl w:val="0"/>
          <w:numId w:val="9"/>
        </w:numPr>
        <w:jc w:val="both"/>
      </w:pPr>
      <w:r w:rsidRPr="00DF3DD2">
        <w:t xml:space="preserve">Unless otherwise provided for, if the total amount eligible for the credit is less than or equal to $500,000, 100 percent of any excess credit is refundable. If the total eligible amounts are above $500,000, 75 percent of any excess credit up to a maximum of $750,000 is refundable. </w:t>
      </w:r>
    </w:p>
    <w:p w14:paraId="212CD09A" w14:textId="77777777" w:rsidR="00D056DA" w:rsidRPr="00DF3DD2" w:rsidRDefault="00D056DA" w:rsidP="00D353A6">
      <w:pPr>
        <w:numPr>
          <w:ilvl w:val="0"/>
          <w:numId w:val="9"/>
        </w:numPr>
        <w:jc w:val="both"/>
      </w:pPr>
      <w:r w:rsidRPr="00DF3DD2">
        <w:t xml:space="preserve">Unless otherwise provided, for businesses formed or first registered to do business in Louisiana after April 15, 2016, if the total amount eligible for the credit is less than $10,000, 100 percent of any excess credit is refundable, and for total eligible amounts of $10,000 or more, 75 percent of any excess credit up to a maximum of $750,000 is refundable. </w:t>
      </w:r>
    </w:p>
    <w:p w14:paraId="4F4B5B77" w14:textId="215E0348" w:rsidR="00D056DA" w:rsidRPr="00DF3DD2" w:rsidRDefault="00D056DA" w:rsidP="00D353A6">
      <w:pPr>
        <w:numPr>
          <w:ilvl w:val="0"/>
          <w:numId w:val="9"/>
        </w:numPr>
        <w:jc w:val="both"/>
      </w:pPr>
      <w:r w:rsidRPr="00DF3DD2">
        <w:t xml:space="preserve">The natural gas tax credit is nonrefundable for taxes paid on inventory by any manufacturer who claimed the property tax exemption under the Industrial Tax Exemption program (ITEP) during the same year the inventory taxes were paid. The nonrefundable inventory tax credit may be claimed on Schedule NRC-P3 using Code 500. </w:t>
      </w:r>
    </w:p>
    <w:p w14:paraId="198143D8" w14:textId="3B461A2B" w:rsidR="002C3174" w:rsidRPr="00DF3DD2" w:rsidRDefault="00D056DA" w:rsidP="00D353A6">
      <w:pPr>
        <w:numPr>
          <w:ilvl w:val="0"/>
          <w:numId w:val="9"/>
        </w:numPr>
        <w:jc w:val="both"/>
      </w:pPr>
      <w:r w:rsidRPr="00DF3DD2">
        <w:t>The natural gas credit is nonrefundable for taxes paid on inventory by corporations taxed as C corporations for federal income tax purposes, for taxable periods beginning on or after January 1, 2025. The nonrefundable inventory tax credit may be claimed on Schedule NRC-P3 using Code 500. See Revenue Information Bulletin 26-011 for more information.</w:t>
      </w:r>
    </w:p>
    <w:p w14:paraId="7178E1E0" w14:textId="4D60E6C0" w:rsidR="004F36BB" w:rsidRPr="00DF3DD2" w:rsidRDefault="004F36BB" w:rsidP="00D353A6">
      <w:pPr>
        <w:jc w:val="both"/>
        <w:rPr>
          <w:u w:val="single"/>
        </w:rPr>
      </w:pPr>
      <w:r w:rsidRPr="00DF3DD2">
        <w:rPr>
          <w:u w:val="single"/>
        </w:rPr>
        <w:t>Credit Code 500 new additions</w:t>
      </w:r>
    </w:p>
    <w:p w14:paraId="5144092C" w14:textId="6FF3A5FF" w:rsidR="00880A0F" w:rsidRPr="00DF3DD2" w:rsidRDefault="00880A0F" w:rsidP="00DF3DD2">
      <w:pPr>
        <w:jc w:val="both"/>
        <w:rPr>
          <w:u w:val="single"/>
        </w:rPr>
      </w:pPr>
      <w:r w:rsidRPr="00DF3DD2">
        <w:rPr>
          <w:rFonts w:cs="Helvetica LT Std"/>
          <w:color w:val="221E1F"/>
        </w:rPr>
        <w:t xml:space="preserve">La. R.S. 47:6006 provides a credit against income tax for ad valorem taxes paid to political subdivisions in Louisiana on inventory held by manufacturers, distributors, or retailers. Attach a completed 2025 Form R-10610-ITE, </w:t>
      </w:r>
      <w:r w:rsidRPr="00DF3DD2">
        <w:rPr>
          <w:rFonts w:cs="Helvetica LT Std"/>
          <w:i/>
          <w:iCs/>
          <w:color w:val="221E1F"/>
        </w:rPr>
        <w:t>Schedule of Ad Valorem Tax Credit Claimed by ITEP Manufacturers and C Corporations for Ad Valorem Tax Paid on Inventory or Natural Gas</w:t>
      </w:r>
      <w:r w:rsidRPr="00DF3DD2">
        <w:rPr>
          <w:rFonts w:cs="Helvetica LT Std"/>
          <w:color w:val="221E1F"/>
        </w:rPr>
        <w:t>.</w:t>
      </w:r>
    </w:p>
    <w:p w14:paraId="371445A0" w14:textId="77777777" w:rsidR="004F36BB" w:rsidRPr="00DF3DD2" w:rsidRDefault="004F36BB" w:rsidP="00D353A6">
      <w:pPr>
        <w:pStyle w:val="ListParagraph"/>
        <w:numPr>
          <w:ilvl w:val="0"/>
          <w:numId w:val="3"/>
        </w:numPr>
        <w:jc w:val="both"/>
      </w:pPr>
      <w:r w:rsidRPr="00DF3DD2">
        <w:lastRenderedPageBreak/>
        <w:t>Manufacturers, distributors, or retailers should use this code for the following:</w:t>
      </w:r>
    </w:p>
    <w:p w14:paraId="4513C1F7" w14:textId="03B46988" w:rsidR="004F36BB" w:rsidRPr="00DF3DD2" w:rsidRDefault="004F36BB" w:rsidP="00D353A6">
      <w:pPr>
        <w:pStyle w:val="ListParagraph"/>
        <w:numPr>
          <w:ilvl w:val="1"/>
          <w:numId w:val="2"/>
        </w:numPr>
        <w:jc w:val="both"/>
      </w:pPr>
      <w:r w:rsidRPr="00DF3DD2">
        <w:t xml:space="preserve">current year credit for entities taxed as C corporations for federal income tax purposes </w:t>
      </w:r>
      <w:r w:rsidR="00D056DA" w:rsidRPr="00DF3DD2">
        <w:t xml:space="preserve">that </w:t>
      </w:r>
      <w:r w:rsidRPr="00DF3DD2">
        <w:t xml:space="preserve">are not eligible to claim the refundable credit </w:t>
      </w:r>
    </w:p>
    <w:p w14:paraId="617B5154" w14:textId="4CAC6F48" w:rsidR="004F36BB" w:rsidRPr="00DF3DD2" w:rsidRDefault="004F36BB" w:rsidP="00D353A6">
      <w:pPr>
        <w:pStyle w:val="ListParagraph"/>
        <w:numPr>
          <w:ilvl w:val="1"/>
          <w:numId w:val="2"/>
        </w:numPr>
        <w:jc w:val="both"/>
      </w:pPr>
      <w:r w:rsidRPr="00DF3DD2">
        <w:t xml:space="preserve">the carryforward of unused nonrefundable credits from 2015 through 2024 </w:t>
      </w:r>
    </w:p>
    <w:p w14:paraId="64516E19" w14:textId="1AEEC183" w:rsidR="004F36BB" w:rsidRPr="00DF3DD2" w:rsidRDefault="004F36BB" w:rsidP="00D353A6">
      <w:pPr>
        <w:pStyle w:val="ListParagraph"/>
        <w:numPr>
          <w:ilvl w:val="0"/>
          <w:numId w:val="3"/>
        </w:numPr>
        <w:jc w:val="both"/>
      </w:pPr>
      <w:r w:rsidRPr="00DF3DD2">
        <w:t xml:space="preserve">Manufacturers who claimed the property tax exemption under the Industrial Tax Exemption Program (ITEP) during the same year the inventory taxes were paid, should use this code for the following: </w:t>
      </w:r>
    </w:p>
    <w:p w14:paraId="52EBEC0A" w14:textId="5A82BB1F" w:rsidR="004F36BB" w:rsidRPr="00DF3DD2" w:rsidRDefault="004F36BB" w:rsidP="00D353A6">
      <w:pPr>
        <w:pStyle w:val="ListParagraph"/>
        <w:numPr>
          <w:ilvl w:val="0"/>
          <w:numId w:val="4"/>
        </w:numPr>
        <w:jc w:val="both"/>
      </w:pPr>
      <w:r w:rsidRPr="00DF3DD2">
        <w:t xml:space="preserve">the carryforward of unused nonrefundable credits from 2015 through 2024 </w:t>
      </w:r>
    </w:p>
    <w:p w14:paraId="775161CF" w14:textId="77777777" w:rsidR="004F36BB" w:rsidRPr="00DF3DD2" w:rsidRDefault="004F36BB" w:rsidP="00D353A6">
      <w:pPr>
        <w:pStyle w:val="ListParagraph"/>
        <w:numPr>
          <w:ilvl w:val="0"/>
          <w:numId w:val="4"/>
        </w:numPr>
        <w:jc w:val="both"/>
      </w:pPr>
      <w:r w:rsidRPr="00DF3DD2">
        <w:t xml:space="preserve">the current year credit </w:t>
      </w:r>
    </w:p>
    <w:p w14:paraId="6F3F9AE4" w14:textId="2E9202FE" w:rsidR="004F36BB" w:rsidRPr="00DF3DD2" w:rsidRDefault="00DF3DD2" w:rsidP="00D353A6">
      <w:pPr>
        <w:spacing w:line="240" w:lineRule="auto"/>
        <w:jc w:val="both"/>
      </w:pPr>
      <w:r w:rsidRPr="00DF3DD2">
        <w:t xml:space="preserve">       </w:t>
      </w:r>
      <w:r w:rsidR="00880A0F" w:rsidRPr="00DF3DD2">
        <w:t>3)</w:t>
      </w:r>
      <w:r w:rsidR="00880A0F" w:rsidRPr="00DF3DD2">
        <w:tab/>
      </w:r>
      <w:r w:rsidR="004F36BB" w:rsidRPr="00DF3DD2">
        <w:t xml:space="preserve">Taxpayers taxed as C corporations for federal income tax purposes cannot </w:t>
      </w:r>
      <w:r w:rsidR="00D056DA" w:rsidRPr="00DF3DD2">
        <w:t xml:space="preserve">earn </w:t>
      </w:r>
      <w:r w:rsidR="004F36BB" w:rsidRPr="00DF3DD2">
        <w:t xml:space="preserve"> the inventory tax credit for ad valorem taxes paid on or after July 1, 2026</w:t>
      </w:r>
      <w:r w:rsidR="00D056DA" w:rsidRPr="00DF3DD2">
        <w:t xml:space="preserve">, but can continue </w:t>
      </w:r>
      <w:r w:rsidR="00DF316D" w:rsidRPr="00DF3DD2">
        <w:t>to carryforward unexpired credits</w:t>
      </w:r>
      <w:r w:rsidR="004F36BB" w:rsidRPr="00DF3DD2">
        <w:t xml:space="preserve">. However, C corporations that are cooperatives that are </w:t>
      </w:r>
      <w:proofErr w:type="gramStart"/>
      <w:r w:rsidR="004F36BB" w:rsidRPr="00DF3DD2">
        <w:t>allowed</w:t>
      </w:r>
      <w:proofErr w:type="gramEnd"/>
      <w:r w:rsidR="004F36BB" w:rsidRPr="00DF3DD2">
        <w:t xml:space="preserve"> the federal income tax deduction for any patronage dividends paid or allocated to their members can </w:t>
      </w:r>
      <w:r w:rsidR="00DF316D" w:rsidRPr="00DF3DD2">
        <w:t xml:space="preserve">earn </w:t>
      </w:r>
      <w:r w:rsidR="004F36BB" w:rsidRPr="00DF3DD2">
        <w:t xml:space="preserve"> the credit. </w:t>
      </w:r>
      <w:r w:rsidR="00DF316D" w:rsidRPr="00DF3DD2">
        <w:t xml:space="preserve">To claim this exception, a copy of Federal Form 1099-PATR must be submitted with the return. See Revenue Information Bulletin 26-011 for more information. </w:t>
      </w:r>
    </w:p>
    <w:p w14:paraId="364B35C6" w14:textId="77777777" w:rsidR="00DF3DD2" w:rsidRPr="00DF3DD2" w:rsidRDefault="00DF3DD2" w:rsidP="00D353A6">
      <w:pPr>
        <w:pStyle w:val="Default"/>
        <w:jc w:val="both"/>
        <w:rPr>
          <w:rFonts w:asciiTheme="minorHAnsi" w:hAnsiTheme="minorHAnsi"/>
        </w:rPr>
      </w:pPr>
    </w:p>
    <w:p w14:paraId="32E77A60" w14:textId="1608F2CD" w:rsidR="00DF316D" w:rsidRPr="00DF3DD2" w:rsidRDefault="00DF3DD2" w:rsidP="00D353A6">
      <w:pPr>
        <w:pStyle w:val="Default"/>
        <w:ind w:left="360"/>
        <w:jc w:val="both"/>
        <w:rPr>
          <w:rFonts w:asciiTheme="minorHAnsi" w:hAnsiTheme="minorHAnsi"/>
          <w:color w:val="221E1F"/>
        </w:rPr>
      </w:pPr>
      <w:r w:rsidRPr="00DF3DD2">
        <w:rPr>
          <w:rFonts w:asciiTheme="minorHAnsi" w:hAnsiTheme="minorHAnsi"/>
          <w:color w:val="221E1F"/>
        </w:rPr>
        <w:t xml:space="preserve">4) Taxpayers taxed as an S corporation for federal income tax purposes may earn the credit, for ad valorem payments made on or after July 1, 2026. This will be in regard to amounts that flow through to shareholders and in proportion to amounts calculated according to La. R.S. 47:287.732(B). </w:t>
      </w:r>
    </w:p>
    <w:p w14:paraId="349885B0" w14:textId="77777777" w:rsidR="00DF3DD2" w:rsidRPr="00DF3DD2" w:rsidRDefault="00DF3DD2" w:rsidP="00D353A6">
      <w:pPr>
        <w:pStyle w:val="Default"/>
        <w:ind w:left="360"/>
        <w:jc w:val="both"/>
        <w:rPr>
          <w:rFonts w:asciiTheme="minorHAnsi" w:hAnsiTheme="minorHAnsi"/>
          <w:color w:val="221E1F"/>
        </w:rPr>
      </w:pPr>
    </w:p>
    <w:p w14:paraId="7E7C7E46" w14:textId="15238BB1" w:rsidR="00DF316D" w:rsidRPr="00D353A6" w:rsidRDefault="00DF316D" w:rsidP="00D353A6">
      <w:pPr>
        <w:jc w:val="both"/>
        <w:rPr>
          <w:u w:val="single"/>
        </w:rPr>
      </w:pPr>
      <w:r w:rsidRPr="00D353A6">
        <w:rPr>
          <w:u w:val="single"/>
        </w:rPr>
        <w:t>Credit Code 50</w:t>
      </w:r>
      <w:r w:rsidRPr="00DF3DD2">
        <w:rPr>
          <w:u w:val="single"/>
        </w:rPr>
        <w:t>2</w:t>
      </w:r>
      <w:r w:rsidRPr="00D353A6">
        <w:rPr>
          <w:u w:val="single"/>
        </w:rPr>
        <w:t xml:space="preserve"> new additions</w:t>
      </w:r>
    </w:p>
    <w:p w14:paraId="104050F5" w14:textId="5FD5704E" w:rsidR="00DF316D" w:rsidRPr="00D353A6" w:rsidRDefault="00DF316D" w:rsidP="00D353A6">
      <w:pPr>
        <w:pStyle w:val="Pa24"/>
        <w:spacing w:after="80"/>
        <w:jc w:val="both"/>
        <w:rPr>
          <w:rFonts w:asciiTheme="minorHAnsi" w:hAnsiTheme="minorHAnsi" w:cs="Helvetica LT Std"/>
          <w:color w:val="221E1F"/>
        </w:rPr>
      </w:pPr>
      <w:r w:rsidRPr="00D353A6">
        <w:rPr>
          <w:rFonts w:asciiTheme="minorHAnsi" w:hAnsiTheme="minorHAnsi" w:cs="Helvetica LT Std"/>
          <w:color w:val="221E1F"/>
        </w:rPr>
        <w:t>La. R.S. 47:6006 provides a credit against income tax for ad valorem taxes paid to political</w:t>
      </w:r>
      <w:r w:rsidRPr="00DF3DD2">
        <w:rPr>
          <w:rFonts w:asciiTheme="minorHAnsi" w:hAnsiTheme="minorHAnsi" w:cs="Helvetica LT Std"/>
          <w:color w:val="221E1F"/>
        </w:rPr>
        <w:t xml:space="preserve"> </w:t>
      </w:r>
      <w:r w:rsidRPr="00D353A6">
        <w:rPr>
          <w:rFonts w:asciiTheme="minorHAnsi" w:hAnsiTheme="minorHAnsi" w:cs="Helvetica LT Std"/>
          <w:color w:val="221E1F"/>
        </w:rPr>
        <w:t xml:space="preserve">subdivisions in Louisiana on natural gas held, used, or consumed in providing natural gas storage services or operating natural gas storage facilities. Attach a completed 2025 Form R-10610-ITE, </w:t>
      </w:r>
      <w:r w:rsidRPr="00D353A6">
        <w:rPr>
          <w:rFonts w:asciiTheme="minorHAnsi" w:hAnsiTheme="minorHAnsi" w:cs="Helvetica LT Std"/>
          <w:i/>
          <w:iCs/>
          <w:color w:val="221E1F"/>
        </w:rPr>
        <w:t xml:space="preserve">Schedule of Ad Valorem Tax Credit Claimed by ITEP Manufacturers and C Corporations for Ad Valorem Tax Paid on Inventory or Natural Gas. </w:t>
      </w:r>
      <w:r w:rsidRPr="00D353A6">
        <w:rPr>
          <w:rFonts w:asciiTheme="minorHAnsi" w:hAnsiTheme="minorHAnsi" w:cs="Helvetica LT Std"/>
          <w:color w:val="221E1F"/>
        </w:rPr>
        <w:t xml:space="preserve">Use this code for the following: </w:t>
      </w:r>
    </w:p>
    <w:p w14:paraId="2F220F70" w14:textId="77777777" w:rsidR="00DF316D" w:rsidRPr="00D353A6" w:rsidRDefault="00DF316D" w:rsidP="00D353A6">
      <w:pPr>
        <w:pStyle w:val="Default"/>
        <w:jc w:val="both"/>
        <w:rPr>
          <w:rFonts w:asciiTheme="minorHAnsi" w:hAnsiTheme="minorHAnsi"/>
          <w:color w:val="221E1F"/>
        </w:rPr>
      </w:pPr>
    </w:p>
    <w:p w14:paraId="67FA8F68" w14:textId="0F6BA998" w:rsidR="00DF316D" w:rsidRPr="00D353A6" w:rsidRDefault="00DF316D" w:rsidP="00D353A6">
      <w:pPr>
        <w:pStyle w:val="Default"/>
        <w:numPr>
          <w:ilvl w:val="0"/>
          <w:numId w:val="11"/>
        </w:numPr>
        <w:spacing w:after="28"/>
        <w:jc w:val="both"/>
        <w:rPr>
          <w:rFonts w:asciiTheme="minorHAnsi" w:hAnsiTheme="minorHAnsi"/>
          <w:color w:val="221E1F"/>
        </w:rPr>
      </w:pPr>
      <w:r w:rsidRPr="00D353A6">
        <w:rPr>
          <w:rFonts w:asciiTheme="minorHAnsi" w:hAnsiTheme="minorHAnsi"/>
          <w:color w:val="221E1F"/>
        </w:rPr>
        <w:t xml:space="preserve">current year credit for entities taxed as C corporations for federal income tax purposes that are not eligible to claim the refundable credit </w:t>
      </w:r>
    </w:p>
    <w:p w14:paraId="13B68A34" w14:textId="07A232C0" w:rsidR="00DF316D" w:rsidRPr="00DF3DD2" w:rsidRDefault="00DF316D" w:rsidP="00D353A6">
      <w:pPr>
        <w:pStyle w:val="Default"/>
        <w:numPr>
          <w:ilvl w:val="0"/>
          <w:numId w:val="11"/>
        </w:numPr>
        <w:jc w:val="both"/>
        <w:rPr>
          <w:rFonts w:asciiTheme="minorHAnsi" w:hAnsiTheme="minorHAnsi"/>
          <w:color w:val="221E1F"/>
        </w:rPr>
      </w:pPr>
      <w:r w:rsidRPr="00D353A6">
        <w:rPr>
          <w:rFonts w:asciiTheme="minorHAnsi" w:hAnsiTheme="minorHAnsi"/>
          <w:color w:val="221E1F"/>
        </w:rPr>
        <w:t xml:space="preserve">the carryforward of unused nonrefundable credits from 2015 through 2024 </w:t>
      </w:r>
    </w:p>
    <w:p w14:paraId="44FD7499" w14:textId="77777777" w:rsidR="00F01866" w:rsidRPr="00D353A6" w:rsidRDefault="00F01866" w:rsidP="00D353A6">
      <w:pPr>
        <w:pStyle w:val="Default"/>
        <w:ind w:left="720"/>
        <w:jc w:val="both"/>
        <w:rPr>
          <w:color w:val="221E1F"/>
        </w:rPr>
      </w:pPr>
    </w:p>
    <w:p w14:paraId="3EF24D33" w14:textId="3B826056" w:rsidR="00712214" w:rsidRPr="00DF3DD2" w:rsidRDefault="00DF316D" w:rsidP="00D353A6">
      <w:pPr>
        <w:jc w:val="both"/>
      </w:pPr>
      <w:r w:rsidRPr="00D353A6">
        <w:rPr>
          <w:rFonts w:cs="Helvetica LT Std"/>
          <w:color w:val="221E1F"/>
        </w:rPr>
        <w:t xml:space="preserve">Taxpayers taxed as C corporations for federal income tax purposes cannot earn the inventory tax credit for ad valorem taxes paid on or after July 1, 2026, but can continue to carry forward unexpired credits. However, C corporations that are cooperatives that are </w:t>
      </w:r>
      <w:proofErr w:type="gramStart"/>
      <w:r w:rsidRPr="00D353A6">
        <w:rPr>
          <w:rFonts w:cs="Helvetica LT Std"/>
          <w:color w:val="221E1F"/>
        </w:rPr>
        <w:t>allowed</w:t>
      </w:r>
      <w:proofErr w:type="gramEnd"/>
      <w:r w:rsidRPr="00D353A6">
        <w:rPr>
          <w:rFonts w:cs="Helvetica LT Std"/>
          <w:color w:val="221E1F"/>
        </w:rPr>
        <w:t xml:space="preserve"> the federal income tax deduction for any patronage dividends paid or allocated to their members can earn the credit. To claim this exception, a copy of Federal Form 1099-PATR must be submitted with the return. See Revenue Information Bulletin 26-011 for more information</w:t>
      </w:r>
    </w:p>
    <w:p w14:paraId="3C417AE0" w14:textId="1DC7079D" w:rsidR="00712214" w:rsidRPr="00DF3DD2" w:rsidRDefault="00F01866" w:rsidP="00D353A6">
      <w:pPr>
        <w:jc w:val="both"/>
      </w:pPr>
      <w:r w:rsidRPr="00D353A6">
        <w:rPr>
          <w:rFonts w:cs="Helvetica LT Std"/>
          <w:color w:val="221E1F"/>
        </w:rPr>
        <w:lastRenderedPageBreak/>
        <w:t>Taxpayers taxed as an S corporation for federal income tax purposes may earn the credit, for ad valorem payments made on or after July 1, 2026. This will be in regard to amounts that flow through to shareholders and in proportion to amounts calculated according to La. R.S. 47:287.732(B).</w:t>
      </w:r>
    </w:p>
    <w:p w14:paraId="0B20BABA" w14:textId="7B96FB34" w:rsidR="00712214" w:rsidRPr="00DF3DD2" w:rsidRDefault="00F01866" w:rsidP="00D353A6">
      <w:pPr>
        <w:jc w:val="both"/>
        <w:rPr>
          <w:rFonts w:cs="Helvetica LT Std"/>
          <w:b/>
          <w:bCs/>
          <w:color w:val="221E1F"/>
        </w:rPr>
      </w:pPr>
      <w:r w:rsidRPr="00D353A6">
        <w:rPr>
          <w:rFonts w:cs="Helvetica LT Std"/>
          <w:b/>
          <w:bCs/>
          <w:color w:val="221E1F"/>
        </w:rPr>
        <w:t>SCHEDULE C – OIL AND GAS BUSINESS COMPUTATION OF CORPORATE INCOME TAX PROPERTY RATIO</w:t>
      </w:r>
    </w:p>
    <w:p w14:paraId="7742C159" w14:textId="1D838289" w:rsidR="00F01866" w:rsidRPr="00DF3DD2" w:rsidRDefault="00F01866" w:rsidP="00D353A6">
      <w:pPr>
        <w:jc w:val="both"/>
      </w:pPr>
      <w:r w:rsidRPr="00D353A6">
        <w:rPr>
          <w:rFonts w:cs="Helvetica LT Std"/>
          <w:color w:val="221E1F"/>
        </w:rPr>
        <w:t>Act 5 of the 2024 Third Extraordinary Session repeals the provision that treats moveable property within a Foreign Trade Zone as located outside of Louisiana for purposes of the apportionment calculation.</w:t>
      </w:r>
    </w:p>
    <w:p w14:paraId="053C1DD8" w14:textId="2172560A" w:rsidR="00F01866" w:rsidRPr="00DF3DD2" w:rsidRDefault="00F01866" w:rsidP="00D353A6">
      <w:pPr>
        <w:jc w:val="both"/>
        <w:rPr>
          <w:u w:val="single"/>
        </w:rPr>
      </w:pPr>
      <w:r w:rsidRPr="00D353A6">
        <w:rPr>
          <w:rFonts w:cs="Helvetica LT Std"/>
          <w:b/>
          <w:bCs/>
          <w:color w:val="221E1F"/>
        </w:rPr>
        <w:t>LINE 2d – Federal depreciation previously accelerated via state bonus</w:t>
      </w:r>
    </w:p>
    <w:p w14:paraId="6C2C8617" w14:textId="79AFF12C" w:rsidR="00F01866" w:rsidRPr="00DF3DD2" w:rsidRDefault="00F01866" w:rsidP="00D353A6">
      <w:pPr>
        <w:jc w:val="both"/>
        <w:rPr>
          <w:u w:val="single"/>
        </w:rPr>
      </w:pPr>
      <w:r w:rsidRPr="00D353A6">
        <w:rPr>
          <w:rFonts w:cs="Helvetica LT Std"/>
          <w:color w:val="221E1F"/>
        </w:rPr>
        <w:t xml:space="preserve">Also, an add back is required, for state purposes, of any federal loss carryforward from the property’s disposition when it is used. Form R-90158, </w:t>
      </w:r>
      <w:r w:rsidRPr="00D353A6">
        <w:rPr>
          <w:rFonts w:cs="Helvetica LT Std"/>
          <w:i/>
          <w:iCs/>
          <w:color w:val="221E1F"/>
        </w:rPr>
        <w:t>Bonus Depreciation Schedule</w:t>
      </w:r>
      <w:r w:rsidRPr="00D353A6">
        <w:rPr>
          <w:rFonts w:cs="Helvetica LT Std"/>
          <w:color w:val="221E1F"/>
        </w:rPr>
        <w:t>, must be attached to your return.</w:t>
      </w:r>
    </w:p>
    <w:p w14:paraId="43512BE0" w14:textId="1BAC3F4A" w:rsidR="00DF3DD2" w:rsidRPr="00DF3DD2" w:rsidRDefault="00712214" w:rsidP="00D353A6">
      <w:pPr>
        <w:jc w:val="both"/>
        <w:rPr>
          <w:u w:val="single"/>
        </w:rPr>
      </w:pPr>
      <w:r w:rsidRPr="00DF3DD2">
        <w:rPr>
          <w:u w:val="single"/>
        </w:rPr>
        <w:t>Schedule F</w:t>
      </w:r>
      <w:r w:rsidR="00DF3DD2" w:rsidRPr="00DF3DD2">
        <w:rPr>
          <w:u w:val="single"/>
        </w:rPr>
        <w:t>-</w:t>
      </w:r>
      <w:r w:rsidR="00DF3DD2" w:rsidRPr="00D353A6">
        <w:rPr>
          <w:rFonts w:cs="Helvetica LT Std"/>
          <w:b/>
          <w:bCs/>
          <w:color w:val="221E1F"/>
        </w:rPr>
        <w:t>RECONCILIATION OF FEDERAL AND LOUISIANA NET INCOME</w:t>
      </w:r>
    </w:p>
    <w:p w14:paraId="7BB07BAF" w14:textId="485A0DAA" w:rsidR="00712214" w:rsidRPr="00DF3DD2" w:rsidRDefault="00712214" w:rsidP="00D353A6">
      <w:pPr>
        <w:jc w:val="both"/>
        <w:rPr>
          <w:u w:val="single"/>
        </w:rPr>
      </w:pPr>
      <w:r w:rsidRPr="00DF3DD2">
        <w:rPr>
          <w:b/>
          <w:bCs/>
          <w:u w:val="single"/>
        </w:rPr>
        <w:t>LINE 3f – Standard Deduction new additions</w:t>
      </w:r>
    </w:p>
    <w:p w14:paraId="1181D293" w14:textId="1E104427" w:rsidR="00F01866" w:rsidRPr="00DF3DD2" w:rsidRDefault="00F01866" w:rsidP="00D353A6">
      <w:pPr>
        <w:jc w:val="both"/>
      </w:pPr>
      <w:r w:rsidRPr="00D353A6">
        <w:rPr>
          <w:color w:val="221E1F"/>
        </w:rPr>
        <w:t>La. R.S. 47:287.71(9) provides for a standard deduction of up to $20,000, for corporations subject to income tax pursuant to La. R.S. 47:287.11. S corporations filing either an informational return or a composite return for tax periods beginning on or after January 1, 2026, are not subject to the income tax imposed by La. R.S. 47:287.11. Therefore, such S corporations are not eligible for the standard deduction. To calculate the standard deduction, see steps below.</w:t>
      </w:r>
    </w:p>
    <w:p w14:paraId="54200C26" w14:textId="77777777" w:rsidR="00F01866" w:rsidRPr="00DF3DD2" w:rsidRDefault="00712214" w:rsidP="00D353A6">
      <w:pPr>
        <w:numPr>
          <w:ilvl w:val="1"/>
          <w:numId w:val="6"/>
        </w:numPr>
        <w:jc w:val="both"/>
      </w:pPr>
      <w:r w:rsidRPr="00DF3DD2">
        <w:t xml:space="preserve">1) First, calculate your Modified Louisiana Net Income from all sources by completing Schedule F. </w:t>
      </w:r>
    </w:p>
    <w:p w14:paraId="60F40F14" w14:textId="27DC93D5" w:rsidR="00712214" w:rsidRPr="00DF3DD2" w:rsidRDefault="00712214" w:rsidP="00D353A6">
      <w:pPr>
        <w:numPr>
          <w:ilvl w:val="1"/>
          <w:numId w:val="6"/>
        </w:numPr>
        <w:jc w:val="both"/>
      </w:pPr>
      <w:r w:rsidRPr="00DF3DD2">
        <w:t xml:space="preserve">Do not include the Standard Deduction on Line 3f when making this calculation. </w:t>
      </w:r>
    </w:p>
    <w:p w14:paraId="4ED75EA3" w14:textId="4011DFBC" w:rsidR="00712214" w:rsidRPr="00DF3DD2" w:rsidRDefault="00712214" w:rsidP="00D353A6">
      <w:pPr>
        <w:numPr>
          <w:ilvl w:val="1"/>
          <w:numId w:val="6"/>
        </w:numPr>
        <w:jc w:val="both"/>
      </w:pPr>
      <w:r w:rsidRPr="00DF3DD2">
        <w:t xml:space="preserve">2)Use the amount from Step 1 to determine your Standard Deduction as follows: </w:t>
      </w:r>
    </w:p>
    <w:p w14:paraId="0E6A15EC" w14:textId="77777777" w:rsidR="00712214" w:rsidRPr="00D353A6" w:rsidRDefault="00712214" w:rsidP="00D353A6">
      <w:pPr>
        <w:pStyle w:val="Default"/>
        <w:numPr>
          <w:ilvl w:val="0"/>
          <w:numId w:val="8"/>
        </w:numPr>
        <w:spacing w:after="89"/>
        <w:jc w:val="both"/>
        <w:rPr>
          <w:rFonts w:asciiTheme="minorHAnsi" w:hAnsiTheme="minorHAnsi"/>
          <w:color w:val="221E1F"/>
        </w:rPr>
      </w:pPr>
      <w:r w:rsidRPr="00D353A6">
        <w:rPr>
          <w:rFonts w:asciiTheme="minorHAnsi" w:hAnsiTheme="minorHAnsi"/>
          <w:color w:val="221E1F"/>
        </w:rPr>
        <w:t xml:space="preserve">If your modified Louisiana net income from all sources is $20,000 or more, enter $20,000 on Line 3f. </w:t>
      </w:r>
    </w:p>
    <w:p w14:paraId="16D7C82B" w14:textId="77777777" w:rsidR="00712214" w:rsidRPr="00D353A6" w:rsidRDefault="00712214" w:rsidP="00D353A6">
      <w:pPr>
        <w:pStyle w:val="Default"/>
        <w:numPr>
          <w:ilvl w:val="0"/>
          <w:numId w:val="8"/>
        </w:numPr>
        <w:spacing w:after="89"/>
        <w:jc w:val="both"/>
        <w:rPr>
          <w:rFonts w:asciiTheme="minorHAnsi" w:hAnsiTheme="minorHAnsi"/>
          <w:color w:val="221E1F"/>
        </w:rPr>
      </w:pPr>
      <w:r w:rsidRPr="00D353A6">
        <w:rPr>
          <w:rFonts w:asciiTheme="minorHAnsi" w:hAnsiTheme="minorHAnsi"/>
          <w:color w:val="221E1F"/>
        </w:rPr>
        <w:t xml:space="preserve">If your modified Louisiana net income from all sources is between $1 and $19,999, enter that amount on Line 3f. </w:t>
      </w:r>
    </w:p>
    <w:p w14:paraId="6F26CD65" w14:textId="77777777" w:rsidR="00712214" w:rsidRPr="00D353A6" w:rsidRDefault="00712214" w:rsidP="00D353A6">
      <w:pPr>
        <w:pStyle w:val="Default"/>
        <w:numPr>
          <w:ilvl w:val="0"/>
          <w:numId w:val="8"/>
        </w:numPr>
        <w:jc w:val="both"/>
        <w:rPr>
          <w:rFonts w:asciiTheme="minorHAnsi" w:hAnsiTheme="minorHAnsi"/>
          <w:color w:val="221E1F"/>
        </w:rPr>
      </w:pPr>
      <w:r w:rsidRPr="00D353A6">
        <w:rPr>
          <w:rFonts w:asciiTheme="minorHAnsi" w:hAnsiTheme="minorHAnsi"/>
          <w:color w:val="221E1F"/>
        </w:rPr>
        <w:t xml:space="preserve">If your modified Louisiana net income from all sources is $0 or less, enter $0 on Line 3f. </w:t>
      </w:r>
    </w:p>
    <w:p w14:paraId="3EA2893D" w14:textId="77777777" w:rsidR="00712214" w:rsidRPr="00D353A6" w:rsidRDefault="00712214" w:rsidP="00D353A6">
      <w:pPr>
        <w:pStyle w:val="Default"/>
        <w:jc w:val="both"/>
        <w:rPr>
          <w:rFonts w:asciiTheme="minorHAnsi" w:hAnsiTheme="minorHAnsi"/>
          <w:color w:val="221E1F"/>
        </w:rPr>
      </w:pPr>
    </w:p>
    <w:p w14:paraId="03DB5ECE" w14:textId="61CF07B8" w:rsidR="004F69FE" w:rsidRPr="00D353A6" w:rsidRDefault="00712214" w:rsidP="00D353A6">
      <w:pPr>
        <w:pStyle w:val="Default"/>
        <w:jc w:val="both"/>
        <w:rPr>
          <w:rFonts w:asciiTheme="minorHAnsi" w:hAnsiTheme="minorHAnsi"/>
        </w:rPr>
      </w:pPr>
      <w:r w:rsidRPr="00DF3DD2">
        <w:rPr>
          <w:rFonts w:asciiTheme="minorHAnsi" w:hAnsiTheme="minorHAnsi" w:cstheme="minorBidi"/>
          <w:color w:val="auto"/>
          <w:kern w:val="2"/>
        </w:rPr>
        <w:t xml:space="preserve">3)  </w:t>
      </w:r>
      <w:r w:rsidR="004F69FE" w:rsidRPr="00D353A6">
        <w:rPr>
          <w:rFonts w:asciiTheme="minorHAnsi" w:hAnsiTheme="minorHAnsi"/>
          <w:color w:val="221E1F"/>
        </w:rPr>
        <w:t xml:space="preserve">Also, the standard deduction should be included in the amount reported on Schedule D, Line 24 (Other Deductions). </w:t>
      </w:r>
    </w:p>
    <w:p w14:paraId="7C77B236" w14:textId="11D0BAB6" w:rsidR="00712214" w:rsidRPr="00DF3DD2" w:rsidRDefault="00712214" w:rsidP="00D353A6">
      <w:pPr>
        <w:pStyle w:val="Default"/>
        <w:jc w:val="both"/>
        <w:rPr>
          <w:rFonts w:asciiTheme="minorHAnsi" w:hAnsiTheme="minorHAnsi" w:cstheme="minorBidi"/>
          <w:color w:val="auto"/>
          <w:kern w:val="2"/>
        </w:rPr>
      </w:pPr>
    </w:p>
    <w:p w14:paraId="632A1AFB" w14:textId="79395367" w:rsidR="004F36BB" w:rsidRPr="00D353A6" w:rsidRDefault="004F69FE" w:rsidP="00D353A6">
      <w:pPr>
        <w:jc w:val="both"/>
        <w:rPr>
          <w:rFonts w:cs="Helvetica LT Std"/>
          <w:b/>
          <w:bCs/>
          <w:color w:val="221E1F"/>
        </w:rPr>
      </w:pPr>
      <w:r w:rsidRPr="00D353A6">
        <w:rPr>
          <w:rFonts w:cs="Helvetica LT Std"/>
          <w:b/>
          <w:bCs/>
          <w:color w:val="221E1F"/>
        </w:rPr>
        <w:lastRenderedPageBreak/>
        <w:t>The title of LINE 3k has been updated to “Bonus Depreciation and Amortization”</w:t>
      </w:r>
    </w:p>
    <w:p w14:paraId="4AD53321" w14:textId="7DC0087B" w:rsidR="004F69FE" w:rsidRPr="00DF3DD2" w:rsidRDefault="004F69FE" w:rsidP="00D353A6">
      <w:pPr>
        <w:jc w:val="both"/>
      </w:pPr>
      <w:r w:rsidRPr="00D353A6">
        <w:rPr>
          <w:rFonts w:cs="Helvetica LT Std"/>
          <w:b/>
          <w:bCs/>
          <w:color w:val="221E1F"/>
        </w:rPr>
        <w:t>SCHEDULE G – BALANCE SHEET PER BOOKS</w:t>
      </w:r>
    </w:p>
    <w:p w14:paraId="7AF90BFA" w14:textId="77777777" w:rsidR="004F69FE" w:rsidRPr="00D353A6" w:rsidRDefault="004F69FE" w:rsidP="00DF3DD2">
      <w:pPr>
        <w:pStyle w:val="Pa3"/>
        <w:spacing w:after="140"/>
        <w:jc w:val="both"/>
        <w:rPr>
          <w:rFonts w:asciiTheme="minorHAnsi" w:hAnsiTheme="minorHAnsi" w:cs="Helvetica LT Std"/>
          <w:color w:val="221E1F"/>
        </w:rPr>
      </w:pPr>
      <w:r w:rsidRPr="00D353A6">
        <w:rPr>
          <w:rFonts w:asciiTheme="minorHAnsi" w:hAnsiTheme="minorHAnsi" w:cs="Helvetica LT Std"/>
          <w:color w:val="221E1F"/>
        </w:rPr>
        <w:t xml:space="preserve">The information should match Schedule L, Balance Sheets per Books, from the corresponding federal form filed by the taxpayers. See detailed instructions below for lines listed on federal Schedule L but not separately listed on this schedule. </w:t>
      </w:r>
    </w:p>
    <w:p w14:paraId="3F4D7EA4" w14:textId="77777777" w:rsidR="004F69FE" w:rsidRPr="00D353A6" w:rsidRDefault="004F69FE" w:rsidP="00D353A6">
      <w:pPr>
        <w:pStyle w:val="Default"/>
        <w:numPr>
          <w:ilvl w:val="0"/>
          <w:numId w:val="12"/>
        </w:numPr>
        <w:spacing w:after="71"/>
        <w:jc w:val="both"/>
        <w:rPr>
          <w:rFonts w:asciiTheme="minorHAnsi" w:hAnsiTheme="minorHAnsi"/>
          <w:color w:val="221E1F"/>
        </w:rPr>
      </w:pPr>
      <w:r w:rsidRPr="00D353A6">
        <w:rPr>
          <w:rFonts w:asciiTheme="minorHAnsi" w:hAnsiTheme="minorHAnsi"/>
          <w:color w:val="221E1F"/>
        </w:rPr>
        <w:t xml:space="preserve">Tax-exempt securities – should be included on Line 6, Other investments </w:t>
      </w:r>
    </w:p>
    <w:p w14:paraId="1B002722" w14:textId="77777777" w:rsidR="004F69FE" w:rsidRPr="00D353A6" w:rsidRDefault="004F69FE" w:rsidP="00D353A6">
      <w:pPr>
        <w:pStyle w:val="Default"/>
        <w:numPr>
          <w:ilvl w:val="0"/>
          <w:numId w:val="12"/>
        </w:numPr>
        <w:spacing w:after="71"/>
        <w:jc w:val="both"/>
        <w:rPr>
          <w:rFonts w:asciiTheme="minorHAnsi" w:hAnsiTheme="minorHAnsi"/>
          <w:color w:val="221E1F"/>
        </w:rPr>
      </w:pPr>
      <w:r w:rsidRPr="00D353A6">
        <w:rPr>
          <w:rFonts w:asciiTheme="minorHAnsi" w:hAnsiTheme="minorHAnsi"/>
          <w:color w:val="221E1F"/>
        </w:rPr>
        <w:t xml:space="preserve">Other current assets – should be included on Line 16, Other assets </w:t>
      </w:r>
    </w:p>
    <w:p w14:paraId="6FE9F6C0" w14:textId="77777777" w:rsidR="004F69FE" w:rsidRPr="00D353A6" w:rsidRDefault="004F69FE" w:rsidP="00D353A6">
      <w:pPr>
        <w:pStyle w:val="Default"/>
        <w:numPr>
          <w:ilvl w:val="0"/>
          <w:numId w:val="12"/>
        </w:numPr>
        <w:spacing w:after="71"/>
        <w:jc w:val="both"/>
        <w:rPr>
          <w:rFonts w:asciiTheme="minorHAnsi" w:hAnsiTheme="minorHAnsi"/>
          <w:color w:val="221E1F"/>
        </w:rPr>
      </w:pPr>
      <w:r w:rsidRPr="00D353A6">
        <w:rPr>
          <w:rFonts w:asciiTheme="minorHAnsi" w:hAnsiTheme="minorHAnsi"/>
          <w:color w:val="221E1F"/>
        </w:rPr>
        <w:t xml:space="preserve">Mortgage and real estate loans – should be included on Line 16, Other assets </w:t>
      </w:r>
    </w:p>
    <w:p w14:paraId="7DAC14D0" w14:textId="77777777" w:rsidR="004F69FE" w:rsidRPr="00D353A6" w:rsidRDefault="004F69FE" w:rsidP="00D353A6">
      <w:pPr>
        <w:pStyle w:val="Default"/>
        <w:numPr>
          <w:ilvl w:val="0"/>
          <w:numId w:val="12"/>
        </w:numPr>
        <w:spacing w:after="71"/>
        <w:jc w:val="both"/>
        <w:rPr>
          <w:rFonts w:asciiTheme="minorHAnsi" w:hAnsiTheme="minorHAnsi"/>
          <w:color w:val="221E1F"/>
        </w:rPr>
      </w:pPr>
      <w:r w:rsidRPr="00D353A6">
        <w:rPr>
          <w:rFonts w:asciiTheme="minorHAnsi" w:hAnsiTheme="minorHAnsi"/>
          <w:color w:val="221E1F"/>
        </w:rPr>
        <w:t xml:space="preserve">Other investments – should be included on Line 16, Other assets or Line 5, Stock and obligations of subsidiaries </w:t>
      </w:r>
    </w:p>
    <w:p w14:paraId="4DA77383" w14:textId="77777777" w:rsidR="004F69FE" w:rsidRPr="00D353A6" w:rsidRDefault="004F69FE" w:rsidP="00D353A6">
      <w:pPr>
        <w:pStyle w:val="Default"/>
        <w:numPr>
          <w:ilvl w:val="0"/>
          <w:numId w:val="12"/>
        </w:numPr>
        <w:spacing w:after="71"/>
        <w:jc w:val="both"/>
        <w:rPr>
          <w:rFonts w:asciiTheme="minorHAnsi" w:hAnsiTheme="minorHAnsi"/>
          <w:color w:val="221E1F"/>
        </w:rPr>
      </w:pPr>
      <w:r w:rsidRPr="00D353A6">
        <w:rPr>
          <w:rFonts w:asciiTheme="minorHAnsi" w:hAnsiTheme="minorHAnsi"/>
          <w:color w:val="221E1F"/>
        </w:rPr>
        <w:t xml:space="preserve">Adjustments to shareholders’ equity – should be included on Line 26, Retained earnings </w:t>
      </w:r>
    </w:p>
    <w:p w14:paraId="08EFCA90" w14:textId="63D17FFC" w:rsidR="004F69FE" w:rsidRPr="00DF3DD2" w:rsidRDefault="004F69FE" w:rsidP="00D353A6">
      <w:pPr>
        <w:pStyle w:val="Default"/>
        <w:numPr>
          <w:ilvl w:val="0"/>
          <w:numId w:val="12"/>
        </w:numPr>
        <w:jc w:val="both"/>
        <w:rPr>
          <w:rFonts w:asciiTheme="minorHAnsi" w:hAnsiTheme="minorHAnsi"/>
          <w:color w:val="221E1F"/>
        </w:rPr>
      </w:pPr>
      <w:r w:rsidRPr="00D353A6">
        <w:rPr>
          <w:rFonts w:asciiTheme="minorHAnsi" w:hAnsiTheme="minorHAnsi"/>
          <w:color w:val="221E1F"/>
        </w:rPr>
        <w:t xml:space="preserve">Less cost of treasury stock – should be included on Line 23, Other liabilities </w:t>
      </w:r>
    </w:p>
    <w:p w14:paraId="32073370" w14:textId="77777777" w:rsidR="004F69FE" w:rsidRPr="00D353A6" w:rsidRDefault="004F69FE" w:rsidP="00D353A6">
      <w:pPr>
        <w:pStyle w:val="Default"/>
        <w:numPr>
          <w:ilvl w:val="0"/>
          <w:numId w:val="12"/>
        </w:numPr>
        <w:jc w:val="both"/>
        <w:rPr>
          <w:color w:val="221E1F"/>
        </w:rPr>
      </w:pPr>
    </w:p>
    <w:p w14:paraId="66ED8865" w14:textId="506D1AD5" w:rsidR="00DF3DD2" w:rsidRPr="00DF3DD2" w:rsidRDefault="00DF3DD2" w:rsidP="00D353A6">
      <w:pPr>
        <w:jc w:val="both"/>
        <w:rPr>
          <w:rFonts w:cs="Helvetica LT Std"/>
          <w:b/>
          <w:bCs/>
          <w:color w:val="221E1F"/>
        </w:rPr>
      </w:pPr>
      <w:r w:rsidRPr="00D353A6">
        <w:rPr>
          <w:rFonts w:cs="Helvetica LT Std"/>
          <w:b/>
          <w:bCs/>
          <w:color w:val="221E1F"/>
        </w:rPr>
        <w:t>SCHEDULE K AND SCHEDULE L – SHAREHOLDER’S SHARE OF INCOME AND TAX FOR S CORPORATIONS</w:t>
      </w:r>
    </w:p>
    <w:p w14:paraId="2515E7C5" w14:textId="4CAEBF4B" w:rsidR="004F69FE" w:rsidRPr="00D353A6" w:rsidRDefault="004F69FE" w:rsidP="00D353A6">
      <w:pPr>
        <w:jc w:val="both"/>
        <w:rPr>
          <w:rFonts w:cs="Helvetica LT Std"/>
          <w:b/>
          <w:bCs/>
          <w:color w:val="221E1F"/>
        </w:rPr>
      </w:pPr>
      <w:r w:rsidRPr="00D353A6">
        <w:rPr>
          <w:rFonts w:cs="Helvetica LT Std"/>
          <w:b/>
          <w:bCs/>
          <w:color w:val="221E1F"/>
        </w:rPr>
        <w:t>Income Attributable to Louisiana</w:t>
      </w:r>
    </w:p>
    <w:p w14:paraId="2184014E" w14:textId="64D709F9" w:rsidR="004F69FE" w:rsidRPr="00D353A6" w:rsidRDefault="004F69FE" w:rsidP="00D353A6">
      <w:pPr>
        <w:jc w:val="both"/>
      </w:pPr>
      <w:bookmarkStart w:id="0" w:name="_Hlk227746021"/>
      <w:r w:rsidRPr="00D353A6">
        <w:rPr>
          <w:rFonts w:cs="Helvetica LT Std"/>
          <w:color w:val="221E1F"/>
        </w:rPr>
        <w:t>An instruction to enter “0” when the amount is less than zero has been added.</w:t>
      </w:r>
    </w:p>
    <w:bookmarkEnd w:id="0"/>
    <w:p w14:paraId="1889EC3B" w14:textId="3B8AB34C" w:rsidR="006860CF" w:rsidRPr="00D353A6" w:rsidRDefault="004F69FE" w:rsidP="00D353A6">
      <w:pPr>
        <w:jc w:val="both"/>
        <w:rPr>
          <w:rFonts w:cs="Helvetica LT Std"/>
          <w:b/>
          <w:bCs/>
          <w:color w:val="221E1F"/>
        </w:rPr>
      </w:pPr>
      <w:r w:rsidRPr="00D353A6">
        <w:rPr>
          <w:rFonts w:cs="Helvetica LT Std"/>
          <w:b/>
          <w:bCs/>
          <w:color w:val="221E1F"/>
        </w:rPr>
        <w:t>Income Not Attributable to Louisiana</w:t>
      </w:r>
    </w:p>
    <w:p w14:paraId="58BCED60" w14:textId="77777777" w:rsidR="004F69FE" w:rsidRPr="00D353A6" w:rsidRDefault="004F69FE" w:rsidP="00D353A6">
      <w:pPr>
        <w:jc w:val="both"/>
      </w:pPr>
      <w:r w:rsidRPr="00D353A6">
        <w:rPr>
          <w:rFonts w:cs="Helvetica LT Std"/>
          <w:color w:val="221E1F"/>
        </w:rPr>
        <w:t>An instruction to enter “0” when the amount is less than zero has been added.</w:t>
      </w:r>
    </w:p>
    <w:p w14:paraId="39CDD1EF" w14:textId="77777777" w:rsidR="00CC67A6" w:rsidRDefault="00CC67A6" w:rsidP="00CC67A6"/>
    <w:sectPr w:rsidR="00CC6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LT Std">
    <w:altName w:val="Arial"/>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09A7D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0F1C3F"/>
    <w:multiLevelType w:val="hybridMultilevel"/>
    <w:tmpl w:val="BF0A815A"/>
    <w:lvl w:ilvl="0" w:tplc="FFFFFFFF">
      <w:start w:val="1"/>
      <w:numFmt w:val="decimal"/>
      <w:lvlText w:val="%1."/>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DF5BEDA"/>
    <w:multiLevelType w:val="hybridMultilevel"/>
    <w:tmpl w:val="94F86BB8"/>
    <w:lvl w:ilvl="0" w:tplc="FFFFFFFF">
      <w:start w:val="1"/>
      <w:numFmt w:val="decimal"/>
      <w:lvlText w:val="%1."/>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07AC9E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1036F6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D4D3F1"/>
    <w:multiLevelType w:val="hybridMultilevel"/>
    <w:tmpl w:val="5EA8DE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EB54FFD"/>
    <w:multiLevelType w:val="hybridMultilevel"/>
    <w:tmpl w:val="ABB0FB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CE2481C"/>
    <w:multiLevelType w:val="hybridMultilevel"/>
    <w:tmpl w:val="C7F83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A64E9E"/>
    <w:multiLevelType w:val="hybridMultilevel"/>
    <w:tmpl w:val="F6466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980470"/>
    <w:multiLevelType w:val="hybridMultilevel"/>
    <w:tmpl w:val="A25C2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F0BEB6"/>
    <w:multiLevelType w:val="hybridMultilevel"/>
    <w:tmpl w:val="4F640D98"/>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CE67F87"/>
    <w:multiLevelType w:val="hybridMultilevel"/>
    <w:tmpl w:val="FD706C9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077B3B"/>
    <w:multiLevelType w:val="hybridMultilevel"/>
    <w:tmpl w:val="E2D6DC8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78512470">
    <w:abstractNumId w:val="2"/>
  </w:num>
  <w:num w:numId="2" w16cid:durableId="1582527344">
    <w:abstractNumId w:val="12"/>
  </w:num>
  <w:num w:numId="3" w16cid:durableId="698167432">
    <w:abstractNumId w:val="11"/>
  </w:num>
  <w:num w:numId="4" w16cid:durableId="1401557967">
    <w:abstractNumId w:val="6"/>
  </w:num>
  <w:num w:numId="5" w16cid:durableId="217472545">
    <w:abstractNumId w:val="8"/>
  </w:num>
  <w:num w:numId="6" w16cid:durableId="1908804144">
    <w:abstractNumId w:val="1"/>
  </w:num>
  <w:num w:numId="7" w16cid:durableId="53823777">
    <w:abstractNumId w:val="10"/>
  </w:num>
  <w:num w:numId="8" w16cid:durableId="1320109222">
    <w:abstractNumId w:val="7"/>
  </w:num>
  <w:num w:numId="9" w16cid:durableId="675887011">
    <w:abstractNumId w:val="5"/>
  </w:num>
  <w:num w:numId="10" w16cid:durableId="440419355">
    <w:abstractNumId w:val="0"/>
  </w:num>
  <w:num w:numId="11" w16cid:durableId="769278001">
    <w:abstractNumId w:val="9"/>
  </w:num>
  <w:num w:numId="12" w16cid:durableId="319311319">
    <w:abstractNumId w:val="4"/>
  </w:num>
  <w:num w:numId="13" w16cid:durableId="20203516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0CF"/>
    <w:rsid w:val="00014DE2"/>
    <w:rsid w:val="00031479"/>
    <w:rsid w:val="000366B2"/>
    <w:rsid w:val="00037A75"/>
    <w:rsid w:val="000432F8"/>
    <w:rsid w:val="00051291"/>
    <w:rsid w:val="000615C2"/>
    <w:rsid w:val="000A1A7D"/>
    <w:rsid w:val="000A2A8B"/>
    <w:rsid w:val="000B058B"/>
    <w:rsid w:val="000D7B81"/>
    <w:rsid w:val="000F0501"/>
    <w:rsid w:val="00121D03"/>
    <w:rsid w:val="00151880"/>
    <w:rsid w:val="001902D6"/>
    <w:rsid w:val="001C78B7"/>
    <w:rsid w:val="001E39BE"/>
    <w:rsid w:val="001E60F3"/>
    <w:rsid w:val="001F0426"/>
    <w:rsid w:val="001F5845"/>
    <w:rsid w:val="00200B60"/>
    <w:rsid w:val="0021043F"/>
    <w:rsid w:val="00222C65"/>
    <w:rsid w:val="0023226F"/>
    <w:rsid w:val="00235175"/>
    <w:rsid w:val="00240E78"/>
    <w:rsid w:val="002450C5"/>
    <w:rsid w:val="00265B8B"/>
    <w:rsid w:val="002B4421"/>
    <w:rsid w:val="002C3174"/>
    <w:rsid w:val="002F260D"/>
    <w:rsid w:val="00355A83"/>
    <w:rsid w:val="00390D70"/>
    <w:rsid w:val="003B1650"/>
    <w:rsid w:val="003D03CB"/>
    <w:rsid w:val="00463D2D"/>
    <w:rsid w:val="0046525C"/>
    <w:rsid w:val="00474A7B"/>
    <w:rsid w:val="004778B9"/>
    <w:rsid w:val="004C4428"/>
    <w:rsid w:val="004D7F3B"/>
    <w:rsid w:val="004F36BB"/>
    <w:rsid w:val="004F69FE"/>
    <w:rsid w:val="00515324"/>
    <w:rsid w:val="005168C8"/>
    <w:rsid w:val="005423BE"/>
    <w:rsid w:val="005709D0"/>
    <w:rsid w:val="005878BE"/>
    <w:rsid w:val="005F00C4"/>
    <w:rsid w:val="005F5D6D"/>
    <w:rsid w:val="00607AD9"/>
    <w:rsid w:val="00621455"/>
    <w:rsid w:val="0063235E"/>
    <w:rsid w:val="00661E88"/>
    <w:rsid w:val="00665576"/>
    <w:rsid w:val="006860CF"/>
    <w:rsid w:val="00697676"/>
    <w:rsid w:val="006C3CDB"/>
    <w:rsid w:val="006F7CFE"/>
    <w:rsid w:val="00703D8C"/>
    <w:rsid w:val="00710C96"/>
    <w:rsid w:val="00712214"/>
    <w:rsid w:val="00751C2F"/>
    <w:rsid w:val="0077780D"/>
    <w:rsid w:val="00790223"/>
    <w:rsid w:val="007C60B1"/>
    <w:rsid w:val="007E1442"/>
    <w:rsid w:val="0083315A"/>
    <w:rsid w:val="00870017"/>
    <w:rsid w:val="00870F30"/>
    <w:rsid w:val="00880A0F"/>
    <w:rsid w:val="008C1086"/>
    <w:rsid w:val="008C1F6E"/>
    <w:rsid w:val="008F7D2A"/>
    <w:rsid w:val="0090783A"/>
    <w:rsid w:val="00914FEC"/>
    <w:rsid w:val="009211E2"/>
    <w:rsid w:val="00995A41"/>
    <w:rsid w:val="009B081C"/>
    <w:rsid w:val="009D4E0F"/>
    <w:rsid w:val="009F0DDD"/>
    <w:rsid w:val="00A24F8C"/>
    <w:rsid w:val="00A26949"/>
    <w:rsid w:val="00A33380"/>
    <w:rsid w:val="00A36BDD"/>
    <w:rsid w:val="00A51571"/>
    <w:rsid w:val="00A8334A"/>
    <w:rsid w:val="00AA118E"/>
    <w:rsid w:val="00AA1763"/>
    <w:rsid w:val="00AD3A22"/>
    <w:rsid w:val="00AE371D"/>
    <w:rsid w:val="00B430E3"/>
    <w:rsid w:val="00B51372"/>
    <w:rsid w:val="00B87751"/>
    <w:rsid w:val="00B96ED8"/>
    <w:rsid w:val="00BA16B9"/>
    <w:rsid w:val="00BB7644"/>
    <w:rsid w:val="00BC5AC0"/>
    <w:rsid w:val="00C02A33"/>
    <w:rsid w:val="00C06F83"/>
    <w:rsid w:val="00C132B3"/>
    <w:rsid w:val="00C2292D"/>
    <w:rsid w:val="00C276A8"/>
    <w:rsid w:val="00C41CF6"/>
    <w:rsid w:val="00C66898"/>
    <w:rsid w:val="00C85CB6"/>
    <w:rsid w:val="00CA4ACD"/>
    <w:rsid w:val="00CB19D6"/>
    <w:rsid w:val="00CC2093"/>
    <w:rsid w:val="00CC67A6"/>
    <w:rsid w:val="00CC7E55"/>
    <w:rsid w:val="00CD2635"/>
    <w:rsid w:val="00D02F2A"/>
    <w:rsid w:val="00D056DA"/>
    <w:rsid w:val="00D353A6"/>
    <w:rsid w:val="00D42CE6"/>
    <w:rsid w:val="00D52F6C"/>
    <w:rsid w:val="00D702E4"/>
    <w:rsid w:val="00D77133"/>
    <w:rsid w:val="00D978A4"/>
    <w:rsid w:val="00DB753E"/>
    <w:rsid w:val="00DC059E"/>
    <w:rsid w:val="00DF316D"/>
    <w:rsid w:val="00DF3DD2"/>
    <w:rsid w:val="00E129A0"/>
    <w:rsid w:val="00E3641F"/>
    <w:rsid w:val="00EA16AB"/>
    <w:rsid w:val="00ED532B"/>
    <w:rsid w:val="00ED6FDA"/>
    <w:rsid w:val="00EE5F29"/>
    <w:rsid w:val="00EE7F79"/>
    <w:rsid w:val="00F01866"/>
    <w:rsid w:val="00F024D9"/>
    <w:rsid w:val="00F14ABB"/>
    <w:rsid w:val="00F152A6"/>
    <w:rsid w:val="00F4625A"/>
    <w:rsid w:val="00F83F50"/>
    <w:rsid w:val="00F96C4F"/>
    <w:rsid w:val="00FC089A"/>
    <w:rsid w:val="00FD7D9B"/>
    <w:rsid w:val="00FE0019"/>
    <w:rsid w:val="00FE5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0457F"/>
  <w15:chartTrackingRefBased/>
  <w15:docId w15:val="{B97C2483-CD5B-49A7-A9AC-E9D309230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60C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860C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860CF"/>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860CF"/>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860CF"/>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860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60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60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60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0C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860C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860C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860C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860C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860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60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60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60CF"/>
    <w:rPr>
      <w:rFonts w:eastAsiaTheme="majorEastAsia" w:cstheme="majorBidi"/>
      <w:color w:val="272727" w:themeColor="text1" w:themeTint="D8"/>
    </w:rPr>
  </w:style>
  <w:style w:type="paragraph" w:styleId="Title">
    <w:name w:val="Title"/>
    <w:basedOn w:val="Normal"/>
    <w:next w:val="Normal"/>
    <w:link w:val="TitleChar"/>
    <w:uiPriority w:val="10"/>
    <w:qFormat/>
    <w:rsid w:val="006860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60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60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60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60CF"/>
    <w:pPr>
      <w:spacing w:before="160"/>
      <w:jc w:val="center"/>
    </w:pPr>
    <w:rPr>
      <w:i/>
      <w:iCs/>
      <w:color w:val="404040" w:themeColor="text1" w:themeTint="BF"/>
    </w:rPr>
  </w:style>
  <w:style w:type="character" w:customStyle="1" w:styleId="QuoteChar">
    <w:name w:val="Quote Char"/>
    <w:basedOn w:val="DefaultParagraphFont"/>
    <w:link w:val="Quote"/>
    <w:uiPriority w:val="29"/>
    <w:rsid w:val="006860CF"/>
    <w:rPr>
      <w:i/>
      <w:iCs/>
      <w:color w:val="404040" w:themeColor="text1" w:themeTint="BF"/>
    </w:rPr>
  </w:style>
  <w:style w:type="paragraph" w:styleId="ListParagraph">
    <w:name w:val="List Paragraph"/>
    <w:basedOn w:val="Normal"/>
    <w:uiPriority w:val="34"/>
    <w:qFormat/>
    <w:rsid w:val="006860CF"/>
    <w:pPr>
      <w:ind w:left="720"/>
      <w:contextualSpacing/>
    </w:pPr>
  </w:style>
  <w:style w:type="character" w:styleId="IntenseEmphasis">
    <w:name w:val="Intense Emphasis"/>
    <w:basedOn w:val="DefaultParagraphFont"/>
    <w:uiPriority w:val="21"/>
    <w:qFormat/>
    <w:rsid w:val="006860CF"/>
    <w:rPr>
      <w:i/>
      <w:iCs/>
      <w:color w:val="2E74B5" w:themeColor="accent1" w:themeShade="BF"/>
    </w:rPr>
  </w:style>
  <w:style w:type="paragraph" w:styleId="IntenseQuote">
    <w:name w:val="Intense Quote"/>
    <w:basedOn w:val="Normal"/>
    <w:next w:val="Normal"/>
    <w:link w:val="IntenseQuoteChar"/>
    <w:uiPriority w:val="30"/>
    <w:qFormat/>
    <w:rsid w:val="006860C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860CF"/>
    <w:rPr>
      <w:i/>
      <w:iCs/>
      <w:color w:val="2E74B5" w:themeColor="accent1" w:themeShade="BF"/>
    </w:rPr>
  </w:style>
  <w:style w:type="character" w:styleId="IntenseReference">
    <w:name w:val="Intense Reference"/>
    <w:basedOn w:val="DefaultParagraphFont"/>
    <w:uiPriority w:val="32"/>
    <w:qFormat/>
    <w:rsid w:val="006860CF"/>
    <w:rPr>
      <w:b/>
      <w:bCs/>
      <w:smallCaps/>
      <w:color w:val="2E74B5" w:themeColor="accent1" w:themeShade="BF"/>
      <w:spacing w:val="5"/>
    </w:rPr>
  </w:style>
  <w:style w:type="paragraph" w:customStyle="1" w:styleId="Default">
    <w:name w:val="Default"/>
    <w:rsid w:val="00712214"/>
    <w:pPr>
      <w:autoSpaceDE w:val="0"/>
      <w:autoSpaceDN w:val="0"/>
      <w:adjustRightInd w:val="0"/>
      <w:spacing w:after="0" w:line="240" w:lineRule="auto"/>
    </w:pPr>
    <w:rPr>
      <w:rFonts w:ascii="Helvetica LT Std" w:hAnsi="Helvetica LT Std" w:cs="Helvetica LT Std"/>
      <w:color w:val="000000"/>
      <w:kern w:val="0"/>
    </w:rPr>
  </w:style>
  <w:style w:type="character" w:customStyle="1" w:styleId="A2">
    <w:name w:val="A2"/>
    <w:uiPriority w:val="99"/>
    <w:rsid w:val="00712214"/>
    <w:rPr>
      <w:rFonts w:cs="Helvetica LT Std"/>
      <w:color w:val="221E1F"/>
      <w:sz w:val="16"/>
      <w:szCs w:val="16"/>
    </w:rPr>
  </w:style>
  <w:style w:type="paragraph" w:styleId="Revision">
    <w:name w:val="Revision"/>
    <w:hidden/>
    <w:uiPriority w:val="99"/>
    <w:semiHidden/>
    <w:rsid w:val="005709D0"/>
    <w:pPr>
      <w:spacing w:after="0" w:line="240" w:lineRule="auto"/>
    </w:pPr>
  </w:style>
  <w:style w:type="paragraph" w:customStyle="1" w:styleId="Pa24">
    <w:name w:val="Pa24"/>
    <w:basedOn w:val="Default"/>
    <w:next w:val="Default"/>
    <w:uiPriority w:val="99"/>
    <w:rsid w:val="00DF316D"/>
    <w:pPr>
      <w:spacing w:line="161" w:lineRule="atLeast"/>
    </w:pPr>
    <w:rPr>
      <w:rFonts w:cstheme="minorBidi"/>
      <w:color w:val="auto"/>
    </w:rPr>
  </w:style>
  <w:style w:type="paragraph" w:customStyle="1" w:styleId="Pa3">
    <w:name w:val="Pa3"/>
    <w:basedOn w:val="Default"/>
    <w:next w:val="Default"/>
    <w:uiPriority w:val="99"/>
    <w:rsid w:val="004F69FE"/>
    <w:pPr>
      <w:spacing w:line="161" w:lineRule="atLeast"/>
    </w:pPr>
    <w:rPr>
      <w:rFonts w:cstheme="minorBidi"/>
      <w:color w:val="auto"/>
    </w:rPr>
  </w:style>
  <w:style w:type="paragraph" w:customStyle="1" w:styleId="Pa37">
    <w:name w:val="Pa37"/>
    <w:basedOn w:val="Default"/>
    <w:next w:val="Default"/>
    <w:uiPriority w:val="99"/>
    <w:rsid w:val="00CC67A6"/>
    <w:pPr>
      <w:spacing w:line="16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1673</Words>
  <Characters>9541</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Joseph (LDR)</dc:creator>
  <cp:keywords/>
  <dc:description/>
  <cp:lastModifiedBy>Mary Caston</cp:lastModifiedBy>
  <cp:revision>2</cp:revision>
  <dcterms:created xsi:type="dcterms:W3CDTF">2026-04-23T11:04:00Z</dcterms:created>
  <dcterms:modified xsi:type="dcterms:W3CDTF">2026-04-23T11:04:00Z</dcterms:modified>
</cp:coreProperties>
</file>