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12F" w:rsidRDefault="00803739" w:rsidP="00425D59">
      <w:pPr>
        <w:pStyle w:val="NoSpacing"/>
        <w:jc w:val="center"/>
        <w:rPr>
          <w:b/>
          <w:color w:val="000000" w:themeColor="text1"/>
          <w:u w:val="single"/>
        </w:rPr>
      </w:pPr>
      <w:bookmarkStart w:id="0" w:name="_GoBack"/>
      <w:bookmarkEnd w:id="0"/>
      <w:r w:rsidRPr="00733908">
        <w:rPr>
          <w:b/>
          <w:color w:val="FF0000"/>
          <w:sz w:val="28"/>
          <w:szCs w:val="28"/>
          <w:u w:val="single"/>
        </w:rPr>
        <w:t>FINAL</w:t>
      </w:r>
      <w:r>
        <w:rPr>
          <w:b/>
          <w:color w:val="000000" w:themeColor="text1"/>
          <w:sz w:val="28"/>
          <w:szCs w:val="28"/>
          <w:u w:val="single"/>
        </w:rPr>
        <w:t xml:space="preserve"> - </w:t>
      </w:r>
      <w:r w:rsidR="008034DE" w:rsidRPr="00082FCE">
        <w:rPr>
          <w:b/>
          <w:color w:val="000000" w:themeColor="text1"/>
          <w:sz w:val="28"/>
          <w:szCs w:val="28"/>
          <w:u w:val="single"/>
        </w:rPr>
        <w:t>201</w:t>
      </w:r>
      <w:r w:rsidR="00324DB8" w:rsidRPr="00082FCE">
        <w:rPr>
          <w:b/>
          <w:color w:val="000000" w:themeColor="text1"/>
          <w:sz w:val="28"/>
          <w:szCs w:val="28"/>
          <w:u w:val="single"/>
        </w:rPr>
        <w:t>9</w:t>
      </w:r>
      <w:r w:rsidR="008034DE" w:rsidRPr="00082FCE">
        <w:rPr>
          <w:b/>
          <w:color w:val="000000" w:themeColor="text1"/>
          <w:sz w:val="28"/>
          <w:szCs w:val="28"/>
          <w:u w:val="single"/>
        </w:rPr>
        <w:t xml:space="preserve"> </w:t>
      </w:r>
      <w:r w:rsidR="004D112F" w:rsidRPr="00082FCE">
        <w:rPr>
          <w:b/>
          <w:color w:val="000000" w:themeColor="text1"/>
          <w:sz w:val="28"/>
          <w:szCs w:val="28"/>
          <w:u w:val="single"/>
        </w:rPr>
        <w:t xml:space="preserve">EFIN Validation </w:t>
      </w:r>
      <w:r w:rsidR="007226B0" w:rsidRPr="00082FCE">
        <w:rPr>
          <w:b/>
          <w:color w:val="000000" w:themeColor="text1"/>
          <w:sz w:val="28"/>
          <w:szCs w:val="28"/>
          <w:u w:val="single"/>
        </w:rPr>
        <w:t>Interim Process</w:t>
      </w:r>
      <w:r w:rsidR="00530F66" w:rsidRPr="00082FCE">
        <w:rPr>
          <w:b/>
          <w:color w:val="000000" w:themeColor="text1"/>
          <w:sz w:val="28"/>
          <w:szCs w:val="28"/>
          <w:u w:val="single"/>
        </w:rPr>
        <w:t xml:space="preserve"> </w:t>
      </w:r>
      <w:r w:rsidR="00571DB7" w:rsidRPr="00082FCE">
        <w:rPr>
          <w:b/>
          <w:color w:val="000000" w:themeColor="text1"/>
          <w:u w:val="single"/>
        </w:rPr>
        <w:t xml:space="preserve">(rev. </w:t>
      </w:r>
      <w:r w:rsidR="00912A1A" w:rsidRPr="00082FCE">
        <w:rPr>
          <w:b/>
          <w:color w:val="000000" w:themeColor="text1"/>
          <w:u w:val="single"/>
        </w:rPr>
        <w:t>7</w:t>
      </w:r>
      <w:r w:rsidR="0086341F" w:rsidRPr="00082FCE">
        <w:rPr>
          <w:b/>
          <w:color w:val="000000" w:themeColor="text1"/>
          <w:u w:val="single"/>
        </w:rPr>
        <w:t>.</w:t>
      </w:r>
      <w:r w:rsidR="00733908">
        <w:rPr>
          <w:b/>
          <w:color w:val="000000" w:themeColor="text1"/>
          <w:u w:val="single"/>
        </w:rPr>
        <w:t>10</w:t>
      </w:r>
      <w:r w:rsidR="0086341F" w:rsidRPr="00082FCE">
        <w:rPr>
          <w:b/>
          <w:color w:val="000000" w:themeColor="text1"/>
          <w:u w:val="single"/>
        </w:rPr>
        <w:t>.1</w:t>
      </w:r>
      <w:r w:rsidR="00912A1A" w:rsidRPr="00082FCE">
        <w:rPr>
          <w:b/>
          <w:color w:val="000000" w:themeColor="text1"/>
          <w:u w:val="single"/>
        </w:rPr>
        <w:t>8</w:t>
      </w:r>
      <w:r w:rsidR="00571DB7" w:rsidRPr="00082FCE">
        <w:rPr>
          <w:b/>
          <w:color w:val="000000" w:themeColor="text1"/>
          <w:u w:val="single"/>
        </w:rPr>
        <w:t>)</w:t>
      </w:r>
    </w:p>
    <w:p w:rsidR="00324DB8" w:rsidRPr="00082FCE" w:rsidRDefault="00324DB8">
      <w:pPr>
        <w:rPr>
          <w:color w:val="000000" w:themeColor="text1"/>
        </w:rPr>
      </w:pPr>
      <w:r w:rsidRPr="00082FCE">
        <w:rPr>
          <w:color w:val="000000" w:themeColor="text1"/>
        </w:rPr>
        <w:t>The current</w:t>
      </w:r>
      <w:r w:rsidRPr="00082FCE">
        <w:rPr>
          <w:b/>
          <w:color w:val="000000" w:themeColor="text1"/>
        </w:rPr>
        <w:t xml:space="preserve"> EFIN Validation</w:t>
      </w:r>
      <w:r w:rsidRPr="00082FCE">
        <w:rPr>
          <w:color w:val="000000" w:themeColor="text1"/>
        </w:rPr>
        <w:t xml:space="preserve"> process will continue</w:t>
      </w:r>
      <w:r w:rsidR="00425D59">
        <w:rPr>
          <w:color w:val="000000" w:themeColor="text1"/>
        </w:rPr>
        <w:t>, as we did in 2018,</w:t>
      </w:r>
      <w:r w:rsidRPr="00082FCE">
        <w:rPr>
          <w:color w:val="000000" w:themeColor="text1"/>
        </w:rPr>
        <w:t xml:space="preserve"> for </w:t>
      </w:r>
      <w:r w:rsidR="00425D59">
        <w:rPr>
          <w:color w:val="000000" w:themeColor="text1"/>
        </w:rPr>
        <w:t xml:space="preserve">Filing Season </w:t>
      </w:r>
      <w:r w:rsidRPr="00082FCE">
        <w:rPr>
          <w:color w:val="000000" w:themeColor="text1"/>
        </w:rPr>
        <w:t>2019.  This document was updated with clarifying information, no changes were made to the existing process.</w:t>
      </w:r>
    </w:p>
    <w:p w:rsidR="005D4D98" w:rsidRPr="00082FCE" w:rsidRDefault="00F859E3">
      <w:pPr>
        <w:rPr>
          <w:color w:val="000000" w:themeColor="text1"/>
        </w:rPr>
      </w:pPr>
      <w:r w:rsidRPr="00082FCE">
        <w:rPr>
          <w:color w:val="000000" w:themeColor="text1"/>
        </w:rPr>
        <w:t>The following</w:t>
      </w:r>
      <w:r w:rsidR="004D112F" w:rsidRPr="00082FCE">
        <w:rPr>
          <w:color w:val="000000" w:themeColor="text1"/>
        </w:rPr>
        <w:t xml:space="preserve"> outlines the process for which the EFIN validation and </w:t>
      </w:r>
      <w:r w:rsidR="008D4EF4" w:rsidRPr="00082FCE">
        <w:rPr>
          <w:color w:val="000000" w:themeColor="text1"/>
        </w:rPr>
        <w:t>Vendor C</w:t>
      </w:r>
      <w:r w:rsidR="00CB1262" w:rsidRPr="00082FCE">
        <w:rPr>
          <w:color w:val="000000" w:themeColor="text1"/>
        </w:rPr>
        <w:t>ontrol</w:t>
      </w:r>
      <w:r w:rsidR="004D112F" w:rsidRPr="00082FCE">
        <w:rPr>
          <w:color w:val="000000" w:themeColor="text1"/>
        </w:rPr>
        <w:t xml:space="preserve"> </w:t>
      </w:r>
      <w:r w:rsidR="008D4EF4" w:rsidRPr="00082FCE">
        <w:rPr>
          <w:color w:val="000000" w:themeColor="text1"/>
        </w:rPr>
        <w:t>Number</w:t>
      </w:r>
      <w:r w:rsidR="004D112F" w:rsidRPr="00082FCE">
        <w:rPr>
          <w:color w:val="000000" w:themeColor="text1"/>
        </w:rPr>
        <w:t xml:space="preserve"> </w:t>
      </w:r>
      <w:r w:rsidR="00076A35" w:rsidRPr="00082FCE">
        <w:rPr>
          <w:color w:val="000000" w:themeColor="text1"/>
        </w:rPr>
        <w:t>Submission</w:t>
      </w:r>
      <w:r w:rsidR="004D112F" w:rsidRPr="00082FCE">
        <w:rPr>
          <w:color w:val="000000" w:themeColor="text1"/>
        </w:rPr>
        <w:t xml:space="preserve"> will </w:t>
      </w:r>
      <w:r w:rsidR="00F07A4E" w:rsidRPr="00082FCE">
        <w:rPr>
          <w:color w:val="000000" w:themeColor="text1"/>
        </w:rPr>
        <w:t>follow during the 201</w:t>
      </w:r>
      <w:r w:rsidR="00324DB8" w:rsidRPr="00082FCE">
        <w:rPr>
          <w:color w:val="000000" w:themeColor="text1"/>
        </w:rPr>
        <w:t>9</w:t>
      </w:r>
      <w:r w:rsidR="00F07A4E" w:rsidRPr="00082FCE">
        <w:rPr>
          <w:color w:val="000000" w:themeColor="text1"/>
        </w:rPr>
        <w:t xml:space="preserve"> Filing Season.</w:t>
      </w:r>
      <w:r w:rsidR="00DD710E" w:rsidRPr="00082FCE">
        <w:rPr>
          <w:color w:val="000000" w:themeColor="text1"/>
        </w:rPr>
        <w:t xml:space="preserve"> </w:t>
      </w:r>
    </w:p>
    <w:p w:rsidR="00A52F98" w:rsidRPr="00082FCE" w:rsidRDefault="00A52F98" w:rsidP="00A52F98">
      <w:pPr>
        <w:spacing w:after="0" w:line="240" w:lineRule="auto"/>
        <w:rPr>
          <w:b/>
          <w:color w:val="000000" w:themeColor="text1"/>
          <w:u w:val="single"/>
        </w:rPr>
      </w:pPr>
      <w:r w:rsidRPr="00082FCE">
        <w:rPr>
          <w:b/>
          <w:color w:val="000000" w:themeColor="text1"/>
          <w:u w:val="single"/>
        </w:rPr>
        <w:t>Vendor Control Number</w:t>
      </w:r>
      <w:r w:rsidR="009164FD" w:rsidRPr="00082FCE">
        <w:rPr>
          <w:b/>
          <w:color w:val="000000" w:themeColor="text1"/>
          <w:u w:val="single"/>
        </w:rPr>
        <w:t xml:space="preserve"> (VCN)</w:t>
      </w:r>
    </w:p>
    <w:p w:rsidR="00CB1262" w:rsidRPr="00082FCE" w:rsidRDefault="009164FD" w:rsidP="00A52F98">
      <w:pPr>
        <w:spacing w:after="0" w:line="240" w:lineRule="auto"/>
        <w:rPr>
          <w:color w:val="000000" w:themeColor="text1"/>
        </w:rPr>
      </w:pPr>
      <w:r w:rsidRPr="00082FCE">
        <w:rPr>
          <w:color w:val="000000" w:themeColor="text1"/>
        </w:rPr>
        <w:t>The Vendor Control Number is a</w:t>
      </w:r>
      <w:r w:rsidR="005D36C5">
        <w:rPr>
          <w:color w:val="000000" w:themeColor="text1"/>
        </w:rPr>
        <w:t xml:space="preserve">n </w:t>
      </w:r>
      <w:r w:rsidR="00CB1262" w:rsidRPr="00082FCE">
        <w:rPr>
          <w:color w:val="000000" w:themeColor="text1"/>
        </w:rPr>
        <w:t xml:space="preserve">alpha – numeric field in the </w:t>
      </w:r>
      <w:r w:rsidR="00A52F98" w:rsidRPr="00082FCE">
        <w:rPr>
          <w:b/>
          <w:color w:val="000000" w:themeColor="text1"/>
        </w:rPr>
        <w:t xml:space="preserve">electronic </w:t>
      </w:r>
      <w:r w:rsidR="00CB1262" w:rsidRPr="00082FCE">
        <w:rPr>
          <w:color w:val="000000" w:themeColor="text1"/>
        </w:rPr>
        <w:t>return header.</w:t>
      </w:r>
      <w:r w:rsidR="00A52F98" w:rsidRPr="00082FCE">
        <w:rPr>
          <w:color w:val="000000" w:themeColor="text1"/>
        </w:rPr>
        <w:t xml:space="preserve"> </w:t>
      </w:r>
      <w:r w:rsidR="00CB1262" w:rsidRPr="00082FCE">
        <w:rPr>
          <w:color w:val="000000" w:themeColor="text1"/>
        </w:rPr>
        <w:t xml:space="preserve">The Vendor Control Number is a </w:t>
      </w:r>
      <w:r w:rsidR="00CB1262" w:rsidRPr="005D36C5">
        <w:rPr>
          <w:color w:val="000000" w:themeColor="text1"/>
        </w:rPr>
        <w:t>pre</w:t>
      </w:r>
      <w:r w:rsidR="00A4094D" w:rsidRPr="005D36C5">
        <w:rPr>
          <w:color w:val="000000" w:themeColor="text1"/>
        </w:rPr>
        <w:t xml:space="preserve">requisite </w:t>
      </w:r>
      <w:r w:rsidR="00CB1262" w:rsidRPr="005D36C5">
        <w:rPr>
          <w:color w:val="000000" w:themeColor="text1"/>
        </w:rPr>
        <w:t xml:space="preserve">to </w:t>
      </w:r>
      <w:r w:rsidR="00A4094D" w:rsidRPr="005D36C5">
        <w:rPr>
          <w:color w:val="000000" w:themeColor="text1"/>
        </w:rPr>
        <w:t>electronic</w:t>
      </w:r>
      <w:r w:rsidR="00A4094D" w:rsidRPr="00082FCE">
        <w:rPr>
          <w:b/>
          <w:color w:val="000000" w:themeColor="text1"/>
        </w:rPr>
        <w:t xml:space="preserve"> </w:t>
      </w:r>
      <w:r w:rsidR="00CB1262" w:rsidRPr="00082FCE">
        <w:rPr>
          <w:color w:val="000000" w:themeColor="text1"/>
        </w:rPr>
        <w:t>EFIN validation.  The vision is to allow software developers to validate an EFIN prior to the sale of their software and then assign a unique 12-digit Vendor Control Number</w:t>
      </w:r>
      <w:r w:rsidR="00981F3E" w:rsidRPr="00082FCE">
        <w:rPr>
          <w:color w:val="000000" w:themeColor="text1"/>
        </w:rPr>
        <w:t xml:space="preserve"> to the EFIN</w:t>
      </w:r>
      <w:r w:rsidR="00CB1262" w:rsidRPr="00082FCE">
        <w:rPr>
          <w:color w:val="000000" w:themeColor="text1"/>
        </w:rPr>
        <w:t>.  The Vendor Control Number will be populated in the VendorControlNum element in the 1040/1040NR return header for validation by IRS prior to acceptance of the return by IRS.</w:t>
      </w:r>
      <w:r w:rsidR="00A4094D" w:rsidRPr="00082FCE">
        <w:rPr>
          <w:color w:val="000000" w:themeColor="text1"/>
        </w:rPr>
        <w:t xml:space="preserve"> </w:t>
      </w:r>
      <w:r w:rsidR="00114F27" w:rsidRPr="00082FCE">
        <w:rPr>
          <w:color w:val="000000" w:themeColor="text1"/>
        </w:rPr>
        <w:t>Me</w:t>
      </w:r>
      <w:r w:rsidR="000169B6" w:rsidRPr="00082FCE">
        <w:rPr>
          <w:color w:val="000000" w:themeColor="text1"/>
        </w:rPr>
        <w:t>F</w:t>
      </w:r>
      <w:r w:rsidR="00114F27" w:rsidRPr="00082FCE">
        <w:rPr>
          <w:color w:val="000000" w:themeColor="text1"/>
        </w:rPr>
        <w:t xml:space="preserve"> business rules require the VCN to be populated at filing.</w:t>
      </w:r>
    </w:p>
    <w:p w:rsidR="00E36F62" w:rsidRPr="00082FCE" w:rsidRDefault="00E36F62" w:rsidP="00A52F98">
      <w:pPr>
        <w:spacing w:after="0" w:line="240" w:lineRule="auto"/>
        <w:rPr>
          <w:b/>
          <w:color w:val="000000" w:themeColor="text1"/>
        </w:rPr>
      </w:pPr>
    </w:p>
    <w:p w:rsidR="00803739" w:rsidRPr="00733908" w:rsidRDefault="00324DB8" w:rsidP="00CB1262">
      <w:r w:rsidRPr="00082FCE">
        <w:rPr>
          <w:color w:val="000000" w:themeColor="text1"/>
        </w:rPr>
        <w:t xml:space="preserve">Each software developer will </w:t>
      </w:r>
      <w:r w:rsidRPr="005D36C5">
        <w:rPr>
          <w:b/>
          <w:color w:val="000000" w:themeColor="text1"/>
        </w:rPr>
        <w:t xml:space="preserve">continue to use the </w:t>
      </w:r>
      <w:r w:rsidR="00CB1262" w:rsidRPr="005D36C5">
        <w:rPr>
          <w:b/>
          <w:color w:val="000000" w:themeColor="text1"/>
        </w:rPr>
        <w:t xml:space="preserve">two-character prefix </w:t>
      </w:r>
      <w:r w:rsidRPr="005D36C5">
        <w:rPr>
          <w:b/>
          <w:color w:val="000000" w:themeColor="text1"/>
        </w:rPr>
        <w:t>previously assigned by the IRS</w:t>
      </w:r>
      <w:r w:rsidR="00CB1262" w:rsidRPr="00082FCE">
        <w:rPr>
          <w:color w:val="000000" w:themeColor="text1"/>
        </w:rPr>
        <w:t xml:space="preserve"> to avoid</w:t>
      </w:r>
      <w:r w:rsidR="00CB1262" w:rsidRPr="00082FCE">
        <w:rPr>
          <w:b/>
          <w:color w:val="000000" w:themeColor="text1"/>
        </w:rPr>
        <w:t xml:space="preserve"> </w:t>
      </w:r>
      <w:r w:rsidR="00CB1262" w:rsidRPr="00082FCE">
        <w:rPr>
          <w:color w:val="000000" w:themeColor="text1"/>
        </w:rPr>
        <w:t xml:space="preserve">potential </w:t>
      </w:r>
      <w:r w:rsidRPr="00082FCE">
        <w:rPr>
          <w:color w:val="000000" w:themeColor="text1"/>
        </w:rPr>
        <w:t xml:space="preserve">VCN </w:t>
      </w:r>
      <w:r w:rsidR="00CB1262" w:rsidRPr="00082FCE">
        <w:rPr>
          <w:color w:val="000000" w:themeColor="text1"/>
        </w:rPr>
        <w:t>duplication</w:t>
      </w:r>
      <w:r w:rsidR="005D36C5">
        <w:rPr>
          <w:color w:val="000000" w:themeColor="text1"/>
        </w:rPr>
        <w:t xml:space="preserve"> across industry</w:t>
      </w:r>
      <w:r w:rsidR="00CB1262" w:rsidRPr="00082FCE">
        <w:rPr>
          <w:color w:val="000000" w:themeColor="text1"/>
        </w:rPr>
        <w:t xml:space="preserve">.  The software developer should then use the assigned </w:t>
      </w:r>
      <w:r w:rsidR="00CB1262" w:rsidRPr="009164FD">
        <w:t xml:space="preserve">prefix as the first two characters of a unique 12-character Vendor Control Number.  This Vendor Control Number must accompany all submissions from the EFIN using the software package they purchased.  The software developer should also maintain a list of Vendor Control Numbers that they </w:t>
      </w:r>
      <w:r w:rsidR="00CB1262" w:rsidRPr="00733908">
        <w:t xml:space="preserve">have assigned along with the EFIN and Software ID.  </w:t>
      </w:r>
    </w:p>
    <w:p w:rsidR="00F35BDA" w:rsidRPr="00733908" w:rsidRDefault="00981F3E" w:rsidP="00CB1262">
      <w:r w:rsidRPr="00733908">
        <w:t xml:space="preserve">Although </w:t>
      </w:r>
      <w:r w:rsidR="00CB1262" w:rsidRPr="00733908">
        <w:t>the schema allows for a Vendor Control Number less than 12 characters</w:t>
      </w:r>
      <w:r w:rsidR="005F40B1" w:rsidRPr="00733908">
        <w:t>, and up to 16 characters</w:t>
      </w:r>
      <w:r w:rsidR="00CB1262" w:rsidRPr="00733908">
        <w:t xml:space="preserve">, </w:t>
      </w:r>
      <w:r w:rsidR="00CB1262" w:rsidRPr="00733908">
        <w:rPr>
          <w:b/>
        </w:rPr>
        <w:t>IRS strongly recommends that it be</w:t>
      </w:r>
      <w:r w:rsidR="009164FD" w:rsidRPr="00733908">
        <w:rPr>
          <w:b/>
        </w:rPr>
        <w:t xml:space="preserve"> </w:t>
      </w:r>
      <w:r w:rsidR="006D01CB" w:rsidRPr="00733908">
        <w:rPr>
          <w:b/>
        </w:rPr>
        <w:t xml:space="preserve">a minimum of </w:t>
      </w:r>
      <w:r w:rsidR="00CB1262" w:rsidRPr="00733908">
        <w:rPr>
          <w:b/>
        </w:rPr>
        <w:t>12 characters</w:t>
      </w:r>
      <w:r w:rsidR="00114F27" w:rsidRPr="00733908">
        <w:rPr>
          <w:b/>
        </w:rPr>
        <w:t xml:space="preserve"> </w:t>
      </w:r>
      <w:r w:rsidR="00CB1262" w:rsidRPr="00733908">
        <w:rPr>
          <w:b/>
        </w:rPr>
        <w:t>in length</w:t>
      </w:r>
      <w:r w:rsidR="00CB1262" w:rsidRPr="00733908">
        <w:t xml:space="preserve">.  IRS also highly </w:t>
      </w:r>
      <w:r w:rsidR="00CB1262" w:rsidRPr="00733908">
        <w:rPr>
          <w:b/>
        </w:rPr>
        <w:t>discourages embedding easily identifiable information in the Vendor Control Number</w:t>
      </w:r>
      <w:r w:rsidR="00CB1262" w:rsidRPr="00733908">
        <w:t xml:space="preserve"> such as an EFIN or Software ID</w:t>
      </w:r>
      <w:r w:rsidR="00733908" w:rsidRPr="00733908">
        <w:t xml:space="preserve"> or consecutive numbers (e.g. 12345…)</w:t>
      </w:r>
      <w:r w:rsidR="00E36F62" w:rsidRPr="00733908">
        <w:t xml:space="preserve">. </w:t>
      </w:r>
      <w:r w:rsidR="00CB1262" w:rsidRPr="00733908">
        <w:t xml:space="preserve"> Although the VendorControlNum element is optional in the 1040/1040NR return headers, it is required to be present through use of a business rule.  Failure to include the VendorControlNum element will result in the return being rejected.</w:t>
      </w:r>
      <w:r w:rsidR="008801FB" w:rsidRPr="00733908">
        <w:t xml:space="preserve"> </w:t>
      </w:r>
    </w:p>
    <w:p w:rsidR="008801FB" w:rsidRPr="00733908" w:rsidRDefault="00A4094D" w:rsidP="008801FB">
      <w:r w:rsidRPr="00733908">
        <w:t xml:space="preserve">IRS will provide </w:t>
      </w:r>
      <w:r w:rsidR="009164FD" w:rsidRPr="00733908">
        <w:t xml:space="preserve">the </w:t>
      </w:r>
      <w:r w:rsidRPr="00733908">
        <w:t>ability for vendors to validate EFINS and assign a Vendor Control Number to a</w:t>
      </w:r>
      <w:r w:rsidR="00290257" w:rsidRPr="00733908">
        <w:t>n EFIN. This will be done via a</w:t>
      </w:r>
      <w:r w:rsidR="009164FD" w:rsidRPr="00733908">
        <w:t>n</w:t>
      </w:r>
      <w:r w:rsidRPr="00733908">
        <w:t xml:space="preserve"> exchange of </w:t>
      </w:r>
      <w:r w:rsidR="00981F3E" w:rsidRPr="00733908">
        <w:t xml:space="preserve">one file between vendor and IRS. </w:t>
      </w:r>
      <w:r w:rsidRPr="00733908">
        <w:t>The file will be used by vendor to submit EFINS for validation</w:t>
      </w:r>
      <w:r w:rsidR="00987491" w:rsidRPr="00733908">
        <w:t xml:space="preserve"> and will</w:t>
      </w:r>
      <w:r w:rsidRPr="00733908">
        <w:t xml:space="preserve"> </w:t>
      </w:r>
      <w:r w:rsidR="00987491" w:rsidRPr="00733908">
        <w:t>be returned by IRS with validation results</w:t>
      </w:r>
      <w:r w:rsidR="009D561C" w:rsidRPr="00733908">
        <w:t>.</w:t>
      </w:r>
      <w:r w:rsidR="00987491" w:rsidRPr="00733908">
        <w:t xml:space="preserve"> </w:t>
      </w:r>
      <w:r w:rsidR="009D561C" w:rsidRPr="00733908">
        <w:t xml:space="preserve"> The file will </w:t>
      </w:r>
      <w:r w:rsidR="00987491" w:rsidRPr="00733908">
        <w:t xml:space="preserve">also </w:t>
      </w:r>
      <w:r w:rsidR="009D561C" w:rsidRPr="00733908">
        <w:t xml:space="preserve">be used </w:t>
      </w:r>
      <w:r w:rsidR="00987491" w:rsidRPr="00733908">
        <w:t>to</w:t>
      </w:r>
      <w:r w:rsidR="009D561C" w:rsidRPr="00733908">
        <w:t xml:space="preserve"> attribute</w:t>
      </w:r>
      <w:r w:rsidRPr="00733908">
        <w:t xml:space="preserve"> </w:t>
      </w:r>
      <w:r w:rsidR="00987491" w:rsidRPr="00733908">
        <w:t xml:space="preserve">the </w:t>
      </w:r>
      <w:r w:rsidRPr="00733908">
        <w:t>assign</w:t>
      </w:r>
      <w:r w:rsidR="00987491" w:rsidRPr="00733908">
        <w:t>ed vendor control number to a valid</w:t>
      </w:r>
      <w:r w:rsidRPr="00733908">
        <w:t xml:space="preserve"> EFIN</w:t>
      </w:r>
      <w:r w:rsidR="008801FB" w:rsidRPr="00733908">
        <w:t xml:space="preserve"> and Software ID</w:t>
      </w:r>
      <w:r w:rsidRPr="00733908">
        <w:t xml:space="preserve">. </w:t>
      </w:r>
    </w:p>
    <w:p w:rsidR="00B61962" w:rsidRPr="00B61962" w:rsidRDefault="00B61962" w:rsidP="00B61962">
      <w:pPr>
        <w:rPr>
          <w:rFonts w:cs="Courier New"/>
          <w:b/>
          <w:color w:val="0000FF"/>
          <w:u w:val="single"/>
        </w:rPr>
      </w:pPr>
      <w:r w:rsidRPr="00B61962">
        <w:rPr>
          <w:rFonts w:cs="Courier New"/>
          <w:b/>
          <w:color w:val="000000" w:themeColor="text1"/>
          <w:u w:val="single"/>
        </w:rPr>
        <w:t>IMPORTANT TO KNOW</w:t>
      </w:r>
    </w:p>
    <w:p w:rsidR="00733908" w:rsidRDefault="00733908" w:rsidP="00733908">
      <w:pPr>
        <w:pStyle w:val="ListParagraph"/>
        <w:numPr>
          <w:ilvl w:val="0"/>
          <w:numId w:val="25"/>
        </w:numPr>
      </w:pPr>
      <w:r w:rsidRPr="00733908">
        <w:rPr>
          <w:b/>
        </w:rPr>
        <w:t>File Naming Conventions cannot be changed</w:t>
      </w:r>
      <w:r w:rsidRPr="00733908">
        <w:t>, these have been prescribed to the SDT file exchange</w:t>
      </w:r>
      <w:r>
        <w:t>, incorrect file names</w:t>
      </w:r>
      <w:r w:rsidRPr="00733908">
        <w:t xml:space="preserve"> will not be recognized or processed</w:t>
      </w:r>
    </w:p>
    <w:p w:rsidR="00B61962" w:rsidRPr="00B61962" w:rsidRDefault="00B61962" w:rsidP="00B61962">
      <w:pPr>
        <w:pStyle w:val="ListParagraph"/>
        <w:numPr>
          <w:ilvl w:val="0"/>
          <w:numId w:val="25"/>
        </w:numPr>
        <w:rPr>
          <w:rFonts w:cs="Courier New"/>
          <w:color w:val="000000" w:themeColor="text1"/>
        </w:rPr>
      </w:pPr>
      <w:r w:rsidRPr="00B61962">
        <w:rPr>
          <w:rFonts w:cs="Courier New"/>
          <w:color w:val="000000" w:themeColor="text1"/>
        </w:rPr>
        <w:t xml:space="preserve">Files should be uploaded to SDT no later than </w:t>
      </w:r>
      <w:r w:rsidRPr="00B61962">
        <w:rPr>
          <w:rFonts w:cs="Courier New"/>
          <w:b/>
          <w:color w:val="000000" w:themeColor="text1"/>
        </w:rPr>
        <w:t>8:30pm EST</w:t>
      </w:r>
      <w:r w:rsidRPr="00B61962">
        <w:rPr>
          <w:rFonts w:cs="Courier New"/>
          <w:color w:val="000000" w:themeColor="text1"/>
        </w:rPr>
        <w:t xml:space="preserve">.  </w:t>
      </w:r>
    </w:p>
    <w:p w:rsidR="00B61962" w:rsidRDefault="00B61962" w:rsidP="00B61962">
      <w:pPr>
        <w:pStyle w:val="ListParagraph"/>
        <w:numPr>
          <w:ilvl w:val="0"/>
          <w:numId w:val="25"/>
        </w:numPr>
        <w:rPr>
          <w:rFonts w:cs="Courier New"/>
        </w:rPr>
      </w:pPr>
      <w:r w:rsidRPr="00B61962">
        <w:rPr>
          <w:rFonts w:cs="Courier New"/>
          <w:color w:val="000000" w:themeColor="text1"/>
        </w:rPr>
        <w:t xml:space="preserve">We are expecting only one file per day.  At this time, SDT is not copying over multiple files from same industry-partner in a day </w:t>
      </w:r>
      <w:r w:rsidRPr="00B61962">
        <w:rPr>
          <w:rFonts w:cs="Courier New"/>
        </w:rPr>
        <w:t xml:space="preserve">before the 8:30 PM cut-off time.  </w:t>
      </w:r>
    </w:p>
    <w:p w:rsidR="00733908" w:rsidRPr="00733908" w:rsidRDefault="00733908" w:rsidP="00733908">
      <w:pPr>
        <w:pStyle w:val="ListParagraph"/>
        <w:numPr>
          <w:ilvl w:val="0"/>
          <w:numId w:val="25"/>
        </w:numPr>
        <w:rPr>
          <w:u w:val="single"/>
        </w:rPr>
      </w:pPr>
      <w:r w:rsidRPr="00852819">
        <w:t xml:space="preserve">Response files will </w:t>
      </w:r>
      <w:r w:rsidRPr="00113FDF">
        <w:t>be picked up in a 24 to 48 hour window</w:t>
      </w:r>
      <w:r>
        <w:t>.</w:t>
      </w:r>
    </w:p>
    <w:p w:rsidR="008034DE" w:rsidRPr="00B61962" w:rsidRDefault="00B61962" w:rsidP="00B61962">
      <w:pPr>
        <w:pStyle w:val="ListParagraph"/>
        <w:numPr>
          <w:ilvl w:val="0"/>
          <w:numId w:val="25"/>
        </w:numPr>
        <w:rPr>
          <w:rFonts w:cs="Courier New"/>
        </w:rPr>
      </w:pPr>
      <w:r w:rsidRPr="00B61962">
        <w:rPr>
          <w:rFonts w:cs="Courier New"/>
          <w:b/>
        </w:rPr>
        <w:t>Reminder for Public key expiration on SDT:</w:t>
      </w:r>
      <w:r w:rsidRPr="00B61962">
        <w:rPr>
          <w:rFonts w:cs="Courier New"/>
        </w:rPr>
        <w:t xml:space="preserve">  If you’re using a self-generated SSH key pair, you are responsible for tracking the expiration date; unfortunately, no notices are sent.  However, if you’re using an ACES certificate, Identrust sends notices beginning at 90 days out.</w:t>
      </w:r>
    </w:p>
    <w:p w:rsidR="00733908" w:rsidRDefault="00733908" w:rsidP="00530F66">
      <w:pPr>
        <w:pStyle w:val="NoSpacing"/>
        <w:rPr>
          <w:b/>
          <w:u w:val="single"/>
        </w:rPr>
      </w:pPr>
    </w:p>
    <w:p w:rsidR="00135B5F" w:rsidRDefault="00135B5F" w:rsidP="00530F66">
      <w:pPr>
        <w:pStyle w:val="NoSpacing"/>
        <w:rPr>
          <w:b/>
          <w:u w:val="single"/>
        </w:rPr>
      </w:pPr>
      <w:r w:rsidRPr="00530F66">
        <w:rPr>
          <w:b/>
          <w:u w:val="single"/>
        </w:rPr>
        <w:lastRenderedPageBreak/>
        <w:t>Submitting EFINs for Validation</w:t>
      </w:r>
    </w:p>
    <w:p w:rsidR="00135B5F" w:rsidRPr="00425D59" w:rsidRDefault="00135B5F" w:rsidP="007077E2">
      <w:r w:rsidRPr="007077E2">
        <w:rPr>
          <w:b/>
        </w:rPr>
        <w:t xml:space="preserve">Initially, the </w:t>
      </w:r>
      <w:r w:rsidRPr="00113FDF">
        <w:t xml:space="preserve">Software Industry will </w:t>
      </w:r>
      <w:r>
        <w:t xml:space="preserve">submit </w:t>
      </w:r>
      <w:r w:rsidRPr="00427E58">
        <w:t>the</w:t>
      </w:r>
      <w:r w:rsidRPr="007077E2">
        <w:rPr>
          <w:b/>
        </w:rPr>
        <w:t xml:space="preserve"> </w:t>
      </w:r>
      <w:r w:rsidRPr="00113FDF">
        <w:t xml:space="preserve">file </w:t>
      </w:r>
      <w:r w:rsidRPr="00427E58">
        <w:t>populated with</w:t>
      </w:r>
      <w:r w:rsidRPr="00113FDF">
        <w:t xml:space="preserve"> all current EFINs</w:t>
      </w:r>
      <w:r w:rsidRPr="00427E58">
        <w:t xml:space="preserve"> </w:t>
      </w:r>
      <w:r w:rsidRPr="007077E2">
        <w:rPr>
          <w:b/>
        </w:rPr>
        <w:t>populated with the</w:t>
      </w:r>
      <w:r w:rsidRPr="00427E58">
        <w:t xml:space="preserve"> EFIN</w:t>
      </w:r>
      <w:r w:rsidRPr="007077E2">
        <w:rPr>
          <w:b/>
        </w:rPr>
        <w:t>s needing to be validated,</w:t>
      </w:r>
      <w:r w:rsidRPr="00427E58">
        <w:t xml:space="preserve"> to IRS using the SDT process.  </w:t>
      </w:r>
      <w:r w:rsidRPr="007077E2">
        <w:rPr>
          <w:strike/>
        </w:rPr>
        <w:t xml:space="preserve"> </w:t>
      </w:r>
    </w:p>
    <w:p w:rsidR="00425D59" w:rsidRPr="00733908" w:rsidRDefault="00425D59" w:rsidP="007077E2">
      <w:pPr>
        <w:rPr>
          <w:b/>
        </w:rPr>
      </w:pPr>
      <w:r w:rsidRPr="00733908">
        <w:rPr>
          <w:b/>
        </w:rPr>
        <w:t xml:space="preserve">Note:  Do NOT assign any VCNs for EFINs you are requesting to be validated </w:t>
      </w:r>
    </w:p>
    <w:p w:rsidR="00135B5F" w:rsidRPr="00FE11B7" w:rsidRDefault="00135B5F" w:rsidP="007077E2">
      <w:r w:rsidRPr="00427E58">
        <w:t>This file must contain the EFIN and tracking number. If the tracking number is not available, then industry must submit the EFIN and the following information</w:t>
      </w:r>
      <w:r>
        <w:t>:</w:t>
      </w:r>
    </w:p>
    <w:p w:rsidR="00135B5F" w:rsidRDefault="00135B5F" w:rsidP="007077E2">
      <w:pPr>
        <w:pStyle w:val="ListParagraph"/>
        <w:numPr>
          <w:ilvl w:val="0"/>
          <w:numId w:val="18"/>
        </w:numPr>
        <w:spacing w:after="0" w:line="240" w:lineRule="auto"/>
        <w:ind w:left="1080"/>
        <w:contextualSpacing w:val="0"/>
        <w:rPr>
          <w:rFonts w:ascii="Eras Medium ITC" w:hAnsi="Eras Medium ITC" w:cs="70% Verdana"/>
          <w:color w:val="000099"/>
        </w:rPr>
      </w:pPr>
      <w:r>
        <w:rPr>
          <w:rFonts w:ascii="Courier New" w:hAnsi="Courier New" w:cs="Courier New"/>
          <w:color w:val="0000FF"/>
          <w:sz w:val="18"/>
          <w:szCs w:val="18"/>
        </w:rPr>
        <w:t>EFIN-OWNER-TIN              CHAR(09)</w:t>
      </w:r>
      <w:r>
        <w:rPr>
          <w:rFonts w:ascii="Courier New" w:hAnsi="Courier New" w:cs="Courier New"/>
          <w:color w:val="0000FF"/>
          <w:sz w:val="18"/>
          <w:szCs w:val="18"/>
        </w:rPr>
        <w:br/>
        <w:t>EFIN-OWNER-TIN-TYPE         CHAR(01)</w:t>
      </w:r>
      <w:r>
        <w:rPr>
          <w:rFonts w:ascii="Courier New" w:hAnsi="Courier New" w:cs="Courier New"/>
          <w:color w:val="0000FF"/>
          <w:sz w:val="18"/>
          <w:szCs w:val="18"/>
        </w:rPr>
        <w:br/>
        <w:t>EFIN-OWNER-LEGAL-NAME       CHAR(50)</w:t>
      </w:r>
      <w:r>
        <w:rPr>
          <w:rFonts w:ascii="Courier New" w:hAnsi="Courier New" w:cs="Courier New"/>
          <w:color w:val="0000FF"/>
          <w:sz w:val="18"/>
          <w:szCs w:val="18"/>
        </w:rPr>
        <w:br/>
        <w:t>EFIN-OWNER-DBA-NAME         CHAR(50)</w:t>
      </w:r>
      <w:r>
        <w:rPr>
          <w:rFonts w:ascii="Courier New" w:hAnsi="Courier New" w:cs="Courier New"/>
          <w:color w:val="0000FF"/>
          <w:sz w:val="18"/>
          <w:szCs w:val="18"/>
        </w:rPr>
        <w:br/>
        <w:t>EFIN-ADDR1                  CHAR(50)</w:t>
      </w:r>
      <w:r>
        <w:rPr>
          <w:rFonts w:ascii="Courier New" w:hAnsi="Courier New" w:cs="Courier New"/>
          <w:color w:val="0000FF"/>
          <w:sz w:val="18"/>
          <w:szCs w:val="18"/>
        </w:rPr>
        <w:br/>
        <w:t>EFIN-ADDR2                  CHAR(50)</w:t>
      </w:r>
      <w:r>
        <w:rPr>
          <w:rFonts w:ascii="Courier New" w:hAnsi="Courier New" w:cs="Courier New"/>
          <w:color w:val="0000FF"/>
          <w:sz w:val="18"/>
          <w:szCs w:val="18"/>
        </w:rPr>
        <w:br/>
        <w:t>EFIN-CITY                   CHAR(30)</w:t>
      </w:r>
      <w:r>
        <w:rPr>
          <w:rFonts w:ascii="Courier New" w:hAnsi="Courier New" w:cs="Courier New"/>
          <w:color w:val="0000FF"/>
          <w:sz w:val="18"/>
          <w:szCs w:val="18"/>
        </w:rPr>
        <w:br/>
        <w:t>EFIN-STATE                  CHAR(20)</w:t>
      </w:r>
      <w:r>
        <w:rPr>
          <w:rFonts w:ascii="Courier New" w:hAnsi="Courier New" w:cs="Courier New"/>
          <w:color w:val="0000FF"/>
          <w:sz w:val="18"/>
          <w:szCs w:val="18"/>
        </w:rPr>
        <w:br/>
        <w:t>EFIN-POSTAL                 CHAR(10)</w:t>
      </w:r>
    </w:p>
    <w:p w:rsidR="00135B5F" w:rsidRDefault="00135B5F" w:rsidP="00135B5F">
      <w:pPr>
        <w:pStyle w:val="ListParagraph"/>
        <w:ind w:left="1440"/>
      </w:pPr>
    </w:p>
    <w:p w:rsidR="00135B5F" w:rsidRDefault="00135B5F" w:rsidP="00135B5F">
      <w:pPr>
        <w:pStyle w:val="ListParagraph"/>
        <w:numPr>
          <w:ilvl w:val="0"/>
          <w:numId w:val="12"/>
        </w:numPr>
      </w:pPr>
      <w:r>
        <w:t>This file will be submitted to IRS via SDT.   The file must be in this format:</w:t>
      </w:r>
    </w:p>
    <w:p w:rsidR="00135B5F" w:rsidRDefault="00135B5F" w:rsidP="00135B5F">
      <w:pPr>
        <w:pStyle w:val="ListParagraph"/>
        <w:numPr>
          <w:ilvl w:val="1"/>
          <w:numId w:val="12"/>
        </w:numPr>
      </w:pPr>
      <w:r>
        <w:t>EFINVCNSoftwareid</w:t>
      </w:r>
    </w:p>
    <w:p w:rsidR="00135B5F" w:rsidRPr="00113FDF" w:rsidRDefault="00135B5F" w:rsidP="00135B5F">
      <w:pPr>
        <w:numPr>
          <w:ilvl w:val="0"/>
          <w:numId w:val="12"/>
        </w:numPr>
        <w:spacing w:after="0" w:line="240" w:lineRule="auto"/>
        <w:rPr>
          <w:sz w:val="24"/>
          <w:szCs w:val="24"/>
        </w:rPr>
      </w:pPr>
      <w:r w:rsidRPr="007462D3">
        <w:t>Use the following address to connect to the SDT server via a web browser:</w:t>
      </w:r>
      <w:r w:rsidRPr="00113FDF">
        <w:rPr>
          <w:sz w:val="24"/>
          <w:szCs w:val="24"/>
        </w:rPr>
        <w:t xml:space="preserve"> </w:t>
      </w:r>
      <w:hyperlink r:id="rId8" w:history="1">
        <w:r w:rsidRPr="00113FDF">
          <w:rPr>
            <w:rStyle w:val="Hyperlink"/>
            <w:b/>
            <w:sz w:val="24"/>
            <w:szCs w:val="24"/>
          </w:rPr>
          <w:t>https://sdt.irs.gov:11443</w:t>
        </w:r>
      </w:hyperlink>
      <w:r w:rsidRPr="00113FDF">
        <w:rPr>
          <w:b/>
          <w:sz w:val="24"/>
          <w:szCs w:val="24"/>
        </w:rPr>
        <w:t xml:space="preserve"> </w:t>
      </w:r>
      <w:r w:rsidRPr="00113FDF">
        <w:rPr>
          <w:sz w:val="24"/>
          <w:szCs w:val="24"/>
        </w:rPr>
        <w:t>for HTTPS or</w:t>
      </w:r>
      <w:r w:rsidRPr="00113FDF">
        <w:rPr>
          <w:b/>
          <w:color w:val="FF0000"/>
          <w:sz w:val="24"/>
          <w:szCs w:val="24"/>
        </w:rPr>
        <w:t xml:space="preserve"> </w:t>
      </w:r>
      <w:hyperlink r:id="rId9" w:history="1">
        <w:r w:rsidRPr="00113FDF">
          <w:rPr>
            <w:rStyle w:val="Hyperlink"/>
            <w:b/>
            <w:sz w:val="24"/>
            <w:szCs w:val="24"/>
          </w:rPr>
          <w:t>http://sdt.irs.gov:11022</w:t>
        </w:r>
      </w:hyperlink>
      <w:r w:rsidRPr="00113FDF">
        <w:rPr>
          <w:b/>
          <w:color w:val="FF0000"/>
          <w:sz w:val="24"/>
          <w:szCs w:val="24"/>
        </w:rPr>
        <w:t xml:space="preserve"> </w:t>
      </w:r>
      <w:r w:rsidR="007077E2">
        <w:rPr>
          <w:sz w:val="24"/>
          <w:szCs w:val="24"/>
        </w:rPr>
        <w:t>for SFTP</w:t>
      </w:r>
    </w:p>
    <w:p w:rsidR="00135B5F" w:rsidRDefault="00135B5F" w:rsidP="00135B5F">
      <w:pPr>
        <w:spacing w:after="0" w:line="240" w:lineRule="auto"/>
        <w:ind w:left="1080"/>
        <w:rPr>
          <w:sz w:val="24"/>
          <w:szCs w:val="24"/>
        </w:rPr>
      </w:pPr>
    </w:p>
    <w:p w:rsidR="00135B5F" w:rsidRPr="00852819" w:rsidRDefault="00135B5F" w:rsidP="007077E2">
      <w:r w:rsidRPr="007077E2">
        <w:rPr>
          <w:b/>
        </w:rPr>
        <w:t xml:space="preserve">The IRS will return the same file with a </w:t>
      </w:r>
      <w:r w:rsidRPr="00427E58">
        <w:t xml:space="preserve">valid/invalid </w:t>
      </w:r>
      <w:r w:rsidRPr="007077E2">
        <w:rPr>
          <w:b/>
        </w:rPr>
        <w:t>indicator</w:t>
      </w:r>
      <w:r w:rsidRPr="00852819">
        <w:t xml:space="preserve"> (Software Industry response will be automatically sent based on appropriate naming conventions for outgoing files [sent via SDT]</w:t>
      </w:r>
    </w:p>
    <w:p w:rsidR="00135B5F" w:rsidRPr="00852819" w:rsidRDefault="00135B5F" w:rsidP="007077E2">
      <w:pPr>
        <w:pStyle w:val="ListParagraph"/>
        <w:numPr>
          <w:ilvl w:val="0"/>
          <w:numId w:val="4"/>
        </w:numPr>
      </w:pPr>
      <w:r w:rsidRPr="00852819">
        <w:t xml:space="preserve">EFIN_VALID OG Folder </w:t>
      </w:r>
    </w:p>
    <w:p w:rsidR="00135B5F" w:rsidRPr="00C321B8" w:rsidRDefault="00135B5F" w:rsidP="007077E2">
      <w:pPr>
        <w:pStyle w:val="ListParagraph"/>
        <w:numPr>
          <w:ilvl w:val="0"/>
          <w:numId w:val="4"/>
        </w:numPr>
      </w:pPr>
      <w:r w:rsidRPr="00C321B8">
        <w:t>\\vp0sentshrcmn18\Common2\EFTU\WI\RICS\TaxPayerAssuranceProgram</w:t>
      </w:r>
      <w:r w:rsidRPr="002F5534">
        <w:rPr>
          <w:color w:val="FF0000"/>
        </w:rPr>
        <w:t xml:space="preserve"> </w:t>
      </w:r>
    </w:p>
    <w:p w:rsidR="00F2607F" w:rsidRPr="00733908" w:rsidRDefault="00F2607F" w:rsidP="00F2607F">
      <w:r w:rsidRPr="00733908">
        <w:rPr>
          <w:b/>
        </w:rPr>
        <w:t>Note:</w:t>
      </w:r>
      <w:r w:rsidRPr="00733908">
        <w:t xml:space="preserve">  If you have you have not received a response on the 24-48 hour window, and you submitted your file timely (NLT 8:30pm EST), please check the naming convention of your file.</w:t>
      </w:r>
    </w:p>
    <w:p w:rsidR="00135B5F" w:rsidRPr="007462D3" w:rsidRDefault="00135B5F" w:rsidP="007462D3">
      <w:pPr>
        <w:pStyle w:val="NoSpacing"/>
        <w:rPr>
          <w:b/>
          <w:u w:val="single"/>
        </w:rPr>
      </w:pPr>
      <w:r w:rsidRPr="007462D3">
        <w:rPr>
          <w:b/>
          <w:u w:val="single"/>
        </w:rPr>
        <w:t>Assigning the Vendor Control Number</w:t>
      </w:r>
    </w:p>
    <w:p w:rsidR="00135B5F" w:rsidRPr="00852819" w:rsidRDefault="00135B5F" w:rsidP="007462D3">
      <w:pPr>
        <w:pStyle w:val="NoSpacing"/>
      </w:pPr>
      <w:r w:rsidRPr="00852819">
        <w:t xml:space="preserve">After the vendor has received confirmation from IRS that the EFIN is valid, the Software Industry will assign a Vendor Control Number </w:t>
      </w:r>
      <w:r w:rsidRPr="00135B5F">
        <w:t>and resubmit t</w:t>
      </w:r>
      <w:r w:rsidRPr="00852819">
        <w:t>he Software EFIN File with the new EFIN and Customer ID, with their corresponding Software ID and submit to IRS via SDT.  The file format will look like this:</w:t>
      </w:r>
    </w:p>
    <w:p w:rsidR="00135B5F" w:rsidRPr="00852819" w:rsidRDefault="00135B5F" w:rsidP="007077E2">
      <w:pPr>
        <w:pStyle w:val="ListParagraph"/>
        <w:numPr>
          <w:ilvl w:val="0"/>
          <w:numId w:val="4"/>
        </w:numPr>
      </w:pPr>
      <w:r w:rsidRPr="00852819">
        <w:t>EFIN (ex – 123456)</w:t>
      </w:r>
    </w:p>
    <w:p w:rsidR="006D01CB" w:rsidRDefault="00135B5F" w:rsidP="007077E2">
      <w:pPr>
        <w:pStyle w:val="ListParagraph"/>
        <w:numPr>
          <w:ilvl w:val="0"/>
          <w:numId w:val="4"/>
        </w:numPr>
      </w:pPr>
      <w:r w:rsidRPr="00852819">
        <w:t>VCN (XX4567890123</w:t>
      </w:r>
      <w:r w:rsidR="00B920B4">
        <w:t xml:space="preserve">, where XX is the vendor </w:t>
      </w:r>
      <w:r w:rsidR="005F40B1">
        <w:t>prefix</w:t>
      </w:r>
      <w:r w:rsidR="00B920B4">
        <w:t xml:space="preserve"> provided by the IRS</w:t>
      </w:r>
      <w:r w:rsidR="006D01CB">
        <w:t>)</w:t>
      </w:r>
    </w:p>
    <w:p w:rsidR="00135B5F" w:rsidRPr="00852819" w:rsidRDefault="00135B5F" w:rsidP="007077E2">
      <w:pPr>
        <w:pStyle w:val="ListParagraph"/>
        <w:numPr>
          <w:ilvl w:val="0"/>
          <w:numId w:val="4"/>
        </w:numPr>
      </w:pPr>
      <w:r w:rsidRPr="00852819">
        <w:t>Software ID  (23456789)</w:t>
      </w:r>
    </w:p>
    <w:p w:rsidR="00135B5F" w:rsidRPr="00852819" w:rsidRDefault="00135B5F" w:rsidP="007077E2">
      <w:pPr>
        <w:pStyle w:val="ListParagraph"/>
        <w:numPr>
          <w:ilvl w:val="0"/>
          <w:numId w:val="4"/>
        </w:numPr>
      </w:pPr>
      <w:r w:rsidRPr="00852819">
        <w:t>Ex: 12345xx456789012323456789</w:t>
      </w:r>
    </w:p>
    <w:p w:rsidR="00135B5F" w:rsidRDefault="00135B5F" w:rsidP="007077E2">
      <w:pPr>
        <w:pStyle w:val="ListParagraph"/>
        <w:numPr>
          <w:ilvl w:val="0"/>
          <w:numId w:val="4"/>
        </w:numPr>
      </w:pPr>
      <w:r w:rsidRPr="00733908">
        <w:rPr>
          <w:b/>
        </w:rPr>
        <w:t xml:space="preserve">Files </w:t>
      </w:r>
      <w:r w:rsidR="00F2607F" w:rsidRPr="00733908">
        <w:rPr>
          <w:b/>
        </w:rPr>
        <w:t xml:space="preserve">are </w:t>
      </w:r>
      <w:r w:rsidRPr="00733908">
        <w:rPr>
          <w:b/>
        </w:rPr>
        <w:t>a complete refresh</w:t>
      </w:r>
      <w:r w:rsidRPr="00733908">
        <w:t xml:space="preserve"> </w:t>
      </w:r>
      <w:r>
        <w:t xml:space="preserve">– no deltas (as requested </w:t>
      </w:r>
      <w:r w:rsidRPr="00487792">
        <w:t xml:space="preserve">by </w:t>
      </w:r>
      <w:r w:rsidRPr="00487792">
        <w:rPr>
          <w:b/>
        </w:rPr>
        <w:t>IT</w:t>
      </w:r>
      <w:r w:rsidRPr="00487792">
        <w:t>)</w:t>
      </w:r>
    </w:p>
    <w:p w:rsidR="007077E2" w:rsidRPr="007077E2" w:rsidRDefault="00135B5F" w:rsidP="00050BAB">
      <w:pPr>
        <w:pStyle w:val="ListParagraph"/>
        <w:numPr>
          <w:ilvl w:val="0"/>
          <w:numId w:val="4"/>
        </w:numPr>
        <w:rPr>
          <w:b/>
        </w:rPr>
      </w:pPr>
      <w:r w:rsidRPr="00487792">
        <w:t xml:space="preserve">EFTU will pick up the file </w:t>
      </w:r>
      <w:r w:rsidRPr="00487792">
        <w:rPr>
          <w:b/>
        </w:rPr>
        <w:t>and send to</w:t>
      </w:r>
      <w:r w:rsidRPr="00487792">
        <w:t xml:space="preserve"> </w:t>
      </w:r>
      <w:r w:rsidRPr="00487792">
        <w:rPr>
          <w:b/>
        </w:rPr>
        <w:t>IT eServices to associate Vendor Control Number</w:t>
      </w:r>
      <w:r w:rsidRPr="00487792">
        <w:t xml:space="preserve">  </w:t>
      </w:r>
      <w:r w:rsidRPr="00487792">
        <w:rPr>
          <w:b/>
        </w:rPr>
        <w:t>to EFIN in IT database.</w:t>
      </w:r>
    </w:p>
    <w:p w:rsidR="00733908" w:rsidRDefault="00733908" w:rsidP="00050BAB">
      <w:pPr>
        <w:pStyle w:val="NoSpacing"/>
        <w:rPr>
          <w:b/>
          <w:u w:val="single"/>
        </w:rPr>
      </w:pPr>
    </w:p>
    <w:p w:rsidR="00733908" w:rsidRDefault="00733908" w:rsidP="00050BAB">
      <w:pPr>
        <w:pStyle w:val="NoSpacing"/>
        <w:rPr>
          <w:b/>
          <w:u w:val="single"/>
        </w:rPr>
      </w:pPr>
    </w:p>
    <w:p w:rsidR="00733908" w:rsidRDefault="00733908" w:rsidP="00050BAB">
      <w:pPr>
        <w:pStyle w:val="NoSpacing"/>
        <w:rPr>
          <w:b/>
          <w:u w:val="single"/>
        </w:rPr>
      </w:pPr>
    </w:p>
    <w:p w:rsidR="00733908" w:rsidRDefault="00733908" w:rsidP="00050BAB">
      <w:pPr>
        <w:pStyle w:val="NoSpacing"/>
        <w:rPr>
          <w:b/>
          <w:u w:val="single"/>
        </w:rPr>
      </w:pPr>
    </w:p>
    <w:p w:rsidR="003D6287" w:rsidRPr="00050BAB" w:rsidRDefault="00135B5F" w:rsidP="00050BAB">
      <w:pPr>
        <w:pStyle w:val="NoSpacing"/>
        <w:rPr>
          <w:b/>
          <w:u w:val="single"/>
        </w:rPr>
      </w:pPr>
      <w:r w:rsidRPr="00050BAB">
        <w:rPr>
          <w:b/>
          <w:u w:val="single"/>
        </w:rPr>
        <w:lastRenderedPageBreak/>
        <w:t>File Exchange</w:t>
      </w:r>
    </w:p>
    <w:p w:rsidR="00530F66" w:rsidRPr="00733908" w:rsidRDefault="00530F66" w:rsidP="00530F66">
      <w:pPr>
        <w:rPr>
          <w:b/>
        </w:rPr>
      </w:pPr>
      <w:r w:rsidRPr="00733908">
        <w:rPr>
          <w:b/>
        </w:rPr>
        <w:t>Below is the record l</w:t>
      </w:r>
      <w:r w:rsidR="00733908">
        <w:rPr>
          <w:b/>
        </w:rPr>
        <w:t>ayout of the input/output files:</w:t>
      </w:r>
    </w:p>
    <w:p w:rsidR="00530F66" w:rsidRPr="00324DB8" w:rsidRDefault="00530F66" w:rsidP="00530F66">
      <w:pPr>
        <w:rPr>
          <w:rFonts w:ascii="Courier New" w:hAnsi="Courier New" w:cs="Courier New"/>
          <w:color w:val="000000" w:themeColor="text1"/>
          <w:sz w:val="18"/>
          <w:szCs w:val="18"/>
        </w:rPr>
      </w:pPr>
      <w:r w:rsidRPr="00324DB8">
        <w:rPr>
          <w:rFonts w:ascii="Courier New" w:hAnsi="Courier New" w:cs="Courier New"/>
          <w:color w:val="000000" w:themeColor="text1"/>
          <w:sz w:val="18"/>
          <w:szCs w:val="18"/>
          <w:highlight w:val="yellow"/>
        </w:rPr>
        <w:t>INDUSTRY-CODE               CHAR(06)     Pos: 001-006</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 xml:space="preserve">STATE-AGENCY-CODE           CHAR(05)     Pos: 007-011  </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SEQUENCE                     NUM(06)     Pos: 012-017</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 xml:space="preserve">TRACKING-NUM                CHAR(20)     Pos: 018-037  </w:t>
      </w:r>
    </w:p>
    <w:p w:rsidR="00530F66" w:rsidRPr="00324DB8" w:rsidRDefault="00530F66" w:rsidP="00530F66">
      <w:pPr>
        <w:rPr>
          <w:rFonts w:ascii="Courier New" w:hAnsi="Courier New" w:cs="Courier New"/>
          <w:color w:val="000000" w:themeColor="text1"/>
          <w:sz w:val="18"/>
          <w:szCs w:val="18"/>
        </w:rPr>
      </w:pPr>
      <w:r w:rsidRPr="00324DB8">
        <w:rPr>
          <w:rFonts w:ascii="Courier New" w:hAnsi="Courier New" w:cs="Courier New"/>
          <w:color w:val="000000" w:themeColor="text1"/>
          <w:sz w:val="18"/>
          <w:szCs w:val="18"/>
          <w:highlight w:val="green"/>
        </w:rPr>
        <w:t>EFIN                        CHAR(06)     Pos: 038-043</w:t>
      </w:r>
    </w:p>
    <w:p w:rsidR="00530F66" w:rsidRPr="00324DB8" w:rsidRDefault="00530F66" w:rsidP="00530F66">
      <w:pPr>
        <w:rPr>
          <w:rFonts w:ascii="Courier New" w:hAnsi="Courier New" w:cs="Courier New"/>
          <w:color w:val="000000" w:themeColor="text1"/>
          <w:sz w:val="18"/>
          <w:szCs w:val="18"/>
        </w:rPr>
      </w:pPr>
      <w:r w:rsidRPr="00324DB8">
        <w:rPr>
          <w:rFonts w:ascii="Courier New" w:hAnsi="Courier New" w:cs="Courier New"/>
          <w:color w:val="000000" w:themeColor="text1"/>
          <w:sz w:val="18"/>
          <w:szCs w:val="18"/>
          <w:highlight w:val="cyan"/>
        </w:rPr>
        <w:t>RESULT-EFIN-STATUS          CHAR(01)     Pos: 044      (Possible result codes are V-Valid assignment, I-Inactive assignment, D-Deleted assignment, N-EFIN not assigned to this customer)</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EFIN-OWNER-TIN              CHAR(09)     Pos: 045-053</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EFIN-OWNER-TIN-TYPE         CHAR(01)     Pos: 054</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EFIN-OWNER-LEGAL-NAME       CHAR(50)     Pos: 055-104</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EFIN-OWNER-DBA-NAME         CHAR(50)     Pos: 105-154</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EFIN-ADDR1                  CHAR(50)     Pos: 155-204</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EFIN-ADDR2                  CHAR(50)     Pos: 205-254</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EFIN-CITY                   CHAR(30)     Pos: 255-284</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EFIN-STATE                  CHAR(20)     Pos: 285-304</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EFIN-POSTAL                 CHAR(10)     Pos: 305-314</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EFIN-COUNTRY                CHAR(03)     Pos: 315-317</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EFIN-CONTACT-NAME           CHAR(30)     Pos: 318-347</w:t>
      </w:r>
    </w:p>
    <w:p w:rsidR="00530F66" w:rsidRDefault="00530F66" w:rsidP="00530F66">
      <w:pPr>
        <w:rPr>
          <w:rFonts w:ascii="Courier New" w:hAnsi="Courier New" w:cs="Courier New"/>
          <w:color w:val="0000FF"/>
          <w:sz w:val="18"/>
          <w:szCs w:val="18"/>
        </w:rPr>
      </w:pPr>
      <w:r>
        <w:rPr>
          <w:rFonts w:ascii="Courier New" w:hAnsi="Courier New" w:cs="Courier New"/>
          <w:color w:val="0000FF"/>
          <w:sz w:val="18"/>
          <w:szCs w:val="18"/>
        </w:rPr>
        <w:t>EFIN-CONTACT-PHONE          CHAR(20)     Pos: 348-367</w:t>
      </w:r>
    </w:p>
    <w:p w:rsidR="00530F66" w:rsidRPr="00324DB8" w:rsidRDefault="00530F66" w:rsidP="00530F66">
      <w:pPr>
        <w:rPr>
          <w:rFonts w:ascii="Courier New" w:hAnsi="Courier New" w:cs="Courier New"/>
          <w:color w:val="000000" w:themeColor="text1"/>
          <w:sz w:val="18"/>
          <w:szCs w:val="18"/>
        </w:rPr>
      </w:pPr>
      <w:r w:rsidRPr="00324DB8">
        <w:rPr>
          <w:rFonts w:ascii="Courier New" w:hAnsi="Courier New" w:cs="Courier New"/>
          <w:color w:val="000000" w:themeColor="text1"/>
          <w:sz w:val="18"/>
          <w:szCs w:val="18"/>
          <w:highlight w:val="green"/>
        </w:rPr>
        <w:t>INDUSTRY-SOFTWARE-ID        CHAR(</w:t>
      </w:r>
      <w:r w:rsidR="00AE7106" w:rsidRPr="00324DB8">
        <w:rPr>
          <w:rFonts w:ascii="Courier New" w:hAnsi="Courier New" w:cs="Courier New"/>
          <w:color w:val="000000" w:themeColor="text1"/>
          <w:sz w:val="18"/>
          <w:szCs w:val="18"/>
          <w:highlight w:val="green"/>
        </w:rPr>
        <w:t>8</w:t>
      </w:r>
      <w:r w:rsidRPr="00324DB8">
        <w:rPr>
          <w:rFonts w:ascii="Courier New" w:hAnsi="Courier New" w:cs="Courier New"/>
          <w:color w:val="000000" w:themeColor="text1"/>
          <w:sz w:val="18"/>
          <w:szCs w:val="18"/>
          <w:highlight w:val="green"/>
        </w:rPr>
        <w:t xml:space="preserve">)     </w:t>
      </w:r>
      <w:r w:rsidR="00E36F62" w:rsidRPr="00324DB8">
        <w:rPr>
          <w:rFonts w:ascii="Courier New" w:hAnsi="Courier New" w:cs="Courier New"/>
          <w:color w:val="000000" w:themeColor="text1"/>
          <w:sz w:val="18"/>
          <w:szCs w:val="18"/>
          <w:highlight w:val="green"/>
        </w:rPr>
        <w:t xml:space="preserve"> </w:t>
      </w:r>
      <w:r w:rsidRPr="00324DB8">
        <w:rPr>
          <w:rFonts w:ascii="Courier New" w:hAnsi="Courier New" w:cs="Courier New"/>
          <w:color w:val="000000" w:themeColor="text1"/>
          <w:sz w:val="18"/>
          <w:szCs w:val="18"/>
          <w:highlight w:val="green"/>
        </w:rPr>
        <w:t>Pos: 368-37</w:t>
      </w:r>
      <w:r w:rsidR="00732C3E" w:rsidRPr="00324DB8">
        <w:rPr>
          <w:rFonts w:ascii="Courier New" w:hAnsi="Courier New" w:cs="Courier New"/>
          <w:color w:val="000000" w:themeColor="text1"/>
          <w:sz w:val="18"/>
          <w:szCs w:val="18"/>
        </w:rPr>
        <w:t>7</w:t>
      </w:r>
    </w:p>
    <w:p w:rsidR="00530F66" w:rsidRPr="00324DB8" w:rsidRDefault="00530F66" w:rsidP="00530F66">
      <w:pPr>
        <w:rPr>
          <w:rFonts w:ascii="Courier New" w:hAnsi="Courier New" w:cs="Courier New"/>
          <w:color w:val="000000" w:themeColor="text1"/>
          <w:sz w:val="18"/>
          <w:szCs w:val="18"/>
        </w:rPr>
      </w:pPr>
      <w:r w:rsidRPr="00324DB8">
        <w:rPr>
          <w:rFonts w:ascii="Courier New" w:hAnsi="Courier New" w:cs="Courier New"/>
          <w:color w:val="000000" w:themeColor="text1"/>
          <w:sz w:val="18"/>
          <w:szCs w:val="18"/>
          <w:highlight w:val="green"/>
        </w:rPr>
        <w:t>CUSTOMER-VENDOR-ID          CHAR(16)     Pos: 37</w:t>
      </w:r>
      <w:r w:rsidR="00732C3E" w:rsidRPr="00324DB8">
        <w:rPr>
          <w:rFonts w:ascii="Courier New" w:hAnsi="Courier New" w:cs="Courier New"/>
          <w:color w:val="000000" w:themeColor="text1"/>
          <w:sz w:val="18"/>
          <w:szCs w:val="18"/>
          <w:highlight w:val="green"/>
        </w:rPr>
        <w:t>8</w:t>
      </w:r>
      <w:r w:rsidRPr="00324DB8">
        <w:rPr>
          <w:rFonts w:ascii="Courier New" w:hAnsi="Courier New" w:cs="Courier New"/>
          <w:color w:val="000000" w:themeColor="text1"/>
          <w:sz w:val="18"/>
          <w:szCs w:val="18"/>
          <w:highlight w:val="green"/>
        </w:rPr>
        <w:t>-39</w:t>
      </w:r>
      <w:r w:rsidR="00732C3E" w:rsidRPr="00324DB8">
        <w:rPr>
          <w:rFonts w:ascii="Courier New" w:hAnsi="Courier New" w:cs="Courier New"/>
          <w:color w:val="000000" w:themeColor="text1"/>
          <w:sz w:val="18"/>
          <w:szCs w:val="18"/>
        </w:rPr>
        <w:t>3</w:t>
      </w:r>
    </w:p>
    <w:p w:rsidR="00034A84" w:rsidRPr="00324DB8" w:rsidRDefault="00530F66" w:rsidP="00530F66">
      <w:pPr>
        <w:rPr>
          <w:rFonts w:ascii="Courier New" w:hAnsi="Courier New" w:cs="Courier New"/>
          <w:color w:val="000000" w:themeColor="text1"/>
          <w:sz w:val="18"/>
          <w:szCs w:val="18"/>
        </w:rPr>
      </w:pPr>
      <w:r w:rsidRPr="00324DB8">
        <w:rPr>
          <w:rFonts w:ascii="Courier New" w:hAnsi="Courier New" w:cs="Courier New"/>
          <w:color w:val="000000" w:themeColor="text1"/>
          <w:sz w:val="18"/>
          <w:szCs w:val="18"/>
          <w:highlight w:val="cyan"/>
        </w:rPr>
        <w:t>INDUSTRY-ACTION-F</w:t>
      </w:r>
      <w:r w:rsidR="00732C3E" w:rsidRPr="00324DB8">
        <w:rPr>
          <w:rFonts w:ascii="Courier New" w:hAnsi="Courier New" w:cs="Courier New"/>
          <w:color w:val="000000" w:themeColor="text1"/>
          <w:sz w:val="18"/>
          <w:szCs w:val="18"/>
          <w:highlight w:val="cyan"/>
        </w:rPr>
        <w:t>LAG        CHAR(01)     Pos: 394</w:t>
      </w:r>
      <w:r w:rsidRPr="00324DB8">
        <w:rPr>
          <w:rFonts w:ascii="Courier New" w:hAnsi="Courier New" w:cs="Courier New"/>
          <w:color w:val="000000" w:themeColor="text1"/>
          <w:sz w:val="18"/>
          <w:szCs w:val="18"/>
          <w:highlight w:val="cyan"/>
        </w:rPr>
        <w:t xml:space="preserve">    </w:t>
      </w:r>
    </w:p>
    <w:p w:rsidR="00C52BAC" w:rsidRDefault="00B61962" w:rsidP="00733908">
      <w:r w:rsidRPr="00C52BAC">
        <w:rPr>
          <w:b/>
        </w:rPr>
        <w:t xml:space="preserve">* </w:t>
      </w:r>
      <w:r w:rsidR="00F2607F" w:rsidRPr="00C52BAC">
        <w:rPr>
          <w:b/>
        </w:rPr>
        <w:t>Ensure that your</w:t>
      </w:r>
      <w:r w:rsidR="00530F66" w:rsidRPr="00C52BAC">
        <w:rPr>
          <w:b/>
        </w:rPr>
        <w:t xml:space="preserve"> file </w:t>
      </w:r>
      <w:r w:rsidR="00F2607F" w:rsidRPr="00C52BAC">
        <w:rPr>
          <w:b/>
        </w:rPr>
        <w:t>has</w:t>
      </w:r>
      <w:r w:rsidR="00530F66" w:rsidRPr="00C52BAC">
        <w:rPr>
          <w:b/>
        </w:rPr>
        <w:t xml:space="preserve"> the </w:t>
      </w:r>
      <w:r w:rsidR="00425D59" w:rsidRPr="00C52BAC">
        <w:rPr>
          <w:b/>
        </w:rPr>
        <w:t>correct</w:t>
      </w:r>
      <w:r w:rsidR="00530F66" w:rsidRPr="00C52BAC">
        <w:rPr>
          <w:b/>
        </w:rPr>
        <w:t xml:space="preserve"> INDUSTRY-CODE or STATE-AGENCY-CODE</w:t>
      </w:r>
      <w:r w:rsidR="00F2607F" w:rsidRPr="00C52BAC">
        <w:rPr>
          <w:b/>
        </w:rPr>
        <w:t>, otherwise the file will not be recognized or processed.</w:t>
      </w:r>
      <w:r w:rsidR="00F2607F" w:rsidRPr="00C52BAC">
        <w:t xml:space="preserve">  </w:t>
      </w:r>
    </w:p>
    <w:p w:rsidR="00530F66" w:rsidRDefault="00425D59" w:rsidP="00733908">
      <w:pPr>
        <w:rPr>
          <w:rFonts w:ascii="Courier New" w:hAnsi="Courier New" w:cs="Courier New"/>
          <w:color w:val="0000FF"/>
          <w:sz w:val="18"/>
          <w:szCs w:val="18"/>
        </w:rPr>
      </w:pPr>
      <w:r>
        <w:t>Then:</w:t>
      </w:r>
    </w:p>
    <w:p w:rsidR="00530F66" w:rsidRPr="00082FCE" w:rsidRDefault="00530F66" w:rsidP="00530F66">
      <w:pPr>
        <w:pStyle w:val="NoSpacing"/>
        <w:numPr>
          <w:ilvl w:val="0"/>
          <w:numId w:val="4"/>
        </w:numPr>
        <w:rPr>
          <w:color w:val="000000" w:themeColor="text1"/>
        </w:rPr>
      </w:pPr>
      <w:r w:rsidRPr="00082FCE">
        <w:rPr>
          <w:b/>
          <w:color w:val="000000" w:themeColor="text1"/>
        </w:rPr>
        <w:t>For VCN save</w:t>
      </w:r>
      <w:r w:rsidRPr="00082FCE">
        <w:rPr>
          <w:color w:val="000000" w:themeColor="text1"/>
        </w:rPr>
        <w:t>, IRS needs the data in the highlighted fields</w:t>
      </w:r>
      <w:r w:rsidR="00324DB8" w:rsidRPr="00082FCE">
        <w:rPr>
          <w:color w:val="000000" w:themeColor="text1"/>
        </w:rPr>
        <w:t xml:space="preserve"> above,</w:t>
      </w:r>
      <w:r w:rsidRPr="00082FCE">
        <w:rPr>
          <w:color w:val="000000" w:themeColor="text1"/>
        </w:rPr>
        <w:t xml:space="preserve"> namely EFIN &amp; INDUSTRY-SOFTWARE-ID &amp; CUSTOMER-VENDOR-ID. </w:t>
      </w:r>
    </w:p>
    <w:p w:rsidR="00530F66" w:rsidRPr="00082FCE" w:rsidRDefault="00530F66" w:rsidP="00DB057A">
      <w:pPr>
        <w:pStyle w:val="NoSpacing"/>
        <w:numPr>
          <w:ilvl w:val="0"/>
          <w:numId w:val="4"/>
        </w:numPr>
        <w:rPr>
          <w:b/>
          <w:color w:val="000000" w:themeColor="text1"/>
          <w:u w:val="single"/>
        </w:rPr>
      </w:pPr>
      <w:r w:rsidRPr="00082FCE">
        <w:rPr>
          <w:b/>
          <w:color w:val="000000" w:themeColor="text1"/>
        </w:rPr>
        <w:t>For EFIN validation</w:t>
      </w:r>
      <w:r w:rsidRPr="00082FCE">
        <w:rPr>
          <w:color w:val="000000" w:themeColor="text1"/>
        </w:rPr>
        <w:t>, we need data in EFIN &amp; TRACKIN-NUM or EFIN &amp; EFIN-OWNER-TIN &amp; EFIN-OWNER-TIN-TYPE.</w:t>
      </w:r>
      <w:r w:rsidR="00324DB8" w:rsidRPr="00082FCE">
        <w:rPr>
          <w:color w:val="000000" w:themeColor="text1"/>
        </w:rPr>
        <w:t xml:space="preserve"> If the tracking number is not available, then industry must submit the EFIN and the additional information mentioned </w:t>
      </w:r>
      <w:r w:rsidR="00DB057A" w:rsidRPr="00082FCE">
        <w:rPr>
          <w:color w:val="000000" w:themeColor="text1"/>
        </w:rPr>
        <w:t>above in “</w:t>
      </w:r>
      <w:r w:rsidR="00DB057A" w:rsidRPr="00082FCE">
        <w:rPr>
          <w:b/>
          <w:color w:val="000000" w:themeColor="text1"/>
          <w:u w:val="single"/>
        </w:rPr>
        <w:t>Submitting EFINs for Validation”</w:t>
      </w:r>
    </w:p>
    <w:p w:rsidR="00530F66" w:rsidRPr="00530F66" w:rsidRDefault="00530F66" w:rsidP="00530F66">
      <w:pPr>
        <w:pStyle w:val="NoSpacing"/>
        <w:ind w:left="720"/>
      </w:pPr>
    </w:p>
    <w:p w:rsidR="00530F66" w:rsidRPr="00530F66" w:rsidRDefault="00530F66" w:rsidP="00530F66">
      <w:r w:rsidRPr="00530F66">
        <w:lastRenderedPageBreak/>
        <w:t>EFIN is 6 bytes in length; EFIN on input file can be of 5 digits; example ‘12345’ is a 5 digit EFIN but when put on the file, it should be prefixed with leading zeroes ‘012345’. Same situation with EFIN-OWNER-TIN as well.</w:t>
      </w:r>
    </w:p>
    <w:p w:rsidR="00530F66" w:rsidRPr="00082FCE" w:rsidRDefault="00530F66" w:rsidP="00530F66">
      <w:pPr>
        <w:pStyle w:val="NoSpacing"/>
        <w:rPr>
          <w:color w:val="000000" w:themeColor="text1"/>
        </w:rPr>
      </w:pPr>
      <w:r w:rsidRPr="00530F66">
        <w:t xml:space="preserve">EFIN-OWNER-TIN-TYPE can be either a </w:t>
      </w:r>
      <w:r w:rsidRPr="005D36C5">
        <w:rPr>
          <w:b/>
        </w:rPr>
        <w:t>‘</w:t>
      </w:r>
      <w:r w:rsidRPr="005D36C5">
        <w:rPr>
          <w:b/>
          <w:color w:val="000000" w:themeColor="text1"/>
        </w:rPr>
        <w:t>0’</w:t>
      </w:r>
      <w:r w:rsidR="00DB057A" w:rsidRPr="005D36C5">
        <w:rPr>
          <w:b/>
          <w:color w:val="000000" w:themeColor="text1"/>
        </w:rPr>
        <w:t xml:space="preserve"> for SSN</w:t>
      </w:r>
      <w:r w:rsidR="00DB057A" w:rsidRPr="00082FCE">
        <w:rPr>
          <w:color w:val="000000" w:themeColor="text1"/>
        </w:rPr>
        <w:t xml:space="preserve"> </w:t>
      </w:r>
      <w:r w:rsidRPr="00082FCE">
        <w:rPr>
          <w:color w:val="000000" w:themeColor="text1"/>
        </w:rPr>
        <w:t xml:space="preserve">or </w:t>
      </w:r>
      <w:r w:rsidRPr="005D36C5">
        <w:rPr>
          <w:b/>
          <w:color w:val="000000" w:themeColor="text1"/>
        </w:rPr>
        <w:t>‘2’</w:t>
      </w:r>
      <w:r w:rsidR="00DB057A" w:rsidRPr="005D36C5">
        <w:rPr>
          <w:b/>
          <w:color w:val="000000" w:themeColor="text1"/>
        </w:rPr>
        <w:t xml:space="preserve"> for EIN</w:t>
      </w:r>
      <w:r w:rsidRPr="00082FCE">
        <w:rPr>
          <w:color w:val="000000" w:themeColor="text1"/>
        </w:rPr>
        <w:t xml:space="preserve"> when EFIN-OWNER-TIN is present.</w:t>
      </w:r>
      <w:r w:rsidR="00571DB7" w:rsidRPr="00082FCE">
        <w:rPr>
          <w:color w:val="000000" w:themeColor="text1"/>
        </w:rPr>
        <w:t xml:space="preserve">  </w:t>
      </w:r>
      <w:r w:rsidRPr="00082FCE">
        <w:rPr>
          <w:color w:val="000000" w:themeColor="text1"/>
        </w:rPr>
        <w:t>If blanks in EFIN-OWNER-TIN, then blanks are expected in EFIN-OWNER-TIN-TYPE as well.</w:t>
      </w:r>
    </w:p>
    <w:p w:rsidR="00530F66" w:rsidRPr="00082FCE" w:rsidRDefault="00530F66" w:rsidP="00530F66">
      <w:pPr>
        <w:pStyle w:val="NoSpacing"/>
        <w:rPr>
          <w:color w:val="000000" w:themeColor="text1"/>
        </w:rPr>
      </w:pPr>
    </w:p>
    <w:p w:rsidR="00571DB7" w:rsidRPr="00082FCE" w:rsidRDefault="00530F66" w:rsidP="00530F66">
      <w:pPr>
        <w:pStyle w:val="NoSpacing"/>
        <w:rPr>
          <w:color w:val="000000" w:themeColor="text1"/>
        </w:rPr>
      </w:pPr>
      <w:r w:rsidRPr="00082FCE">
        <w:rPr>
          <w:color w:val="000000" w:themeColor="text1"/>
        </w:rPr>
        <w:t xml:space="preserve">The software ID and Customer Vendor ID has been allocated 10 and 16 bytes respectively to accommodate for future increase in length of those ID’s. </w:t>
      </w:r>
    </w:p>
    <w:p w:rsidR="00571DB7" w:rsidRPr="00082FCE" w:rsidRDefault="00571DB7" w:rsidP="00530F66">
      <w:pPr>
        <w:pStyle w:val="NoSpacing"/>
        <w:rPr>
          <w:color w:val="000000" w:themeColor="text1"/>
        </w:rPr>
      </w:pPr>
    </w:p>
    <w:p w:rsidR="00C52BAC" w:rsidRDefault="00530F66" w:rsidP="00530F66">
      <w:pPr>
        <w:pStyle w:val="NoSpacing"/>
        <w:rPr>
          <w:color w:val="000000" w:themeColor="text1"/>
        </w:rPr>
      </w:pPr>
      <w:r w:rsidRPr="00082FCE">
        <w:rPr>
          <w:color w:val="000000" w:themeColor="text1"/>
        </w:rPr>
        <w:t>Tracking Number, Software ID and VCN can be smaller than max length allocated and in those cases, left justify the start position of those fields and set trailing blanks on the right if value is less than their max field size.</w:t>
      </w:r>
      <w:r w:rsidR="00B61962">
        <w:rPr>
          <w:color w:val="000000" w:themeColor="text1"/>
        </w:rPr>
        <w:t xml:space="preserve">  </w:t>
      </w:r>
    </w:p>
    <w:p w:rsidR="00C52BAC" w:rsidRDefault="00C52BAC" w:rsidP="00530F66">
      <w:pPr>
        <w:pStyle w:val="NoSpacing"/>
        <w:rPr>
          <w:color w:val="000000" w:themeColor="text1"/>
        </w:rPr>
      </w:pPr>
    </w:p>
    <w:p w:rsidR="00530F66" w:rsidRPr="00082FCE" w:rsidRDefault="00530F66" w:rsidP="00530F66">
      <w:pPr>
        <w:pStyle w:val="NoSpacing"/>
        <w:rPr>
          <w:color w:val="000000" w:themeColor="text1"/>
        </w:rPr>
      </w:pPr>
      <w:r w:rsidRPr="00082FCE">
        <w:rPr>
          <w:color w:val="000000" w:themeColor="text1"/>
        </w:rPr>
        <w:t>We do save other fields on the transaction and they too can be left justified with trailing blanks on the right</w:t>
      </w:r>
      <w:r w:rsidR="00425D59">
        <w:rPr>
          <w:color w:val="000000" w:themeColor="text1"/>
        </w:rPr>
        <w:t>.</w:t>
      </w:r>
    </w:p>
    <w:p w:rsidR="000169B6" w:rsidRPr="00082FCE" w:rsidRDefault="000169B6" w:rsidP="00530F66">
      <w:pPr>
        <w:pStyle w:val="NoSpacing"/>
        <w:rPr>
          <w:color w:val="000000" w:themeColor="text1"/>
        </w:rPr>
      </w:pPr>
    </w:p>
    <w:p w:rsidR="00C52BAC" w:rsidRDefault="00C52BAC" w:rsidP="00425D59">
      <w:pPr>
        <w:rPr>
          <w:color w:val="000000" w:themeColor="text1"/>
        </w:rPr>
      </w:pPr>
      <w:r>
        <w:t>In 2018 we implemented</w:t>
      </w:r>
      <w:r w:rsidR="00425D59" w:rsidRPr="00C52BAC">
        <w:t xml:space="preserve"> an additional business rule IND162 BR IND-162 (“Thank you for using e-File”), that is an Alert business rule and will not lead to any additional rejects.  </w:t>
      </w:r>
      <w:r w:rsidRPr="00C52BAC">
        <w:t xml:space="preserve">If possible, this business rule should not be passed back to the taxpayer/tax preparer if the company has the programming ability to prevent this.  </w:t>
      </w:r>
      <w:r w:rsidR="00425D59" w:rsidRPr="00C52BAC">
        <w:t xml:space="preserve">Enabling the business rule will assist the IRS to identify EFINs that are authorized to file using specific software and potentially help to identify fraudulently filed returns.  </w:t>
      </w:r>
      <w:r w:rsidR="000169B6" w:rsidRPr="00C52BAC">
        <w:t xml:space="preserve">To perform the validation, MeF will </w:t>
      </w:r>
      <w:r w:rsidR="000169B6" w:rsidRPr="00082FCE">
        <w:rPr>
          <w:color w:val="000000" w:themeColor="text1"/>
        </w:rPr>
        <w:t>re</w:t>
      </w:r>
      <w:r w:rsidR="00DB057A" w:rsidRPr="00082FCE">
        <w:rPr>
          <w:color w:val="000000" w:themeColor="text1"/>
        </w:rPr>
        <w:t>view and confirm</w:t>
      </w:r>
      <w:r w:rsidR="005D3EE5" w:rsidRPr="00082FCE">
        <w:rPr>
          <w:color w:val="000000" w:themeColor="text1"/>
        </w:rPr>
        <w:t xml:space="preserve"> EFIN, Software ID and Vendor Control Number.  </w:t>
      </w:r>
    </w:p>
    <w:p w:rsidR="00C52BAC" w:rsidRDefault="00C52BAC" w:rsidP="00425D59">
      <w:pPr>
        <w:rPr>
          <w:color w:val="000000" w:themeColor="text1"/>
        </w:rPr>
      </w:pPr>
    </w:p>
    <w:p w:rsidR="005D3EE5" w:rsidRPr="00C52BAC" w:rsidRDefault="005D3EE5" w:rsidP="00425D59">
      <w:pPr>
        <w:rPr>
          <w:b/>
        </w:rPr>
      </w:pPr>
      <w:r w:rsidRPr="00C52BAC">
        <w:rPr>
          <w:b/>
          <w:color w:val="000000" w:themeColor="text1"/>
        </w:rPr>
        <w:t>Please ensure your information is provided in the correct format and justified as noted below:</w:t>
      </w:r>
      <w:r w:rsidR="000169B6" w:rsidRPr="00C52BAC">
        <w:rPr>
          <w:b/>
          <w:color w:val="000000" w:themeColor="text1"/>
        </w:rPr>
        <w:t xml:space="preserve"> </w:t>
      </w:r>
    </w:p>
    <w:tbl>
      <w:tblPr>
        <w:tblW w:w="9278" w:type="dxa"/>
        <w:tblCellMar>
          <w:left w:w="0" w:type="dxa"/>
          <w:right w:w="0" w:type="dxa"/>
        </w:tblCellMar>
        <w:tblLook w:val="04A0" w:firstRow="1" w:lastRow="0" w:firstColumn="1" w:lastColumn="0" w:noHBand="0" w:noVBand="1"/>
      </w:tblPr>
      <w:tblGrid>
        <w:gridCol w:w="824"/>
        <w:gridCol w:w="2434"/>
        <w:gridCol w:w="946"/>
        <w:gridCol w:w="1032"/>
        <w:gridCol w:w="1290"/>
        <w:gridCol w:w="2752"/>
      </w:tblGrid>
      <w:tr w:rsidR="000169B6" w:rsidTr="0086341F">
        <w:trPr>
          <w:cantSplit/>
          <w:trHeight w:val="504"/>
          <w:tblHeader/>
        </w:trPr>
        <w:tc>
          <w:tcPr>
            <w:tcW w:w="82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0" w:type="dxa"/>
              <w:right w:w="15" w:type="dxa"/>
            </w:tcMar>
            <w:vAlign w:val="center"/>
            <w:hideMark/>
          </w:tcPr>
          <w:p w:rsidR="000169B6" w:rsidRDefault="000169B6">
            <w:pPr>
              <w:pStyle w:val="TableHeadingFileLayout"/>
            </w:pPr>
            <w:r>
              <w:t>Field No.</w:t>
            </w:r>
          </w:p>
        </w:tc>
        <w:tc>
          <w:tcPr>
            <w:tcW w:w="2434" w:type="dxa"/>
            <w:tcBorders>
              <w:top w:val="single" w:sz="8" w:space="0" w:color="auto"/>
              <w:left w:val="nil"/>
              <w:bottom w:val="single" w:sz="8" w:space="0" w:color="auto"/>
              <w:right w:val="single" w:sz="8" w:space="0" w:color="auto"/>
            </w:tcBorders>
            <w:shd w:val="clear" w:color="auto" w:fill="CCCCCC"/>
            <w:tcMar>
              <w:top w:w="15" w:type="dxa"/>
              <w:left w:w="15" w:type="dxa"/>
              <w:bottom w:w="0" w:type="dxa"/>
              <w:right w:w="15" w:type="dxa"/>
            </w:tcMar>
            <w:vAlign w:val="center"/>
            <w:hideMark/>
          </w:tcPr>
          <w:p w:rsidR="000169B6" w:rsidRDefault="000169B6">
            <w:pPr>
              <w:pStyle w:val="TableHeadingFileLayout"/>
            </w:pPr>
            <w:r>
              <w:t>Field Name</w:t>
            </w:r>
          </w:p>
        </w:tc>
        <w:tc>
          <w:tcPr>
            <w:tcW w:w="946" w:type="dxa"/>
            <w:tcBorders>
              <w:top w:val="single" w:sz="8" w:space="0" w:color="auto"/>
              <w:left w:val="nil"/>
              <w:bottom w:val="single" w:sz="8" w:space="0" w:color="auto"/>
              <w:right w:val="single" w:sz="8" w:space="0" w:color="auto"/>
            </w:tcBorders>
            <w:shd w:val="clear" w:color="auto" w:fill="CCCCCC"/>
            <w:tcMar>
              <w:top w:w="15" w:type="dxa"/>
              <w:left w:w="15" w:type="dxa"/>
              <w:bottom w:w="0" w:type="dxa"/>
              <w:right w:w="15" w:type="dxa"/>
            </w:tcMar>
            <w:vAlign w:val="center"/>
            <w:hideMark/>
          </w:tcPr>
          <w:p w:rsidR="000169B6" w:rsidRDefault="000169B6">
            <w:pPr>
              <w:pStyle w:val="TableHeadingFileLayout"/>
            </w:pPr>
            <w:r>
              <w:t>Length</w:t>
            </w:r>
          </w:p>
        </w:tc>
        <w:tc>
          <w:tcPr>
            <w:tcW w:w="1032" w:type="dxa"/>
            <w:tcBorders>
              <w:top w:val="single" w:sz="8" w:space="0" w:color="auto"/>
              <w:left w:val="nil"/>
              <w:bottom w:val="single" w:sz="8" w:space="0" w:color="auto"/>
              <w:right w:val="single" w:sz="8" w:space="0" w:color="auto"/>
            </w:tcBorders>
            <w:shd w:val="clear" w:color="auto" w:fill="CCCCCC"/>
            <w:tcMar>
              <w:top w:w="15" w:type="dxa"/>
              <w:left w:w="15" w:type="dxa"/>
              <w:bottom w:w="0" w:type="dxa"/>
              <w:right w:w="15" w:type="dxa"/>
            </w:tcMar>
            <w:vAlign w:val="center"/>
            <w:hideMark/>
          </w:tcPr>
          <w:p w:rsidR="000169B6" w:rsidRDefault="000169B6">
            <w:pPr>
              <w:pStyle w:val="TableHeadingFileLayout"/>
            </w:pPr>
            <w:r>
              <w:t>Character Position</w:t>
            </w:r>
          </w:p>
        </w:tc>
        <w:tc>
          <w:tcPr>
            <w:tcW w:w="1290" w:type="dxa"/>
            <w:tcBorders>
              <w:top w:val="single" w:sz="8" w:space="0" w:color="auto"/>
              <w:left w:val="nil"/>
              <w:bottom w:val="single" w:sz="8" w:space="0" w:color="auto"/>
              <w:right w:val="single" w:sz="8" w:space="0" w:color="auto"/>
            </w:tcBorders>
            <w:shd w:val="clear" w:color="auto" w:fill="CCCCCC"/>
            <w:tcMar>
              <w:top w:w="15" w:type="dxa"/>
              <w:left w:w="15" w:type="dxa"/>
              <w:bottom w:w="0" w:type="dxa"/>
              <w:right w:w="15" w:type="dxa"/>
            </w:tcMar>
            <w:vAlign w:val="center"/>
            <w:hideMark/>
          </w:tcPr>
          <w:p w:rsidR="000169B6" w:rsidRDefault="000169B6">
            <w:pPr>
              <w:pStyle w:val="TableHeadingFileLayout"/>
            </w:pPr>
            <w:r>
              <w:t>Field Description (Values or Source)</w:t>
            </w:r>
          </w:p>
        </w:tc>
        <w:tc>
          <w:tcPr>
            <w:tcW w:w="2752" w:type="dxa"/>
            <w:tcBorders>
              <w:top w:val="single" w:sz="8" w:space="0" w:color="auto"/>
              <w:left w:val="nil"/>
              <w:bottom w:val="single" w:sz="8" w:space="0" w:color="auto"/>
              <w:right w:val="single" w:sz="8" w:space="0" w:color="auto"/>
            </w:tcBorders>
            <w:shd w:val="clear" w:color="auto" w:fill="CCCCCC"/>
            <w:tcMar>
              <w:top w:w="15" w:type="dxa"/>
              <w:left w:w="15" w:type="dxa"/>
              <w:bottom w:w="0" w:type="dxa"/>
              <w:right w:w="15" w:type="dxa"/>
            </w:tcMar>
            <w:vAlign w:val="center"/>
            <w:hideMark/>
          </w:tcPr>
          <w:p w:rsidR="000169B6" w:rsidRDefault="000169B6">
            <w:pPr>
              <w:pStyle w:val="TableHeadingFileLayout"/>
            </w:pPr>
            <w:r>
              <w:t>Rules and Guidelines</w:t>
            </w:r>
          </w:p>
        </w:tc>
      </w:tr>
      <w:tr w:rsidR="000169B6" w:rsidTr="0086341F">
        <w:trPr>
          <w:cantSplit/>
          <w:trHeight w:val="271"/>
        </w:trPr>
        <w:tc>
          <w:tcPr>
            <w:tcW w:w="824" w:type="dxa"/>
            <w:tcBorders>
              <w:top w:val="nil"/>
              <w:left w:val="single" w:sz="8" w:space="0" w:color="auto"/>
              <w:bottom w:val="single" w:sz="8" w:space="0" w:color="auto"/>
              <w:right w:val="single" w:sz="8" w:space="0" w:color="auto"/>
            </w:tcBorders>
            <w:noWrap/>
            <w:vAlign w:val="center"/>
            <w:hideMark/>
          </w:tcPr>
          <w:p w:rsidR="000169B6" w:rsidRDefault="000169B6">
            <w:pPr>
              <w:pStyle w:val="TableBodyFileLayout"/>
              <w:jc w:val="center"/>
            </w:pPr>
            <w:r>
              <w:t>1</w:t>
            </w:r>
          </w:p>
        </w:tc>
        <w:tc>
          <w:tcPr>
            <w:tcW w:w="2434" w:type="dxa"/>
            <w:tcBorders>
              <w:top w:val="nil"/>
              <w:left w:val="nil"/>
              <w:bottom w:val="single" w:sz="8" w:space="0" w:color="auto"/>
              <w:right w:val="single" w:sz="8" w:space="0" w:color="auto"/>
            </w:tcBorders>
            <w:noWrap/>
            <w:tcMar>
              <w:top w:w="0" w:type="dxa"/>
              <w:left w:w="72" w:type="dxa"/>
              <w:bottom w:w="0" w:type="dxa"/>
              <w:right w:w="0" w:type="dxa"/>
            </w:tcMar>
            <w:hideMark/>
          </w:tcPr>
          <w:p w:rsidR="000169B6" w:rsidRDefault="000169B6">
            <w:pPr>
              <w:pStyle w:val="TableBodyFileLayout"/>
            </w:pPr>
            <w:r>
              <w:t>EFIN</w:t>
            </w:r>
          </w:p>
        </w:tc>
        <w:tc>
          <w:tcPr>
            <w:tcW w:w="946" w:type="dxa"/>
            <w:tcBorders>
              <w:top w:val="nil"/>
              <w:left w:val="nil"/>
              <w:bottom w:val="single" w:sz="8" w:space="0" w:color="auto"/>
              <w:right w:val="single" w:sz="8" w:space="0" w:color="auto"/>
            </w:tcBorders>
            <w:noWrap/>
            <w:hideMark/>
          </w:tcPr>
          <w:p w:rsidR="000169B6" w:rsidRDefault="000169B6">
            <w:pPr>
              <w:pStyle w:val="TableBodyFileLayout"/>
              <w:jc w:val="center"/>
            </w:pPr>
            <w:r>
              <w:t>6</w:t>
            </w:r>
          </w:p>
        </w:tc>
        <w:tc>
          <w:tcPr>
            <w:tcW w:w="1032" w:type="dxa"/>
            <w:tcBorders>
              <w:top w:val="nil"/>
              <w:left w:val="nil"/>
              <w:bottom w:val="single" w:sz="8" w:space="0" w:color="auto"/>
              <w:right w:val="single" w:sz="8" w:space="0" w:color="auto"/>
            </w:tcBorders>
            <w:noWrap/>
            <w:hideMark/>
          </w:tcPr>
          <w:p w:rsidR="000169B6" w:rsidRDefault="000169B6">
            <w:pPr>
              <w:pStyle w:val="TableBodyFileLayout"/>
              <w:jc w:val="center"/>
            </w:pPr>
            <w:r>
              <w:t>00001-00006</w:t>
            </w:r>
          </w:p>
        </w:tc>
        <w:tc>
          <w:tcPr>
            <w:tcW w:w="1290" w:type="dxa"/>
            <w:tcBorders>
              <w:top w:val="nil"/>
              <w:left w:val="nil"/>
              <w:bottom w:val="single" w:sz="8" w:space="0" w:color="auto"/>
              <w:right w:val="single" w:sz="8" w:space="0" w:color="auto"/>
            </w:tcBorders>
            <w:noWrap/>
            <w:hideMark/>
          </w:tcPr>
          <w:p w:rsidR="000169B6" w:rsidRDefault="000169B6">
            <w:pPr>
              <w:pStyle w:val="TableBodyFileLayout"/>
              <w:jc w:val="center"/>
            </w:pPr>
            <w:r>
              <w:t>n-n</w:t>
            </w:r>
          </w:p>
        </w:tc>
        <w:tc>
          <w:tcPr>
            <w:tcW w:w="2752" w:type="dxa"/>
            <w:tcBorders>
              <w:top w:val="nil"/>
              <w:left w:val="nil"/>
              <w:bottom w:val="single" w:sz="8" w:space="0" w:color="auto"/>
              <w:right w:val="single" w:sz="8" w:space="0" w:color="auto"/>
            </w:tcBorders>
            <w:tcMar>
              <w:top w:w="15" w:type="dxa"/>
              <w:left w:w="72" w:type="dxa"/>
              <w:bottom w:w="0" w:type="dxa"/>
              <w:right w:w="15" w:type="dxa"/>
            </w:tcMar>
            <w:hideMark/>
          </w:tcPr>
          <w:p w:rsidR="000169B6" w:rsidRDefault="000169B6">
            <w:pPr>
              <w:pStyle w:val="TableBodyFileLayout"/>
            </w:pPr>
            <w:r>
              <w:t>Prefix with zeroes for ‘12345’ which will be ‘012345’</w:t>
            </w:r>
          </w:p>
        </w:tc>
      </w:tr>
      <w:tr w:rsidR="000169B6" w:rsidTr="0086341F">
        <w:trPr>
          <w:cantSplit/>
          <w:trHeight w:val="271"/>
        </w:trPr>
        <w:tc>
          <w:tcPr>
            <w:tcW w:w="824" w:type="dxa"/>
            <w:tcBorders>
              <w:top w:val="nil"/>
              <w:left w:val="single" w:sz="8" w:space="0" w:color="auto"/>
              <w:bottom w:val="single" w:sz="8" w:space="0" w:color="auto"/>
              <w:right w:val="single" w:sz="8" w:space="0" w:color="auto"/>
            </w:tcBorders>
            <w:noWrap/>
            <w:vAlign w:val="center"/>
            <w:hideMark/>
          </w:tcPr>
          <w:p w:rsidR="000169B6" w:rsidRDefault="000169B6">
            <w:pPr>
              <w:pStyle w:val="TableBodyFileLayout"/>
              <w:jc w:val="center"/>
            </w:pPr>
            <w:r>
              <w:t>2</w:t>
            </w:r>
          </w:p>
        </w:tc>
        <w:tc>
          <w:tcPr>
            <w:tcW w:w="2434" w:type="dxa"/>
            <w:tcBorders>
              <w:top w:val="nil"/>
              <w:left w:val="nil"/>
              <w:bottom w:val="single" w:sz="8" w:space="0" w:color="auto"/>
              <w:right w:val="single" w:sz="8" w:space="0" w:color="auto"/>
            </w:tcBorders>
            <w:noWrap/>
            <w:tcMar>
              <w:top w:w="0" w:type="dxa"/>
              <w:left w:w="72" w:type="dxa"/>
              <w:bottom w:w="0" w:type="dxa"/>
              <w:right w:w="0" w:type="dxa"/>
            </w:tcMar>
            <w:hideMark/>
          </w:tcPr>
          <w:p w:rsidR="000169B6" w:rsidRDefault="000169B6">
            <w:pPr>
              <w:pStyle w:val="TableBodyFileLayout"/>
            </w:pPr>
            <w:r>
              <w:t>SOFTWARE_ID</w:t>
            </w:r>
          </w:p>
        </w:tc>
        <w:tc>
          <w:tcPr>
            <w:tcW w:w="946" w:type="dxa"/>
            <w:tcBorders>
              <w:top w:val="nil"/>
              <w:left w:val="nil"/>
              <w:bottom w:val="single" w:sz="8" w:space="0" w:color="auto"/>
              <w:right w:val="single" w:sz="8" w:space="0" w:color="auto"/>
            </w:tcBorders>
            <w:noWrap/>
            <w:hideMark/>
          </w:tcPr>
          <w:p w:rsidR="000169B6" w:rsidRDefault="00771C0D">
            <w:pPr>
              <w:pStyle w:val="TableBodyFileLayout"/>
              <w:jc w:val="center"/>
            </w:pPr>
            <w:r>
              <w:t>8</w:t>
            </w:r>
          </w:p>
        </w:tc>
        <w:tc>
          <w:tcPr>
            <w:tcW w:w="1032" w:type="dxa"/>
            <w:tcBorders>
              <w:top w:val="nil"/>
              <w:left w:val="nil"/>
              <w:bottom w:val="single" w:sz="8" w:space="0" w:color="auto"/>
              <w:right w:val="single" w:sz="8" w:space="0" w:color="auto"/>
            </w:tcBorders>
            <w:noWrap/>
            <w:hideMark/>
          </w:tcPr>
          <w:p w:rsidR="000169B6" w:rsidRDefault="00771C0D">
            <w:pPr>
              <w:pStyle w:val="TableBodyFileLayout"/>
              <w:jc w:val="center"/>
            </w:pPr>
            <w:r>
              <w:t>00007-00014</w:t>
            </w:r>
          </w:p>
        </w:tc>
        <w:tc>
          <w:tcPr>
            <w:tcW w:w="1290" w:type="dxa"/>
            <w:tcBorders>
              <w:top w:val="nil"/>
              <w:left w:val="nil"/>
              <w:bottom w:val="single" w:sz="8" w:space="0" w:color="auto"/>
              <w:right w:val="single" w:sz="8" w:space="0" w:color="auto"/>
            </w:tcBorders>
            <w:noWrap/>
            <w:hideMark/>
          </w:tcPr>
          <w:p w:rsidR="000169B6" w:rsidRDefault="000169B6">
            <w:pPr>
              <w:pStyle w:val="TableBodyFileLayout"/>
              <w:jc w:val="center"/>
            </w:pPr>
            <w:r>
              <w:t>n-n</w:t>
            </w:r>
          </w:p>
        </w:tc>
        <w:tc>
          <w:tcPr>
            <w:tcW w:w="2752" w:type="dxa"/>
            <w:tcBorders>
              <w:top w:val="nil"/>
              <w:left w:val="nil"/>
              <w:bottom w:val="single" w:sz="8" w:space="0" w:color="auto"/>
              <w:right w:val="single" w:sz="8" w:space="0" w:color="auto"/>
            </w:tcBorders>
            <w:tcMar>
              <w:top w:w="15" w:type="dxa"/>
              <w:left w:w="72" w:type="dxa"/>
              <w:bottom w:w="0" w:type="dxa"/>
              <w:right w:w="15" w:type="dxa"/>
            </w:tcMar>
            <w:hideMark/>
          </w:tcPr>
          <w:p w:rsidR="000169B6" w:rsidRDefault="000169B6" w:rsidP="00771C0D">
            <w:pPr>
              <w:pStyle w:val="TableBodyFileLayout"/>
            </w:pPr>
            <w:r>
              <w:t xml:space="preserve">Left justified; ‘17000001’ </w:t>
            </w:r>
          </w:p>
        </w:tc>
      </w:tr>
      <w:tr w:rsidR="000169B6" w:rsidTr="0086341F">
        <w:trPr>
          <w:cantSplit/>
          <w:trHeight w:val="271"/>
        </w:trPr>
        <w:tc>
          <w:tcPr>
            <w:tcW w:w="824" w:type="dxa"/>
            <w:tcBorders>
              <w:top w:val="nil"/>
              <w:left w:val="single" w:sz="8" w:space="0" w:color="auto"/>
              <w:bottom w:val="single" w:sz="8" w:space="0" w:color="auto"/>
              <w:right w:val="single" w:sz="8" w:space="0" w:color="auto"/>
            </w:tcBorders>
            <w:noWrap/>
            <w:vAlign w:val="center"/>
            <w:hideMark/>
          </w:tcPr>
          <w:p w:rsidR="000169B6" w:rsidRDefault="000169B6">
            <w:pPr>
              <w:pStyle w:val="TableBodyFileLayout"/>
              <w:jc w:val="center"/>
            </w:pPr>
            <w:r>
              <w:t>3</w:t>
            </w:r>
          </w:p>
        </w:tc>
        <w:tc>
          <w:tcPr>
            <w:tcW w:w="2434" w:type="dxa"/>
            <w:tcBorders>
              <w:top w:val="nil"/>
              <w:left w:val="nil"/>
              <w:bottom w:val="single" w:sz="8" w:space="0" w:color="auto"/>
              <w:right w:val="single" w:sz="8" w:space="0" w:color="auto"/>
            </w:tcBorders>
            <w:noWrap/>
            <w:tcMar>
              <w:top w:w="0" w:type="dxa"/>
              <w:left w:w="72" w:type="dxa"/>
              <w:bottom w:w="0" w:type="dxa"/>
              <w:right w:w="0" w:type="dxa"/>
            </w:tcMar>
            <w:hideMark/>
          </w:tcPr>
          <w:p w:rsidR="000169B6" w:rsidRDefault="000169B6">
            <w:pPr>
              <w:pStyle w:val="TableBodyFileLayout"/>
            </w:pPr>
            <w:r>
              <w:t>VENDOR_CONTROL_NUMBER</w:t>
            </w:r>
          </w:p>
        </w:tc>
        <w:tc>
          <w:tcPr>
            <w:tcW w:w="946" w:type="dxa"/>
            <w:tcBorders>
              <w:top w:val="nil"/>
              <w:left w:val="nil"/>
              <w:bottom w:val="single" w:sz="8" w:space="0" w:color="auto"/>
              <w:right w:val="single" w:sz="8" w:space="0" w:color="auto"/>
            </w:tcBorders>
            <w:noWrap/>
            <w:hideMark/>
          </w:tcPr>
          <w:p w:rsidR="000169B6" w:rsidRDefault="000169B6">
            <w:pPr>
              <w:pStyle w:val="TableBodyFileLayout"/>
              <w:jc w:val="center"/>
            </w:pPr>
            <w:r>
              <w:t>16</w:t>
            </w:r>
          </w:p>
        </w:tc>
        <w:tc>
          <w:tcPr>
            <w:tcW w:w="1032" w:type="dxa"/>
            <w:tcBorders>
              <w:top w:val="nil"/>
              <w:left w:val="nil"/>
              <w:bottom w:val="single" w:sz="8" w:space="0" w:color="auto"/>
              <w:right w:val="single" w:sz="8" w:space="0" w:color="auto"/>
            </w:tcBorders>
            <w:noWrap/>
            <w:hideMark/>
          </w:tcPr>
          <w:p w:rsidR="000169B6" w:rsidRDefault="000169B6" w:rsidP="00771C0D">
            <w:pPr>
              <w:pStyle w:val="TableBodyFileLayout"/>
              <w:jc w:val="center"/>
            </w:pPr>
            <w:r>
              <w:t>0001</w:t>
            </w:r>
            <w:r w:rsidR="00771C0D">
              <w:t>5</w:t>
            </w:r>
            <w:r>
              <w:t>-0003</w:t>
            </w:r>
            <w:r w:rsidR="00771C0D">
              <w:t>0</w:t>
            </w:r>
          </w:p>
        </w:tc>
        <w:tc>
          <w:tcPr>
            <w:tcW w:w="1290" w:type="dxa"/>
            <w:tcBorders>
              <w:top w:val="nil"/>
              <w:left w:val="nil"/>
              <w:bottom w:val="single" w:sz="8" w:space="0" w:color="auto"/>
              <w:right w:val="single" w:sz="8" w:space="0" w:color="auto"/>
            </w:tcBorders>
            <w:noWrap/>
            <w:hideMark/>
          </w:tcPr>
          <w:p w:rsidR="000169B6" w:rsidRDefault="000169B6">
            <w:pPr>
              <w:pStyle w:val="TableBodyFileLayout"/>
              <w:jc w:val="center"/>
            </w:pPr>
            <w:r>
              <w:t>a/n-a/n</w:t>
            </w:r>
          </w:p>
        </w:tc>
        <w:tc>
          <w:tcPr>
            <w:tcW w:w="2752" w:type="dxa"/>
            <w:tcBorders>
              <w:top w:val="nil"/>
              <w:left w:val="nil"/>
              <w:bottom w:val="single" w:sz="8" w:space="0" w:color="auto"/>
              <w:right w:val="single" w:sz="8" w:space="0" w:color="auto"/>
            </w:tcBorders>
            <w:tcMar>
              <w:top w:w="15" w:type="dxa"/>
              <w:left w:w="72" w:type="dxa"/>
              <w:bottom w:w="0" w:type="dxa"/>
              <w:right w:w="15" w:type="dxa"/>
            </w:tcMar>
            <w:hideMark/>
          </w:tcPr>
          <w:p w:rsidR="000169B6" w:rsidRDefault="000169B6">
            <w:pPr>
              <w:pStyle w:val="TableBodyFileLayout"/>
            </w:pPr>
            <w:r w:rsidRPr="00DB057A">
              <w:t>Left justified; blanks to the right</w:t>
            </w:r>
          </w:p>
        </w:tc>
      </w:tr>
      <w:tr w:rsidR="000169B6" w:rsidTr="0086341F">
        <w:trPr>
          <w:cantSplit/>
          <w:trHeight w:val="271"/>
        </w:trPr>
        <w:tc>
          <w:tcPr>
            <w:tcW w:w="824" w:type="dxa"/>
            <w:tcBorders>
              <w:top w:val="nil"/>
              <w:left w:val="single" w:sz="8" w:space="0" w:color="auto"/>
              <w:bottom w:val="single" w:sz="8" w:space="0" w:color="auto"/>
              <w:right w:val="single" w:sz="8" w:space="0" w:color="auto"/>
            </w:tcBorders>
            <w:noWrap/>
            <w:vAlign w:val="center"/>
          </w:tcPr>
          <w:p w:rsidR="000169B6" w:rsidRDefault="000169B6">
            <w:pPr>
              <w:pStyle w:val="TableBodyFileLayout"/>
              <w:jc w:val="center"/>
            </w:pPr>
          </w:p>
        </w:tc>
        <w:tc>
          <w:tcPr>
            <w:tcW w:w="2434" w:type="dxa"/>
            <w:tcBorders>
              <w:top w:val="nil"/>
              <w:left w:val="nil"/>
              <w:bottom w:val="single" w:sz="8" w:space="0" w:color="auto"/>
              <w:right w:val="single" w:sz="8" w:space="0" w:color="auto"/>
            </w:tcBorders>
            <w:noWrap/>
            <w:tcMar>
              <w:top w:w="0" w:type="dxa"/>
              <w:left w:w="72" w:type="dxa"/>
              <w:bottom w:w="0" w:type="dxa"/>
              <w:right w:w="0" w:type="dxa"/>
            </w:tcMar>
          </w:tcPr>
          <w:p w:rsidR="000169B6" w:rsidRDefault="000169B6">
            <w:pPr>
              <w:pStyle w:val="TableBodyFileLayout"/>
            </w:pPr>
          </w:p>
        </w:tc>
        <w:tc>
          <w:tcPr>
            <w:tcW w:w="946" w:type="dxa"/>
            <w:tcBorders>
              <w:top w:val="nil"/>
              <w:left w:val="nil"/>
              <w:bottom w:val="single" w:sz="8" w:space="0" w:color="auto"/>
              <w:right w:val="single" w:sz="8" w:space="0" w:color="auto"/>
            </w:tcBorders>
            <w:noWrap/>
          </w:tcPr>
          <w:p w:rsidR="000169B6" w:rsidRDefault="000169B6">
            <w:pPr>
              <w:pStyle w:val="TableBodyFileLayout"/>
              <w:jc w:val="center"/>
            </w:pPr>
          </w:p>
        </w:tc>
        <w:tc>
          <w:tcPr>
            <w:tcW w:w="1032" w:type="dxa"/>
            <w:tcBorders>
              <w:top w:val="nil"/>
              <w:left w:val="nil"/>
              <w:bottom w:val="single" w:sz="8" w:space="0" w:color="auto"/>
              <w:right w:val="single" w:sz="8" w:space="0" w:color="auto"/>
            </w:tcBorders>
            <w:noWrap/>
          </w:tcPr>
          <w:p w:rsidR="000169B6" w:rsidRDefault="000169B6">
            <w:pPr>
              <w:pStyle w:val="TableBodyFileLayout"/>
              <w:jc w:val="center"/>
            </w:pPr>
          </w:p>
        </w:tc>
        <w:tc>
          <w:tcPr>
            <w:tcW w:w="1290" w:type="dxa"/>
            <w:tcBorders>
              <w:top w:val="nil"/>
              <w:left w:val="nil"/>
              <w:bottom w:val="single" w:sz="8" w:space="0" w:color="auto"/>
              <w:right w:val="single" w:sz="8" w:space="0" w:color="auto"/>
            </w:tcBorders>
            <w:noWrap/>
          </w:tcPr>
          <w:p w:rsidR="000169B6" w:rsidRDefault="000169B6">
            <w:pPr>
              <w:pStyle w:val="TableBodyFileLayout"/>
              <w:jc w:val="center"/>
            </w:pPr>
          </w:p>
        </w:tc>
        <w:tc>
          <w:tcPr>
            <w:tcW w:w="2752" w:type="dxa"/>
            <w:tcBorders>
              <w:top w:val="nil"/>
              <w:left w:val="nil"/>
              <w:bottom w:val="single" w:sz="8" w:space="0" w:color="auto"/>
              <w:right w:val="single" w:sz="8" w:space="0" w:color="auto"/>
            </w:tcBorders>
            <w:tcMar>
              <w:top w:w="15" w:type="dxa"/>
              <w:left w:w="72" w:type="dxa"/>
              <w:bottom w:w="0" w:type="dxa"/>
              <w:right w:w="15" w:type="dxa"/>
            </w:tcMar>
          </w:tcPr>
          <w:p w:rsidR="000169B6" w:rsidRDefault="000169B6">
            <w:pPr>
              <w:pStyle w:val="TableBodyFileLayout"/>
            </w:pPr>
          </w:p>
        </w:tc>
      </w:tr>
      <w:tr w:rsidR="000169B6" w:rsidTr="0086341F">
        <w:trPr>
          <w:cantSplit/>
          <w:trHeight w:val="271"/>
        </w:trPr>
        <w:tc>
          <w:tcPr>
            <w:tcW w:w="824" w:type="dxa"/>
            <w:tcBorders>
              <w:top w:val="nil"/>
              <w:left w:val="single" w:sz="8" w:space="0" w:color="auto"/>
              <w:bottom w:val="single" w:sz="8" w:space="0" w:color="auto"/>
              <w:right w:val="single" w:sz="8" w:space="0" w:color="auto"/>
            </w:tcBorders>
            <w:noWrap/>
            <w:vAlign w:val="center"/>
          </w:tcPr>
          <w:p w:rsidR="000169B6" w:rsidRDefault="000169B6">
            <w:pPr>
              <w:pStyle w:val="TableBodyFileLayout"/>
              <w:jc w:val="center"/>
            </w:pPr>
          </w:p>
        </w:tc>
        <w:tc>
          <w:tcPr>
            <w:tcW w:w="2434" w:type="dxa"/>
            <w:tcBorders>
              <w:top w:val="nil"/>
              <w:left w:val="nil"/>
              <w:bottom w:val="single" w:sz="8" w:space="0" w:color="auto"/>
              <w:right w:val="single" w:sz="8" w:space="0" w:color="auto"/>
            </w:tcBorders>
            <w:noWrap/>
            <w:tcMar>
              <w:top w:w="0" w:type="dxa"/>
              <w:left w:w="72" w:type="dxa"/>
              <w:bottom w:w="0" w:type="dxa"/>
              <w:right w:w="0" w:type="dxa"/>
            </w:tcMar>
            <w:hideMark/>
          </w:tcPr>
          <w:p w:rsidR="000169B6" w:rsidRDefault="000169B6">
            <w:pPr>
              <w:pStyle w:val="TableBodyFileLayout"/>
            </w:pPr>
            <w:r>
              <w:t>Total Length</w:t>
            </w:r>
          </w:p>
        </w:tc>
        <w:tc>
          <w:tcPr>
            <w:tcW w:w="946" w:type="dxa"/>
            <w:tcBorders>
              <w:top w:val="nil"/>
              <w:left w:val="nil"/>
              <w:bottom w:val="single" w:sz="8" w:space="0" w:color="auto"/>
              <w:right w:val="single" w:sz="8" w:space="0" w:color="auto"/>
            </w:tcBorders>
            <w:noWrap/>
            <w:hideMark/>
          </w:tcPr>
          <w:p w:rsidR="000169B6" w:rsidRDefault="00771C0D">
            <w:pPr>
              <w:pStyle w:val="TableBodyFileLayout"/>
              <w:jc w:val="center"/>
            </w:pPr>
            <w:r>
              <w:t>30</w:t>
            </w:r>
          </w:p>
        </w:tc>
        <w:tc>
          <w:tcPr>
            <w:tcW w:w="1032" w:type="dxa"/>
            <w:tcBorders>
              <w:top w:val="nil"/>
              <w:left w:val="nil"/>
              <w:bottom w:val="single" w:sz="8" w:space="0" w:color="auto"/>
              <w:right w:val="single" w:sz="8" w:space="0" w:color="auto"/>
            </w:tcBorders>
            <w:noWrap/>
          </w:tcPr>
          <w:p w:rsidR="000169B6" w:rsidRDefault="000169B6">
            <w:pPr>
              <w:pStyle w:val="TableBodyFileLayout"/>
              <w:jc w:val="center"/>
            </w:pPr>
          </w:p>
        </w:tc>
        <w:tc>
          <w:tcPr>
            <w:tcW w:w="1290" w:type="dxa"/>
            <w:tcBorders>
              <w:top w:val="nil"/>
              <w:left w:val="nil"/>
              <w:bottom w:val="single" w:sz="8" w:space="0" w:color="auto"/>
              <w:right w:val="single" w:sz="8" w:space="0" w:color="auto"/>
            </w:tcBorders>
            <w:noWrap/>
          </w:tcPr>
          <w:p w:rsidR="000169B6" w:rsidRDefault="000169B6">
            <w:pPr>
              <w:pStyle w:val="TableBodyFileLayout"/>
              <w:jc w:val="center"/>
            </w:pPr>
          </w:p>
        </w:tc>
        <w:tc>
          <w:tcPr>
            <w:tcW w:w="2752" w:type="dxa"/>
            <w:tcBorders>
              <w:top w:val="nil"/>
              <w:left w:val="nil"/>
              <w:bottom w:val="single" w:sz="8" w:space="0" w:color="auto"/>
              <w:right w:val="single" w:sz="8" w:space="0" w:color="auto"/>
            </w:tcBorders>
            <w:tcMar>
              <w:top w:w="15" w:type="dxa"/>
              <w:left w:w="72" w:type="dxa"/>
              <w:bottom w:w="0" w:type="dxa"/>
              <w:right w:w="15" w:type="dxa"/>
            </w:tcMar>
          </w:tcPr>
          <w:p w:rsidR="000169B6" w:rsidRDefault="000169B6">
            <w:pPr>
              <w:pStyle w:val="TableBodyFileLayout"/>
            </w:pPr>
          </w:p>
        </w:tc>
      </w:tr>
    </w:tbl>
    <w:p w:rsidR="000169B6" w:rsidRPr="00530F66" w:rsidRDefault="000169B6" w:rsidP="000169B6">
      <w:pPr>
        <w:pStyle w:val="NoSpacing"/>
      </w:pPr>
    </w:p>
    <w:p w:rsidR="00034A84" w:rsidRPr="005D3EE5" w:rsidRDefault="00034A84" w:rsidP="00034A84">
      <w:pPr>
        <w:rPr>
          <w:rFonts w:cs="Courier New"/>
          <w:b/>
          <w:i/>
        </w:rPr>
      </w:pPr>
      <w:r w:rsidRPr="00034A84">
        <w:rPr>
          <w:rFonts w:cs="Courier New"/>
          <w:color w:val="000000" w:themeColor="text1"/>
        </w:rPr>
        <w:t xml:space="preserve">SID is currently defined as 10 characters long in the input file (allowing for future expansion), but SID assignments for EFILE program are still 8 bytes long and expected to start in column position 368 </w:t>
      </w:r>
      <w:r w:rsidR="005D3EE5" w:rsidRPr="00082FCE">
        <w:rPr>
          <w:rFonts w:cs="Courier New"/>
          <w:color w:val="000000" w:themeColor="text1"/>
        </w:rPr>
        <w:t>through</w:t>
      </w:r>
      <w:r w:rsidR="005D3EE5">
        <w:rPr>
          <w:rFonts w:cs="Courier New"/>
          <w:color w:val="000000" w:themeColor="text1"/>
        </w:rPr>
        <w:t xml:space="preserve"> </w:t>
      </w:r>
      <w:r w:rsidRPr="00034A84">
        <w:rPr>
          <w:rFonts w:cs="Courier New"/>
          <w:color w:val="000000" w:themeColor="text1"/>
        </w:rPr>
        <w:t xml:space="preserve">375. </w:t>
      </w:r>
      <w:r w:rsidRPr="005D3EE5">
        <w:rPr>
          <w:rFonts w:cs="Courier New"/>
          <w:b/>
          <w:i/>
        </w:rPr>
        <w:t>Columns 376 and 377 of input file are expected to be blanks as long as SID are 8 characters long.  </w:t>
      </w:r>
    </w:p>
    <w:p w:rsidR="00C52BAC" w:rsidRDefault="00C52BAC" w:rsidP="00034A84">
      <w:pPr>
        <w:rPr>
          <w:rFonts w:cs="Courier New"/>
          <w:b/>
          <w:i/>
          <w:color w:val="000000" w:themeColor="text1"/>
        </w:rPr>
      </w:pPr>
    </w:p>
    <w:p w:rsidR="00C52BAC" w:rsidRDefault="00C52BAC" w:rsidP="00034A84">
      <w:pPr>
        <w:rPr>
          <w:rFonts w:cs="Courier New"/>
          <w:b/>
          <w:i/>
          <w:color w:val="000000" w:themeColor="text1"/>
        </w:rPr>
      </w:pPr>
    </w:p>
    <w:p w:rsidR="00C52BAC" w:rsidRDefault="00C52BAC" w:rsidP="00034A84">
      <w:pPr>
        <w:rPr>
          <w:rFonts w:cs="Courier New"/>
          <w:b/>
          <w:i/>
          <w:color w:val="000000" w:themeColor="text1"/>
        </w:rPr>
      </w:pPr>
    </w:p>
    <w:p w:rsidR="00034A84" w:rsidRPr="00B61962" w:rsidRDefault="00034A84" w:rsidP="00034A84">
      <w:pPr>
        <w:rPr>
          <w:rFonts w:cs="Courier New"/>
        </w:rPr>
      </w:pPr>
      <w:r w:rsidRPr="005D3EE5">
        <w:rPr>
          <w:rFonts w:cs="Courier New"/>
          <w:b/>
          <w:i/>
          <w:color w:val="000000" w:themeColor="text1"/>
        </w:rPr>
        <w:lastRenderedPageBreak/>
        <w:t>We do expect the VCN to begin at column position 378</w:t>
      </w:r>
      <w:r w:rsidRPr="00034A84">
        <w:rPr>
          <w:rFonts w:cs="Courier New"/>
          <w:color w:val="000000" w:themeColor="text1"/>
        </w:rPr>
        <w:t xml:space="preserve"> (and </w:t>
      </w:r>
      <w:r w:rsidRPr="005D3EE5">
        <w:rPr>
          <w:rFonts w:cs="Courier New"/>
          <w:i/>
          <w:color w:val="000000" w:themeColor="text1"/>
        </w:rPr>
        <w:t>not at column position 376</w:t>
      </w:r>
      <w:r w:rsidRPr="00034A84">
        <w:rPr>
          <w:rFonts w:cs="Courier New"/>
          <w:color w:val="000000" w:themeColor="text1"/>
        </w:rPr>
        <w:t xml:space="preserve"> which causes </w:t>
      </w:r>
      <w:r w:rsidRPr="00B61962">
        <w:rPr>
          <w:rFonts w:cs="Courier New"/>
        </w:rPr>
        <w:t>the first 2 bytes of VCN to be saved as last 2 bytes of SID and might cause validation errors in MeF). </w:t>
      </w:r>
    </w:p>
    <w:p w:rsidR="00034A84" w:rsidRPr="00B61962" w:rsidRDefault="00034A84" w:rsidP="00C52BAC">
      <w:pPr>
        <w:numPr>
          <w:ilvl w:val="0"/>
          <w:numId w:val="27"/>
        </w:numPr>
        <w:rPr>
          <w:rFonts w:cs="Courier New"/>
        </w:rPr>
      </w:pPr>
      <w:r w:rsidRPr="00B61962">
        <w:rPr>
          <w:rFonts w:cs="Courier New"/>
        </w:rPr>
        <w:t>For EFIN-SID-VCN transactions to be saved and reported to MeF, at a minimum, we expect the right values in INP-INDUSTRY-CD, EFIN, SID and VCN to be present for us to record that combination in our database. If saved successfully, we report an ‘S’ on INP-INDUSTRY-ACTION-FLAG in column position 394 back in the result file (S-SUCCESS).       </w:t>
      </w:r>
    </w:p>
    <w:p w:rsidR="00A52F98" w:rsidRPr="00C52BAC" w:rsidRDefault="00034A84" w:rsidP="00C52BAC">
      <w:pPr>
        <w:pStyle w:val="ListParagraph"/>
        <w:numPr>
          <w:ilvl w:val="0"/>
          <w:numId w:val="27"/>
        </w:numPr>
        <w:spacing w:after="0" w:line="240" w:lineRule="auto"/>
      </w:pPr>
      <w:r w:rsidRPr="00B61962">
        <w:rPr>
          <w:rFonts w:cs="Courier New"/>
        </w:rPr>
        <w:t>For EFIN validation transactions, we expect the right values in INP-INDUSTRY-CD, EFIN and either (TRACKING-NUM) or (TAXPAYER_ID &amp; TIN_TYPE) for us to proceed with the request. The EFIN validation result is reported back on INP-RESULT-EFIN-STATUS in column position 44 (V-VALID; I-INACTIVE; D-DELETED; N-NOT-FOUND; E-ERROR if one of more of he expected values are missing in the respective column positions).</w:t>
      </w:r>
    </w:p>
    <w:p w:rsidR="00C52BAC" w:rsidRDefault="00C52BAC" w:rsidP="00C52BAC">
      <w:pPr>
        <w:spacing w:after="0" w:line="240" w:lineRule="auto"/>
      </w:pPr>
    </w:p>
    <w:p w:rsidR="00C52BAC" w:rsidRDefault="00C52BAC" w:rsidP="00C52BAC">
      <w:pPr>
        <w:spacing w:after="0" w:line="240" w:lineRule="auto"/>
      </w:pPr>
    </w:p>
    <w:sectPr w:rsidR="00C52BAC" w:rsidSect="00912A1A">
      <w:footerReference w:type="default" r:id="rId10"/>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94B" w:rsidRDefault="006F094B" w:rsidP="00DB057A">
      <w:pPr>
        <w:spacing w:after="0" w:line="240" w:lineRule="auto"/>
      </w:pPr>
      <w:r>
        <w:separator/>
      </w:r>
    </w:p>
  </w:endnote>
  <w:endnote w:type="continuationSeparator" w:id="0">
    <w:p w:rsidR="006F094B" w:rsidRDefault="006F094B" w:rsidP="00DB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20B0604020202020204"/>
    <w:charset w:val="00"/>
    <w:family w:val="swiss"/>
    <w:pitch w:val="variable"/>
    <w:sig w:usb0="20007A87" w:usb1="80000000" w:usb2="00000008" w:usb3="00000000" w:csb0="000001FF" w:csb1="00000000"/>
  </w:font>
  <w:font w:name="Eras Medium ITC">
    <w:altName w:val="Eras Medium ITC"/>
    <w:panose1 w:val="020B0602030504020804"/>
    <w:charset w:val="00"/>
    <w:family w:val="swiss"/>
    <w:pitch w:val="variable"/>
    <w:sig w:usb0="00000003" w:usb1="00000000" w:usb2="00000000" w:usb3="00000000" w:csb0="00000001" w:csb1="00000000"/>
  </w:font>
  <w:font w:name="70% Verdana">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293569"/>
      <w:docPartObj>
        <w:docPartGallery w:val="Page Numbers (Bottom of Page)"/>
        <w:docPartUnique/>
      </w:docPartObj>
    </w:sdtPr>
    <w:sdtEndPr>
      <w:rPr>
        <w:noProof/>
      </w:rPr>
    </w:sdtEndPr>
    <w:sdtContent>
      <w:p w:rsidR="00DB057A" w:rsidRDefault="00DB057A">
        <w:pPr>
          <w:pStyle w:val="Footer"/>
          <w:jc w:val="right"/>
        </w:pPr>
        <w:r>
          <w:fldChar w:fldCharType="begin"/>
        </w:r>
        <w:r>
          <w:instrText xml:space="preserve"> PAGE   \* MERGEFORMAT </w:instrText>
        </w:r>
        <w:r>
          <w:fldChar w:fldCharType="separate"/>
        </w:r>
        <w:r w:rsidR="00745014">
          <w:rPr>
            <w:noProof/>
          </w:rPr>
          <w:t>1</w:t>
        </w:r>
        <w:r>
          <w:rPr>
            <w:noProof/>
          </w:rPr>
          <w:fldChar w:fldCharType="end"/>
        </w:r>
      </w:p>
    </w:sdtContent>
  </w:sdt>
  <w:p w:rsidR="00DB057A" w:rsidRDefault="00DB0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94B" w:rsidRDefault="006F094B" w:rsidP="00DB057A">
      <w:pPr>
        <w:spacing w:after="0" w:line="240" w:lineRule="auto"/>
      </w:pPr>
      <w:r>
        <w:separator/>
      </w:r>
    </w:p>
  </w:footnote>
  <w:footnote w:type="continuationSeparator" w:id="0">
    <w:p w:rsidR="006F094B" w:rsidRDefault="006F094B" w:rsidP="00DB0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545E"/>
    <w:multiLevelType w:val="hybridMultilevel"/>
    <w:tmpl w:val="0958AF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E7101"/>
    <w:multiLevelType w:val="hybridMultilevel"/>
    <w:tmpl w:val="D362E6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375430"/>
    <w:multiLevelType w:val="hybridMultilevel"/>
    <w:tmpl w:val="14CE8D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0A0B4F"/>
    <w:multiLevelType w:val="hybridMultilevel"/>
    <w:tmpl w:val="9AEE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A18C1"/>
    <w:multiLevelType w:val="hybridMultilevel"/>
    <w:tmpl w:val="D70C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70C18"/>
    <w:multiLevelType w:val="hybridMultilevel"/>
    <w:tmpl w:val="3BF4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37516"/>
    <w:multiLevelType w:val="hybridMultilevel"/>
    <w:tmpl w:val="70CA9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C53E54"/>
    <w:multiLevelType w:val="hybridMultilevel"/>
    <w:tmpl w:val="D096B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B8270D"/>
    <w:multiLevelType w:val="hybridMultilevel"/>
    <w:tmpl w:val="1D50C9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718C8"/>
    <w:multiLevelType w:val="hybridMultilevel"/>
    <w:tmpl w:val="432C78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3E21D7A"/>
    <w:multiLevelType w:val="hybridMultilevel"/>
    <w:tmpl w:val="273A6A10"/>
    <w:lvl w:ilvl="0" w:tplc="77265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071FB"/>
    <w:multiLevelType w:val="hybridMultilevel"/>
    <w:tmpl w:val="05B2C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32509"/>
    <w:multiLevelType w:val="hybridMultilevel"/>
    <w:tmpl w:val="FC58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4280C"/>
    <w:multiLevelType w:val="hybridMultilevel"/>
    <w:tmpl w:val="01986D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068715E"/>
    <w:multiLevelType w:val="hybridMultilevel"/>
    <w:tmpl w:val="CDF82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9154A"/>
    <w:multiLevelType w:val="hybridMultilevel"/>
    <w:tmpl w:val="AFA0FCB8"/>
    <w:lvl w:ilvl="0" w:tplc="04090015">
      <w:start w:val="1"/>
      <w:numFmt w:val="upperLetter"/>
      <w:lvlText w:val="%1."/>
      <w:lvlJc w:val="left"/>
      <w:pPr>
        <w:ind w:left="720" w:hanging="360"/>
      </w:pPr>
      <w:rPr>
        <w:rFonts w:hint="default"/>
      </w:rPr>
    </w:lvl>
    <w:lvl w:ilvl="1" w:tplc="576A107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BA6398A">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934FEA"/>
    <w:multiLevelType w:val="hybridMultilevel"/>
    <w:tmpl w:val="D19CE0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0A77B1"/>
    <w:multiLevelType w:val="hybridMultilevel"/>
    <w:tmpl w:val="340E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92294"/>
    <w:multiLevelType w:val="hybridMultilevel"/>
    <w:tmpl w:val="5D68F0A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75371FA1"/>
    <w:multiLevelType w:val="hybridMultilevel"/>
    <w:tmpl w:val="28E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A784C"/>
    <w:multiLevelType w:val="hybridMultilevel"/>
    <w:tmpl w:val="57223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96D88"/>
    <w:multiLevelType w:val="hybridMultilevel"/>
    <w:tmpl w:val="2BEE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026A8"/>
    <w:multiLevelType w:val="hybridMultilevel"/>
    <w:tmpl w:val="760C0A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5"/>
  </w:num>
  <w:num w:numId="3">
    <w:abstractNumId w:val="5"/>
  </w:num>
  <w:num w:numId="4">
    <w:abstractNumId w:val="20"/>
  </w:num>
  <w:num w:numId="5">
    <w:abstractNumId w:val="8"/>
  </w:num>
  <w:num w:numId="6">
    <w:abstractNumId w:val="3"/>
  </w:num>
  <w:num w:numId="7">
    <w:abstractNumId w:val="10"/>
  </w:num>
  <w:num w:numId="8">
    <w:abstractNumId w:val="19"/>
  </w:num>
  <w:num w:numId="9">
    <w:abstractNumId w:val="18"/>
  </w:num>
  <w:num w:numId="10">
    <w:abstractNumId w:val="22"/>
  </w:num>
  <w:num w:numId="11">
    <w:abstractNumId w:val="11"/>
  </w:num>
  <w:num w:numId="12">
    <w:abstractNumId w:val="2"/>
  </w:num>
  <w:num w:numId="13">
    <w:abstractNumId w:val="1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0"/>
  </w:num>
  <w:num w:numId="17">
    <w:abstractNumId w:val="6"/>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2"/>
  </w:num>
  <w:num w:numId="22">
    <w:abstractNumId w:val="16"/>
  </w:num>
  <w:num w:numId="23">
    <w:abstractNumId w:val="0"/>
  </w:num>
  <w:num w:numId="24">
    <w:abstractNumId w:val="7"/>
  </w:num>
  <w:num w:numId="25">
    <w:abstractNumId w:val="4"/>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AES" w:cryptAlgorithmClass="hash" w:cryptAlgorithmType="typeAny" w:cryptAlgorithmSid="14" w:cryptSpinCount="100000" w:hash="QlUFo+jxCCpLC/B8Mv2BxxJodBT8OUDxHblHLIXhLNaoErrCP+9qX56FLk6m0acuotKLbK4dRVjlwhmhwauVYw==" w:salt="7ol9CBYubntFyWPvJUVB5Q=="/>
  <w:zoom w:percent="1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91"/>
    <w:rsid w:val="000169B6"/>
    <w:rsid w:val="0002193D"/>
    <w:rsid w:val="00034A84"/>
    <w:rsid w:val="00044880"/>
    <w:rsid w:val="00050BAB"/>
    <w:rsid w:val="00056C00"/>
    <w:rsid w:val="00076A35"/>
    <w:rsid w:val="00082FCE"/>
    <w:rsid w:val="000915D4"/>
    <w:rsid w:val="000C0E14"/>
    <w:rsid w:val="000D67DB"/>
    <w:rsid w:val="000E3B6F"/>
    <w:rsid w:val="00112A04"/>
    <w:rsid w:val="00113FDF"/>
    <w:rsid w:val="00114F27"/>
    <w:rsid w:val="00135B5F"/>
    <w:rsid w:val="001531EC"/>
    <w:rsid w:val="00155B97"/>
    <w:rsid w:val="001F3596"/>
    <w:rsid w:val="002101C5"/>
    <w:rsid w:val="00246438"/>
    <w:rsid w:val="00290257"/>
    <w:rsid w:val="00292E72"/>
    <w:rsid w:val="002D47F1"/>
    <w:rsid w:val="002F5534"/>
    <w:rsid w:val="00324DB8"/>
    <w:rsid w:val="003A4333"/>
    <w:rsid w:val="003D6287"/>
    <w:rsid w:val="00401F4F"/>
    <w:rsid w:val="00425D59"/>
    <w:rsid w:val="00427E58"/>
    <w:rsid w:val="00457260"/>
    <w:rsid w:val="00462E4E"/>
    <w:rsid w:val="00466DA0"/>
    <w:rsid w:val="00471AB4"/>
    <w:rsid w:val="00473FA2"/>
    <w:rsid w:val="00477628"/>
    <w:rsid w:val="004817BD"/>
    <w:rsid w:val="00487792"/>
    <w:rsid w:val="004D112F"/>
    <w:rsid w:val="004E057F"/>
    <w:rsid w:val="004E1E26"/>
    <w:rsid w:val="00530F66"/>
    <w:rsid w:val="00541C90"/>
    <w:rsid w:val="00560CD8"/>
    <w:rsid w:val="00571DB7"/>
    <w:rsid w:val="005D36C5"/>
    <w:rsid w:val="005D3EE5"/>
    <w:rsid w:val="005D4D98"/>
    <w:rsid w:val="005E59A0"/>
    <w:rsid w:val="005F40B1"/>
    <w:rsid w:val="00622FD7"/>
    <w:rsid w:val="00623885"/>
    <w:rsid w:val="00672DA4"/>
    <w:rsid w:val="006A2326"/>
    <w:rsid w:val="006B614E"/>
    <w:rsid w:val="006D01CB"/>
    <w:rsid w:val="006F094B"/>
    <w:rsid w:val="006F21C3"/>
    <w:rsid w:val="006F2584"/>
    <w:rsid w:val="007077E2"/>
    <w:rsid w:val="007226B0"/>
    <w:rsid w:val="00732C3E"/>
    <w:rsid w:val="00733908"/>
    <w:rsid w:val="00745014"/>
    <w:rsid w:val="007462D3"/>
    <w:rsid w:val="00771C0D"/>
    <w:rsid w:val="007B644B"/>
    <w:rsid w:val="007C51C6"/>
    <w:rsid w:val="007D7C03"/>
    <w:rsid w:val="007E0852"/>
    <w:rsid w:val="007E6E15"/>
    <w:rsid w:val="008034DE"/>
    <w:rsid w:val="00803739"/>
    <w:rsid w:val="00811324"/>
    <w:rsid w:val="00832E24"/>
    <w:rsid w:val="00852819"/>
    <w:rsid w:val="008566B9"/>
    <w:rsid w:val="0086341F"/>
    <w:rsid w:val="008801FB"/>
    <w:rsid w:val="008C5EF6"/>
    <w:rsid w:val="008D4EF4"/>
    <w:rsid w:val="00912A1A"/>
    <w:rsid w:val="009164FD"/>
    <w:rsid w:val="009362C8"/>
    <w:rsid w:val="009579AF"/>
    <w:rsid w:val="009774B5"/>
    <w:rsid w:val="00981F3E"/>
    <w:rsid w:val="00987491"/>
    <w:rsid w:val="00991237"/>
    <w:rsid w:val="009C5B04"/>
    <w:rsid w:val="009D561C"/>
    <w:rsid w:val="009E53A7"/>
    <w:rsid w:val="00A10226"/>
    <w:rsid w:val="00A26346"/>
    <w:rsid w:val="00A4094D"/>
    <w:rsid w:val="00A464D2"/>
    <w:rsid w:val="00A52F98"/>
    <w:rsid w:val="00A95168"/>
    <w:rsid w:val="00AD4D45"/>
    <w:rsid w:val="00AE33D2"/>
    <w:rsid w:val="00AE7106"/>
    <w:rsid w:val="00B04D5A"/>
    <w:rsid w:val="00B1010C"/>
    <w:rsid w:val="00B10212"/>
    <w:rsid w:val="00B33791"/>
    <w:rsid w:val="00B5225F"/>
    <w:rsid w:val="00B55444"/>
    <w:rsid w:val="00B61962"/>
    <w:rsid w:val="00B920B4"/>
    <w:rsid w:val="00BA1BB1"/>
    <w:rsid w:val="00BA2B92"/>
    <w:rsid w:val="00BD629D"/>
    <w:rsid w:val="00C321B8"/>
    <w:rsid w:val="00C40913"/>
    <w:rsid w:val="00C52BAC"/>
    <w:rsid w:val="00C57D30"/>
    <w:rsid w:val="00C672A4"/>
    <w:rsid w:val="00CB1262"/>
    <w:rsid w:val="00DA1C20"/>
    <w:rsid w:val="00DB057A"/>
    <w:rsid w:val="00DC1A08"/>
    <w:rsid w:val="00DC7D35"/>
    <w:rsid w:val="00DD3434"/>
    <w:rsid w:val="00DD710E"/>
    <w:rsid w:val="00DD74C4"/>
    <w:rsid w:val="00DE0B8C"/>
    <w:rsid w:val="00E20A45"/>
    <w:rsid w:val="00E36F62"/>
    <w:rsid w:val="00E372C6"/>
    <w:rsid w:val="00E47884"/>
    <w:rsid w:val="00E66537"/>
    <w:rsid w:val="00E7678D"/>
    <w:rsid w:val="00EE5D0C"/>
    <w:rsid w:val="00F07A4E"/>
    <w:rsid w:val="00F1514A"/>
    <w:rsid w:val="00F2607F"/>
    <w:rsid w:val="00F30031"/>
    <w:rsid w:val="00F35BDA"/>
    <w:rsid w:val="00F416E6"/>
    <w:rsid w:val="00F47B4E"/>
    <w:rsid w:val="00F51D5F"/>
    <w:rsid w:val="00F55684"/>
    <w:rsid w:val="00F75546"/>
    <w:rsid w:val="00F859E3"/>
    <w:rsid w:val="00FA3294"/>
    <w:rsid w:val="00FE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C6B5F-5F92-4C5C-89FE-A6E578DB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A4E"/>
    <w:pPr>
      <w:ind w:left="720"/>
      <w:contextualSpacing/>
    </w:pPr>
  </w:style>
  <w:style w:type="paragraph" w:styleId="Revision">
    <w:name w:val="Revision"/>
    <w:hidden/>
    <w:uiPriority w:val="99"/>
    <w:semiHidden/>
    <w:rsid w:val="009774B5"/>
    <w:pPr>
      <w:spacing w:after="0" w:line="240" w:lineRule="auto"/>
    </w:pPr>
  </w:style>
  <w:style w:type="paragraph" w:styleId="BalloonText">
    <w:name w:val="Balloon Text"/>
    <w:basedOn w:val="Normal"/>
    <w:link w:val="BalloonTextChar"/>
    <w:uiPriority w:val="99"/>
    <w:semiHidden/>
    <w:unhideWhenUsed/>
    <w:rsid w:val="00977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4B5"/>
    <w:rPr>
      <w:rFonts w:ascii="Tahoma" w:hAnsi="Tahoma" w:cs="Tahoma"/>
      <w:sz w:val="16"/>
      <w:szCs w:val="16"/>
    </w:rPr>
  </w:style>
  <w:style w:type="character" w:styleId="Hyperlink">
    <w:name w:val="Hyperlink"/>
    <w:basedOn w:val="DefaultParagraphFont"/>
    <w:uiPriority w:val="99"/>
    <w:unhideWhenUsed/>
    <w:rsid w:val="00F1514A"/>
    <w:rPr>
      <w:color w:val="0000FF" w:themeColor="hyperlink"/>
      <w:u w:val="single"/>
    </w:rPr>
  </w:style>
  <w:style w:type="character" w:styleId="FollowedHyperlink">
    <w:name w:val="FollowedHyperlink"/>
    <w:basedOn w:val="DefaultParagraphFont"/>
    <w:uiPriority w:val="99"/>
    <w:semiHidden/>
    <w:unhideWhenUsed/>
    <w:rsid w:val="00672DA4"/>
    <w:rPr>
      <w:color w:val="800080" w:themeColor="followedHyperlink"/>
      <w:u w:val="single"/>
    </w:rPr>
  </w:style>
  <w:style w:type="paragraph" w:styleId="NoSpacing">
    <w:name w:val="No Spacing"/>
    <w:uiPriority w:val="1"/>
    <w:qFormat/>
    <w:rsid w:val="00530F66"/>
    <w:pPr>
      <w:spacing w:after="0" w:line="240" w:lineRule="auto"/>
    </w:pPr>
  </w:style>
  <w:style w:type="paragraph" w:customStyle="1" w:styleId="TableBodyFileLayout">
    <w:name w:val="TableBodyFileLayout"/>
    <w:basedOn w:val="Normal"/>
    <w:rsid w:val="000169B6"/>
    <w:pPr>
      <w:spacing w:before="60" w:after="60" w:line="240" w:lineRule="auto"/>
    </w:pPr>
    <w:rPr>
      <w:rFonts w:ascii="Arial (W1)" w:hAnsi="Arial (W1)" w:cs="Times New Roman"/>
      <w:sz w:val="16"/>
      <w:szCs w:val="16"/>
    </w:rPr>
  </w:style>
  <w:style w:type="paragraph" w:customStyle="1" w:styleId="TableHeadingFileLayout">
    <w:name w:val="TableHeadingFileLayout"/>
    <w:basedOn w:val="Normal"/>
    <w:rsid w:val="000169B6"/>
    <w:pPr>
      <w:spacing w:before="60" w:after="60" w:line="240" w:lineRule="auto"/>
      <w:jc w:val="center"/>
    </w:pPr>
    <w:rPr>
      <w:rFonts w:ascii="Arial (W1)" w:hAnsi="Arial (W1)" w:cs="Times New Roman"/>
      <w:b/>
      <w:bCs/>
      <w:sz w:val="18"/>
      <w:szCs w:val="18"/>
    </w:rPr>
  </w:style>
  <w:style w:type="paragraph" w:styleId="Header">
    <w:name w:val="header"/>
    <w:basedOn w:val="Normal"/>
    <w:link w:val="HeaderChar"/>
    <w:uiPriority w:val="99"/>
    <w:unhideWhenUsed/>
    <w:rsid w:val="00DB0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57A"/>
  </w:style>
  <w:style w:type="paragraph" w:styleId="Footer">
    <w:name w:val="footer"/>
    <w:basedOn w:val="Normal"/>
    <w:link w:val="FooterChar"/>
    <w:uiPriority w:val="99"/>
    <w:unhideWhenUsed/>
    <w:rsid w:val="00DB0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23052">
      <w:bodyDiv w:val="1"/>
      <w:marLeft w:val="0"/>
      <w:marRight w:val="0"/>
      <w:marTop w:val="0"/>
      <w:marBottom w:val="0"/>
      <w:divBdr>
        <w:top w:val="none" w:sz="0" w:space="0" w:color="auto"/>
        <w:left w:val="none" w:sz="0" w:space="0" w:color="auto"/>
        <w:bottom w:val="none" w:sz="0" w:space="0" w:color="auto"/>
        <w:right w:val="none" w:sz="0" w:space="0" w:color="auto"/>
      </w:divBdr>
    </w:div>
    <w:div w:id="157579018">
      <w:bodyDiv w:val="1"/>
      <w:marLeft w:val="0"/>
      <w:marRight w:val="0"/>
      <w:marTop w:val="0"/>
      <w:marBottom w:val="0"/>
      <w:divBdr>
        <w:top w:val="none" w:sz="0" w:space="0" w:color="auto"/>
        <w:left w:val="none" w:sz="0" w:space="0" w:color="auto"/>
        <w:bottom w:val="none" w:sz="0" w:space="0" w:color="auto"/>
        <w:right w:val="none" w:sz="0" w:space="0" w:color="auto"/>
      </w:divBdr>
    </w:div>
    <w:div w:id="200021482">
      <w:bodyDiv w:val="1"/>
      <w:marLeft w:val="0"/>
      <w:marRight w:val="0"/>
      <w:marTop w:val="0"/>
      <w:marBottom w:val="0"/>
      <w:divBdr>
        <w:top w:val="none" w:sz="0" w:space="0" w:color="auto"/>
        <w:left w:val="none" w:sz="0" w:space="0" w:color="auto"/>
        <w:bottom w:val="none" w:sz="0" w:space="0" w:color="auto"/>
        <w:right w:val="none" w:sz="0" w:space="0" w:color="auto"/>
      </w:divBdr>
    </w:div>
    <w:div w:id="220756768">
      <w:bodyDiv w:val="1"/>
      <w:marLeft w:val="0"/>
      <w:marRight w:val="0"/>
      <w:marTop w:val="0"/>
      <w:marBottom w:val="0"/>
      <w:divBdr>
        <w:top w:val="none" w:sz="0" w:space="0" w:color="auto"/>
        <w:left w:val="none" w:sz="0" w:space="0" w:color="auto"/>
        <w:bottom w:val="none" w:sz="0" w:space="0" w:color="auto"/>
        <w:right w:val="none" w:sz="0" w:space="0" w:color="auto"/>
      </w:divBdr>
    </w:div>
    <w:div w:id="224223645">
      <w:bodyDiv w:val="1"/>
      <w:marLeft w:val="0"/>
      <w:marRight w:val="0"/>
      <w:marTop w:val="0"/>
      <w:marBottom w:val="0"/>
      <w:divBdr>
        <w:top w:val="none" w:sz="0" w:space="0" w:color="auto"/>
        <w:left w:val="none" w:sz="0" w:space="0" w:color="auto"/>
        <w:bottom w:val="none" w:sz="0" w:space="0" w:color="auto"/>
        <w:right w:val="none" w:sz="0" w:space="0" w:color="auto"/>
      </w:divBdr>
    </w:div>
    <w:div w:id="226649132">
      <w:bodyDiv w:val="1"/>
      <w:marLeft w:val="0"/>
      <w:marRight w:val="0"/>
      <w:marTop w:val="0"/>
      <w:marBottom w:val="0"/>
      <w:divBdr>
        <w:top w:val="none" w:sz="0" w:space="0" w:color="auto"/>
        <w:left w:val="none" w:sz="0" w:space="0" w:color="auto"/>
        <w:bottom w:val="none" w:sz="0" w:space="0" w:color="auto"/>
        <w:right w:val="none" w:sz="0" w:space="0" w:color="auto"/>
      </w:divBdr>
    </w:div>
    <w:div w:id="321664805">
      <w:bodyDiv w:val="1"/>
      <w:marLeft w:val="0"/>
      <w:marRight w:val="0"/>
      <w:marTop w:val="0"/>
      <w:marBottom w:val="0"/>
      <w:divBdr>
        <w:top w:val="none" w:sz="0" w:space="0" w:color="auto"/>
        <w:left w:val="none" w:sz="0" w:space="0" w:color="auto"/>
        <w:bottom w:val="none" w:sz="0" w:space="0" w:color="auto"/>
        <w:right w:val="none" w:sz="0" w:space="0" w:color="auto"/>
      </w:divBdr>
    </w:div>
    <w:div w:id="449012826">
      <w:bodyDiv w:val="1"/>
      <w:marLeft w:val="0"/>
      <w:marRight w:val="0"/>
      <w:marTop w:val="0"/>
      <w:marBottom w:val="0"/>
      <w:divBdr>
        <w:top w:val="none" w:sz="0" w:space="0" w:color="auto"/>
        <w:left w:val="none" w:sz="0" w:space="0" w:color="auto"/>
        <w:bottom w:val="none" w:sz="0" w:space="0" w:color="auto"/>
        <w:right w:val="none" w:sz="0" w:space="0" w:color="auto"/>
      </w:divBdr>
    </w:div>
    <w:div w:id="484124287">
      <w:bodyDiv w:val="1"/>
      <w:marLeft w:val="0"/>
      <w:marRight w:val="0"/>
      <w:marTop w:val="0"/>
      <w:marBottom w:val="0"/>
      <w:divBdr>
        <w:top w:val="none" w:sz="0" w:space="0" w:color="auto"/>
        <w:left w:val="none" w:sz="0" w:space="0" w:color="auto"/>
        <w:bottom w:val="none" w:sz="0" w:space="0" w:color="auto"/>
        <w:right w:val="none" w:sz="0" w:space="0" w:color="auto"/>
      </w:divBdr>
    </w:div>
    <w:div w:id="519587152">
      <w:bodyDiv w:val="1"/>
      <w:marLeft w:val="0"/>
      <w:marRight w:val="0"/>
      <w:marTop w:val="0"/>
      <w:marBottom w:val="0"/>
      <w:divBdr>
        <w:top w:val="none" w:sz="0" w:space="0" w:color="auto"/>
        <w:left w:val="none" w:sz="0" w:space="0" w:color="auto"/>
        <w:bottom w:val="none" w:sz="0" w:space="0" w:color="auto"/>
        <w:right w:val="none" w:sz="0" w:space="0" w:color="auto"/>
      </w:divBdr>
    </w:div>
    <w:div w:id="534539166">
      <w:bodyDiv w:val="1"/>
      <w:marLeft w:val="0"/>
      <w:marRight w:val="0"/>
      <w:marTop w:val="0"/>
      <w:marBottom w:val="0"/>
      <w:divBdr>
        <w:top w:val="none" w:sz="0" w:space="0" w:color="auto"/>
        <w:left w:val="none" w:sz="0" w:space="0" w:color="auto"/>
        <w:bottom w:val="none" w:sz="0" w:space="0" w:color="auto"/>
        <w:right w:val="none" w:sz="0" w:space="0" w:color="auto"/>
      </w:divBdr>
    </w:div>
    <w:div w:id="615677538">
      <w:bodyDiv w:val="1"/>
      <w:marLeft w:val="0"/>
      <w:marRight w:val="0"/>
      <w:marTop w:val="0"/>
      <w:marBottom w:val="0"/>
      <w:divBdr>
        <w:top w:val="none" w:sz="0" w:space="0" w:color="auto"/>
        <w:left w:val="none" w:sz="0" w:space="0" w:color="auto"/>
        <w:bottom w:val="none" w:sz="0" w:space="0" w:color="auto"/>
        <w:right w:val="none" w:sz="0" w:space="0" w:color="auto"/>
      </w:divBdr>
    </w:div>
    <w:div w:id="712847890">
      <w:bodyDiv w:val="1"/>
      <w:marLeft w:val="0"/>
      <w:marRight w:val="0"/>
      <w:marTop w:val="0"/>
      <w:marBottom w:val="0"/>
      <w:divBdr>
        <w:top w:val="none" w:sz="0" w:space="0" w:color="auto"/>
        <w:left w:val="none" w:sz="0" w:space="0" w:color="auto"/>
        <w:bottom w:val="none" w:sz="0" w:space="0" w:color="auto"/>
        <w:right w:val="none" w:sz="0" w:space="0" w:color="auto"/>
      </w:divBdr>
    </w:div>
    <w:div w:id="883951836">
      <w:bodyDiv w:val="1"/>
      <w:marLeft w:val="0"/>
      <w:marRight w:val="0"/>
      <w:marTop w:val="0"/>
      <w:marBottom w:val="0"/>
      <w:divBdr>
        <w:top w:val="none" w:sz="0" w:space="0" w:color="auto"/>
        <w:left w:val="none" w:sz="0" w:space="0" w:color="auto"/>
        <w:bottom w:val="none" w:sz="0" w:space="0" w:color="auto"/>
        <w:right w:val="none" w:sz="0" w:space="0" w:color="auto"/>
      </w:divBdr>
    </w:div>
    <w:div w:id="905646303">
      <w:bodyDiv w:val="1"/>
      <w:marLeft w:val="0"/>
      <w:marRight w:val="0"/>
      <w:marTop w:val="0"/>
      <w:marBottom w:val="0"/>
      <w:divBdr>
        <w:top w:val="none" w:sz="0" w:space="0" w:color="auto"/>
        <w:left w:val="none" w:sz="0" w:space="0" w:color="auto"/>
        <w:bottom w:val="none" w:sz="0" w:space="0" w:color="auto"/>
        <w:right w:val="none" w:sz="0" w:space="0" w:color="auto"/>
      </w:divBdr>
    </w:div>
    <w:div w:id="994383973">
      <w:bodyDiv w:val="1"/>
      <w:marLeft w:val="0"/>
      <w:marRight w:val="0"/>
      <w:marTop w:val="0"/>
      <w:marBottom w:val="0"/>
      <w:divBdr>
        <w:top w:val="none" w:sz="0" w:space="0" w:color="auto"/>
        <w:left w:val="none" w:sz="0" w:space="0" w:color="auto"/>
        <w:bottom w:val="none" w:sz="0" w:space="0" w:color="auto"/>
        <w:right w:val="none" w:sz="0" w:space="0" w:color="auto"/>
      </w:divBdr>
    </w:div>
    <w:div w:id="1053768961">
      <w:bodyDiv w:val="1"/>
      <w:marLeft w:val="0"/>
      <w:marRight w:val="0"/>
      <w:marTop w:val="0"/>
      <w:marBottom w:val="0"/>
      <w:divBdr>
        <w:top w:val="none" w:sz="0" w:space="0" w:color="auto"/>
        <w:left w:val="none" w:sz="0" w:space="0" w:color="auto"/>
        <w:bottom w:val="none" w:sz="0" w:space="0" w:color="auto"/>
        <w:right w:val="none" w:sz="0" w:space="0" w:color="auto"/>
      </w:divBdr>
    </w:div>
    <w:div w:id="1138843347">
      <w:bodyDiv w:val="1"/>
      <w:marLeft w:val="0"/>
      <w:marRight w:val="0"/>
      <w:marTop w:val="0"/>
      <w:marBottom w:val="0"/>
      <w:divBdr>
        <w:top w:val="none" w:sz="0" w:space="0" w:color="auto"/>
        <w:left w:val="none" w:sz="0" w:space="0" w:color="auto"/>
        <w:bottom w:val="none" w:sz="0" w:space="0" w:color="auto"/>
        <w:right w:val="none" w:sz="0" w:space="0" w:color="auto"/>
      </w:divBdr>
    </w:div>
    <w:div w:id="1235167013">
      <w:bodyDiv w:val="1"/>
      <w:marLeft w:val="0"/>
      <w:marRight w:val="0"/>
      <w:marTop w:val="0"/>
      <w:marBottom w:val="0"/>
      <w:divBdr>
        <w:top w:val="none" w:sz="0" w:space="0" w:color="auto"/>
        <w:left w:val="none" w:sz="0" w:space="0" w:color="auto"/>
        <w:bottom w:val="none" w:sz="0" w:space="0" w:color="auto"/>
        <w:right w:val="none" w:sz="0" w:space="0" w:color="auto"/>
      </w:divBdr>
    </w:div>
    <w:div w:id="1304314593">
      <w:bodyDiv w:val="1"/>
      <w:marLeft w:val="0"/>
      <w:marRight w:val="0"/>
      <w:marTop w:val="0"/>
      <w:marBottom w:val="0"/>
      <w:divBdr>
        <w:top w:val="none" w:sz="0" w:space="0" w:color="auto"/>
        <w:left w:val="none" w:sz="0" w:space="0" w:color="auto"/>
        <w:bottom w:val="none" w:sz="0" w:space="0" w:color="auto"/>
        <w:right w:val="none" w:sz="0" w:space="0" w:color="auto"/>
      </w:divBdr>
    </w:div>
    <w:div w:id="1324511882">
      <w:bodyDiv w:val="1"/>
      <w:marLeft w:val="0"/>
      <w:marRight w:val="0"/>
      <w:marTop w:val="0"/>
      <w:marBottom w:val="0"/>
      <w:divBdr>
        <w:top w:val="none" w:sz="0" w:space="0" w:color="auto"/>
        <w:left w:val="none" w:sz="0" w:space="0" w:color="auto"/>
        <w:bottom w:val="none" w:sz="0" w:space="0" w:color="auto"/>
        <w:right w:val="none" w:sz="0" w:space="0" w:color="auto"/>
      </w:divBdr>
    </w:div>
    <w:div w:id="1456488595">
      <w:bodyDiv w:val="1"/>
      <w:marLeft w:val="0"/>
      <w:marRight w:val="0"/>
      <w:marTop w:val="0"/>
      <w:marBottom w:val="0"/>
      <w:divBdr>
        <w:top w:val="none" w:sz="0" w:space="0" w:color="auto"/>
        <w:left w:val="none" w:sz="0" w:space="0" w:color="auto"/>
        <w:bottom w:val="none" w:sz="0" w:space="0" w:color="auto"/>
        <w:right w:val="none" w:sz="0" w:space="0" w:color="auto"/>
      </w:divBdr>
    </w:div>
    <w:div w:id="1514681126">
      <w:bodyDiv w:val="1"/>
      <w:marLeft w:val="0"/>
      <w:marRight w:val="0"/>
      <w:marTop w:val="0"/>
      <w:marBottom w:val="0"/>
      <w:divBdr>
        <w:top w:val="none" w:sz="0" w:space="0" w:color="auto"/>
        <w:left w:val="none" w:sz="0" w:space="0" w:color="auto"/>
        <w:bottom w:val="none" w:sz="0" w:space="0" w:color="auto"/>
        <w:right w:val="none" w:sz="0" w:space="0" w:color="auto"/>
      </w:divBdr>
    </w:div>
    <w:div w:id="1559438736">
      <w:bodyDiv w:val="1"/>
      <w:marLeft w:val="0"/>
      <w:marRight w:val="0"/>
      <w:marTop w:val="0"/>
      <w:marBottom w:val="0"/>
      <w:divBdr>
        <w:top w:val="none" w:sz="0" w:space="0" w:color="auto"/>
        <w:left w:val="none" w:sz="0" w:space="0" w:color="auto"/>
        <w:bottom w:val="none" w:sz="0" w:space="0" w:color="auto"/>
        <w:right w:val="none" w:sz="0" w:space="0" w:color="auto"/>
      </w:divBdr>
    </w:div>
    <w:div w:id="1722513067">
      <w:bodyDiv w:val="1"/>
      <w:marLeft w:val="0"/>
      <w:marRight w:val="0"/>
      <w:marTop w:val="0"/>
      <w:marBottom w:val="0"/>
      <w:divBdr>
        <w:top w:val="none" w:sz="0" w:space="0" w:color="auto"/>
        <w:left w:val="none" w:sz="0" w:space="0" w:color="auto"/>
        <w:bottom w:val="none" w:sz="0" w:space="0" w:color="auto"/>
        <w:right w:val="none" w:sz="0" w:space="0" w:color="auto"/>
      </w:divBdr>
    </w:div>
    <w:div w:id="1722827787">
      <w:bodyDiv w:val="1"/>
      <w:marLeft w:val="0"/>
      <w:marRight w:val="0"/>
      <w:marTop w:val="0"/>
      <w:marBottom w:val="0"/>
      <w:divBdr>
        <w:top w:val="none" w:sz="0" w:space="0" w:color="auto"/>
        <w:left w:val="none" w:sz="0" w:space="0" w:color="auto"/>
        <w:bottom w:val="none" w:sz="0" w:space="0" w:color="auto"/>
        <w:right w:val="none" w:sz="0" w:space="0" w:color="auto"/>
      </w:divBdr>
    </w:div>
    <w:div w:id="1745950082">
      <w:bodyDiv w:val="1"/>
      <w:marLeft w:val="0"/>
      <w:marRight w:val="0"/>
      <w:marTop w:val="0"/>
      <w:marBottom w:val="0"/>
      <w:divBdr>
        <w:top w:val="none" w:sz="0" w:space="0" w:color="auto"/>
        <w:left w:val="none" w:sz="0" w:space="0" w:color="auto"/>
        <w:bottom w:val="none" w:sz="0" w:space="0" w:color="auto"/>
        <w:right w:val="none" w:sz="0" w:space="0" w:color="auto"/>
      </w:divBdr>
    </w:div>
    <w:div w:id="1808160779">
      <w:bodyDiv w:val="1"/>
      <w:marLeft w:val="0"/>
      <w:marRight w:val="0"/>
      <w:marTop w:val="0"/>
      <w:marBottom w:val="0"/>
      <w:divBdr>
        <w:top w:val="none" w:sz="0" w:space="0" w:color="auto"/>
        <w:left w:val="none" w:sz="0" w:space="0" w:color="auto"/>
        <w:bottom w:val="none" w:sz="0" w:space="0" w:color="auto"/>
        <w:right w:val="none" w:sz="0" w:space="0" w:color="auto"/>
      </w:divBdr>
    </w:div>
    <w:div w:id="1811509552">
      <w:bodyDiv w:val="1"/>
      <w:marLeft w:val="0"/>
      <w:marRight w:val="0"/>
      <w:marTop w:val="0"/>
      <w:marBottom w:val="0"/>
      <w:divBdr>
        <w:top w:val="none" w:sz="0" w:space="0" w:color="auto"/>
        <w:left w:val="none" w:sz="0" w:space="0" w:color="auto"/>
        <w:bottom w:val="none" w:sz="0" w:space="0" w:color="auto"/>
        <w:right w:val="none" w:sz="0" w:space="0" w:color="auto"/>
      </w:divBdr>
    </w:div>
    <w:div w:id="1838643705">
      <w:bodyDiv w:val="1"/>
      <w:marLeft w:val="0"/>
      <w:marRight w:val="0"/>
      <w:marTop w:val="0"/>
      <w:marBottom w:val="0"/>
      <w:divBdr>
        <w:top w:val="none" w:sz="0" w:space="0" w:color="auto"/>
        <w:left w:val="none" w:sz="0" w:space="0" w:color="auto"/>
        <w:bottom w:val="none" w:sz="0" w:space="0" w:color="auto"/>
        <w:right w:val="none" w:sz="0" w:space="0" w:color="auto"/>
      </w:divBdr>
    </w:div>
    <w:div w:id="196931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t.irs.gov:114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t.irs.gov:11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E4FB-855C-024D-894E-193C8AA2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1580</Words>
  <Characters>9011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v9ffb</dc:creator>
  <cp:lastModifiedBy>Ryan Minnick</cp:lastModifiedBy>
  <cp:revision>4</cp:revision>
  <cp:lastPrinted>2018-07-10T13:50:00Z</cp:lastPrinted>
  <dcterms:created xsi:type="dcterms:W3CDTF">2018-07-10T14:25:00Z</dcterms:created>
  <dcterms:modified xsi:type="dcterms:W3CDTF">2018-07-12T17:54:00Z</dcterms:modified>
</cp:coreProperties>
</file>